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E7C5C" w14:textId="77777777" w:rsidR="00CA0EF0" w:rsidRPr="00361E30" w:rsidRDefault="00CA0EF0" w:rsidP="003C13F4">
      <w:pPr>
        <w:jc w:val="center"/>
        <w:rPr>
          <w:b/>
          <w:sz w:val="44"/>
          <w:szCs w:val="44"/>
        </w:rPr>
      </w:pPr>
      <w:r w:rsidRPr="00361E30">
        <w:rPr>
          <w:b/>
          <w:sz w:val="44"/>
          <w:szCs w:val="44"/>
        </w:rPr>
        <w:t>Identifying Older Major Trauma Patient Characteristics and Care Process Factors that Impact on Mortality – a Mixed Methods Study</w:t>
      </w:r>
    </w:p>
    <w:p w14:paraId="21A5BFBF" w14:textId="77777777" w:rsidR="00CA0EF0" w:rsidRPr="00361E30" w:rsidRDefault="00CA0EF0" w:rsidP="003C13F4">
      <w:pPr>
        <w:jc w:val="center"/>
      </w:pPr>
      <w:r w:rsidRPr="00361E30">
        <w:t>Ian Sammy</w:t>
      </w:r>
    </w:p>
    <w:p w14:paraId="6EB9D28F" w14:textId="77777777" w:rsidR="00CA0EF0" w:rsidRPr="00361E30" w:rsidRDefault="00CA0EF0" w:rsidP="003C13F4">
      <w:pPr>
        <w:jc w:val="center"/>
      </w:pPr>
      <w:r w:rsidRPr="00361E30">
        <w:t>TARN Doctoral Research Fellow</w:t>
      </w:r>
    </w:p>
    <w:p w14:paraId="69CF9F6C" w14:textId="77777777" w:rsidR="00CA0EF0" w:rsidRPr="00361E30" w:rsidRDefault="00CA0EF0" w:rsidP="003C13F4">
      <w:pPr>
        <w:jc w:val="center"/>
      </w:pPr>
      <w:r w:rsidRPr="00361E30">
        <w:t>School of Health and Related Research</w:t>
      </w:r>
    </w:p>
    <w:p w14:paraId="5D23EC97" w14:textId="77777777" w:rsidR="00CA0EF0" w:rsidRPr="00361E30" w:rsidRDefault="00CA0EF0" w:rsidP="003C13F4">
      <w:pPr>
        <w:jc w:val="center"/>
      </w:pPr>
      <w:r w:rsidRPr="00361E30">
        <w:t>The University of Sheffield</w:t>
      </w:r>
    </w:p>
    <w:p w14:paraId="46384E72" w14:textId="77777777" w:rsidR="00CA0EF0" w:rsidRPr="00361E30" w:rsidRDefault="00CA0EF0" w:rsidP="003C13F4">
      <w:pPr>
        <w:jc w:val="center"/>
      </w:pPr>
      <w:r w:rsidRPr="00361E30">
        <w:t>2018</w:t>
      </w:r>
    </w:p>
    <w:p w14:paraId="79265356" w14:textId="77777777" w:rsidR="00CA0EF0" w:rsidRPr="00361E30" w:rsidRDefault="00CA0EF0">
      <w:pPr>
        <w:spacing w:line="276" w:lineRule="auto"/>
        <w:jc w:val="left"/>
      </w:pPr>
      <w:r w:rsidRPr="00361E30">
        <w:br w:type="page"/>
      </w:r>
    </w:p>
    <w:p w14:paraId="4E5807F9" w14:textId="77777777" w:rsidR="00CA0EF0" w:rsidRPr="00361E30" w:rsidRDefault="00CA0EF0">
      <w:pPr>
        <w:spacing w:line="276" w:lineRule="auto"/>
        <w:jc w:val="left"/>
      </w:pPr>
      <w:r w:rsidRPr="00361E30">
        <w:lastRenderedPageBreak/>
        <w:br w:type="page"/>
      </w:r>
    </w:p>
    <w:p w14:paraId="2236AD81" w14:textId="77777777" w:rsidR="00CA0EF0" w:rsidRPr="00361E30" w:rsidRDefault="00CA0EF0" w:rsidP="003C13F4">
      <w:pPr>
        <w:spacing w:line="276" w:lineRule="auto"/>
        <w:jc w:val="left"/>
        <w:sectPr w:rsidR="00CA0EF0" w:rsidRPr="00361E30" w:rsidSect="00FB42B1">
          <w:footerReference w:type="even" r:id="rId8"/>
          <w:footerReference w:type="default" r:id="rId9"/>
          <w:pgSz w:w="11906" w:h="16838"/>
          <w:pgMar w:top="1440" w:right="1440" w:bottom="1440" w:left="1440" w:header="720" w:footer="720" w:gutter="0"/>
          <w:pgNumType w:fmt="lowerRoman"/>
          <w:cols w:space="720"/>
          <w:docGrid w:linePitch="360"/>
        </w:sectPr>
      </w:pPr>
    </w:p>
    <w:p w14:paraId="26AB03BC" w14:textId="77777777" w:rsidR="00CA0EF0" w:rsidRPr="00361E30" w:rsidRDefault="00CA0EF0" w:rsidP="003C13F4">
      <w:pPr>
        <w:pStyle w:val="ChapterHeading"/>
      </w:pPr>
      <w:bookmarkStart w:id="0" w:name="_Toc1902192"/>
      <w:r w:rsidRPr="00361E30">
        <w:lastRenderedPageBreak/>
        <w:t>Table of Contents</w:t>
      </w:r>
      <w:bookmarkEnd w:id="0"/>
    </w:p>
    <w:p w14:paraId="09BAFCEC" w14:textId="77777777" w:rsidR="000557AA" w:rsidRDefault="00CA0EF0">
      <w:pPr>
        <w:pStyle w:val="TOC1"/>
        <w:tabs>
          <w:tab w:val="right" w:leader="dot" w:pos="8484"/>
        </w:tabs>
        <w:rPr>
          <w:rFonts w:eastAsiaTheme="minorEastAsia" w:cstheme="minorBidi"/>
          <w:b w:val="0"/>
          <w:bCs w:val="0"/>
          <w:noProof/>
          <w:sz w:val="22"/>
          <w:szCs w:val="22"/>
          <w:lang w:val="en-TT" w:eastAsia="en-TT"/>
        </w:rPr>
      </w:pPr>
      <w:r w:rsidRPr="00361E30">
        <w:rPr>
          <w:b w:val="0"/>
        </w:rPr>
        <w:fldChar w:fldCharType="begin"/>
      </w:r>
      <w:r w:rsidRPr="00361E30">
        <w:rPr>
          <w:b w:val="0"/>
        </w:rPr>
        <w:instrText xml:space="preserve"> TOC \h \z \u \t "Heading 1,2,Heading 2,3,Chapter Heading,1" </w:instrText>
      </w:r>
      <w:r w:rsidRPr="00361E30">
        <w:rPr>
          <w:b w:val="0"/>
        </w:rPr>
        <w:fldChar w:fldCharType="separate"/>
      </w:r>
      <w:hyperlink w:anchor="_Toc1902192" w:history="1">
        <w:r w:rsidR="000557AA" w:rsidRPr="00A00B40">
          <w:rPr>
            <w:rStyle w:val="Hyperlink"/>
            <w:noProof/>
          </w:rPr>
          <w:t>Table of Contents</w:t>
        </w:r>
        <w:r w:rsidR="000557AA">
          <w:rPr>
            <w:noProof/>
            <w:webHidden/>
          </w:rPr>
          <w:tab/>
        </w:r>
        <w:r w:rsidR="000557AA">
          <w:rPr>
            <w:noProof/>
            <w:webHidden/>
          </w:rPr>
          <w:fldChar w:fldCharType="begin"/>
        </w:r>
        <w:r w:rsidR="000557AA">
          <w:rPr>
            <w:noProof/>
            <w:webHidden/>
          </w:rPr>
          <w:instrText xml:space="preserve"> PAGEREF _Toc1902192 \h </w:instrText>
        </w:r>
        <w:r w:rsidR="000557AA">
          <w:rPr>
            <w:noProof/>
            <w:webHidden/>
          </w:rPr>
        </w:r>
        <w:r w:rsidR="000557AA">
          <w:rPr>
            <w:noProof/>
            <w:webHidden/>
          </w:rPr>
          <w:fldChar w:fldCharType="separate"/>
        </w:r>
        <w:r w:rsidR="00AC21CF">
          <w:rPr>
            <w:noProof/>
            <w:webHidden/>
          </w:rPr>
          <w:t>i</w:t>
        </w:r>
        <w:r w:rsidR="000557AA">
          <w:rPr>
            <w:noProof/>
            <w:webHidden/>
          </w:rPr>
          <w:fldChar w:fldCharType="end"/>
        </w:r>
      </w:hyperlink>
    </w:p>
    <w:p w14:paraId="658590FF" w14:textId="77777777" w:rsidR="000557AA" w:rsidRDefault="00993D1E">
      <w:pPr>
        <w:pStyle w:val="TOC3"/>
        <w:tabs>
          <w:tab w:val="right" w:leader="dot" w:pos="8484"/>
        </w:tabs>
        <w:rPr>
          <w:rFonts w:eastAsiaTheme="minorEastAsia" w:cstheme="minorBidi"/>
          <w:noProof/>
          <w:sz w:val="22"/>
          <w:szCs w:val="22"/>
          <w:lang w:val="en-TT" w:eastAsia="en-TT"/>
        </w:rPr>
      </w:pPr>
      <w:hyperlink w:anchor="_Toc1902193" w:history="1">
        <w:r w:rsidR="000557AA" w:rsidRPr="00A00B40">
          <w:rPr>
            <w:rStyle w:val="Hyperlink"/>
            <w:noProof/>
          </w:rPr>
          <w:t>List of Abbreviations</w:t>
        </w:r>
        <w:r w:rsidR="000557AA">
          <w:rPr>
            <w:noProof/>
            <w:webHidden/>
          </w:rPr>
          <w:tab/>
        </w:r>
        <w:r w:rsidR="000557AA">
          <w:rPr>
            <w:noProof/>
            <w:webHidden/>
          </w:rPr>
          <w:fldChar w:fldCharType="begin"/>
        </w:r>
        <w:r w:rsidR="000557AA">
          <w:rPr>
            <w:noProof/>
            <w:webHidden/>
          </w:rPr>
          <w:instrText xml:space="preserve"> PAGEREF _Toc1902193 \h </w:instrText>
        </w:r>
        <w:r w:rsidR="000557AA">
          <w:rPr>
            <w:noProof/>
            <w:webHidden/>
          </w:rPr>
        </w:r>
        <w:r w:rsidR="000557AA">
          <w:rPr>
            <w:noProof/>
            <w:webHidden/>
          </w:rPr>
          <w:fldChar w:fldCharType="separate"/>
        </w:r>
        <w:r w:rsidR="00AC21CF">
          <w:rPr>
            <w:noProof/>
            <w:webHidden/>
          </w:rPr>
          <w:t>vii</w:t>
        </w:r>
        <w:r w:rsidR="000557AA">
          <w:rPr>
            <w:noProof/>
            <w:webHidden/>
          </w:rPr>
          <w:fldChar w:fldCharType="end"/>
        </w:r>
      </w:hyperlink>
    </w:p>
    <w:p w14:paraId="5018675E" w14:textId="77777777" w:rsidR="000557AA" w:rsidRDefault="00993D1E">
      <w:pPr>
        <w:pStyle w:val="TOC3"/>
        <w:tabs>
          <w:tab w:val="right" w:leader="dot" w:pos="8484"/>
        </w:tabs>
        <w:rPr>
          <w:rFonts w:eastAsiaTheme="minorEastAsia" w:cstheme="minorBidi"/>
          <w:noProof/>
          <w:sz w:val="22"/>
          <w:szCs w:val="22"/>
          <w:lang w:val="en-TT" w:eastAsia="en-TT"/>
        </w:rPr>
      </w:pPr>
      <w:hyperlink w:anchor="_Toc1902194" w:history="1">
        <w:r w:rsidR="000557AA" w:rsidRPr="00A00B40">
          <w:rPr>
            <w:rStyle w:val="Hyperlink"/>
            <w:noProof/>
          </w:rPr>
          <w:t>List of Tables</w:t>
        </w:r>
        <w:r w:rsidR="000557AA">
          <w:rPr>
            <w:noProof/>
            <w:webHidden/>
          </w:rPr>
          <w:tab/>
        </w:r>
        <w:r w:rsidR="000557AA">
          <w:rPr>
            <w:noProof/>
            <w:webHidden/>
          </w:rPr>
          <w:fldChar w:fldCharType="begin"/>
        </w:r>
        <w:r w:rsidR="000557AA">
          <w:rPr>
            <w:noProof/>
            <w:webHidden/>
          </w:rPr>
          <w:instrText xml:space="preserve"> PAGEREF _Toc1902194 \h </w:instrText>
        </w:r>
        <w:r w:rsidR="000557AA">
          <w:rPr>
            <w:noProof/>
            <w:webHidden/>
          </w:rPr>
        </w:r>
        <w:r w:rsidR="000557AA">
          <w:rPr>
            <w:noProof/>
            <w:webHidden/>
          </w:rPr>
          <w:fldChar w:fldCharType="separate"/>
        </w:r>
        <w:r w:rsidR="00AC21CF">
          <w:rPr>
            <w:noProof/>
            <w:webHidden/>
          </w:rPr>
          <w:t>ix</w:t>
        </w:r>
        <w:r w:rsidR="000557AA">
          <w:rPr>
            <w:noProof/>
            <w:webHidden/>
          </w:rPr>
          <w:fldChar w:fldCharType="end"/>
        </w:r>
      </w:hyperlink>
    </w:p>
    <w:p w14:paraId="53426E18" w14:textId="77777777" w:rsidR="000557AA" w:rsidRDefault="00993D1E">
      <w:pPr>
        <w:pStyle w:val="TOC3"/>
        <w:tabs>
          <w:tab w:val="right" w:leader="dot" w:pos="8484"/>
        </w:tabs>
        <w:rPr>
          <w:rFonts w:eastAsiaTheme="minorEastAsia" w:cstheme="minorBidi"/>
          <w:noProof/>
          <w:sz w:val="22"/>
          <w:szCs w:val="22"/>
          <w:lang w:val="en-TT" w:eastAsia="en-TT"/>
        </w:rPr>
      </w:pPr>
      <w:hyperlink w:anchor="_Toc1902195" w:history="1">
        <w:r w:rsidR="000557AA" w:rsidRPr="00A00B40">
          <w:rPr>
            <w:rStyle w:val="Hyperlink"/>
            <w:noProof/>
          </w:rPr>
          <w:t>List of Figures</w:t>
        </w:r>
        <w:r w:rsidR="000557AA">
          <w:rPr>
            <w:noProof/>
            <w:webHidden/>
          </w:rPr>
          <w:tab/>
        </w:r>
        <w:r w:rsidR="000557AA">
          <w:rPr>
            <w:noProof/>
            <w:webHidden/>
          </w:rPr>
          <w:fldChar w:fldCharType="begin"/>
        </w:r>
        <w:r w:rsidR="000557AA">
          <w:rPr>
            <w:noProof/>
            <w:webHidden/>
          </w:rPr>
          <w:instrText xml:space="preserve"> PAGEREF _Toc1902195 \h </w:instrText>
        </w:r>
        <w:r w:rsidR="000557AA">
          <w:rPr>
            <w:noProof/>
            <w:webHidden/>
          </w:rPr>
        </w:r>
        <w:r w:rsidR="000557AA">
          <w:rPr>
            <w:noProof/>
            <w:webHidden/>
          </w:rPr>
          <w:fldChar w:fldCharType="separate"/>
        </w:r>
        <w:r w:rsidR="00AC21CF">
          <w:rPr>
            <w:noProof/>
            <w:webHidden/>
          </w:rPr>
          <w:t>x</w:t>
        </w:r>
        <w:r w:rsidR="000557AA">
          <w:rPr>
            <w:noProof/>
            <w:webHidden/>
          </w:rPr>
          <w:fldChar w:fldCharType="end"/>
        </w:r>
      </w:hyperlink>
    </w:p>
    <w:p w14:paraId="36866C9B" w14:textId="77777777" w:rsidR="000557AA" w:rsidRDefault="00993D1E">
      <w:pPr>
        <w:pStyle w:val="TOC3"/>
        <w:tabs>
          <w:tab w:val="right" w:leader="dot" w:pos="8484"/>
        </w:tabs>
        <w:rPr>
          <w:rFonts w:eastAsiaTheme="minorEastAsia" w:cstheme="minorBidi"/>
          <w:noProof/>
          <w:sz w:val="22"/>
          <w:szCs w:val="22"/>
          <w:lang w:val="en-TT" w:eastAsia="en-TT"/>
        </w:rPr>
      </w:pPr>
      <w:hyperlink w:anchor="_Toc1902196" w:history="1">
        <w:r w:rsidR="000557AA" w:rsidRPr="00A00B40">
          <w:rPr>
            <w:rStyle w:val="Hyperlink"/>
            <w:noProof/>
          </w:rPr>
          <w:t>Glossary</w:t>
        </w:r>
        <w:r w:rsidR="000557AA">
          <w:rPr>
            <w:noProof/>
            <w:webHidden/>
          </w:rPr>
          <w:tab/>
        </w:r>
        <w:r w:rsidR="000557AA">
          <w:rPr>
            <w:noProof/>
            <w:webHidden/>
          </w:rPr>
          <w:fldChar w:fldCharType="begin"/>
        </w:r>
        <w:r w:rsidR="000557AA">
          <w:rPr>
            <w:noProof/>
            <w:webHidden/>
          </w:rPr>
          <w:instrText xml:space="preserve"> PAGEREF _Toc1902196 \h </w:instrText>
        </w:r>
        <w:r w:rsidR="000557AA">
          <w:rPr>
            <w:noProof/>
            <w:webHidden/>
          </w:rPr>
        </w:r>
        <w:r w:rsidR="000557AA">
          <w:rPr>
            <w:noProof/>
            <w:webHidden/>
          </w:rPr>
          <w:fldChar w:fldCharType="separate"/>
        </w:r>
        <w:r w:rsidR="00AC21CF">
          <w:rPr>
            <w:noProof/>
            <w:webHidden/>
          </w:rPr>
          <w:t>xi</w:t>
        </w:r>
        <w:r w:rsidR="000557AA">
          <w:rPr>
            <w:noProof/>
            <w:webHidden/>
          </w:rPr>
          <w:fldChar w:fldCharType="end"/>
        </w:r>
      </w:hyperlink>
    </w:p>
    <w:p w14:paraId="5E0140A3" w14:textId="77777777" w:rsidR="000557AA" w:rsidRDefault="00993D1E">
      <w:pPr>
        <w:pStyle w:val="TOC1"/>
        <w:tabs>
          <w:tab w:val="right" w:leader="dot" w:pos="8484"/>
        </w:tabs>
        <w:rPr>
          <w:rFonts w:eastAsiaTheme="minorEastAsia" w:cstheme="minorBidi"/>
          <w:b w:val="0"/>
          <w:bCs w:val="0"/>
          <w:noProof/>
          <w:sz w:val="22"/>
          <w:szCs w:val="22"/>
          <w:lang w:val="en-TT" w:eastAsia="en-TT"/>
        </w:rPr>
      </w:pPr>
      <w:hyperlink w:anchor="_Toc1902197" w:history="1">
        <w:r w:rsidR="000557AA" w:rsidRPr="00A00B40">
          <w:rPr>
            <w:rStyle w:val="Hyperlink"/>
            <w:noProof/>
          </w:rPr>
          <w:t>Abstract</w:t>
        </w:r>
        <w:r w:rsidR="000557AA">
          <w:rPr>
            <w:noProof/>
            <w:webHidden/>
          </w:rPr>
          <w:tab/>
        </w:r>
        <w:r w:rsidR="000557AA">
          <w:rPr>
            <w:noProof/>
            <w:webHidden/>
          </w:rPr>
          <w:fldChar w:fldCharType="begin"/>
        </w:r>
        <w:r w:rsidR="000557AA">
          <w:rPr>
            <w:noProof/>
            <w:webHidden/>
          </w:rPr>
          <w:instrText xml:space="preserve"> PAGEREF _Toc1902197 \h </w:instrText>
        </w:r>
        <w:r w:rsidR="000557AA">
          <w:rPr>
            <w:noProof/>
            <w:webHidden/>
          </w:rPr>
        </w:r>
        <w:r w:rsidR="000557AA">
          <w:rPr>
            <w:noProof/>
            <w:webHidden/>
          </w:rPr>
          <w:fldChar w:fldCharType="separate"/>
        </w:r>
        <w:r w:rsidR="00AC21CF">
          <w:rPr>
            <w:noProof/>
            <w:webHidden/>
          </w:rPr>
          <w:t>xii</w:t>
        </w:r>
        <w:r w:rsidR="000557AA">
          <w:rPr>
            <w:noProof/>
            <w:webHidden/>
          </w:rPr>
          <w:fldChar w:fldCharType="end"/>
        </w:r>
      </w:hyperlink>
    </w:p>
    <w:p w14:paraId="71198E3F" w14:textId="77777777" w:rsidR="000557AA" w:rsidRDefault="00993D1E">
      <w:pPr>
        <w:pStyle w:val="TOC3"/>
        <w:tabs>
          <w:tab w:val="right" w:leader="dot" w:pos="8484"/>
        </w:tabs>
        <w:rPr>
          <w:rFonts w:eastAsiaTheme="minorEastAsia" w:cstheme="minorBidi"/>
          <w:noProof/>
          <w:sz w:val="22"/>
          <w:szCs w:val="22"/>
          <w:lang w:val="en-TT" w:eastAsia="en-TT"/>
        </w:rPr>
      </w:pPr>
      <w:hyperlink w:anchor="_Toc1902198" w:history="1">
        <w:r w:rsidR="000557AA" w:rsidRPr="00A00B40">
          <w:rPr>
            <w:rStyle w:val="Hyperlink"/>
            <w:noProof/>
          </w:rPr>
          <w:t>Background</w:t>
        </w:r>
        <w:r w:rsidR="000557AA">
          <w:rPr>
            <w:noProof/>
            <w:webHidden/>
          </w:rPr>
          <w:tab/>
        </w:r>
        <w:r w:rsidR="000557AA">
          <w:rPr>
            <w:noProof/>
            <w:webHidden/>
          </w:rPr>
          <w:fldChar w:fldCharType="begin"/>
        </w:r>
        <w:r w:rsidR="000557AA">
          <w:rPr>
            <w:noProof/>
            <w:webHidden/>
          </w:rPr>
          <w:instrText xml:space="preserve"> PAGEREF _Toc1902198 \h </w:instrText>
        </w:r>
        <w:r w:rsidR="000557AA">
          <w:rPr>
            <w:noProof/>
            <w:webHidden/>
          </w:rPr>
        </w:r>
        <w:r w:rsidR="000557AA">
          <w:rPr>
            <w:noProof/>
            <w:webHidden/>
          </w:rPr>
          <w:fldChar w:fldCharType="separate"/>
        </w:r>
        <w:r w:rsidR="00AC21CF">
          <w:rPr>
            <w:noProof/>
            <w:webHidden/>
          </w:rPr>
          <w:t>xii</w:t>
        </w:r>
        <w:r w:rsidR="000557AA">
          <w:rPr>
            <w:noProof/>
            <w:webHidden/>
          </w:rPr>
          <w:fldChar w:fldCharType="end"/>
        </w:r>
      </w:hyperlink>
    </w:p>
    <w:p w14:paraId="7C72E957" w14:textId="77777777" w:rsidR="000557AA" w:rsidRDefault="00993D1E">
      <w:pPr>
        <w:pStyle w:val="TOC3"/>
        <w:tabs>
          <w:tab w:val="right" w:leader="dot" w:pos="8484"/>
        </w:tabs>
        <w:rPr>
          <w:rFonts w:eastAsiaTheme="minorEastAsia" w:cstheme="minorBidi"/>
          <w:noProof/>
          <w:sz w:val="22"/>
          <w:szCs w:val="22"/>
          <w:lang w:val="en-TT" w:eastAsia="en-TT"/>
        </w:rPr>
      </w:pPr>
      <w:hyperlink w:anchor="_Toc1902199" w:history="1">
        <w:r w:rsidR="000557AA" w:rsidRPr="00A00B40">
          <w:rPr>
            <w:rStyle w:val="Hyperlink"/>
            <w:noProof/>
          </w:rPr>
          <w:t>Methods</w:t>
        </w:r>
        <w:r w:rsidR="000557AA">
          <w:rPr>
            <w:noProof/>
            <w:webHidden/>
          </w:rPr>
          <w:tab/>
        </w:r>
        <w:r w:rsidR="000557AA">
          <w:rPr>
            <w:noProof/>
            <w:webHidden/>
          </w:rPr>
          <w:fldChar w:fldCharType="begin"/>
        </w:r>
        <w:r w:rsidR="000557AA">
          <w:rPr>
            <w:noProof/>
            <w:webHidden/>
          </w:rPr>
          <w:instrText xml:space="preserve"> PAGEREF _Toc1902199 \h </w:instrText>
        </w:r>
        <w:r w:rsidR="000557AA">
          <w:rPr>
            <w:noProof/>
            <w:webHidden/>
          </w:rPr>
        </w:r>
        <w:r w:rsidR="000557AA">
          <w:rPr>
            <w:noProof/>
            <w:webHidden/>
          </w:rPr>
          <w:fldChar w:fldCharType="separate"/>
        </w:r>
        <w:r w:rsidR="00AC21CF">
          <w:rPr>
            <w:noProof/>
            <w:webHidden/>
          </w:rPr>
          <w:t>xii</w:t>
        </w:r>
        <w:r w:rsidR="000557AA">
          <w:rPr>
            <w:noProof/>
            <w:webHidden/>
          </w:rPr>
          <w:fldChar w:fldCharType="end"/>
        </w:r>
      </w:hyperlink>
    </w:p>
    <w:p w14:paraId="5F6EA285" w14:textId="77777777" w:rsidR="000557AA" w:rsidRDefault="00993D1E">
      <w:pPr>
        <w:pStyle w:val="TOC3"/>
        <w:tabs>
          <w:tab w:val="right" w:leader="dot" w:pos="8484"/>
        </w:tabs>
        <w:rPr>
          <w:rFonts w:eastAsiaTheme="minorEastAsia" w:cstheme="minorBidi"/>
          <w:noProof/>
          <w:sz w:val="22"/>
          <w:szCs w:val="22"/>
          <w:lang w:val="en-TT" w:eastAsia="en-TT"/>
        </w:rPr>
      </w:pPr>
      <w:hyperlink w:anchor="_Toc1902200" w:history="1">
        <w:r w:rsidR="000557AA" w:rsidRPr="00A00B40">
          <w:rPr>
            <w:rStyle w:val="Hyperlink"/>
            <w:noProof/>
          </w:rPr>
          <w:t>Results</w:t>
        </w:r>
        <w:r w:rsidR="000557AA">
          <w:rPr>
            <w:noProof/>
            <w:webHidden/>
          </w:rPr>
          <w:tab/>
        </w:r>
        <w:r w:rsidR="000557AA">
          <w:rPr>
            <w:noProof/>
            <w:webHidden/>
          </w:rPr>
          <w:fldChar w:fldCharType="begin"/>
        </w:r>
        <w:r w:rsidR="000557AA">
          <w:rPr>
            <w:noProof/>
            <w:webHidden/>
          </w:rPr>
          <w:instrText xml:space="preserve"> PAGEREF _Toc1902200 \h </w:instrText>
        </w:r>
        <w:r w:rsidR="000557AA">
          <w:rPr>
            <w:noProof/>
            <w:webHidden/>
          </w:rPr>
        </w:r>
        <w:r w:rsidR="000557AA">
          <w:rPr>
            <w:noProof/>
            <w:webHidden/>
          </w:rPr>
          <w:fldChar w:fldCharType="separate"/>
        </w:r>
        <w:r w:rsidR="00AC21CF">
          <w:rPr>
            <w:noProof/>
            <w:webHidden/>
          </w:rPr>
          <w:t>xii</w:t>
        </w:r>
        <w:r w:rsidR="000557AA">
          <w:rPr>
            <w:noProof/>
            <w:webHidden/>
          </w:rPr>
          <w:fldChar w:fldCharType="end"/>
        </w:r>
      </w:hyperlink>
    </w:p>
    <w:p w14:paraId="325DA228" w14:textId="77777777" w:rsidR="000557AA" w:rsidRDefault="00993D1E">
      <w:pPr>
        <w:pStyle w:val="TOC3"/>
        <w:tabs>
          <w:tab w:val="right" w:leader="dot" w:pos="8484"/>
        </w:tabs>
        <w:rPr>
          <w:rFonts w:eastAsiaTheme="minorEastAsia" w:cstheme="minorBidi"/>
          <w:noProof/>
          <w:sz w:val="22"/>
          <w:szCs w:val="22"/>
          <w:lang w:val="en-TT" w:eastAsia="en-TT"/>
        </w:rPr>
      </w:pPr>
      <w:hyperlink w:anchor="_Toc1902201" w:history="1">
        <w:r w:rsidR="000557AA" w:rsidRPr="00A00B40">
          <w:rPr>
            <w:rStyle w:val="Hyperlink"/>
            <w:noProof/>
          </w:rPr>
          <w:t>Conclusion</w:t>
        </w:r>
        <w:r w:rsidR="000557AA">
          <w:rPr>
            <w:noProof/>
            <w:webHidden/>
          </w:rPr>
          <w:tab/>
        </w:r>
        <w:r w:rsidR="000557AA">
          <w:rPr>
            <w:noProof/>
            <w:webHidden/>
          </w:rPr>
          <w:fldChar w:fldCharType="begin"/>
        </w:r>
        <w:r w:rsidR="000557AA">
          <w:rPr>
            <w:noProof/>
            <w:webHidden/>
          </w:rPr>
          <w:instrText xml:space="preserve"> PAGEREF _Toc1902201 \h </w:instrText>
        </w:r>
        <w:r w:rsidR="000557AA">
          <w:rPr>
            <w:noProof/>
            <w:webHidden/>
          </w:rPr>
        </w:r>
        <w:r w:rsidR="000557AA">
          <w:rPr>
            <w:noProof/>
            <w:webHidden/>
          </w:rPr>
          <w:fldChar w:fldCharType="separate"/>
        </w:r>
        <w:r w:rsidR="00AC21CF">
          <w:rPr>
            <w:noProof/>
            <w:webHidden/>
          </w:rPr>
          <w:t>xii</w:t>
        </w:r>
        <w:r w:rsidR="000557AA">
          <w:rPr>
            <w:noProof/>
            <w:webHidden/>
          </w:rPr>
          <w:fldChar w:fldCharType="end"/>
        </w:r>
      </w:hyperlink>
    </w:p>
    <w:p w14:paraId="4D22AA34" w14:textId="77777777" w:rsidR="000557AA" w:rsidRDefault="00993D1E">
      <w:pPr>
        <w:pStyle w:val="TOC1"/>
        <w:tabs>
          <w:tab w:val="right" w:leader="dot" w:pos="8484"/>
        </w:tabs>
        <w:rPr>
          <w:rFonts w:eastAsiaTheme="minorEastAsia" w:cstheme="minorBidi"/>
          <w:b w:val="0"/>
          <w:bCs w:val="0"/>
          <w:noProof/>
          <w:sz w:val="22"/>
          <w:szCs w:val="22"/>
          <w:lang w:val="en-TT" w:eastAsia="en-TT"/>
        </w:rPr>
      </w:pPr>
      <w:hyperlink w:anchor="_Toc1902202" w:history="1">
        <w:r w:rsidR="000557AA" w:rsidRPr="00A00B40">
          <w:rPr>
            <w:rStyle w:val="Hyperlink"/>
            <w:noProof/>
          </w:rPr>
          <w:t>Acknowledgements</w:t>
        </w:r>
        <w:r w:rsidR="000557AA">
          <w:rPr>
            <w:noProof/>
            <w:webHidden/>
          </w:rPr>
          <w:tab/>
        </w:r>
        <w:r w:rsidR="000557AA">
          <w:rPr>
            <w:noProof/>
            <w:webHidden/>
          </w:rPr>
          <w:fldChar w:fldCharType="begin"/>
        </w:r>
        <w:r w:rsidR="000557AA">
          <w:rPr>
            <w:noProof/>
            <w:webHidden/>
          </w:rPr>
          <w:instrText xml:space="preserve"> PAGEREF _Toc1902202 \h </w:instrText>
        </w:r>
        <w:r w:rsidR="000557AA">
          <w:rPr>
            <w:noProof/>
            <w:webHidden/>
          </w:rPr>
        </w:r>
        <w:r w:rsidR="000557AA">
          <w:rPr>
            <w:noProof/>
            <w:webHidden/>
          </w:rPr>
          <w:fldChar w:fldCharType="separate"/>
        </w:r>
        <w:r w:rsidR="00AC21CF">
          <w:rPr>
            <w:noProof/>
            <w:webHidden/>
          </w:rPr>
          <w:t>xiii</w:t>
        </w:r>
        <w:r w:rsidR="000557AA">
          <w:rPr>
            <w:noProof/>
            <w:webHidden/>
          </w:rPr>
          <w:fldChar w:fldCharType="end"/>
        </w:r>
      </w:hyperlink>
    </w:p>
    <w:p w14:paraId="45E86648" w14:textId="77777777" w:rsidR="000557AA" w:rsidRDefault="00993D1E">
      <w:pPr>
        <w:pStyle w:val="TOC1"/>
        <w:tabs>
          <w:tab w:val="right" w:leader="dot" w:pos="8484"/>
        </w:tabs>
        <w:rPr>
          <w:rFonts w:eastAsiaTheme="minorEastAsia" w:cstheme="minorBidi"/>
          <w:b w:val="0"/>
          <w:bCs w:val="0"/>
          <w:noProof/>
          <w:sz w:val="22"/>
          <w:szCs w:val="22"/>
          <w:lang w:val="en-TT" w:eastAsia="en-TT"/>
        </w:rPr>
      </w:pPr>
      <w:hyperlink w:anchor="_Toc1902203" w:history="1">
        <w:r w:rsidR="000557AA" w:rsidRPr="00A00B40">
          <w:rPr>
            <w:rStyle w:val="Hyperlink"/>
            <w:noProof/>
          </w:rPr>
          <w:t>Introduction</w:t>
        </w:r>
        <w:r w:rsidR="000557AA">
          <w:rPr>
            <w:noProof/>
            <w:webHidden/>
          </w:rPr>
          <w:tab/>
        </w:r>
        <w:r w:rsidR="000557AA">
          <w:rPr>
            <w:noProof/>
            <w:webHidden/>
          </w:rPr>
          <w:fldChar w:fldCharType="begin"/>
        </w:r>
        <w:r w:rsidR="000557AA">
          <w:rPr>
            <w:noProof/>
            <w:webHidden/>
          </w:rPr>
          <w:instrText xml:space="preserve"> PAGEREF _Toc1902203 \h </w:instrText>
        </w:r>
        <w:r w:rsidR="000557AA">
          <w:rPr>
            <w:noProof/>
            <w:webHidden/>
          </w:rPr>
        </w:r>
        <w:r w:rsidR="000557AA">
          <w:rPr>
            <w:noProof/>
            <w:webHidden/>
          </w:rPr>
          <w:fldChar w:fldCharType="separate"/>
        </w:r>
        <w:r w:rsidR="00AC21CF">
          <w:rPr>
            <w:noProof/>
            <w:webHidden/>
          </w:rPr>
          <w:t>xiv</w:t>
        </w:r>
        <w:r w:rsidR="000557AA">
          <w:rPr>
            <w:noProof/>
            <w:webHidden/>
          </w:rPr>
          <w:fldChar w:fldCharType="end"/>
        </w:r>
      </w:hyperlink>
    </w:p>
    <w:p w14:paraId="7FA8A661" w14:textId="77777777" w:rsidR="000557AA" w:rsidRDefault="00993D1E">
      <w:pPr>
        <w:pStyle w:val="TOC3"/>
        <w:tabs>
          <w:tab w:val="right" w:leader="dot" w:pos="8484"/>
        </w:tabs>
        <w:rPr>
          <w:rFonts w:eastAsiaTheme="minorEastAsia" w:cstheme="minorBidi"/>
          <w:noProof/>
          <w:sz w:val="22"/>
          <w:szCs w:val="22"/>
          <w:lang w:val="en-TT" w:eastAsia="en-TT"/>
        </w:rPr>
      </w:pPr>
      <w:hyperlink w:anchor="_Toc1902204" w:history="1">
        <w:r w:rsidR="000557AA" w:rsidRPr="00A00B40">
          <w:rPr>
            <w:rStyle w:val="Hyperlink"/>
            <w:noProof/>
          </w:rPr>
          <w:t>Why is this research important?</w:t>
        </w:r>
        <w:r w:rsidR="000557AA">
          <w:rPr>
            <w:noProof/>
            <w:webHidden/>
          </w:rPr>
          <w:tab/>
        </w:r>
        <w:r w:rsidR="000557AA">
          <w:rPr>
            <w:noProof/>
            <w:webHidden/>
          </w:rPr>
          <w:fldChar w:fldCharType="begin"/>
        </w:r>
        <w:r w:rsidR="000557AA">
          <w:rPr>
            <w:noProof/>
            <w:webHidden/>
          </w:rPr>
          <w:instrText xml:space="preserve"> PAGEREF _Toc1902204 \h </w:instrText>
        </w:r>
        <w:r w:rsidR="000557AA">
          <w:rPr>
            <w:noProof/>
            <w:webHidden/>
          </w:rPr>
        </w:r>
        <w:r w:rsidR="000557AA">
          <w:rPr>
            <w:noProof/>
            <w:webHidden/>
          </w:rPr>
          <w:fldChar w:fldCharType="separate"/>
        </w:r>
        <w:r w:rsidR="00AC21CF">
          <w:rPr>
            <w:noProof/>
            <w:webHidden/>
          </w:rPr>
          <w:t>xiv</w:t>
        </w:r>
        <w:r w:rsidR="000557AA">
          <w:rPr>
            <w:noProof/>
            <w:webHidden/>
          </w:rPr>
          <w:fldChar w:fldCharType="end"/>
        </w:r>
      </w:hyperlink>
    </w:p>
    <w:p w14:paraId="0403C95C" w14:textId="77777777" w:rsidR="000557AA" w:rsidRDefault="00993D1E">
      <w:pPr>
        <w:pStyle w:val="TOC3"/>
        <w:tabs>
          <w:tab w:val="right" w:leader="dot" w:pos="8484"/>
        </w:tabs>
        <w:rPr>
          <w:rFonts w:eastAsiaTheme="minorEastAsia" w:cstheme="minorBidi"/>
          <w:noProof/>
          <w:sz w:val="22"/>
          <w:szCs w:val="22"/>
          <w:lang w:val="en-TT" w:eastAsia="en-TT"/>
        </w:rPr>
      </w:pPr>
      <w:hyperlink w:anchor="_Toc1902205" w:history="1">
        <w:r w:rsidR="000557AA" w:rsidRPr="00A00B40">
          <w:rPr>
            <w:rStyle w:val="Hyperlink"/>
            <w:noProof/>
          </w:rPr>
          <w:t>The Research Question</w:t>
        </w:r>
        <w:r w:rsidR="000557AA">
          <w:rPr>
            <w:noProof/>
            <w:webHidden/>
          </w:rPr>
          <w:tab/>
        </w:r>
        <w:r w:rsidR="000557AA">
          <w:rPr>
            <w:noProof/>
            <w:webHidden/>
          </w:rPr>
          <w:fldChar w:fldCharType="begin"/>
        </w:r>
        <w:r w:rsidR="000557AA">
          <w:rPr>
            <w:noProof/>
            <w:webHidden/>
          </w:rPr>
          <w:instrText xml:space="preserve"> PAGEREF _Toc1902205 \h </w:instrText>
        </w:r>
        <w:r w:rsidR="000557AA">
          <w:rPr>
            <w:noProof/>
            <w:webHidden/>
          </w:rPr>
        </w:r>
        <w:r w:rsidR="000557AA">
          <w:rPr>
            <w:noProof/>
            <w:webHidden/>
          </w:rPr>
          <w:fldChar w:fldCharType="separate"/>
        </w:r>
        <w:r w:rsidR="00AC21CF">
          <w:rPr>
            <w:noProof/>
            <w:webHidden/>
          </w:rPr>
          <w:t>xiv</w:t>
        </w:r>
        <w:r w:rsidR="000557AA">
          <w:rPr>
            <w:noProof/>
            <w:webHidden/>
          </w:rPr>
          <w:fldChar w:fldCharType="end"/>
        </w:r>
      </w:hyperlink>
    </w:p>
    <w:p w14:paraId="2050741D" w14:textId="77777777" w:rsidR="000557AA" w:rsidRDefault="00993D1E">
      <w:pPr>
        <w:pStyle w:val="TOC3"/>
        <w:tabs>
          <w:tab w:val="right" w:leader="dot" w:pos="8484"/>
        </w:tabs>
        <w:rPr>
          <w:rFonts w:eastAsiaTheme="minorEastAsia" w:cstheme="minorBidi"/>
          <w:noProof/>
          <w:sz w:val="22"/>
          <w:szCs w:val="22"/>
          <w:lang w:val="en-TT" w:eastAsia="en-TT"/>
        </w:rPr>
      </w:pPr>
      <w:hyperlink w:anchor="_Toc1902206" w:history="1">
        <w:r w:rsidR="000557AA" w:rsidRPr="00A00B40">
          <w:rPr>
            <w:rStyle w:val="Hyperlink"/>
            <w:noProof/>
          </w:rPr>
          <w:t>Study Design and Research Methods</w:t>
        </w:r>
        <w:r w:rsidR="000557AA">
          <w:rPr>
            <w:noProof/>
            <w:webHidden/>
          </w:rPr>
          <w:tab/>
        </w:r>
        <w:r w:rsidR="000557AA">
          <w:rPr>
            <w:noProof/>
            <w:webHidden/>
          </w:rPr>
          <w:fldChar w:fldCharType="begin"/>
        </w:r>
        <w:r w:rsidR="000557AA">
          <w:rPr>
            <w:noProof/>
            <w:webHidden/>
          </w:rPr>
          <w:instrText xml:space="preserve"> PAGEREF _Toc1902206 \h </w:instrText>
        </w:r>
        <w:r w:rsidR="000557AA">
          <w:rPr>
            <w:noProof/>
            <w:webHidden/>
          </w:rPr>
        </w:r>
        <w:r w:rsidR="000557AA">
          <w:rPr>
            <w:noProof/>
            <w:webHidden/>
          </w:rPr>
          <w:fldChar w:fldCharType="separate"/>
        </w:r>
        <w:r w:rsidR="00AC21CF">
          <w:rPr>
            <w:noProof/>
            <w:webHidden/>
          </w:rPr>
          <w:t>xv</w:t>
        </w:r>
        <w:r w:rsidR="000557AA">
          <w:rPr>
            <w:noProof/>
            <w:webHidden/>
          </w:rPr>
          <w:fldChar w:fldCharType="end"/>
        </w:r>
      </w:hyperlink>
    </w:p>
    <w:p w14:paraId="49833E06" w14:textId="77777777" w:rsidR="000557AA" w:rsidRDefault="00993D1E">
      <w:pPr>
        <w:pStyle w:val="TOC3"/>
        <w:tabs>
          <w:tab w:val="right" w:leader="dot" w:pos="8484"/>
        </w:tabs>
        <w:rPr>
          <w:rFonts w:eastAsiaTheme="minorEastAsia" w:cstheme="minorBidi"/>
          <w:noProof/>
          <w:sz w:val="22"/>
          <w:szCs w:val="22"/>
          <w:lang w:val="en-TT" w:eastAsia="en-TT"/>
        </w:rPr>
      </w:pPr>
      <w:hyperlink w:anchor="_Toc1902207" w:history="1">
        <w:r w:rsidR="000557AA" w:rsidRPr="00A00B40">
          <w:rPr>
            <w:rStyle w:val="Hyperlink"/>
            <w:noProof/>
          </w:rPr>
          <w:t>The Structure of the Thesis</w:t>
        </w:r>
        <w:r w:rsidR="000557AA">
          <w:rPr>
            <w:noProof/>
            <w:webHidden/>
          </w:rPr>
          <w:tab/>
        </w:r>
        <w:r w:rsidR="000557AA">
          <w:rPr>
            <w:noProof/>
            <w:webHidden/>
          </w:rPr>
          <w:fldChar w:fldCharType="begin"/>
        </w:r>
        <w:r w:rsidR="000557AA">
          <w:rPr>
            <w:noProof/>
            <w:webHidden/>
          </w:rPr>
          <w:instrText xml:space="preserve"> PAGEREF _Toc1902207 \h </w:instrText>
        </w:r>
        <w:r w:rsidR="000557AA">
          <w:rPr>
            <w:noProof/>
            <w:webHidden/>
          </w:rPr>
        </w:r>
        <w:r w:rsidR="000557AA">
          <w:rPr>
            <w:noProof/>
            <w:webHidden/>
          </w:rPr>
          <w:fldChar w:fldCharType="separate"/>
        </w:r>
        <w:r w:rsidR="00AC21CF">
          <w:rPr>
            <w:noProof/>
            <w:webHidden/>
          </w:rPr>
          <w:t>xvi</w:t>
        </w:r>
        <w:r w:rsidR="000557AA">
          <w:rPr>
            <w:noProof/>
            <w:webHidden/>
          </w:rPr>
          <w:fldChar w:fldCharType="end"/>
        </w:r>
      </w:hyperlink>
    </w:p>
    <w:p w14:paraId="4AEF3C94" w14:textId="77777777" w:rsidR="000557AA" w:rsidRDefault="00993D1E">
      <w:pPr>
        <w:pStyle w:val="TOC1"/>
        <w:tabs>
          <w:tab w:val="right" w:leader="dot" w:pos="8484"/>
        </w:tabs>
        <w:rPr>
          <w:rFonts w:eastAsiaTheme="minorEastAsia" w:cstheme="minorBidi"/>
          <w:b w:val="0"/>
          <w:bCs w:val="0"/>
          <w:noProof/>
          <w:sz w:val="22"/>
          <w:szCs w:val="22"/>
          <w:lang w:val="en-TT" w:eastAsia="en-TT"/>
        </w:rPr>
      </w:pPr>
      <w:hyperlink w:anchor="_Toc1902208" w:history="1">
        <w:r w:rsidR="000557AA" w:rsidRPr="00A00B40">
          <w:rPr>
            <w:rStyle w:val="Hyperlink"/>
            <w:noProof/>
          </w:rPr>
          <w:t>Chapter 1: Trauma and the Ageing Population</w:t>
        </w:r>
        <w:r w:rsidR="000557AA">
          <w:rPr>
            <w:noProof/>
            <w:webHidden/>
          </w:rPr>
          <w:tab/>
        </w:r>
        <w:r w:rsidR="000557AA">
          <w:rPr>
            <w:noProof/>
            <w:webHidden/>
          </w:rPr>
          <w:fldChar w:fldCharType="begin"/>
        </w:r>
        <w:r w:rsidR="000557AA">
          <w:rPr>
            <w:noProof/>
            <w:webHidden/>
          </w:rPr>
          <w:instrText xml:space="preserve"> PAGEREF _Toc1902208 \h </w:instrText>
        </w:r>
        <w:r w:rsidR="000557AA">
          <w:rPr>
            <w:noProof/>
            <w:webHidden/>
          </w:rPr>
        </w:r>
        <w:r w:rsidR="000557AA">
          <w:rPr>
            <w:noProof/>
            <w:webHidden/>
          </w:rPr>
          <w:fldChar w:fldCharType="separate"/>
        </w:r>
        <w:r w:rsidR="00AC21CF">
          <w:rPr>
            <w:noProof/>
            <w:webHidden/>
          </w:rPr>
          <w:t>1</w:t>
        </w:r>
        <w:r w:rsidR="000557AA">
          <w:rPr>
            <w:noProof/>
            <w:webHidden/>
          </w:rPr>
          <w:fldChar w:fldCharType="end"/>
        </w:r>
      </w:hyperlink>
    </w:p>
    <w:p w14:paraId="56F3CFC8"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09" w:history="1">
        <w:r w:rsidR="000557AA" w:rsidRPr="00A00B40">
          <w:rPr>
            <w:rStyle w:val="Hyperlink"/>
            <w:noProof/>
          </w:rPr>
          <w:t>1.1</w:t>
        </w:r>
        <w:r w:rsidR="000557AA">
          <w:rPr>
            <w:rFonts w:eastAsiaTheme="minorEastAsia" w:cstheme="minorBidi"/>
            <w:i w:val="0"/>
            <w:iCs w:val="0"/>
            <w:noProof/>
            <w:sz w:val="22"/>
            <w:szCs w:val="22"/>
            <w:lang w:val="en-TT" w:eastAsia="en-TT"/>
          </w:rPr>
          <w:tab/>
        </w:r>
        <w:r w:rsidR="000557AA" w:rsidRPr="00A00B40">
          <w:rPr>
            <w:rStyle w:val="Hyperlink"/>
            <w:noProof/>
          </w:rPr>
          <w:t>Introduction</w:t>
        </w:r>
        <w:r w:rsidR="000557AA">
          <w:rPr>
            <w:noProof/>
            <w:webHidden/>
          </w:rPr>
          <w:tab/>
        </w:r>
        <w:r w:rsidR="000557AA">
          <w:rPr>
            <w:noProof/>
            <w:webHidden/>
          </w:rPr>
          <w:fldChar w:fldCharType="begin"/>
        </w:r>
        <w:r w:rsidR="000557AA">
          <w:rPr>
            <w:noProof/>
            <w:webHidden/>
          </w:rPr>
          <w:instrText xml:space="preserve"> PAGEREF _Toc1902209 \h </w:instrText>
        </w:r>
        <w:r w:rsidR="000557AA">
          <w:rPr>
            <w:noProof/>
            <w:webHidden/>
          </w:rPr>
        </w:r>
        <w:r w:rsidR="000557AA">
          <w:rPr>
            <w:noProof/>
            <w:webHidden/>
          </w:rPr>
          <w:fldChar w:fldCharType="separate"/>
        </w:r>
        <w:r w:rsidR="00AC21CF">
          <w:rPr>
            <w:noProof/>
            <w:webHidden/>
          </w:rPr>
          <w:t>1</w:t>
        </w:r>
        <w:r w:rsidR="000557AA">
          <w:rPr>
            <w:noProof/>
            <w:webHidden/>
          </w:rPr>
          <w:fldChar w:fldCharType="end"/>
        </w:r>
      </w:hyperlink>
    </w:p>
    <w:p w14:paraId="62771993"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10" w:history="1">
        <w:r w:rsidR="000557AA" w:rsidRPr="00A00B40">
          <w:rPr>
            <w:rStyle w:val="Hyperlink"/>
            <w:noProof/>
          </w:rPr>
          <w:t>1.2</w:t>
        </w:r>
        <w:r w:rsidR="000557AA">
          <w:rPr>
            <w:rFonts w:eastAsiaTheme="minorEastAsia" w:cstheme="minorBidi"/>
            <w:i w:val="0"/>
            <w:iCs w:val="0"/>
            <w:noProof/>
            <w:sz w:val="22"/>
            <w:szCs w:val="22"/>
            <w:lang w:val="en-TT" w:eastAsia="en-TT"/>
          </w:rPr>
          <w:tab/>
        </w:r>
        <w:r w:rsidR="000557AA" w:rsidRPr="00A00B40">
          <w:rPr>
            <w:rStyle w:val="Hyperlink"/>
            <w:noProof/>
          </w:rPr>
          <w:t>The Epidemiology of Ageing</w:t>
        </w:r>
        <w:r w:rsidR="000557AA">
          <w:rPr>
            <w:noProof/>
            <w:webHidden/>
          </w:rPr>
          <w:tab/>
        </w:r>
        <w:r w:rsidR="000557AA">
          <w:rPr>
            <w:noProof/>
            <w:webHidden/>
          </w:rPr>
          <w:fldChar w:fldCharType="begin"/>
        </w:r>
        <w:r w:rsidR="000557AA">
          <w:rPr>
            <w:noProof/>
            <w:webHidden/>
          </w:rPr>
          <w:instrText xml:space="preserve"> PAGEREF _Toc1902210 \h </w:instrText>
        </w:r>
        <w:r w:rsidR="000557AA">
          <w:rPr>
            <w:noProof/>
            <w:webHidden/>
          </w:rPr>
        </w:r>
        <w:r w:rsidR="000557AA">
          <w:rPr>
            <w:noProof/>
            <w:webHidden/>
          </w:rPr>
          <w:fldChar w:fldCharType="separate"/>
        </w:r>
        <w:r w:rsidR="00AC21CF">
          <w:rPr>
            <w:noProof/>
            <w:webHidden/>
          </w:rPr>
          <w:t>1</w:t>
        </w:r>
        <w:r w:rsidR="000557AA">
          <w:rPr>
            <w:noProof/>
            <w:webHidden/>
          </w:rPr>
          <w:fldChar w:fldCharType="end"/>
        </w:r>
      </w:hyperlink>
    </w:p>
    <w:p w14:paraId="0E1D0827"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11" w:history="1">
        <w:r w:rsidR="000557AA" w:rsidRPr="00A00B40">
          <w:rPr>
            <w:rStyle w:val="Hyperlink"/>
            <w:noProof/>
          </w:rPr>
          <w:t>1.2.1</w:t>
        </w:r>
        <w:r w:rsidR="000557AA">
          <w:rPr>
            <w:rFonts w:eastAsiaTheme="minorEastAsia" w:cstheme="minorBidi"/>
            <w:noProof/>
            <w:sz w:val="22"/>
            <w:szCs w:val="22"/>
            <w:lang w:val="en-TT" w:eastAsia="en-TT"/>
          </w:rPr>
          <w:tab/>
        </w:r>
        <w:r w:rsidR="000557AA" w:rsidRPr="00A00B40">
          <w:rPr>
            <w:rStyle w:val="Hyperlink"/>
            <w:noProof/>
          </w:rPr>
          <w:t>Global Trends in Population Ageing</w:t>
        </w:r>
        <w:r w:rsidR="000557AA">
          <w:rPr>
            <w:noProof/>
            <w:webHidden/>
          </w:rPr>
          <w:tab/>
        </w:r>
        <w:r w:rsidR="000557AA">
          <w:rPr>
            <w:noProof/>
            <w:webHidden/>
          </w:rPr>
          <w:fldChar w:fldCharType="begin"/>
        </w:r>
        <w:r w:rsidR="000557AA">
          <w:rPr>
            <w:noProof/>
            <w:webHidden/>
          </w:rPr>
          <w:instrText xml:space="preserve"> PAGEREF _Toc1902211 \h </w:instrText>
        </w:r>
        <w:r w:rsidR="000557AA">
          <w:rPr>
            <w:noProof/>
            <w:webHidden/>
          </w:rPr>
        </w:r>
        <w:r w:rsidR="000557AA">
          <w:rPr>
            <w:noProof/>
            <w:webHidden/>
          </w:rPr>
          <w:fldChar w:fldCharType="separate"/>
        </w:r>
        <w:r w:rsidR="00AC21CF">
          <w:rPr>
            <w:noProof/>
            <w:webHidden/>
          </w:rPr>
          <w:t>1</w:t>
        </w:r>
        <w:r w:rsidR="000557AA">
          <w:rPr>
            <w:noProof/>
            <w:webHidden/>
          </w:rPr>
          <w:fldChar w:fldCharType="end"/>
        </w:r>
      </w:hyperlink>
    </w:p>
    <w:p w14:paraId="0ACE7B4A"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12" w:history="1">
        <w:r w:rsidR="000557AA" w:rsidRPr="00A00B40">
          <w:rPr>
            <w:rStyle w:val="Hyperlink"/>
            <w:noProof/>
          </w:rPr>
          <w:t>1.2.2</w:t>
        </w:r>
        <w:r w:rsidR="000557AA">
          <w:rPr>
            <w:rFonts w:eastAsiaTheme="minorEastAsia" w:cstheme="minorBidi"/>
            <w:noProof/>
            <w:sz w:val="22"/>
            <w:szCs w:val="22"/>
            <w:lang w:val="en-TT" w:eastAsia="en-TT"/>
          </w:rPr>
          <w:tab/>
        </w:r>
        <w:r w:rsidR="000557AA" w:rsidRPr="00A00B40">
          <w:rPr>
            <w:rStyle w:val="Hyperlink"/>
            <w:noProof/>
          </w:rPr>
          <w:t>Definitions of Ageing</w:t>
        </w:r>
        <w:r w:rsidR="000557AA">
          <w:rPr>
            <w:noProof/>
            <w:webHidden/>
          </w:rPr>
          <w:tab/>
        </w:r>
        <w:r w:rsidR="000557AA">
          <w:rPr>
            <w:noProof/>
            <w:webHidden/>
          </w:rPr>
          <w:fldChar w:fldCharType="begin"/>
        </w:r>
        <w:r w:rsidR="000557AA">
          <w:rPr>
            <w:noProof/>
            <w:webHidden/>
          </w:rPr>
          <w:instrText xml:space="preserve"> PAGEREF _Toc1902212 \h </w:instrText>
        </w:r>
        <w:r w:rsidR="000557AA">
          <w:rPr>
            <w:noProof/>
            <w:webHidden/>
          </w:rPr>
        </w:r>
        <w:r w:rsidR="000557AA">
          <w:rPr>
            <w:noProof/>
            <w:webHidden/>
          </w:rPr>
          <w:fldChar w:fldCharType="separate"/>
        </w:r>
        <w:r w:rsidR="00AC21CF">
          <w:rPr>
            <w:noProof/>
            <w:webHidden/>
          </w:rPr>
          <w:t>2</w:t>
        </w:r>
        <w:r w:rsidR="000557AA">
          <w:rPr>
            <w:noProof/>
            <w:webHidden/>
          </w:rPr>
          <w:fldChar w:fldCharType="end"/>
        </w:r>
      </w:hyperlink>
    </w:p>
    <w:p w14:paraId="2E5C856C"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13" w:history="1">
        <w:r w:rsidR="000557AA" w:rsidRPr="00A00B40">
          <w:rPr>
            <w:rStyle w:val="Hyperlink"/>
            <w:noProof/>
          </w:rPr>
          <w:t>1.3</w:t>
        </w:r>
        <w:r w:rsidR="000557AA">
          <w:rPr>
            <w:rFonts w:eastAsiaTheme="minorEastAsia" w:cstheme="minorBidi"/>
            <w:i w:val="0"/>
            <w:iCs w:val="0"/>
            <w:noProof/>
            <w:sz w:val="22"/>
            <w:szCs w:val="22"/>
            <w:lang w:val="en-TT" w:eastAsia="en-TT"/>
          </w:rPr>
          <w:tab/>
        </w:r>
        <w:r w:rsidR="000557AA" w:rsidRPr="00A00B40">
          <w:rPr>
            <w:rStyle w:val="Hyperlink"/>
            <w:noProof/>
          </w:rPr>
          <w:t>The Epidemiology of Trauma in an Ageing Population</w:t>
        </w:r>
        <w:r w:rsidR="000557AA">
          <w:rPr>
            <w:noProof/>
            <w:webHidden/>
          </w:rPr>
          <w:tab/>
        </w:r>
        <w:r w:rsidR="000557AA">
          <w:rPr>
            <w:noProof/>
            <w:webHidden/>
          </w:rPr>
          <w:fldChar w:fldCharType="begin"/>
        </w:r>
        <w:r w:rsidR="000557AA">
          <w:rPr>
            <w:noProof/>
            <w:webHidden/>
          </w:rPr>
          <w:instrText xml:space="preserve"> PAGEREF _Toc1902213 \h </w:instrText>
        </w:r>
        <w:r w:rsidR="000557AA">
          <w:rPr>
            <w:noProof/>
            <w:webHidden/>
          </w:rPr>
        </w:r>
        <w:r w:rsidR="000557AA">
          <w:rPr>
            <w:noProof/>
            <w:webHidden/>
          </w:rPr>
          <w:fldChar w:fldCharType="separate"/>
        </w:r>
        <w:r w:rsidR="00AC21CF">
          <w:rPr>
            <w:noProof/>
            <w:webHidden/>
          </w:rPr>
          <w:t>3</w:t>
        </w:r>
        <w:r w:rsidR="000557AA">
          <w:rPr>
            <w:noProof/>
            <w:webHidden/>
          </w:rPr>
          <w:fldChar w:fldCharType="end"/>
        </w:r>
      </w:hyperlink>
    </w:p>
    <w:p w14:paraId="2E775B46"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14" w:history="1">
        <w:r w:rsidR="000557AA" w:rsidRPr="00A00B40">
          <w:rPr>
            <w:rStyle w:val="Hyperlink"/>
            <w:noProof/>
          </w:rPr>
          <w:t>1.3.1</w:t>
        </w:r>
        <w:r w:rsidR="000557AA">
          <w:rPr>
            <w:rFonts w:eastAsiaTheme="minorEastAsia" w:cstheme="minorBidi"/>
            <w:noProof/>
            <w:sz w:val="22"/>
            <w:szCs w:val="22"/>
            <w:lang w:val="en-TT" w:eastAsia="en-TT"/>
          </w:rPr>
          <w:tab/>
        </w:r>
        <w:r w:rsidR="000557AA" w:rsidRPr="00A00B40">
          <w:rPr>
            <w:rStyle w:val="Hyperlink"/>
            <w:noProof/>
          </w:rPr>
          <w:t>Trauma: A Global Pandemic</w:t>
        </w:r>
        <w:r w:rsidR="000557AA">
          <w:rPr>
            <w:noProof/>
            <w:webHidden/>
          </w:rPr>
          <w:tab/>
        </w:r>
        <w:r w:rsidR="000557AA">
          <w:rPr>
            <w:noProof/>
            <w:webHidden/>
          </w:rPr>
          <w:fldChar w:fldCharType="begin"/>
        </w:r>
        <w:r w:rsidR="000557AA">
          <w:rPr>
            <w:noProof/>
            <w:webHidden/>
          </w:rPr>
          <w:instrText xml:space="preserve"> PAGEREF _Toc1902214 \h </w:instrText>
        </w:r>
        <w:r w:rsidR="000557AA">
          <w:rPr>
            <w:noProof/>
            <w:webHidden/>
          </w:rPr>
        </w:r>
        <w:r w:rsidR="000557AA">
          <w:rPr>
            <w:noProof/>
            <w:webHidden/>
          </w:rPr>
          <w:fldChar w:fldCharType="separate"/>
        </w:r>
        <w:r w:rsidR="00AC21CF">
          <w:rPr>
            <w:noProof/>
            <w:webHidden/>
          </w:rPr>
          <w:t>3</w:t>
        </w:r>
        <w:r w:rsidR="000557AA">
          <w:rPr>
            <w:noProof/>
            <w:webHidden/>
          </w:rPr>
          <w:fldChar w:fldCharType="end"/>
        </w:r>
      </w:hyperlink>
    </w:p>
    <w:p w14:paraId="33F55A82"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15" w:history="1">
        <w:r w:rsidR="000557AA" w:rsidRPr="00A00B40">
          <w:rPr>
            <w:rStyle w:val="Hyperlink"/>
            <w:noProof/>
          </w:rPr>
          <w:t>1.3.2</w:t>
        </w:r>
        <w:r w:rsidR="000557AA">
          <w:rPr>
            <w:rFonts w:eastAsiaTheme="minorEastAsia" w:cstheme="minorBidi"/>
            <w:noProof/>
            <w:sz w:val="22"/>
            <w:szCs w:val="22"/>
            <w:lang w:val="en-TT" w:eastAsia="en-TT"/>
          </w:rPr>
          <w:tab/>
        </w:r>
        <w:r w:rsidR="000557AA" w:rsidRPr="00A00B40">
          <w:rPr>
            <w:rStyle w:val="Hyperlink"/>
            <w:noProof/>
          </w:rPr>
          <w:t>Mechanisms of Injury and the Aging Population</w:t>
        </w:r>
        <w:r w:rsidR="000557AA">
          <w:rPr>
            <w:noProof/>
            <w:webHidden/>
          </w:rPr>
          <w:tab/>
        </w:r>
        <w:r w:rsidR="000557AA">
          <w:rPr>
            <w:noProof/>
            <w:webHidden/>
          </w:rPr>
          <w:fldChar w:fldCharType="begin"/>
        </w:r>
        <w:r w:rsidR="000557AA">
          <w:rPr>
            <w:noProof/>
            <w:webHidden/>
          </w:rPr>
          <w:instrText xml:space="preserve"> PAGEREF _Toc1902215 \h </w:instrText>
        </w:r>
        <w:r w:rsidR="000557AA">
          <w:rPr>
            <w:noProof/>
            <w:webHidden/>
          </w:rPr>
        </w:r>
        <w:r w:rsidR="000557AA">
          <w:rPr>
            <w:noProof/>
            <w:webHidden/>
          </w:rPr>
          <w:fldChar w:fldCharType="separate"/>
        </w:r>
        <w:r w:rsidR="00AC21CF">
          <w:rPr>
            <w:noProof/>
            <w:webHidden/>
          </w:rPr>
          <w:t>4</w:t>
        </w:r>
        <w:r w:rsidR="000557AA">
          <w:rPr>
            <w:noProof/>
            <w:webHidden/>
          </w:rPr>
          <w:fldChar w:fldCharType="end"/>
        </w:r>
      </w:hyperlink>
    </w:p>
    <w:p w14:paraId="669DEB0A"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16" w:history="1">
        <w:r w:rsidR="000557AA" w:rsidRPr="00A00B40">
          <w:rPr>
            <w:rStyle w:val="Hyperlink"/>
            <w:noProof/>
          </w:rPr>
          <w:t>1.3.3</w:t>
        </w:r>
        <w:r w:rsidR="000557AA">
          <w:rPr>
            <w:rFonts w:eastAsiaTheme="minorEastAsia" w:cstheme="minorBidi"/>
            <w:noProof/>
            <w:sz w:val="22"/>
            <w:szCs w:val="22"/>
            <w:lang w:val="en-TT" w:eastAsia="en-TT"/>
          </w:rPr>
          <w:tab/>
        </w:r>
        <w:r w:rsidR="000557AA" w:rsidRPr="00A00B40">
          <w:rPr>
            <w:rStyle w:val="Hyperlink"/>
            <w:noProof/>
          </w:rPr>
          <w:t>Trauma in Older People: Patterns of Injury</w:t>
        </w:r>
        <w:r w:rsidR="000557AA">
          <w:rPr>
            <w:noProof/>
            <w:webHidden/>
          </w:rPr>
          <w:tab/>
        </w:r>
        <w:r w:rsidR="000557AA">
          <w:rPr>
            <w:noProof/>
            <w:webHidden/>
          </w:rPr>
          <w:fldChar w:fldCharType="begin"/>
        </w:r>
        <w:r w:rsidR="000557AA">
          <w:rPr>
            <w:noProof/>
            <w:webHidden/>
          </w:rPr>
          <w:instrText xml:space="preserve"> PAGEREF _Toc1902216 \h </w:instrText>
        </w:r>
        <w:r w:rsidR="000557AA">
          <w:rPr>
            <w:noProof/>
            <w:webHidden/>
          </w:rPr>
        </w:r>
        <w:r w:rsidR="000557AA">
          <w:rPr>
            <w:noProof/>
            <w:webHidden/>
          </w:rPr>
          <w:fldChar w:fldCharType="separate"/>
        </w:r>
        <w:r w:rsidR="00AC21CF">
          <w:rPr>
            <w:noProof/>
            <w:webHidden/>
          </w:rPr>
          <w:t>5</w:t>
        </w:r>
        <w:r w:rsidR="000557AA">
          <w:rPr>
            <w:noProof/>
            <w:webHidden/>
          </w:rPr>
          <w:fldChar w:fldCharType="end"/>
        </w:r>
      </w:hyperlink>
    </w:p>
    <w:p w14:paraId="534ED937"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17" w:history="1">
        <w:r w:rsidR="000557AA" w:rsidRPr="00A00B40">
          <w:rPr>
            <w:rStyle w:val="Hyperlink"/>
            <w:noProof/>
          </w:rPr>
          <w:t>1.3.4</w:t>
        </w:r>
        <w:r w:rsidR="000557AA">
          <w:rPr>
            <w:rFonts w:eastAsiaTheme="minorEastAsia" w:cstheme="minorBidi"/>
            <w:noProof/>
            <w:sz w:val="22"/>
            <w:szCs w:val="22"/>
            <w:lang w:val="en-TT" w:eastAsia="en-TT"/>
          </w:rPr>
          <w:tab/>
        </w:r>
        <w:r w:rsidR="000557AA" w:rsidRPr="00A00B40">
          <w:rPr>
            <w:rStyle w:val="Hyperlink"/>
            <w:noProof/>
          </w:rPr>
          <w:t>The Effect of Aging on Mortality in Trauma Patients</w:t>
        </w:r>
        <w:r w:rsidR="000557AA">
          <w:rPr>
            <w:noProof/>
            <w:webHidden/>
          </w:rPr>
          <w:tab/>
        </w:r>
        <w:r w:rsidR="000557AA">
          <w:rPr>
            <w:noProof/>
            <w:webHidden/>
          </w:rPr>
          <w:fldChar w:fldCharType="begin"/>
        </w:r>
        <w:r w:rsidR="000557AA">
          <w:rPr>
            <w:noProof/>
            <w:webHidden/>
          </w:rPr>
          <w:instrText xml:space="preserve"> PAGEREF _Toc1902217 \h </w:instrText>
        </w:r>
        <w:r w:rsidR="000557AA">
          <w:rPr>
            <w:noProof/>
            <w:webHidden/>
          </w:rPr>
        </w:r>
        <w:r w:rsidR="000557AA">
          <w:rPr>
            <w:noProof/>
            <w:webHidden/>
          </w:rPr>
          <w:fldChar w:fldCharType="separate"/>
        </w:r>
        <w:r w:rsidR="00AC21CF">
          <w:rPr>
            <w:noProof/>
            <w:webHidden/>
          </w:rPr>
          <w:t>5</w:t>
        </w:r>
        <w:r w:rsidR="000557AA">
          <w:rPr>
            <w:noProof/>
            <w:webHidden/>
          </w:rPr>
          <w:fldChar w:fldCharType="end"/>
        </w:r>
      </w:hyperlink>
    </w:p>
    <w:p w14:paraId="12EFF31E"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18" w:history="1">
        <w:r w:rsidR="000557AA" w:rsidRPr="00A00B40">
          <w:rPr>
            <w:rStyle w:val="Hyperlink"/>
            <w:noProof/>
          </w:rPr>
          <w:t>1.3.5</w:t>
        </w:r>
        <w:r w:rsidR="000557AA">
          <w:rPr>
            <w:rFonts w:eastAsiaTheme="minorEastAsia" w:cstheme="minorBidi"/>
            <w:noProof/>
            <w:sz w:val="22"/>
            <w:szCs w:val="22"/>
            <w:lang w:val="en-TT" w:eastAsia="en-TT"/>
          </w:rPr>
          <w:tab/>
        </w:r>
        <w:r w:rsidR="000557AA" w:rsidRPr="00A00B40">
          <w:rPr>
            <w:rStyle w:val="Hyperlink"/>
            <w:noProof/>
          </w:rPr>
          <w:t>Other Outcome Measures: Functional Capacity and Quality of Life</w:t>
        </w:r>
        <w:r w:rsidR="000557AA">
          <w:rPr>
            <w:noProof/>
            <w:webHidden/>
          </w:rPr>
          <w:tab/>
        </w:r>
        <w:r w:rsidR="000557AA">
          <w:rPr>
            <w:noProof/>
            <w:webHidden/>
          </w:rPr>
          <w:fldChar w:fldCharType="begin"/>
        </w:r>
        <w:r w:rsidR="000557AA">
          <w:rPr>
            <w:noProof/>
            <w:webHidden/>
          </w:rPr>
          <w:instrText xml:space="preserve"> PAGEREF _Toc1902218 \h </w:instrText>
        </w:r>
        <w:r w:rsidR="000557AA">
          <w:rPr>
            <w:noProof/>
            <w:webHidden/>
          </w:rPr>
        </w:r>
        <w:r w:rsidR="000557AA">
          <w:rPr>
            <w:noProof/>
            <w:webHidden/>
          </w:rPr>
          <w:fldChar w:fldCharType="separate"/>
        </w:r>
        <w:r w:rsidR="00AC21CF">
          <w:rPr>
            <w:noProof/>
            <w:webHidden/>
          </w:rPr>
          <w:t>6</w:t>
        </w:r>
        <w:r w:rsidR="000557AA">
          <w:rPr>
            <w:noProof/>
            <w:webHidden/>
          </w:rPr>
          <w:fldChar w:fldCharType="end"/>
        </w:r>
      </w:hyperlink>
    </w:p>
    <w:p w14:paraId="1A4E7B1A"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19" w:history="1">
        <w:r w:rsidR="000557AA" w:rsidRPr="00A00B40">
          <w:rPr>
            <w:rStyle w:val="Hyperlink"/>
            <w:noProof/>
          </w:rPr>
          <w:t>1.4</w:t>
        </w:r>
        <w:r w:rsidR="000557AA">
          <w:rPr>
            <w:rFonts w:eastAsiaTheme="minorEastAsia" w:cstheme="minorBidi"/>
            <w:i w:val="0"/>
            <w:iCs w:val="0"/>
            <w:noProof/>
            <w:sz w:val="22"/>
            <w:szCs w:val="22"/>
            <w:lang w:val="en-TT" w:eastAsia="en-TT"/>
          </w:rPr>
          <w:tab/>
        </w:r>
        <w:r w:rsidR="000557AA" w:rsidRPr="00A00B40">
          <w:rPr>
            <w:rStyle w:val="Hyperlink"/>
            <w:noProof/>
          </w:rPr>
          <w:t>The Physiological Response to Trauma in Older people</w:t>
        </w:r>
        <w:r w:rsidR="000557AA">
          <w:rPr>
            <w:noProof/>
            <w:webHidden/>
          </w:rPr>
          <w:tab/>
        </w:r>
        <w:r w:rsidR="000557AA">
          <w:rPr>
            <w:noProof/>
            <w:webHidden/>
          </w:rPr>
          <w:fldChar w:fldCharType="begin"/>
        </w:r>
        <w:r w:rsidR="000557AA">
          <w:rPr>
            <w:noProof/>
            <w:webHidden/>
          </w:rPr>
          <w:instrText xml:space="preserve"> PAGEREF _Toc1902219 \h </w:instrText>
        </w:r>
        <w:r w:rsidR="000557AA">
          <w:rPr>
            <w:noProof/>
            <w:webHidden/>
          </w:rPr>
        </w:r>
        <w:r w:rsidR="000557AA">
          <w:rPr>
            <w:noProof/>
            <w:webHidden/>
          </w:rPr>
          <w:fldChar w:fldCharType="separate"/>
        </w:r>
        <w:r w:rsidR="00AC21CF">
          <w:rPr>
            <w:noProof/>
            <w:webHidden/>
          </w:rPr>
          <w:t>6</w:t>
        </w:r>
        <w:r w:rsidR="000557AA">
          <w:rPr>
            <w:noProof/>
            <w:webHidden/>
          </w:rPr>
          <w:fldChar w:fldCharType="end"/>
        </w:r>
      </w:hyperlink>
    </w:p>
    <w:p w14:paraId="4FD54692"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20" w:history="1">
        <w:r w:rsidR="000557AA" w:rsidRPr="00A00B40">
          <w:rPr>
            <w:rStyle w:val="Hyperlink"/>
            <w:noProof/>
          </w:rPr>
          <w:t>1.5</w:t>
        </w:r>
        <w:r w:rsidR="000557AA">
          <w:rPr>
            <w:rFonts w:eastAsiaTheme="minorEastAsia" w:cstheme="minorBidi"/>
            <w:i w:val="0"/>
            <w:iCs w:val="0"/>
            <w:noProof/>
            <w:sz w:val="22"/>
            <w:szCs w:val="22"/>
            <w:lang w:val="en-TT" w:eastAsia="en-TT"/>
          </w:rPr>
          <w:tab/>
        </w:r>
        <w:r w:rsidR="000557AA" w:rsidRPr="00A00B40">
          <w:rPr>
            <w:rStyle w:val="Hyperlink"/>
            <w:noProof/>
          </w:rPr>
          <w:t>The Concept of Frailty and It’s Relation to Trauma</w:t>
        </w:r>
        <w:r w:rsidR="000557AA">
          <w:rPr>
            <w:noProof/>
            <w:webHidden/>
          </w:rPr>
          <w:tab/>
        </w:r>
        <w:r w:rsidR="000557AA">
          <w:rPr>
            <w:noProof/>
            <w:webHidden/>
          </w:rPr>
          <w:fldChar w:fldCharType="begin"/>
        </w:r>
        <w:r w:rsidR="000557AA">
          <w:rPr>
            <w:noProof/>
            <w:webHidden/>
          </w:rPr>
          <w:instrText xml:space="preserve"> PAGEREF _Toc1902220 \h </w:instrText>
        </w:r>
        <w:r w:rsidR="000557AA">
          <w:rPr>
            <w:noProof/>
            <w:webHidden/>
          </w:rPr>
        </w:r>
        <w:r w:rsidR="000557AA">
          <w:rPr>
            <w:noProof/>
            <w:webHidden/>
          </w:rPr>
          <w:fldChar w:fldCharType="separate"/>
        </w:r>
        <w:r w:rsidR="00AC21CF">
          <w:rPr>
            <w:noProof/>
            <w:webHidden/>
          </w:rPr>
          <w:t>8</w:t>
        </w:r>
        <w:r w:rsidR="000557AA">
          <w:rPr>
            <w:noProof/>
            <w:webHidden/>
          </w:rPr>
          <w:fldChar w:fldCharType="end"/>
        </w:r>
      </w:hyperlink>
    </w:p>
    <w:p w14:paraId="44013CBC"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21" w:history="1">
        <w:r w:rsidR="000557AA" w:rsidRPr="00A00B40">
          <w:rPr>
            <w:rStyle w:val="Hyperlink"/>
            <w:noProof/>
          </w:rPr>
          <w:t>1.6</w:t>
        </w:r>
        <w:r w:rsidR="000557AA">
          <w:rPr>
            <w:rFonts w:eastAsiaTheme="minorEastAsia" w:cstheme="minorBidi"/>
            <w:i w:val="0"/>
            <w:iCs w:val="0"/>
            <w:noProof/>
            <w:sz w:val="22"/>
            <w:szCs w:val="22"/>
            <w:lang w:val="en-TT" w:eastAsia="en-TT"/>
          </w:rPr>
          <w:tab/>
        </w:r>
        <w:r w:rsidR="000557AA" w:rsidRPr="00A00B40">
          <w:rPr>
            <w:rStyle w:val="Hyperlink"/>
            <w:noProof/>
          </w:rPr>
          <w:t>Trauma Registries and Trauma Systems</w:t>
        </w:r>
        <w:r w:rsidR="000557AA">
          <w:rPr>
            <w:noProof/>
            <w:webHidden/>
          </w:rPr>
          <w:tab/>
        </w:r>
        <w:r w:rsidR="000557AA">
          <w:rPr>
            <w:noProof/>
            <w:webHidden/>
          </w:rPr>
          <w:fldChar w:fldCharType="begin"/>
        </w:r>
        <w:r w:rsidR="000557AA">
          <w:rPr>
            <w:noProof/>
            <w:webHidden/>
          </w:rPr>
          <w:instrText xml:space="preserve"> PAGEREF _Toc1902221 \h </w:instrText>
        </w:r>
        <w:r w:rsidR="000557AA">
          <w:rPr>
            <w:noProof/>
            <w:webHidden/>
          </w:rPr>
        </w:r>
        <w:r w:rsidR="000557AA">
          <w:rPr>
            <w:noProof/>
            <w:webHidden/>
          </w:rPr>
          <w:fldChar w:fldCharType="separate"/>
        </w:r>
        <w:r w:rsidR="00AC21CF">
          <w:rPr>
            <w:noProof/>
            <w:webHidden/>
          </w:rPr>
          <w:t>9</w:t>
        </w:r>
        <w:r w:rsidR="000557AA">
          <w:rPr>
            <w:noProof/>
            <w:webHidden/>
          </w:rPr>
          <w:fldChar w:fldCharType="end"/>
        </w:r>
      </w:hyperlink>
    </w:p>
    <w:p w14:paraId="7E83CF23"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22" w:history="1">
        <w:r w:rsidR="000557AA" w:rsidRPr="00A00B40">
          <w:rPr>
            <w:rStyle w:val="Hyperlink"/>
            <w:noProof/>
          </w:rPr>
          <w:t>1.6.1</w:t>
        </w:r>
        <w:r w:rsidR="000557AA">
          <w:rPr>
            <w:rFonts w:eastAsiaTheme="minorEastAsia" w:cstheme="minorBidi"/>
            <w:noProof/>
            <w:sz w:val="22"/>
            <w:szCs w:val="22"/>
            <w:lang w:val="en-TT" w:eastAsia="en-TT"/>
          </w:rPr>
          <w:tab/>
        </w:r>
        <w:r w:rsidR="000557AA" w:rsidRPr="00A00B40">
          <w:rPr>
            <w:rStyle w:val="Hyperlink"/>
            <w:noProof/>
          </w:rPr>
          <w:t>Trauma Registries in the UK: The Trauma Audit and Research Network (TARN)</w:t>
        </w:r>
        <w:r w:rsidR="000557AA">
          <w:rPr>
            <w:noProof/>
            <w:webHidden/>
          </w:rPr>
          <w:tab/>
        </w:r>
        <w:r w:rsidR="000557AA">
          <w:rPr>
            <w:noProof/>
            <w:webHidden/>
          </w:rPr>
          <w:fldChar w:fldCharType="begin"/>
        </w:r>
        <w:r w:rsidR="000557AA">
          <w:rPr>
            <w:noProof/>
            <w:webHidden/>
          </w:rPr>
          <w:instrText xml:space="preserve"> PAGEREF _Toc1902222 \h </w:instrText>
        </w:r>
        <w:r w:rsidR="000557AA">
          <w:rPr>
            <w:noProof/>
            <w:webHidden/>
          </w:rPr>
        </w:r>
        <w:r w:rsidR="000557AA">
          <w:rPr>
            <w:noProof/>
            <w:webHidden/>
          </w:rPr>
          <w:fldChar w:fldCharType="separate"/>
        </w:r>
        <w:r w:rsidR="00AC21CF">
          <w:rPr>
            <w:noProof/>
            <w:webHidden/>
          </w:rPr>
          <w:t>10</w:t>
        </w:r>
        <w:r w:rsidR="000557AA">
          <w:rPr>
            <w:noProof/>
            <w:webHidden/>
          </w:rPr>
          <w:fldChar w:fldCharType="end"/>
        </w:r>
      </w:hyperlink>
    </w:p>
    <w:p w14:paraId="21AE5F90"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23" w:history="1">
        <w:r w:rsidR="000557AA" w:rsidRPr="00A00B40">
          <w:rPr>
            <w:rStyle w:val="Hyperlink"/>
            <w:noProof/>
          </w:rPr>
          <w:t>1.7</w:t>
        </w:r>
        <w:r w:rsidR="000557AA">
          <w:rPr>
            <w:rFonts w:eastAsiaTheme="minorEastAsia" w:cstheme="minorBidi"/>
            <w:i w:val="0"/>
            <w:iCs w:val="0"/>
            <w:noProof/>
            <w:sz w:val="22"/>
            <w:szCs w:val="22"/>
            <w:lang w:val="en-TT" w:eastAsia="en-TT"/>
          </w:rPr>
          <w:tab/>
        </w:r>
        <w:r w:rsidR="000557AA" w:rsidRPr="00A00B40">
          <w:rPr>
            <w:rStyle w:val="Hyperlink"/>
            <w:noProof/>
          </w:rPr>
          <w:t>Outcome Prediction Models in Trauma Care</w:t>
        </w:r>
        <w:r w:rsidR="000557AA">
          <w:rPr>
            <w:noProof/>
            <w:webHidden/>
          </w:rPr>
          <w:tab/>
        </w:r>
        <w:r w:rsidR="000557AA">
          <w:rPr>
            <w:noProof/>
            <w:webHidden/>
          </w:rPr>
          <w:fldChar w:fldCharType="begin"/>
        </w:r>
        <w:r w:rsidR="000557AA">
          <w:rPr>
            <w:noProof/>
            <w:webHidden/>
          </w:rPr>
          <w:instrText xml:space="preserve"> PAGEREF _Toc1902223 \h </w:instrText>
        </w:r>
        <w:r w:rsidR="000557AA">
          <w:rPr>
            <w:noProof/>
            <w:webHidden/>
          </w:rPr>
        </w:r>
        <w:r w:rsidR="000557AA">
          <w:rPr>
            <w:noProof/>
            <w:webHidden/>
          </w:rPr>
          <w:fldChar w:fldCharType="separate"/>
        </w:r>
        <w:r w:rsidR="00AC21CF">
          <w:rPr>
            <w:noProof/>
            <w:webHidden/>
          </w:rPr>
          <w:t>11</w:t>
        </w:r>
        <w:r w:rsidR="000557AA">
          <w:rPr>
            <w:noProof/>
            <w:webHidden/>
          </w:rPr>
          <w:fldChar w:fldCharType="end"/>
        </w:r>
      </w:hyperlink>
    </w:p>
    <w:p w14:paraId="3994D5E1"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24" w:history="1">
        <w:r w:rsidR="000557AA" w:rsidRPr="00A00B40">
          <w:rPr>
            <w:rStyle w:val="Hyperlink"/>
            <w:noProof/>
          </w:rPr>
          <w:t>1.7.1</w:t>
        </w:r>
        <w:r w:rsidR="000557AA">
          <w:rPr>
            <w:rFonts w:eastAsiaTheme="minorEastAsia" w:cstheme="minorBidi"/>
            <w:noProof/>
            <w:sz w:val="22"/>
            <w:szCs w:val="22"/>
            <w:lang w:val="en-TT" w:eastAsia="en-TT"/>
          </w:rPr>
          <w:tab/>
        </w:r>
        <w:r w:rsidR="000557AA" w:rsidRPr="00A00B40">
          <w:rPr>
            <w:rStyle w:val="Hyperlink"/>
            <w:noProof/>
          </w:rPr>
          <w:t>The Use of Prediction Models in Trauma Care</w:t>
        </w:r>
        <w:r w:rsidR="000557AA">
          <w:rPr>
            <w:noProof/>
            <w:webHidden/>
          </w:rPr>
          <w:tab/>
        </w:r>
        <w:r w:rsidR="000557AA">
          <w:rPr>
            <w:noProof/>
            <w:webHidden/>
          </w:rPr>
          <w:fldChar w:fldCharType="begin"/>
        </w:r>
        <w:r w:rsidR="000557AA">
          <w:rPr>
            <w:noProof/>
            <w:webHidden/>
          </w:rPr>
          <w:instrText xml:space="preserve"> PAGEREF _Toc1902224 \h </w:instrText>
        </w:r>
        <w:r w:rsidR="000557AA">
          <w:rPr>
            <w:noProof/>
            <w:webHidden/>
          </w:rPr>
        </w:r>
        <w:r w:rsidR="000557AA">
          <w:rPr>
            <w:noProof/>
            <w:webHidden/>
          </w:rPr>
          <w:fldChar w:fldCharType="separate"/>
        </w:r>
        <w:r w:rsidR="00AC21CF">
          <w:rPr>
            <w:noProof/>
            <w:webHidden/>
          </w:rPr>
          <w:t>11</w:t>
        </w:r>
        <w:r w:rsidR="000557AA">
          <w:rPr>
            <w:noProof/>
            <w:webHidden/>
          </w:rPr>
          <w:fldChar w:fldCharType="end"/>
        </w:r>
      </w:hyperlink>
    </w:p>
    <w:p w14:paraId="1DDDE5EB"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25" w:history="1">
        <w:r w:rsidR="000557AA" w:rsidRPr="00A00B40">
          <w:rPr>
            <w:rStyle w:val="Hyperlink"/>
            <w:noProof/>
          </w:rPr>
          <w:t>1.7.2</w:t>
        </w:r>
        <w:r w:rsidR="000557AA">
          <w:rPr>
            <w:rFonts w:eastAsiaTheme="minorEastAsia" w:cstheme="minorBidi"/>
            <w:noProof/>
            <w:sz w:val="22"/>
            <w:szCs w:val="22"/>
            <w:lang w:val="en-TT" w:eastAsia="en-TT"/>
          </w:rPr>
          <w:tab/>
        </w:r>
        <w:r w:rsidR="000557AA" w:rsidRPr="00A00B40">
          <w:rPr>
            <w:rStyle w:val="Hyperlink"/>
            <w:noProof/>
          </w:rPr>
          <w:t>TRISS Methodology and the Major Trauma Outcome Study</w:t>
        </w:r>
        <w:r w:rsidR="000557AA">
          <w:rPr>
            <w:noProof/>
            <w:webHidden/>
          </w:rPr>
          <w:tab/>
        </w:r>
        <w:r w:rsidR="000557AA">
          <w:rPr>
            <w:noProof/>
            <w:webHidden/>
          </w:rPr>
          <w:fldChar w:fldCharType="begin"/>
        </w:r>
        <w:r w:rsidR="000557AA">
          <w:rPr>
            <w:noProof/>
            <w:webHidden/>
          </w:rPr>
          <w:instrText xml:space="preserve"> PAGEREF _Toc1902225 \h </w:instrText>
        </w:r>
        <w:r w:rsidR="000557AA">
          <w:rPr>
            <w:noProof/>
            <w:webHidden/>
          </w:rPr>
        </w:r>
        <w:r w:rsidR="000557AA">
          <w:rPr>
            <w:noProof/>
            <w:webHidden/>
          </w:rPr>
          <w:fldChar w:fldCharType="separate"/>
        </w:r>
        <w:r w:rsidR="00AC21CF">
          <w:rPr>
            <w:noProof/>
            <w:webHidden/>
          </w:rPr>
          <w:t>13</w:t>
        </w:r>
        <w:r w:rsidR="000557AA">
          <w:rPr>
            <w:noProof/>
            <w:webHidden/>
          </w:rPr>
          <w:fldChar w:fldCharType="end"/>
        </w:r>
      </w:hyperlink>
    </w:p>
    <w:p w14:paraId="64CA1F4B"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26" w:history="1">
        <w:r w:rsidR="000557AA" w:rsidRPr="00A00B40">
          <w:rPr>
            <w:rStyle w:val="Hyperlink"/>
            <w:noProof/>
          </w:rPr>
          <w:t>1.7.3</w:t>
        </w:r>
        <w:r w:rsidR="000557AA">
          <w:rPr>
            <w:rFonts w:eastAsiaTheme="minorEastAsia" w:cstheme="minorBidi"/>
            <w:noProof/>
            <w:sz w:val="22"/>
            <w:szCs w:val="22"/>
            <w:lang w:val="en-TT" w:eastAsia="en-TT"/>
          </w:rPr>
          <w:tab/>
        </w:r>
        <w:r w:rsidR="000557AA" w:rsidRPr="00A00B40">
          <w:rPr>
            <w:rStyle w:val="Hyperlink"/>
            <w:noProof/>
          </w:rPr>
          <w:t>TARN and the Probability of Survival (PS) model</w:t>
        </w:r>
        <w:r w:rsidR="000557AA">
          <w:rPr>
            <w:noProof/>
            <w:webHidden/>
          </w:rPr>
          <w:tab/>
        </w:r>
        <w:r w:rsidR="000557AA">
          <w:rPr>
            <w:noProof/>
            <w:webHidden/>
          </w:rPr>
          <w:fldChar w:fldCharType="begin"/>
        </w:r>
        <w:r w:rsidR="000557AA">
          <w:rPr>
            <w:noProof/>
            <w:webHidden/>
          </w:rPr>
          <w:instrText xml:space="preserve"> PAGEREF _Toc1902226 \h </w:instrText>
        </w:r>
        <w:r w:rsidR="000557AA">
          <w:rPr>
            <w:noProof/>
            <w:webHidden/>
          </w:rPr>
        </w:r>
        <w:r w:rsidR="000557AA">
          <w:rPr>
            <w:noProof/>
            <w:webHidden/>
          </w:rPr>
          <w:fldChar w:fldCharType="separate"/>
        </w:r>
        <w:r w:rsidR="00AC21CF">
          <w:rPr>
            <w:noProof/>
            <w:webHidden/>
          </w:rPr>
          <w:t>13</w:t>
        </w:r>
        <w:r w:rsidR="000557AA">
          <w:rPr>
            <w:noProof/>
            <w:webHidden/>
          </w:rPr>
          <w:fldChar w:fldCharType="end"/>
        </w:r>
      </w:hyperlink>
    </w:p>
    <w:p w14:paraId="391F5F8E"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27" w:history="1">
        <w:r w:rsidR="000557AA" w:rsidRPr="00A00B40">
          <w:rPr>
            <w:rStyle w:val="Hyperlink"/>
            <w:noProof/>
          </w:rPr>
          <w:t>1.8</w:t>
        </w:r>
        <w:r w:rsidR="000557AA">
          <w:rPr>
            <w:rFonts w:eastAsiaTheme="minorEastAsia" w:cstheme="minorBidi"/>
            <w:i w:val="0"/>
            <w:iCs w:val="0"/>
            <w:noProof/>
            <w:sz w:val="22"/>
            <w:szCs w:val="22"/>
            <w:lang w:val="en-TT" w:eastAsia="en-TT"/>
          </w:rPr>
          <w:tab/>
        </w:r>
        <w:r w:rsidR="000557AA" w:rsidRPr="00A00B40">
          <w:rPr>
            <w:rStyle w:val="Hyperlink"/>
            <w:noProof/>
          </w:rPr>
          <w:t>Trauma in Older people: Predicting Outcome</w:t>
        </w:r>
        <w:r w:rsidR="000557AA">
          <w:rPr>
            <w:noProof/>
            <w:webHidden/>
          </w:rPr>
          <w:tab/>
        </w:r>
        <w:r w:rsidR="000557AA">
          <w:rPr>
            <w:noProof/>
            <w:webHidden/>
          </w:rPr>
          <w:fldChar w:fldCharType="begin"/>
        </w:r>
        <w:r w:rsidR="000557AA">
          <w:rPr>
            <w:noProof/>
            <w:webHidden/>
          </w:rPr>
          <w:instrText xml:space="preserve"> PAGEREF _Toc1902227 \h </w:instrText>
        </w:r>
        <w:r w:rsidR="000557AA">
          <w:rPr>
            <w:noProof/>
            <w:webHidden/>
          </w:rPr>
        </w:r>
        <w:r w:rsidR="000557AA">
          <w:rPr>
            <w:noProof/>
            <w:webHidden/>
          </w:rPr>
          <w:fldChar w:fldCharType="separate"/>
        </w:r>
        <w:r w:rsidR="00AC21CF">
          <w:rPr>
            <w:noProof/>
            <w:webHidden/>
          </w:rPr>
          <w:t>14</w:t>
        </w:r>
        <w:r w:rsidR="000557AA">
          <w:rPr>
            <w:noProof/>
            <w:webHidden/>
          </w:rPr>
          <w:fldChar w:fldCharType="end"/>
        </w:r>
      </w:hyperlink>
    </w:p>
    <w:p w14:paraId="03A1A63A"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28" w:history="1">
        <w:r w:rsidR="000557AA" w:rsidRPr="00A00B40">
          <w:rPr>
            <w:rStyle w:val="Hyperlink"/>
            <w:noProof/>
          </w:rPr>
          <w:t>1.8.1</w:t>
        </w:r>
        <w:r w:rsidR="000557AA">
          <w:rPr>
            <w:rFonts w:eastAsiaTheme="minorEastAsia" w:cstheme="minorBidi"/>
            <w:noProof/>
            <w:sz w:val="22"/>
            <w:szCs w:val="22"/>
            <w:lang w:val="en-TT" w:eastAsia="en-TT"/>
          </w:rPr>
          <w:tab/>
        </w:r>
        <w:r w:rsidR="000557AA" w:rsidRPr="00A00B40">
          <w:rPr>
            <w:rStyle w:val="Hyperlink"/>
            <w:noProof/>
          </w:rPr>
          <w:t>The Utility of Current Predictive Models in Trauma in Older People</w:t>
        </w:r>
        <w:r w:rsidR="000557AA">
          <w:rPr>
            <w:noProof/>
            <w:webHidden/>
          </w:rPr>
          <w:tab/>
        </w:r>
        <w:r w:rsidR="000557AA">
          <w:rPr>
            <w:noProof/>
            <w:webHidden/>
          </w:rPr>
          <w:fldChar w:fldCharType="begin"/>
        </w:r>
        <w:r w:rsidR="000557AA">
          <w:rPr>
            <w:noProof/>
            <w:webHidden/>
          </w:rPr>
          <w:instrText xml:space="preserve"> PAGEREF _Toc1902228 \h </w:instrText>
        </w:r>
        <w:r w:rsidR="000557AA">
          <w:rPr>
            <w:noProof/>
            <w:webHidden/>
          </w:rPr>
        </w:r>
        <w:r w:rsidR="000557AA">
          <w:rPr>
            <w:noProof/>
            <w:webHidden/>
          </w:rPr>
          <w:fldChar w:fldCharType="separate"/>
        </w:r>
        <w:r w:rsidR="00AC21CF">
          <w:rPr>
            <w:noProof/>
            <w:webHidden/>
          </w:rPr>
          <w:t>14</w:t>
        </w:r>
        <w:r w:rsidR="000557AA">
          <w:rPr>
            <w:noProof/>
            <w:webHidden/>
          </w:rPr>
          <w:fldChar w:fldCharType="end"/>
        </w:r>
      </w:hyperlink>
    </w:p>
    <w:p w14:paraId="6B72B82A"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29" w:history="1">
        <w:r w:rsidR="000557AA" w:rsidRPr="00A00B40">
          <w:rPr>
            <w:rStyle w:val="Hyperlink"/>
            <w:noProof/>
          </w:rPr>
          <w:t>1.8.2</w:t>
        </w:r>
        <w:r w:rsidR="000557AA">
          <w:rPr>
            <w:rFonts w:eastAsiaTheme="minorEastAsia" w:cstheme="minorBidi"/>
            <w:noProof/>
            <w:sz w:val="22"/>
            <w:szCs w:val="22"/>
            <w:lang w:val="en-TT" w:eastAsia="en-TT"/>
          </w:rPr>
          <w:tab/>
        </w:r>
        <w:r w:rsidR="000557AA" w:rsidRPr="00A00B40">
          <w:rPr>
            <w:rStyle w:val="Hyperlink"/>
            <w:noProof/>
          </w:rPr>
          <w:t>The Need for a Better Predictive Model</w:t>
        </w:r>
        <w:r w:rsidR="000557AA">
          <w:rPr>
            <w:noProof/>
            <w:webHidden/>
          </w:rPr>
          <w:tab/>
        </w:r>
        <w:r w:rsidR="000557AA">
          <w:rPr>
            <w:noProof/>
            <w:webHidden/>
          </w:rPr>
          <w:fldChar w:fldCharType="begin"/>
        </w:r>
        <w:r w:rsidR="000557AA">
          <w:rPr>
            <w:noProof/>
            <w:webHidden/>
          </w:rPr>
          <w:instrText xml:space="preserve"> PAGEREF _Toc1902229 \h </w:instrText>
        </w:r>
        <w:r w:rsidR="000557AA">
          <w:rPr>
            <w:noProof/>
            <w:webHidden/>
          </w:rPr>
        </w:r>
        <w:r w:rsidR="000557AA">
          <w:rPr>
            <w:noProof/>
            <w:webHidden/>
          </w:rPr>
          <w:fldChar w:fldCharType="separate"/>
        </w:r>
        <w:r w:rsidR="00AC21CF">
          <w:rPr>
            <w:noProof/>
            <w:webHidden/>
          </w:rPr>
          <w:t>15</w:t>
        </w:r>
        <w:r w:rsidR="000557AA">
          <w:rPr>
            <w:noProof/>
            <w:webHidden/>
          </w:rPr>
          <w:fldChar w:fldCharType="end"/>
        </w:r>
      </w:hyperlink>
    </w:p>
    <w:p w14:paraId="2B100CD5"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30" w:history="1">
        <w:r w:rsidR="000557AA" w:rsidRPr="00A00B40">
          <w:rPr>
            <w:rStyle w:val="Hyperlink"/>
            <w:noProof/>
          </w:rPr>
          <w:t>1.8.3</w:t>
        </w:r>
        <w:r w:rsidR="000557AA">
          <w:rPr>
            <w:rFonts w:eastAsiaTheme="minorEastAsia" w:cstheme="minorBidi"/>
            <w:noProof/>
            <w:sz w:val="22"/>
            <w:szCs w:val="22"/>
            <w:lang w:val="en-TT" w:eastAsia="en-TT"/>
          </w:rPr>
          <w:tab/>
        </w:r>
        <w:r w:rsidR="000557AA" w:rsidRPr="00A00B40">
          <w:rPr>
            <w:rStyle w:val="Hyperlink"/>
            <w:noProof/>
          </w:rPr>
          <w:t>The Impact of Care Process Factors on Outcome</w:t>
        </w:r>
        <w:r w:rsidR="000557AA">
          <w:rPr>
            <w:noProof/>
            <w:webHidden/>
          </w:rPr>
          <w:tab/>
        </w:r>
        <w:r w:rsidR="000557AA">
          <w:rPr>
            <w:noProof/>
            <w:webHidden/>
          </w:rPr>
          <w:fldChar w:fldCharType="begin"/>
        </w:r>
        <w:r w:rsidR="000557AA">
          <w:rPr>
            <w:noProof/>
            <w:webHidden/>
          </w:rPr>
          <w:instrText xml:space="preserve"> PAGEREF _Toc1902230 \h </w:instrText>
        </w:r>
        <w:r w:rsidR="000557AA">
          <w:rPr>
            <w:noProof/>
            <w:webHidden/>
          </w:rPr>
        </w:r>
        <w:r w:rsidR="000557AA">
          <w:rPr>
            <w:noProof/>
            <w:webHidden/>
          </w:rPr>
          <w:fldChar w:fldCharType="separate"/>
        </w:r>
        <w:r w:rsidR="00AC21CF">
          <w:rPr>
            <w:noProof/>
            <w:webHidden/>
          </w:rPr>
          <w:t>15</w:t>
        </w:r>
        <w:r w:rsidR="000557AA">
          <w:rPr>
            <w:noProof/>
            <w:webHidden/>
          </w:rPr>
          <w:fldChar w:fldCharType="end"/>
        </w:r>
      </w:hyperlink>
    </w:p>
    <w:p w14:paraId="21C91EAC"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31" w:history="1">
        <w:r w:rsidR="000557AA" w:rsidRPr="00A00B40">
          <w:rPr>
            <w:rStyle w:val="Hyperlink"/>
            <w:noProof/>
          </w:rPr>
          <w:t>1.9</w:t>
        </w:r>
        <w:r w:rsidR="000557AA">
          <w:rPr>
            <w:rFonts w:eastAsiaTheme="minorEastAsia" w:cstheme="minorBidi"/>
            <w:i w:val="0"/>
            <w:iCs w:val="0"/>
            <w:noProof/>
            <w:sz w:val="22"/>
            <w:szCs w:val="22"/>
            <w:lang w:val="en-TT" w:eastAsia="en-TT"/>
          </w:rPr>
          <w:tab/>
        </w:r>
        <w:r w:rsidR="000557AA" w:rsidRPr="00A00B40">
          <w:rPr>
            <w:rStyle w:val="Hyperlink"/>
            <w:noProof/>
          </w:rPr>
          <w:t>Conclusion</w:t>
        </w:r>
        <w:r w:rsidR="000557AA">
          <w:rPr>
            <w:noProof/>
            <w:webHidden/>
          </w:rPr>
          <w:tab/>
        </w:r>
        <w:r w:rsidR="000557AA">
          <w:rPr>
            <w:noProof/>
            <w:webHidden/>
          </w:rPr>
          <w:fldChar w:fldCharType="begin"/>
        </w:r>
        <w:r w:rsidR="000557AA">
          <w:rPr>
            <w:noProof/>
            <w:webHidden/>
          </w:rPr>
          <w:instrText xml:space="preserve"> PAGEREF _Toc1902231 \h </w:instrText>
        </w:r>
        <w:r w:rsidR="000557AA">
          <w:rPr>
            <w:noProof/>
            <w:webHidden/>
          </w:rPr>
        </w:r>
        <w:r w:rsidR="000557AA">
          <w:rPr>
            <w:noProof/>
            <w:webHidden/>
          </w:rPr>
          <w:fldChar w:fldCharType="separate"/>
        </w:r>
        <w:r w:rsidR="00AC21CF">
          <w:rPr>
            <w:noProof/>
            <w:webHidden/>
          </w:rPr>
          <w:t>16</w:t>
        </w:r>
        <w:r w:rsidR="000557AA">
          <w:rPr>
            <w:noProof/>
            <w:webHidden/>
          </w:rPr>
          <w:fldChar w:fldCharType="end"/>
        </w:r>
      </w:hyperlink>
    </w:p>
    <w:p w14:paraId="3BAA776A"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32" w:history="1">
        <w:r w:rsidR="000557AA" w:rsidRPr="00A00B40">
          <w:rPr>
            <w:rStyle w:val="Hyperlink"/>
            <w:noProof/>
          </w:rPr>
          <w:t>1.9.1</w:t>
        </w:r>
        <w:r w:rsidR="000557AA">
          <w:rPr>
            <w:rFonts w:eastAsiaTheme="minorEastAsia" w:cstheme="minorBidi"/>
            <w:noProof/>
            <w:sz w:val="22"/>
            <w:szCs w:val="22"/>
            <w:lang w:val="en-TT" w:eastAsia="en-TT"/>
          </w:rPr>
          <w:tab/>
        </w:r>
        <w:r w:rsidR="000557AA" w:rsidRPr="00A00B40">
          <w:rPr>
            <w:rStyle w:val="Hyperlink"/>
            <w:noProof/>
          </w:rPr>
          <w:t>Rationale for this PhD Thesis – the Need for Further Research</w:t>
        </w:r>
        <w:r w:rsidR="000557AA">
          <w:rPr>
            <w:noProof/>
            <w:webHidden/>
          </w:rPr>
          <w:tab/>
        </w:r>
        <w:r w:rsidR="000557AA">
          <w:rPr>
            <w:noProof/>
            <w:webHidden/>
          </w:rPr>
          <w:fldChar w:fldCharType="begin"/>
        </w:r>
        <w:r w:rsidR="000557AA">
          <w:rPr>
            <w:noProof/>
            <w:webHidden/>
          </w:rPr>
          <w:instrText xml:space="preserve"> PAGEREF _Toc1902232 \h </w:instrText>
        </w:r>
        <w:r w:rsidR="000557AA">
          <w:rPr>
            <w:noProof/>
            <w:webHidden/>
          </w:rPr>
        </w:r>
        <w:r w:rsidR="000557AA">
          <w:rPr>
            <w:noProof/>
            <w:webHidden/>
          </w:rPr>
          <w:fldChar w:fldCharType="separate"/>
        </w:r>
        <w:r w:rsidR="00AC21CF">
          <w:rPr>
            <w:noProof/>
            <w:webHidden/>
          </w:rPr>
          <w:t>16</w:t>
        </w:r>
        <w:r w:rsidR="000557AA">
          <w:rPr>
            <w:noProof/>
            <w:webHidden/>
          </w:rPr>
          <w:fldChar w:fldCharType="end"/>
        </w:r>
      </w:hyperlink>
    </w:p>
    <w:p w14:paraId="15B3E990"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33" w:history="1">
        <w:r w:rsidR="000557AA" w:rsidRPr="00A00B40">
          <w:rPr>
            <w:rStyle w:val="Hyperlink"/>
            <w:noProof/>
          </w:rPr>
          <w:t>1.9.2</w:t>
        </w:r>
        <w:r w:rsidR="000557AA">
          <w:rPr>
            <w:rFonts w:eastAsiaTheme="minorEastAsia" w:cstheme="minorBidi"/>
            <w:noProof/>
            <w:sz w:val="22"/>
            <w:szCs w:val="22"/>
            <w:lang w:val="en-TT" w:eastAsia="en-TT"/>
          </w:rPr>
          <w:tab/>
        </w:r>
        <w:r w:rsidR="000557AA" w:rsidRPr="00A00B40">
          <w:rPr>
            <w:rStyle w:val="Hyperlink"/>
            <w:noProof/>
          </w:rPr>
          <w:t>The Research Question, Aims and Objectives of this PhD Thesis</w:t>
        </w:r>
        <w:r w:rsidR="000557AA">
          <w:rPr>
            <w:noProof/>
            <w:webHidden/>
          </w:rPr>
          <w:tab/>
        </w:r>
        <w:r w:rsidR="000557AA">
          <w:rPr>
            <w:noProof/>
            <w:webHidden/>
          </w:rPr>
          <w:fldChar w:fldCharType="begin"/>
        </w:r>
        <w:r w:rsidR="000557AA">
          <w:rPr>
            <w:noProof/>
            <w:webHidden/>
          </w:rPr>
          <w:instrText xml:space="preserve"> PAGEREF _Toc1902233 \h </w:instrText>
        </w:r>
        <w:r w:rsidR="000557AA">
          <w:rPr>
            <w:noProof/>
            <w:webHidden/>
          </w:rPr>
        </w:r>
        <w:r w:rsidR="000557AA">
          <w:rPr>
            <w:noProof/>
            <w:webHidden/>
          </w:rPr>
          <w:fldChar w:fldCharType="separate"/>
        </w:r>
        <w:r w:rsidR="00AC21CF">
          <w:rPr>
            <w:noProof/>
            <w:webHidden/>
          </w:rPr>
          <w:t>17</w:t>
        </w:r>
        <w:r w:rsidR="000557AA">
          <w:rPr>
            <w:noProof/>
            <w:webHidden/>
          </w:rPr>
          <w:fldChar w:fldCharType="end"/>
        </w:r>
      </w:hyperlink>
    </w:p>
    <w:p w14:paraId="3213FACD"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34" w:history="1">
        <w:r w:rsidR="000557AA" w:rsidRPr="00A00B40">
          <w:rPr>
            <w:rStyle w:val="Hyperlink"/>
            <w:noProof/>
          </w:rPr>
          <w:t>1.9.3</w:t>
        </w:r>
        <w:r w:rsidR="000557AA">
          <w:rPr>
            <w:rFonts w:eastAsiaTheme="minorEastAsia" w:cstheme="minorBidi"/>
            <w:noProof/>
            <w:sz w:val="22"/>
            <w:szCs w:val="22"/>
            <w:lang w:val="en-TT" w:eastAsia="en-TT"/>
          </w:rPr>
          <w:tab/>
        </w:r>
        <w:r w:rsidR="000557AA" w:rsidRPr="00A00B40">
          <w:rPr>
            <w:rStyle w:val="Hyperlink"/>
            <w:noProof/>
          </w:rPr>
          <w:t>The Need for a Systematic Review of the Literature</w:t>
        </w:r>
        <w:r w:rsidR="000557AA">
          <w:rPr>
            <w:noProof/>
            <w:webHidden/>
          </w:rPr>
          <w:tab/>
        </w:r>
        <w:r w:rsidR="000557AA">
          <w:rPr>
            <w:noProof/>
            <w:webHidden/>
          </w:rPr>
          <w:fldChar w:fldCharType="begin"/>
        </w:r>
        <w:r w:rsidR="000557AA">
          <w:rPr>
            <w:noProof/>
            <w:webHidden/>
          </w:rPr>
          <w:instrText xml:space="preserve"> PAGEREF _Toc1902234 \h </w:instrText>
        </w:r>
        <w:r w:rsidR="000557AA">
          <w:rPr>
            <w:noProof/>
            <w:webHidden/>
          </w:rPr>
        </w:r>
        <w:r w:rsidR="000557AA">
          <w:rPr>
            <w:noProof/>
            <w:webHidden/>
          </w:rPr>
          <w:fldChar w:fldCharType="separate"/>
        </w:r>
        <w:r w:rsidR="00AC21CF">
          <w:rPr>
            <w:noProof/>
            <w:webHidden/>
          </w:rPr>
          <w:t>17</w:t>
        </w:r>
        <w:r w:rsidR="000557AA">
          <w:rPr>
            <w:noProof/>
            <w:webHidden/>
          </w:rPr>
          <w:fldChar w:fldCharType="end"/>
        </w:r>
      </w:hyperlink>
    </w:p>
    <w:p w14:paraId="43895ADF" w14:textId="77777777" w:rsidR="000557AA" w:rsidRDefault="00993D1E">
      <w:pPr>
        <w:pStyle w:val="TOC1"/>
        <w:tabs>
          <w:tab w:val="right" w:leader="dot" w:pos="8484"/>
        </w:tabs>
        <w:rPr>
          <w:rFonts w:eastAsiaTheme="minorEastAsia" w:cstheme="minorBidi"/>
          <w:b w:val="0"/>
          <w:bCs w:val="0"/>
          <w:noProof/>
          <w:sz w:val="22"/>
          <w:szCs w:val="22"/>
          <w:lang w:val="en-TT" w:eastAsia="en-TT"/>
        </w:rPr>
      </w:pPr>
      <w:hyperlink w:anchor="_Toc1902235" w:history="1">
        <w:r w:rsidR="000557AA" w:rsidRPr="00A00B40">
          <w:rPr>
            <w:rStyle w:val="Hyperlink"/>
            <w:noProof/>
          </w:rPr>
          <w:t>Chapter 2: Major Trauma in Older People – A Review of the Literature</w:t>
        </w:r>
        <w:r w:rsidR="000557AA">
          <w:rPr>
            <w:noProof/>
            <w:webHidden/>
          </w:rPr>
          <w:tab/>
        </w:r>
        <w:r w:rsidR="000557AA">
          <w:rPr>
            <w:noProof/>
            <w:webHidden/>
          </w:rPr>
          <w:fldChar w:fldCharType="begin"/>
        </w:r>
        <w:r w:rsidR="000557AA">
          <w:rPr>
            <w:noProof/>
            <w:webHidden/>
          </w:rPr>
          <w:instrText xml:space="preserve"> PAGEREF _Toc1902235 \h </w:instrText>
        </w:r>
        <w:r w:rsidR="000557AA">
          <w:rPr>
            <w:noProof/>
            <w:webHidden/>
          </w:rPr>
        </w:r>
        <w:r w:rsidR="000557AA">
          <w:rPr>
            <w:noProof/>
            <w:webHidden/>
          </w:rPr>
          <w:fldChar w:fldCharType="separate"/>
        </w:r>
        <w:r w:rsidR="00AC21CF">
          <w:rPr>
            <w:noProof/>
            <w:webHidden/>
          </w:rPr>
          <w:t>18</w:t>
        </w:r>
        <w:r w:rsidR="000557AA">
          <w:rPr>
            <w:noProof/>
            <w:webHidden/>
          </w:rPr>
          <w:fldChar w:fldCharType="end"/>
        </w:r>
      </w:hyperlink>
    </w:p>
    <w:p w14:paraId="076FF308"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36" w:history="1">
        <w:r w:rsidR="000557AA" w:rsidRPr="00A00B40">
          <w:rPr>
            <w:rStyle w:val="Hyperlink"/>
            <w:noProof/>
          </w:rPr>
          <w:t>2.1</w:t>
        </w:r>
        <w:r w:rsidR="000557AA">
          <w:rPr>
            <w:rFonts w:eastAsiaTheme="minorEastAsia" w:cstheme="minorBidi"/>
            <w:i w:val="0"/>
            <w:iCs w:val="0"/>
            <w:noProof/>
            <w:sz w:val="22"/>
            <w:szCs w:val="22"/>
            <w:lang w:val="en-TT" w:eastAsia="en-TT"/>
          </w:rPr>
          <w:tab/>
        </w:r>
        <w:r w:rsidR="000557AA" w:rsidRPr="00A00B40">
          <w:rPr>
            <w:rStyle w:val="Hyperlink"/>
            <w:noProof/>
          </w:rPr>
          <w:t>Introduction</w:t>
        </w:r>
        <w:r w:rsidR="000557AA">
          <w:rPr>
            <w:noProof/>
            <w:webHidden/>
          </w:rPr>
          <w:tab/>
        </w:r>
        <w:r w:rsidR="000557AA">
          <w:rPr>
            <w:noProof/>
            <w:webHidden/>
          </w:rPr>
          <w:fldChar w:fldCharType="begin"/>
        </w:r>
        <w:r w:rsidR="000557AA">
          <w:rPr>
            <w:noProof/>
            <w:webHidden/>
          </w:rPr>
          <w:instrText xml:space="preserve"> PAGEREF _Toc1902236 \h </w:instrText>
        </w:r>
        <w:r w:rsidR="000557AA">
          <w:rPr>
            <w:noProof/>
            <w:webHidden/>
          </w:rPr>
        </w:r>
        <w:r w:rsidR="000557AA">
          <w:rPr>
            <w:noProof/>
            <w:webHidden/>
          </w:rPr>
          <w:fldChar w:fldCharType="separate"/>
        </w:r>
        <w:r w:rsidR="00AC21CF">
          <w:rPr>
            <w:noProof/>
            <w:webHidden/>
          </w:rPr>
          <w:t>18</w:t>
        </w:r>
        <w:r w:rsidR="000557AA">
          <w:rPr>
            <w:noProof/>
            <w:webHidden/>
          </w:rPr>
          <w:fldChar w:fldCharType="end"/>
        </w:r>
      </w:hyperlink>
    </w:p>
    <w:p w14:paraId="6CCB4176"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37" w:history="1">
        <w:r w:rsidR="000557AA" w:rsidRPr="00A00B40">
          <w:rPr>
            <w:rStyle w:val="Hyperlink"/>
            <w:noProof/>
          </w:rPr>
          <w:t>2.1.1</w:t>
        </w:r>
        <w:r w:rsidR="000557AA">
          <w:rPr>
            <w:rFonts w:eastAsiaTheme="minorEastAsia" w:cstheme="minorBidi"/>
            <w:noProof/>
            <w:sz w:val="22"/>
            <w:szCs w:val="22"/>
            <w:lang w:val="en-TT" w:eastAsia="en-TT"/>
          </w:rPr>
          <w:tab/>
        </w:r>
        <w:r w:rsidR="000557AA" w:rsidRPr="00A00B40">
          <w:rPr>
            <w:rStyle w:val="Hyperlink"/>
            <w:noProof/>
          </w:rPr>
          <w:t>The Need for Systematic Reviews of Patient Characteristics and Care Process Factors</w:t>
        </w:r>
        <w:r w:rsidR="000557AA">
          <w:rPr>
            <w:noProof/>
            <w:webHidden/>
          </w:rPr>
          <w:tab/>
        </w:r>
        <w:r w:rsidR="000557AA">
          <w:rPr>
            <w:noProof/>
            <w:webHidden/>
          </w:rPr>
          <w:fldChar w:fldCharType="begin"/>
        </w:r>
        <w:r w:rsidR="000557AA">
          <w:rPr>
            <w:noProof/>
            <w:webHidden/>
          </w:rPr>
          <w:instrText xml:space="preserve"> PAGEREF _Toc1902237 \h </w:instrText>
        </w:r>
        <w:r w:rsidR="000557AA">
          <w:rPr>
            <w:noProof/>
            <w:webHidden/>
          </w:rPr>
        </w:r>
        <w:r w:rsidR="000557AA">
          <w:rPr>
            <w:noProof/>
            <w:webHidden/>
          </w:rPr>
          <w:fldChar w:fldCharType="separate"/>
        </w:r>
        <w:r w:rsidR="00AC21CF">
          <w:rPr>
            <w:noProof/>
            <w:webHidden/>
          </w:rPr>
          <w:t>18</w:t>
        </w:r>
        <w:r w:rsidR="000557AA">
          <w:rPr>
            <w:noProof/>
            <w:webHidden/>
          </w:rPr>
          <w:fldChar w:fldCharType="end"/>
        </w:r>
      </w:hyperlink>
    </w:p>
    <w:p w14:paraId="4C9B379D"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38" w:history="1">
        <w:r w:rsidR="000557AA" w:rsidRPr="00A00B40">
          <w:rPr>
            <w:rStyle w:val="Hyperlink"/>
            <w:noProof/>
          </w:rPr>
          <w:t>2.1.2</w:t>
        </w:r>
        <w:r w:rsidR="000557AA">
          <w:rPr>
            <w:rFonts w:eastAsiaTheme="minorEastAsia" w:cstheme="minorBidi"/>
            <w:noProof/>
            <w:sz w:val="22"/>
            <w:szCs w:val="22"/>
            <w:lang w:val="en-TT" w:eastAsia="en-TT"/>
          </w:rPr>
          <w:tab/>
        </w:r>
        <w:r w:rsidR="000557AA" w:rsidRPr="00A00B40">
          <w:rPr>
            <w:rStyle w:val="Hyperlink"/>
            <w:noProof/>
          </w:rPr>
          <w:t>Patient Characteristics Versus Care Process Factors</w:t>
        </w:r>
        <w:r w:rsidR="000557AA">
          <w:rPr>
            <w:noProof/>
            <w:webHidden/>
          </w:rPr>
          <w:tab/>
        </w:r>
        <w:r w:rsidR="000557AA">
          <w:rPr>
            <w:noProof/>
            <w:webHidden/>
          </w:rPr>
          <w:fldChar w:fldCharType="begin"/>
        </w:r>
        <w:r w:rsidR="000557AA">
          <w:rPr>
            <w:noProof/>
            <w:webHidden/>
          </w:rPr>
          <w:instrText xml:space="preserve"> PAGEREF _Toc1902238 \h </w:instrText>
        </w:r>
        <w:r w:rsidR="000557AA">
          <w:rPr>
            <w:noProof/>
            <w:webHidden/>
          </w:rPr>
        </w:r>
        <w:r w:rsidR="000557AA">
          <w:rPr>
            <w:noProof/>
            <w:webHidden/>
          </w:rPr>
          <w:fldChar w:fldCharType="separate"/>
        </w:r>
        <w:r w:rsidR="00AC21CF">
          <w:rPr>
            <w:noProof/>
            <w:webHidden/>
          </w:rPr>
          <w:t>19</w:t>
        </w:r>
        <w:r w:rsidR="000557AA">
          <w:rPr>
            <w:noProof/>
            <w:webHidden/>
          </w:rPr>
          <w:fldChar w:fldCharType="end"/>
        </w:r>
      </w:hyperlink>
    </w:p>
    <w:p w14:paraId="79B163AA"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39" w:history="1">
        <w:r w:rsidR="000557AA" w:rsidRPr="00A00B40">
          <w:rPr>
            <w:rStyle w:val="Hyperlink"/>
            <w:noProof/>
          </w:rPr>
          <w:t>2.1.3</w:t>
        </w:r>
        <w:r w:rsidR="000557AA">
          <w:rPr>
            <w:rFonts w:eastAsiaTheme="minorEastAsia" w:cstheme="minorBidi"/>
            <w:noProof/>
            <w:sz w:val="22"/>
            <w:szCs w:val="22"/>
            <w:lang w:val="en-TT" w:eastAsia="en-TT"/>
          </w:rPr>
          <w:tab/>
        </w:r>
        <w:r w:rsidR="000557AA" w:rsidRPr="00A00B40">
          <w:rPr>
            <w:rStyle w:val="Hyperlink"/>
            <w:noProof/>
          </w:rPr>
          <w:t>Major Trauma in Older People: Evidence from the Qualitative Literature</w:t>
        </w:r>
        <w:r w:rsidR="000557AA">
          <w:rPr>
            <w:noProof/>
            <w:webHidden/>
          </w:rPr>
          <w:tab/>
        </w:r>
        <w:r w:rsidR="000557AA">
          <w:rPr>
            <w:noProof/>
            <w:webHidden/>
          </w:rPr>
          <w:fldChar w:fldCharType="begin"/>
        </w:r>
        <w:r w:rsidR="000557AA">
          <w:rPr>
            <w:noProof/>
            <w:webHidden/>
          </w:rPr>
          <w:instrText xml:space="preserve"> PAGEREF _Toc1902239 \h </w:instrText>
        </w:r>
        <w:r w:rsidR="000557AA">
          <w:rPr>
            <w:noProof/>
            <w:webHidden/>
          </w:rPr>
        </w:r>
        <w:r w:rsidR="000557AA">
          <w:rPr>
            <w:noProof/>
            <w:webHidden/>
          </w:rPr>
          <w:fldChar w:fldCharType="separate"/>
        </w:r>
        <w:r w:rsidR="00AC21CF">
          <w:rPr>
            <w:noProof/>
            <w:webHidden/>
          </w:rPr>
          <w:t>20</w:t>
        </w:r>
        <w:r w:rsidR="000557AA">
          <w:rPr>
            <w:noProof/>
            <w:webHidden/>
          </w:rPr>
          <w:fldChar w:fldCharType="end"/>
        </w:r>
      </w:hyperlink>
    </w:p>
    <w:p w14:paraId="25496499"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40" w:history="1">
        <w:r w:rsidR="000557AA" w:rsidRPr="00A00B40">
          <w:rPr>
            <w:rStyle w:val="Hyperlink"/>
            <w:noProof/>
          </w:rPr>
          <w:t>2.2</w:t>
        </w:r>
        <w:r w:rsidR="000557AA">
          <w:rPr>
            <w:rFonts w:eastAsiaTheme="minorEastAsia" w:cstheme="minorBidi"/>
            <w:i w:val="0"/>
            <w:iCs w:val="0"/>
            <w:noProof/>
            <w:sz w:val="22"/>
            <w:szCs w:val="22"/>
            <w:lang w:val="en-TT" w:eastAsia="en-TT"/>
          </w:rPr>
          <w:tab/>
        </w:r>
        <w:r w:rsidR="000557AA" w:rsidRPr="00A00B40">
          <w:rPr>
            <w:rStyle w:val="Hyperlink"/>
            <w:noProof/>
          </w:rPr>
          <w:t>Methods</w:t>
        </w:r>
        <w:r w:rsidR="000557AA">
          <w:rPr>
            <w:noProof/>
            <w:webHidden/>
          </w:rPr>
          <w:tab/>
        </w:r>
        <w:r w:rsidR="000557AA">
          <w:rPr>
            <w:noProof/>
            <w:webHidden/>
          </w:rPr>
          <w:fldChar w:fldCharType="begin"/>
        </w:r>
        <w:r w:rsidR="000557AA">
          <w:rPr>
            <w:noProof/>
            <w:webHidden/>
          </w:rPr>
          <w:instrText xml:space="preserve"> PAGEREF _Toc1902240 \h </w:instrText>
        </w:r>
        <w:r w:rsidR="000557AA">
          <w:rPr>
            <w:noProof/>
            <w:webHidden/>
          </w:rPr>
        </w:r>
        <w:r w:rsidR="000557AA">
          <w:rPr>
            <w:noProof/>
            <w:webHidden/>
          </w:rPr>
          <w:fldChar w:fldCharType="separate"/>
        </w:r>
        <w:r w:rsidR="00AC21CF">
          <w:rPr>
            <w:noProof/>
            <w:webHidden/>
          </w:rPr>
          <w:t>20</w:t>
        </w:r>
        <w:r w:rsidR="000557AA">
          <w:rPr>
            <w:noProof/>
            <w:webHidden/>
          </w:rPr>
          <w:fldChar w:fldCharType="end"/>
        </w:r>
      </w:hyperlink>
    </w:p>
    <w:p w14:paraId="0BA51488"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41" w:history="1">
        <w:r w:rsidR="000557AA" w:rsidRPr="00A00B40">
          <w:rPr>
            <w:rStyle w:val="Hyperlink"/>
            <w:noProof/>
          </w:rPr>
          <w:t>2.2.1</w:t>
        </w:r>
        <w:r w:rsidR="000557AA">
          <w:rPr>
            <w:rFonts w:eastAsiaTheme="minorEastAsia" w:cstheme="minorBidi"/>
            <w:noProof/>
            <w:sz w:val="22"/>
            <w:szCs w:val="22"/>
            <w:lang w:val="en-TT" w:eastAsia="en-TT"/>
          </w:rPr>
          <w:tab/>
        </w:r>
        <w:r w:rsidR="000557AA" w:rsidRPr="00A00B40">
          <w:rPr>
            <w:rStyle w:val="Hyperlink"/>
            <w:noProof/>
          </w:rPr>
          <w:t>Search Strategy</w:t>
        </w:r>
        <w:r w:rsidR="000557AA">
          <w:rPr>
            <w:noProof/>
            <w:webHidden/>
          </w:rPr>
          <w:tab/>
        </w:r>
        <w:r w:rsidR="000557AA">
          <w:rPr>
            <w:noProof/>
            <w:webHidden/>
          </w:rPr>
          <w:fldChar w:fldCharType="begin"/>
        </w:r>
        <w:r w:rsidR="000557AA">
          <w:rPr>
            <w:noProof/>
            <w:webHidden/>
          </w:rPr>
          <w:instrText xml:space="preserve"> PAGEREF _Toc1902241 \h </w:instrText>
        </w:r>
        <w:r w:rsidR="000557AA">
          <w:rPr>
            <w:noProof/>
            <w:webHidden/>
          </w:rPr>
        </w:r>
        <w:r w:rsidR="000557AA">
          <w:rPr>
            <w:noProof/>
            <w:webHidden/>
          </w:rPr>
          <w:fldChar w:fldCharType="separate"/>
        </w:r>
        <w:r w:rsidR="00AC21CF">
          <w:rPr>
            <w:noProof/>
            <w:webHidden/>
          </w:rPr>
          <w:t>21</w:t>
        </w:r>
        <w:r w:rsidR="000557AA">
          <w:rPr>
            <w:noProof/>
            <w:webHidden/>
          </w:rPr>
          <w:fldChar w:fldCharType="end"/>
        </w:r>
      </w:hyperlink>
    </w:p>
    <w:p w14:paraId="57115BCE"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42" w:history="1">
        <w:r w:rsidR="000557AA" w:rsidRPr="00A00B40">
          <w:rPr>
            <w:rStyle w:val="Hyperlink"/>
            <w:noProof/>
          </w:rPr>
          <w:t>2.2.2</w:t>
        </w:r>
        <w:r w:rsidR="000557AA">
          <w:rPr>
            <w:rFonts w:eastAsiaTheme="minorEastAsia" w:cstheme="minorBidi"/>
            <w:noProof/>
            <w:sz w:val="22"/>
            <w:szCs w:val="22"/>
            <w:lang w:val="en-TT" w:eastAsia="en-TT"/>
          </w:rPr>
          <w:tab/>
        </w:r>
        <w:r w:rsidR="000557AA" w:rsidRPr="00A00B40">
          <w:rPr>
            <w:rStyle w:val="Hyperlink"/>
            <w:noProof/>
          </w:rPr>
          <w:t>Inclusion and Exclusion Criteria</w:t>
        </w:r>
        <w:r w:rsidR="000557AA">
          <w:rPr>
            <w:noProof/>
            <w:webHidden/>
          </w:rPr>
          <w:tab/>
        </w:r>
        <w:r w:rsidR="000557AA">
          <w:rPr>
            <w:noProof/>
            <w:webHidden/>
          </w:rPr>
          <w:fldChar w:fldCharType="begin"/>
        </w:r>
        <w:r w:rsidR="000557AA">
          <w:rPr>
            <w:noProof/>
            <w:webHidden/>
          </w:rPr>
          <w:instrText xml:space="preserve"> PAGEREF _Toc1902242 \h </w:instrText>
        </w:r>
        <w:r w:rsidR="000557AA">
          <w:rPr>
            <w:noProof/>
            <w:webHidden/>
          </w:rPr>
        </w:r>
        <w:r w:rsidR="000557AA">
          <w:rPr>
            <w:noProof/>
            <w:webHidden/>
          </w:rPr>
          <w:fldChar w:fldCharType="separate"/>
        </w:r>
        <w:r w:rsidR="00AC21CF">
          <w:rPr>
            <w:noProof/>
            <w:webHidden/>
          </w:rPr>
          <w:t>22</w:t>
        </w:r>
        <w:r w:rsidR="000557AA">
          <w:rPr>
            <w:noProof/>
            <w:webHidden/>
          </w:rPr>
          <w:fldChar w:fldCharType="end"/>
        </w:r>
      </w:hyperlink>
    </w:p>
    <w:p w14:paraId="4FFBC2BB"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43" w:history="1">
        <w:r w:rsidR="000557AA" w:rsidRPr="00A00B40">
          <w:rPr>
            <w:rStyle w:val="Hyperlink"/>
            <w:noProof/>
          </w:rPr>
          <w:t>2.2.3</w:t>
        </w:r>
        <w:r w:rsidR="000557AA">
          <w:rPr>
            <w:rFonts w:eastAsiaTheme="minorEastAsia" w:cstheme="minorBidi"/>
            <w:noProof/>
            <w:sz w:val="22"/>
            <w:szCs w:val="22"/>
            <w:lang w:val="en-TT" w:eastAsia="en-TT"/>
          </w:rPr>
          <w:tab/>
        </w:r>
        <w:r w:rsidR="000557AA" w:rsidRPr="00A00B40">
          <w:rPr>
            <w:rStyle w:val="Hyperlink"/>
            <w:noProof/>
          </w:rPr>
          <w:t>Reported Outcomes</w:t>
        </w:r>
        <w:r w:rsidR="000557AA">
          <w:rPr>
            <w:noProof/>
            <w:webHidden/>
          </w:rPr>
          <w:tab/>
        </w:r>
        <w:r w:rsidR="000557AA">
          <w:rPr>
            <w:noProof/>
            <w:webHidden/>
          </w:rPr>
          <w:fldChar w:fldCharType="begin"/>
        </w:r>
        <w:r w:rsidR="000557AA">
          <w:rPr>
            <w:noProof/>
            <w:webHidden/>
          </w:rPr>
          <w:instrText xml:space="preserve"> PAGEREF _Toc1902243 \h </w:instrText>
        </w:r>
        <w:r w:rsidR="000557AA">
          <w:rPr>
            <w:noProof/>
            <w:webHidden/>
          </w:rPr>
        </w:r>
        <w:r w:rsidR="000557AA">
          <w:rPr>
            <w:noProof/>
            <w:webHidden/>
          </w:rPr>
          <w:fldChar w:fldCharType="separate"/>
        </w:r>
        <w:r w:rsidR="00AC21CF">
          <w:rPr>
            <w:noProof/>
            <w:webHidden/>
          </w:rPr>
          <w:t>23</w:t>
        </w:r>
        <w:r w:rsidR="000557AA">
          <w:rPr>
            <w:noProof/>
            <w:webHidden/>
          </w:rPr>
          <w:fldChar w:fldCharType="end"/>
        </w:r>
      </w:hyperlink>
    </w:p>
    <w:p w14:paraId="086A520F"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44" w:history="1">
        <w:r w:rsidR="000557AA" w:rsidRPr="00A00B40">
          <w:rPr>
            <w:rStyle w:val="Hyperlink"/>
            <w:noProof/>
          </w:rPr>
          <w:t>2.2.4</w:t>
        </w:r>
        <w:r w:rsidR="000557AA">
          <w:rPr>
            <w:rFonts w:eastAsiaTheme="minorEastAsia" w:cstheme="minorBidi"/>
            <w:noProof/>
            <w:sz w:val="22"/>
            <w:szCs w:val="22"/>
            <w:lang w:val="en-TT" w:eastAsia="en-TT"/>
          </w:rPr>
          <w:tab/>
        </w:r>
        <w:r w:rsidR="000557AA" w:rsidRPr="00A00B40">
          <w:rPr>
            <w:rStyle w:val="Hyperlink"/>
            <w:noProof/>
          </w:rPr>
          <w:t>Quality Assessment</w:t>
        </w:r>
        <w:r w:rsidR="000557AA">
          <w:rPr>
            <w:noProof/>
            <w:webHidden/>
          </w:rPr>
          <w:tab/>
        </w:r>
        <w:r w:rsidR="000557AA">
          <w:rPr>
            <w:noProof/>
            <w:webHidden/>
          </w:rPr>
          <w:fldChar w:fldCharType="begin"/>
        </w:r>
        <w:r w:rsidR="000557AA">
          <w:rPr>
            <w:noProof/>
            <w:webHidden/>
          </w:rPr>
          <w:instrText xml:space="preserve"> PAGEREF _Toc1902244 \h </w:instrText>
        </w:r>
        <w:r w:rsidR="000557AA">
          <w:rPr>
            <w:noProof/>
            <w:webHidden/>
          </w:rPr>
        </w:r>
        <w:r w:rsidR="000557AA">
          <w:rPr>
            <w:noProof/>
            <w:webHidden/>
          </w:rPr>
          <w:fldChar w:fldCharType="separate"/>
        </w:r>
        <w:r w:rsidR="00AC21CF">
          <w:rPr>
            <w:noProof/>
            <w:webHidden/>
          </w:rPr>
          <w:t>23</w:t>
        </w:r>
        <w:r w:rsidR="000557AA">
          <w:rPr>
            <w:noProof/>
            <w:webHidden/>
          </w:rPr>
          <w:fldChar w:fldCharType="end"/>
        </w:r>
      </w:hyperlink>
    </w:p>
    <w:p w14:paraId="71DABFEB"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45" w:history="1">
        <w:r w:rsidR="000557AA" w:rsidRPr="00A00B40">
          <w:rPr>
            <w:rStyle w:val="Hyperlink"/>
            <w:noProof/>
          </w:rPr>
          <w:t>2.2.5</w:t>
        </w:r>
        <w:r w:rsidR="000557AA">
          <w:rPr>
            <w:rFonts w:eastAsiaTheme="minorEastAsia" w:cstheme="minorBidi"/>
            <w:noProof/>
            <w:sz w:val="22"/>
            <w:szCs w:val="22"/>
            <w:lang w:val="en-TT" w:eastAsia="en-TT"/>
          </w:rPr>
          <w:tab/>
        </w:r>
        <w:r w:rsidR="000557AA" w:rsidRPr="00A00B40">
          <w:rPr>
            <w:rStyle w:val="Hyperlink"/>
            <w:noProof/>
          </w:rPr>
          <w:t>Data Extraction</w:t>
        </w:r>
        <w:r w:rsidR="000557AA">
          <w:rPr>
            <w:noProof/>
            <w:webHidden/>
          </w:rPr>
          <w:tab/>
        </w:r>
        <w:r w:rsidR="000557AA">
          <w:rPr>
            <w:noProof/>
            <w:webHidden/>
          </w:rPr>
          <w:fldChar w:fldCharType="begin"/>
        </w:r>
        <w:r w:rsidR="000557AA">
          <w:rPr>
            <w:noProof/>
            <w:webHidden/>
          </w:rPr>
          <w:instrText xml:space="preserve"> PAGEREF _Toc1902245 \h </w:instrText>
        </w:r>
        <w:r w:rsidR="000557AA">
          <w:rPr>
            <w:noProof/>
            <w:webHidden/>
          </w:rPr>
        </w:r>
        <w:r w:rsidR="000557AA">
          <w:rPr>
            <w:noProof/>
            <w:webHidden/>
          </w:rPr>
          <w:fldChar w:fldCharType="separate"/>
        </w:r>
        <w:r w:rsidR="00AC21CF">
          <w:rPr>
            <w:noProof/>
            <w:webHidden/>
          </w:rPr>
          <w:t>24</w:t>
        </w:r>
        <w:r w:rsidR="000557AA">
          <w:rPr>
            <w:noProof/>
            <w:webHidden/>
          </w:rPr>
          <w:fldChar w:fldCharType="end"/>
        </w:r>
      </w:hyperlink>
    </w:p>
    <w:p w14:paraId="70019C98"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46" w:history="1">
        <w:r w:rsidR="000557AA" w:rsidRPr="00A00B40">
          <w:rPr>
            <w:rStyle w:val="Hyperlink"/>
            <w:noProof/>
          </w:rPr>
          <w:t>2.2.6</w:t>
        </w:r>
        <w:r w:rsidR="000557AA">
          <w:rPr>
            <w:rFonts w:eastAsiaTheme="minorEastAsia" w:cstheme="minorBidi"/>
            <w:noProof/>
            <w:sz w:val="22"/>
            <w:szCs w:val="22"/>
            <w:lang w:val="en-TT" w:eastAsia="en-TT"/>
          </w:rPr>
          <w:tab/>
        </w:r>
        <w:r w:rsidR="000557AA" w:rsidRPr="00A00B40">
          <w:rPr>
            <w:rStyle w:val="Hyperlink"/>
            <w:noProof/>
          </w:rPr>
          <w:t>Data Synthesis</w:t>
        </w:r>
        <w:r w:rsidR="000557AA">
          <w:rPr>
            <w:noProof/>
            <w:webHidden/>
          </w:rPr>
          <w:tab/>
        </w:r>
        <w:r w:rsidR="000557AA">
          <w:rPr>
            <w:noProof/>
            <w:webHidden/>
          </w:rPr>
          <w:fldChar w:fldCharType="begin"/>
        </w:r>
        <w:r w:rsidR="000557AA">
          <w:rPr>
            <w:noProof/>
            <w:webHidden/>
          </w:rPr>
          <w:instrText xml:space="preserve"> PAGEREF _Toc1902246 \h </w:instrText>
        </w:r>
        <w:r w:rsidR="000557AA">
          <w:rPr>
            <w:noProof/>
            <w:webHidden/>
          </w:rPr>
        </w:r>
        <w:r w:rsidR="000557AA">
          <w:rPr>
            <w:noProof/>
            <w:webHidden/>
          </w:rPr>
          <w:fldChar w:fldCharType="separate"/>
        </w:r>
        <w:r w:rsidR="00AC21CF">
          <w:rPr>
            <w:noProof/>
            <w:webHidden/>
          </w:rPr>
          <w:t>24</w:t>
        </w:r>
        <w:r w:rsidR="000557AA">
          <w:rPr>
            <w:noProof/>
            <w:webHidden/>
          </w:rPr>
          <w:fldChar w:fldCharType="end"/>
        </w:r>
      </w:hyperlink>
    </w:p>
    <w:p w14:paraId="08E167BC"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47" w:history="1">
        <w:r w:rsidR="000557AA" w:rsidRPr="00A00B40">
          <w:rPr>
            <w:rStyle w:val="Hyperlink"/>
            <w:noProof/>
          </w:rPr>
          <w:t>2.3</w:t>
        </w:r>
        <w:r w:rsidR="000557AA">
          <w:rPr>
            <w:rFonts w:eastAsiaTheme="minorEastAsia" w:cstheme="minorBidi"/>
            <w:i w:val="0"/>
            <w:iCs w:val="0"/>
            <w:noProof/>
            <w:sz w:val="22"/>
            <w:szCs w:val="22"/>
            <w:lang w:val="en-TT" w:eastAsia="en-TT"/>
          </w:rPr>
          <w:tab/>
        </w:r>
        <w:r w:rsidR="000557AA" w:rsidRPr="00A00B40">
          <w:rPr>
            <w:rStyle w:val="Hyperlink"/>
            <w:noProof/>
          </w:rPr>
          <w:t>Patient Factors Affecting Outcome in Older Major Trauma Patients</w:t>
        </w:r>
        <w:r w:rsidR="000557AA">
          <w:rPr>
            <w:noProof/>
            <w:webHidden/>
          </w:rPr>
          <w:tab/>
        </w:r>
        <w:r w:rsidR="000557AA">
          <w:rPr>
            <w:noProof/>
            <w:webHidden/>
          </w:rPr>
          <w:fldChar w:fldCharType="begin"/>
        </w:r>
        <w:r w:rsidR="000557AA">
          <w:rPr>
            <w:noProof/>
            <w:webHidden/>
          </w:rPr>
          <w:instrText xml:space="preserve"> PAGEREF _Toc1902247 \h </w:instrText>
        </w:r>
        <w:r w:rsidR="000557AA">
          <w:rPr>
            <w:noProof/>
            <w:webHidden/>
          </w:rPr>
        </w:r>
        <w:r w:rsidR="000557AA">
          <w:rPr>
            <w:noProof/>
            <w:webHidden/>
          </w:rPr>
          <w:fldChar w:fldCharType="separate"/>
        </w:r>
        <w:r w:rsidR="00AC21CF">
          <w:rPr>
            <w:noProof/>
            <w:webHidden/>
          </w:rPr>
          <w:t>25</w:t>
        </w:r>
        <w:r w:rsidR="000557AA">
          <w:rPr>
            <w:noProof/>
            <w:webHidden/>
          </w:rPr>
          <w:fldChar w:fldCharType="end"/>
        </w:r>
      </w:hyperlink>
    </w:p>
    <w:p w14:paraId="4A555C28"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48" w:history="1">
        <w:r w:rsidR="000557AA" w:rsidRPr="00A00B40">
          <w:rPr>
            <w:rStyle w:val="Hyperlink"/>
            <w:rFonts w:eastAsia="Times New Roman"/>
            <w:noProof/>
          </w:rPr>
          <w:t>2.3.1</w:t>
        </w:r>
        <w:r w:rsidR="000557AA">
          <w:rPr>
            <w:rFonts w:eastAsiaTheme="minorEastAsia" w:cstheme="minorBidi"/>
            <w:noProof/>
            <w:sz w:val="22"/>
            <w:szCs w:val="22"/>
            <w:lang w:val="en-TT" w:eastAsia="en-TT"/>
          </w:rPr>
          <w:tab/>
        </w:r>
        <w:r w:rsidR="000557AA" w:rsidRPr="00A00B40">
          <w:rPr>
            <w:rStyle w:val="Hyperlink"/>
            <w:rFonts w:eastAsia="Times New Roman"/>
            <w:noProof/>
          </w:rPr>
          <w:t>Demographic Variables and Mortality</w:t>
        </w:r>
        <w:r w:rsidR="000557AA">
          <w:rPr>
            <w:noProof/>
            <w:webHidden/>
          </w:rPr>
          <w:tab/>
        </w:r>
        <w:r w:rsidR="000557AA">
          <w:rPr>
            <w:noProof/>
            <w:webHidden/>
          </w:rPr>
          <w:fldChar w:fldCharType="begin"/>
        </w:r>
        <w:r w:rsidR="000557AA">
          <w:rPr>
            <w:noProof/>
            <w:webHidden/>
          </w:rPr>
          <w:instrText xml:space="preserve"> PAGEREF _Toc1902248 \h </w:instrText>
        </w:r>
        <w:r w:rsidR="000557AA">
          <w:rPr>
            <w:noProof/>
            <w:webHidden/>
          </w:rPr>
        </w:r>
        <w:r w:rsidR="000557AA">
          <w:rPr>
            <w:noProof/>
            <w:webHidden/>
          </w:rPr>
          <w:fldChar w:fldCharType="separate"/>
        </w:r>
        <w:r w:rsidR="00AC21CF">
          <w:rPr>
            <w:noProof/>
            <w:webHidden/>
          </w:rPr>
          <w:t>26</w:t>
        </w:r>
        <w:r w:rsidR="000557AA">
          <w:rPr>
            <w:noProof/>
            <w:webHidden/>
          </w:rPr>
          <w:fldChar w:fldCharType="end"/>
        </w:r>
      </w:hyperlink>
    </w:p>
    <w:p w14:paraId="47BD4199"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49" w:history="1">
        <w:r w:rsidR="000557AA" w:rsidRPr="00A00B40">
          <w:rPr>
            <w:rStyle w:val="Hyperlink"/>
            <w:rFonts w:eastAsia="Times New Roman"/>
            <w:noProof/>
          </w:rPr>
          <w:t>2.3.2</w:t>
        </w:r>
        <w:r w:rsidR="000557AA">
          <w:rPr>
            <w:rFonts w:eastAsiaTheme="minorEastAsia" w:cstheme="minorBidi"/>
            <w:noProof/>
            <w:sz w:val="22"/>
            <w:szCs w:val="22"/>
            <w:lang w:val="en-TT" w:eastAsia="en-TT"/>
          </w:rPr>
          <w:tab/>
        </w:r>
        <w:r w:rsidR="000557AA" w:rsidRPr="00A00B40">
          <w:rPr>
            <w:rStyle w:val="Hyperlink"/>
            <w:rFonts w:eastAsia="Times New Roman"/>
            <w:noProof/>
          </w:rPr>
          <w:t>Injury Characteristics and Mortality</w:t>
        </w:r>
        <w:r w:rsidR="000557AA">
          <w:rPr>
            <w:noProof/>
            <w:webHidden/>
          </w:rPr>
          <w:tab/>
        </w:r>
        <w:r w:rsidR="000557AA">
          <w:rPr>
            <w:noProof/>
            <w:webHidden/>
          </w:rPr>
          <w:fldChar w:fldCharType="begin"/>
        </w:r>
        <w:r w:rsidR="000557AA">
          <w:rPr>
            <w:noProof/>
            <w:webHidden/>
          </w:rPr>
          <w:instrText xml:space="preserve"> PAGEREF _Toc1902249 \h </w:instrText>
        </w:r>
        <w:r w:rsidR="000557AA">
          <w:rPr>
            <w:noProof/>
            <w:webHidden/>
          </w:rPr>
        </w:r>
        <w:r w:rsidR="000557AA">
          <w:rPr>
            <w:noProof/>
            <w:webHidden/>
          </w:rPr>
          <w:fldChar w:fldCharType="separate"/>
        </w:r>
        <w:r w:rsidR="00AC21CF">
          <w:rPr>
            <w:noProof/>
            <w:webHidden/>
          </w:rPr>
          <w:t>28</w:t>
        </w:r>
        <w:r w:rsidR="000557AA">
          <w:rPr>
            <w:noProof/>
            <w:webHidden/>
          </w:rPr>
          <w:fldChar w:fldCharType="end"/>
        </w:r>
      </w:hyperlink>
    </w:p>
    <w:p w14:paraId="428A66F8"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50" w:history="1">
        <w:r w:rsidR="000557AA" w:rsidRPr="00A00B40">
          <w:rPr>
            <w:rStyle w:val="Hyperlink"/>
            <w:rFonts w:eastAsia="Times New Roman"/>
            <w:noProof/>
          </w:rPr>
          <w:t>2.3.3</w:t>
        </w:r>
        <w:r w:rsidR="000557AA">
          <w:rPr>
            <w:rFonts w:eastAsiaTheme="minorEastAsia" w:cstheme="minorBidi"/>
            <w:noProof/>
            <w:sz w:val="22"/>
            <w:szCs w:val="22"/>
            <w:lang w:val="en-TT" w:eastAsia="en-TT"/>
          </w:rPr>
          <w:tab/>
        </w:r>
        <w:r w:rsidR="000557AA" w:rsidRPr="00A00B40">
          <w:rPr>
            <w:rStyle w:val="Hyperlink"/>
            <w:rFonts w:eastAsia="Times New Roman"/>
            <w:noProof/>
          </w:rPr>
          <w:t>Pre-injury medical state</w:t>
        </w:r>
        <w:r w:rsidR="000557AA">
          <w:rPr>
            <w:noProof/>
            <w:webHidden/>
          </w:rPr>
          <w:tab/>
        </w:r>
        <w:r w:rsidR="000557AA">
          <w:rPr>
            <w:noProof/>
            <w:webHidden/>
          </w:rPr>
          <w:fldChar w:fldCharType="begin"/>
        </w:r>
        <w:r w:rsidR="000557AA">
          <w:rPr>
            <w:noProof/>
            <w:webHidden/>
          </w:rPr>
          <w:instrText xml:space="preserve"> PAGEREF _Toc1902250 \h </w:instrText>
        </w:r>
        <w:r w:rsidR="000557AA">
          <w:rPr>
            <w:noProof/>
            <w:webHidden/>
          </w:rPr>
        </w:r>
        <w:r w:rsidR="000557AA">
          <w:rPr>
            <w:noProof/>
            <w:webHidden/>
          </w:rPr>
          <w:fldChar w:fldCharType="separate"/>
        </w:r>
        <w:r w:rsidR="00AC21CF">
          <w:rPr>
            <w:noProof/>
            <w:webHidden/>
          </w:rPr>
          <w:t>30</w:t>
        </w:r>
        <w:r w:rsidR="000557AA">
          <w:rPr>
            <w:noProof/>
            <w:webHidden/>
          </w:rPr>
          <w:fldChar w:fldCharType="end"/>
        </w:r>
      </w:hyperlink>
    </w:p>
    <w:p w14:paraId="529D1082"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51" w:history="1">
        <w:r w:rsidR="000557AA" w:rsidRPr="00A00B40">
          <w:rPr>
            <w:rStyle w:val="Hyperlink"/>
            <w:rFonts w:eastAsia="Times New Roman"/>
            <w:noProof/>
          </w:rPr>
          <w:t>2.3.4</w:t>
        </w:r>
        <w:r w:rsidR="000557AA">
          <w:rPr>
            <w:rFonts w:eastAsiaTheme="minorEastAsia" w:cstheme="minorBidi"/>
            <w:noProof/>
            <w:sz w:val="22"/>
            <w:szCs w:val="22"/>
            <w:lang w:val="en-TT" w:eastAsia="en-TT"/>
          </w:rPr>
          <w:tab/>
        </w:r>
        <w:r w:rsidR="000557AA" w:rsidRPr="00A00B40">
          <w:rPr>
            <w:rStyle w:val="Hyperlink"/>
            <w:rFonts w:eastAsia="Times New Roman"/>
            <w:noProof/>
          </w:rPr>
          <w:t>Studies that reported primarily on the effect of physiological variables on outcome</w:t>
        </w:r>
        <w:r w:rsidR="000557AA">
          <w:rPr>
            <w:noProof/>
            <w:webHidden/>
          </w:rPr>
          <w:tab/>
        </w:r>
        <w:r w:rsidR="000557AA">
          <w:rPr>
            <w:noProof/>
            <w:webHidden/>
          </w:rPr>
          <w:fldChar w:fldCharType="begin"/>
        </w:r>
        <w:r w:rsidR="000557AA">
          <w:rPr>
            <w:noProof/>
            <w:webHidden/>
          </w:rPr>
          <w:instrText xml:space="preserve"> PAGEREF _Toc1902251 \h </w:instrText>
        </w:r>
        <w:r w:rsidR="000557AA">
          <w:rPr>
            <w:noProof/>
            <w:webHidden/>
          </w:rPr>
        </w:r>
        <w:r w:rsidR="000557AA">
          <w:rPr>
            <w:noProof/>
            <w:webHidden/>
          </w:rPr>
          <w:fldChar w:fldCharType="separate"/>
        </w:r>
        <w:r w:rsidR="00AC21CF">
          <w:rPr>
            <w:noProof/>
            <w:webHidden/>
          </w:rPr>
          <w:t>31</w:t>
        </w:r>
        <w:r w:rsidR="000557AA">
          <w:rPr>
            <w:noProof/>
            <w:webHidden/>
          </w:rPr>
          <w:fldChar w:fldCharType="end"/>
        </w:r>
      </w:hyperlink>
    </w:p>
    <w:p w14:paraId="6E8F31F3"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52" w:history="1">
        <w:r w:rsidR="000557AA" w:rsidRPr="00A00B40">
          <w:rPr>
            <w:rStyle w:val="Hyperlink"/>
            <w:rFonts w:eastAsia="Times New Roman"/>
            <w:noProof/>
          </w:rPr>
          <w:t>2.3.5</w:t>
        </w:r>
        <w:r w:rsidR="000557AA">
          <w:rPr>
            <w:rFonts w:eastAsiaTheme="minorEastAsia" w:cstheme="minorBidi"/>
            <w:noProof/>
            <w:sz w:val="22"/>
            <w:szCs w:val="22"/>
            <w:lang w:val="en-TT" w:eastAsia="en-TT"/>
          </w:rPr>
          <w:tab/>
        </w:r>
        <w:r w:rsidR="000557AA" w:rsidRPr="00A00B40">
          <w:rPr>
            <w:rStyle w:val="Hyperlink"/>
            <w:rFonts w:eastAsia="Times New Roman"/>
            <w:noProof/>
          </w:rPr>
          <w:t>Recommendations and Implications for Empirical Study</w:t>
        </w:r>
        <w:r w:rsidR="000557AA">
          <w:rPr>
            <w:noProof/>
            <w:webHidden/>
          </w:rPr>
          <w:tab/>
        </w:r>
        <w:r w:rsidR="000557AA">
          <w:rPr>
            <w:noProof/>
            <w:webHidden/>
          </w:rPr>
          <w:fldChar w:fldCharType="begin"/>
        </w:r>
        <w:r w:rsidR="000557AA">
          <w:rPr>
            <w:noProof/>
            <w:webHidden/>
          </w:rPr>
          <w:instrText xml:space="preserve"> PAGEREF _Toc1902252 \h </w:instrText>
        </w:r>
        <w:r w:rsidR="000557AA">
          <w:rPr>
            <w:noProof/>
            <w:webHidden/>
          </w:rPr>
        </w:r>
        <w:r w:rsidR="000557AA">
          <w:rPr>
            <w:noProof/>
            <w:webHidden/>
          </w:rPr>
          <w:fldChar w:fldCharType="separate"/>
        </w:r>
        <w:r w:rsidR="00AC21CF">
          <w:rPr>
            <w:noProof/>
            <w:webHidden/>
          </w:rPr>
          <w:t>32</w:t>
        </w:r>
        <w:r w:rsidR="000557AA">
          <w:rPr>
            <w:noProof/>
            <w:webHidden/>
          </w:rPr>
          <w:fldChar w:fldCharType="end"/>
        </w:r>
      </w:hyperlink>
    </w:p>
    <w:p w14:paraId="067C389C"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53" w:history="1">
        <w:r w:rsidR="000557AA" w:rsidRPr="00A00B40">
          <w:rPr>
            <w:rStyle w:val="Hyperlink"/>
            <w:noProof/>
          </w:rPr>
          <w:t>2.4</w:t>
        </w:r>
        <w:r w:rsidR="000557AA">
          <w:rPr>
            <w:rFonts w:eastAsiaTheme="minorEastAsia" w:cstheme="minorBidi"/>
            <w:i w:val="0"/>
            <w:iCs w:val="0"/>
            <w:noProof/>
            <w:sz w:val="22"/>
            <w:szCs w:val="22"/>
            <w:lang w:val="en-TT" w:eastAsia="en-TT"/>
          </w:rPr>
          <w:tab/>
        </w:r>
        <w:r w:rsidR="000557AA" w:rsidRPr="00A00B40">
          <w:rPr>
            <w:rStyle w:val="Hyperlink"/>
            <w:noProof/>
          </w:rPr>
          <w:t>The Influence of Care Process Factors on Outcome in Older Major Trauma Patients</w:t>
        </w:r>
        <w:r w:rsidR="000557AA">
          <w:rPr>
            <w:noProof/>
            <w:webHidden/>
          </w:rPr>
          <w:tab/>
        </w:r>
        <w:r w:rsidR="000557AA">
          <w:rPr>
            <w:noProof/>
            <w:webHidden/>
          </w:rPr>
          <w:fldChar w:fldCharType="begin"/>
        </w:r>
        <w:r w:rsidR="000557AA">
          <w:rPr>
            <w:noProof/>
            <w:webHidden/>
          </w:rPr>
          <w:instrText xml:space="preserve"> PAGEREF _Toc1902253 \h </w:instrText>
        </w:r>
        <w:r w:rsidR="000557AA">
          <w:rPr>
            <w:noProof/>
            <w:webHidden/>
          </w:rPr>
        </w:r>
        <w:r w:rsidR="000557AA">
          <w:rPr>
            <w:noProof/>
            <w:webHidden/>
          </w:rPr>
          <w:fldChar w:fldCharType="separate"/>
        </w:r>
        <w:r w:rsidR="00AC21CF">
          <w:rPr>
            <w:noProof/>
            <w:webHidden/>
          </w:rPr>
          <w:t>32</w:t>
        </w:r>
        <w:r w:rsidR="000557AA">
          <w:rPr>
            <w:noProof/>
            <w:webHidden/>
          </w:rPr>
          <w:fldChar w:fldCharType="end"/>
        </w:r>
      </w:hyperlink>
    </w:p>
    <w:p w14:paraId="66945990"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54" w:history="1">
        <w:r w:rsidR="000557AA" w:rsidRPr="00A00B40">
          <w:rPr>
            <w:rStyle w:val="Hyperlink"/>
            <w:noProof/>
          </w:rPr>
          <w:t>2.4.3</w:t>
        </w:r>
        <w:r w:rsidR="000557AA">
          <w:rPr>
            <w:rFonts w:eastAsiaTheme="minorEastAsia" w:cstheme="minorBidi"/>
            <w:noProof/>
            <w:sz w:val="22"/>
            <w:szCs w:val="22"/>
            <w:lang w:val="en-TT" w:eastAsia="en-TT"/>
          </w:rPr>
          <w:tab/>
        </w:r>
        <w:r w:rsidR="000557AA" w:rsidRPr="00A00B40">
          <w:rPr>
            <w:rStyle w:val="Hyperlink"/>
            <w:noProof/>
          </w:rPr>
          <w:t>How Process Factors Affect Mortality in Older People</w:t>
        </w:r>
        <w:r w:rsidR="000557AA">
          <w:rPr>
            <w:noProof/>
            <w:webHidden/>
          </w:rPr>
          <w:tab/>
        </w:r>
        <w:r w:rsidR="000557AA">
          <w:rPr>
            <w:noProof/>
            <w:webHidden/>
          </w:rPr>
          <w:fldChar w:fldCharType="begin"/>
        </w:r>
        <w:r w:rsidR="000557AA">
          <w:rPr>
            <w:noProof/>
            <w:webHidden/>
          </w:rPr>
          <w:instrText xml:space="preserve"> PAGEREF _Toc1902254 \h </w:instrText>
        </w:r>
        <w:r w:rsidR="000557AA">
          <w:rPr>
            <w:noProof/>
            <w:webHidden/>
          </w:rPr>
        </w:r>
        <w:r w:rsidR="000557AA">
          <w:rPr>
            <w:noProof/>
            <w:webHidden/>
          </w:rPr>
          <w:fldChar w:fldCharType="separate"/>
        </w:r>
        <w:r w:rsidR="00AC21CF">
          <w:rPr>
            <w:noProof/>
            <w:webHidden/>
          </w:rPr>
          <w:t>32</w:t>
        </w:r>
        <w:r w:rsidR="000557AA">
          <w:rPr>
            <w:noProof/>
            <w:webHidden/>
          </w:rPr>
          <w:fldChar w:fldCharType="end"/>
        </w:r>
      </w:hyperlink>
    </w:p>
    <w:p w14:paraId="643CDF8C"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55" w:history="1">
        <w:r w:rsidR="000557AA" w:rsidRPr="00A00B40">
          <w:rPr>
            <w:rStyle w:val="Hyperlink"/>
            <w:noProof/>
          </w:rPr>
          <w:t>2.4.4</w:t>
        </w:r>
        <w:r w:rsidR="000557AA">
          <w:rPr>
            <w:rFonts w:eastAsiaTheme="minorEastAsia" w:cstheme="minorBidi"/>
            <w:noProof/>
            <w:sz w:val="22"/>
            <w:szCs w:val="22"/>
            <w:lang w:val="en-TT" w:eastAsia="en-TT"/>
          </w:rPr>
          <w:tab/>
        </w:r>
        <w:r w:rsidR="000557AA" w:rsidRPr="00A00B40">
          <w:rPr>
            <w:rStyle w:val="Hyperlink"/>
            <w:noProof/>
          </w:rPr>
          <w:t>Differences in Trauma Care Provided to Older and Younger Patients</w:t>
        </w:r>
        <w:r w:rsidR="000557AA">
          <w:rPr>
            <w:noProof/>
            <w:webHidden/>
          </w:rPr>
          <w:tab/>
        </w:r>
        <w:r w:rsidR="000557AA">
          <w:rPr>
            <w:noProof/>
            <w:webHidden/>
          </w:rPr>
          <w:fldChar w:fldCharType="begin"/>
        </w:r>
        <w:r w:rsidR="000557AA">
          <w:rPr>
            <w:noProof/>
            <w:webHidden/>
          </w:rPr>
          <w:instrText xml:space="preserve"> PAGEREF _Toc1902255 \h </w:instrText>
        </w:r>
        <w:r w:rsidR="000557AA">
          <w:rPr>
            <w:noProof/>
            <w:webHidden/>
          </w:rPr>
        </w:r>
        <w:r w:rsidR="000557AA">
          <w:rPr>
            <w:noProof/>
            <w:webHidden/>
          </w:rPr>
          <w:fldChar w:fldCharType="separate"/>
        </w:r>
        <w:r w:rsidR="00AC21CF">
          <w:rPr>
            <w:noProof/>
            <w:webHidden/>
          </w:rPr>
          <w:t>37</w:t>
        </w:r>
        <w:r w:rsidR="000557AA">
          <w:rPr>
            <w:noProof/>
            <w:webHidden/>
          </w:rPr>
          <w:fldChar w:fldCharType="end"/>
        </w:r>
      </w:hyperlink>
    </w:p>
    <w:p w14:paraId="0E58EFD4"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56" w:history="1">
        <w:r w:rsidR="000557AA" w:rsidRPr="00A00B40">
          <w:rPr>
            <w:rStyle w:val="Hyperlink"/>
            <w:noProof/>
          </w:rPr>
          <w:t>2.4.5</w:t>
        </w:r>
        <w:r w:rsidR="000557AA">
          <w:rPr>
            <w:rFonts w:eastAsiaTheme="minorEastAsia" w:cstheme="minorBidi"/>
            <w:noProof/>
            <w:sz w:val="22"/>
            <w:szCs w:val="22"/>
            <w:lang w:val="en-TT" w:eastAsia="en-TT"/>
          </w:rPr>
          <w:tab/>
        </w:r>
        <w:r w:rsidR="000557AA" w:rsidRPr="00A00B40">
          <w:rPr>
            <w:rStyle w:val="Hyperlink"/>
            <w:noProof/>
          </w:rPr>
          <w:t>Recommendations and Implications for the Empirical Study</w:t>
        </w:r>
        <w:r w:rsidR="000557AA">
          <w:rPr>
            <w:noProof/>
            <w:webHidden/>
          </w:rPr>
          <w:tab/>
        </w:r>
        <w:r w:rsidR="000557AA">
          <w:rPr>
            <w:noProof/>
            <w:webHidden/>
          </w:rPr>
          <w:fldChar w:fldCharType="begin"/>
        </w:r>
        <w:r w:rsidR="000557AA">
          <w:rPr>
            <w:noProof/>
            <w:webHidden/>
          </w:rPr>
          <w:instrText xml:space="preserve"> PAGEREF _Toc1902256 \h </w:instrText>
        </w:r>
        <w:r w:rsidR="000557AA">
          <w:rPr>
            <w:noProof/>
            <w:webHidden/>
          </w:rPr>
        </w:r>
        <w:r w:rsidR="000557AA">
          <w:rPr>
            <w:noProof/>
            <w:webHidden/>
          </w:rPr>
          <w:fldChar w:fldCharType="separate"/>
        </w:r>
        <w:r w:rsidR="00AC21CF">
          <w:rPr>
            <w:noProof/>
            <w:webHidden/>
          </w:rPr>
          <w:t>39</w:t>
        </w:r>
        <w:r w:rsidR="000557AA">
          <w:rPr>
            <w:noProof/>
            <w:webHidden/>
          </w:rPr>
          <w:fldChar w:fldCharType="end"/>
        </w:r>
      </w:hyperlink>
    </w:p>
    <w:p w14:paraId="04F5560F"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57" w:history="1">
        <w:r w:rsidR="000557AA" w:rsidRPr="00A00B40">
          <w:rPr>
            <w:rStyle w:val="Hyperlink"/>
            <w:noProof/>
          </w:rPr>
          <w:t>2.5</w:t>
        </w:r>
        <w:r w:rsidR="000557AA">
          <w:rPr>
            <w:rFonts w:eastAsiaTheme="minorEastAsia" w:cstheme="minorBidi"/>
            <w:i w:val="0"/>
            <w:iCs w:val="0"/>
            <w:noProof/>
            <w:sz w:val="22"/>
            <w:szCs w:val="22"/>
            <w:lang w:val="en-TT" w:eastAsia="en-TT"/>
          </w:rPr>
          <w:tab/>
        </w:r>
        <w:r w:rsidR="000557AA" w:rsidRPr="00A00B40">
          <w:rPr>
            <w:rStyle w:val="Hyperlink"/>
            <w:noProof/>
          </w:rPr>
          <w:t>Qualitative Studies of Trauma in Older People</w:t>
        </w:r>
        <w:r w:rsidR="000557AA">
          <w:rPr>
            <w:noProof/>
            <w:webHidden/>
          </w:rPr>
          <w:tab/>
        </w:r>
        <w:r w:rsidR="000557AA">
          <w:rPr>
            <w:noProof/>
            <w:webHidden/>
          </w:rPr>
          <w:fldChar w:fldCharType="begin"/>
        </w:r>
        <w:r w:rsidR="000557AA">
          <w:rPr>
            <w:noProof/>
            <w:webHidden/>
          </w:rPr>
          <w:instrText xml:space="preserve"> PAGEREF _Toc1902257 \h </w:instrText>
        </w:r>
        <w:r w:rsidR="000557AA">
          <w:rPr>
            <w:noProof/>
            <w:webHidden/>
          </w:rPr>
        </w:r>
        <w:r w:rsidR="000557AA">
          <w:rPr>
            <w:noProof/>
            <w:webHidden/>
          </w:rPr>
          <w:fldChar w:fldCharType="separate"/>
        </w:r>
        <w:r w:rsidR="00AC21CF">
          <w:rPr>
            <w:noProof/>
            <w:webHidden/>
          </w:rPr>
          <w:t>39</w:t>
        </w:r>
        <w:r w:rsidR="000557AA">
          <w:rPr>
            <w:noProof/>
            <w:webHidden/>
          </w:rPr>
          <w:fldChar w:fldCharType="end"/>
        </w:r>
      </w:hyperlink>
    </w:p>
    <w:p w14:paraId="52F34036"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58" w:history="1">
        <w:r w:rsidR="000557AA" w:rsidRPr="00A00B40">
          <w:rPr>
            <w:rStyle w:val="Hyperlink"/>
            <w:noProof/>
          </w:rPr>
          <w:t>2.5.1</w:t>
        </w:r>
        <w:r w:rsidR="000557AA">
          <w:rPr>
            <w:rFonts w:eastAsiaTheme="minorEastAsia" w:cstheme="minorBidi"/>
            <w:noProof/>
            <w:sz w:val="22"/>
            <w:szCs w:val="22"/>
            <w:lang w:val="en-TT" w:eastAsia="en-TT"/>
          </w:rPr>
          <w:tab/>
        </w:r>
        <w:r w:rsidR="000557AA" w:rsidRPr="00A00B40">
          <w:rPr>
            <w:rStyle w:val="Hyperlink"/>
            <w:noProof/>
          </w:rPr>
          <w:t>Older Peoples’ Experiences in the Emergency Department</w:t>
        </w:r>
        <w:r w:rsidR="000557AA">
          <w:rPr>
            <w:noProof/>
            <w:webHidden/>
          </w:rPr>
          <w:tab/>
        </w:r>
        <w:r w:rsidR="000557AA">
          <w:rPr>
            <w:noProof/>
            <w:webHidden/>
          </w:rPr>
          <w:fldChar w:fldCharType="begin"/>
        </w:r>
        <w:r w:rsidR="000557AA">
          <w:rPr>
            <w:noProof/>
            <w:webHidden/>
          </w:rPr>
          <w:instrText xml:space="preserve"> PAGEREF _Toc1902258 \h </w:instrText>
        </w:r>
        <w:r w:rsidR="000557AA">
          <w:rPr>
            <w:noProof/>
            <w:webHidden/>
          </w:rPr>
        </w:r>
        <w:r w:rsidR="000557AA">
          <w:rPr>
            <w:noProof/>
            <w:webHidden/>
          </w:rPr>
          <w:fldChar w:fldCharType="separate"/>
        </w:r>
        <w:r w:rsidR="00AC21CF">
          <w:rPr>
            <w:noProof/>
            <w:webHidden/>
          </w:rPr>
          <w:t>40</w:t>
        </w:r>
        <w:r w:rsidR="000557AA">
          <w:rPr>
            <w:noProof/>
            <w:webHidden/>
          </w:rPr>
          <w:fldChar w:fldCharType="end"/>
        </w:r>
      </w:hyperlink>
    </w:p>
    <w:p w14:paraId="58F32B63"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59" w:history="1">
        <w:r w:rsidR="000557AA" w:rsidRPr="00A00B40">
          <w:rPr>
            <w:rStyle w:val="Hyperlink"/>
            <w:rFonts w:eastAsia="Times New Roman"/>
            <w:noProof/>
          </w:rPr>
          <w:t>2.5.2</w:t>
        </w:r>
        <w:r w:rsidR="000557AA">
          <w:rPr>
            <w:rFonts w:eastAsiaTheme="minorEastAsia" w:cstheme="minorBidi"/>
            <w:noProof/>
            <w:sz w:val="22"/>
            <w:szCs w:val="22"/>
            <w:lang w:val="en-TT" w:eastAsia="en-TT"/>
          </w:rPr>
          <w:tab/>
        </w:r>
        <w:r w:rsidR="000557AA" w:rsidRPr="00A00B40">
          <w:rPr>
            <w:rStyle w:val="Hyperlink"/>
            <w:rFonts w:eastAsia="Times New Roman"/>
            <w:noProof/>
          </w:rPr>
          <w:t>Falls and Older People – Qualitative Research</w:t>
        </w:r>
        <w:r w:rsidR="000557AA">
          <w:rPr>
            <w:noProof/>
            <w:webHidden/>
          </w:rPr>
          <w:tab/>
        </w:r>
        <w:r w:rsidR="000557AA">
          <w:rPr>
            <w:noProof/>
            <w:webHidden/>
          </w:rPr>
          <w:fldChar w:fldCharType="begin"/>
        </w:r>
        <w:r w:rsidR="000557AA">
          <w:rPr>
            <w:noProof/>
            <w:webHidden/>
          </w:rPr>
          <w:instrText xml:space="preserve"> PAGEREF _Toc1902259 \h </w:instrText>
        </w:r>
        <w:r w:rsidR="000557AA">
          <w:rPr>
            <w:noProof/>
            <w:webHidden/>
          </w:rPr>
        </w:r>
        <w:r w:rsidR="000557AA">
          <w:rPr>
            <w:noProof/>
            <w:webHidden/>
          </w:rPr>
          <w:fldChar w:fldCharType="separate"/>
        </w:r>
        <w:r w:rsidR="00AC21CF">
          <w:rPr>
            <w:noProof/>
            <w:webHidden/>
          </w:rPr>
          <w:t>41</w:t>
        </w:r>
        <w:r w:rsidR="000557AA">
          <w:rPr>
            <w:noProof/>
            <w:webHidden/>
          </w:rPr>
          <w:fldChar w:fldCharType="end"/>
        </w:r>
      </w:hyperlink>
    </w:p>
    <w:p w14:paraId="03D451A8"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60" w:history="1">
        <w:r w:rsidR="000557AA" w:rsidRPr="00A00B40">
          <w:rPr>
            <w:rStyle w:val="Hyperlink"/>
            <w:noProof/>
          </w:rPr>
          <w:t>2.5.3</w:t>
        </w:r>
        <w:r w:rsidR="000557AA">
          <w:rPr>
            <w:rFonts w:eastAsiaTheme="minorEastAsia" w:cstheme="minorBidi"/>
            <w:noProof/>
            <w:sz w:val="22"/>
            <w:szCs w:val="22"/>
            <w:lang w:val="en-TT" w:eastAsia="en-TT"/>
          </w:rPr>
          <w:tab/>
        </w:r>
        <w:r w:rsidR="000557AA" w:rsidRPr="00A00B40">
          <w:rPr>
            <w:rStyle w:val="Hyperlink"/>
            <w:noProof/>
          </w:rPr>
          <w:t>Recommendations and Implications for the Empirical Study</w:t>
        </w:r>
        <w:r w:rsidR="000557AA">
          <w:rPr>
            <w:noProof/>
            <w:webHidden/>
          </w:rPr>
          <w:tab/>
        </w:r>
        <w:r w:rsidR="000557AA">
          <w:rPr>
            <w:noProof/>
            <w:webHidden/>
          </w:rPr>
          <w:fldChar w:fldCharType="begin"/>
        </w:r>
        <w:r w:rsidR="000557AA">
          <w:rPr>
            <w:noProof/>
            <w:webHidden/>
          </w:rPr>
          <w:instrText xml:space="preserve"> PAGEREF _Toc1902260 \h </w:instrText>
        </w:r>
        <w:r w:rsidR="000557AA">
          <w:rPr>
            <w:noProof/>
            <w:webHidden/>
          </w:rPr>
        </w:r>
        <w:r w:rsidR="000557AA">
          <w:rPr>
            <w:noProof/>
            <w:webHidden/>
          </w:rPr>
          <w:fldChar w:fldCharType="separate"/>
        </w:r>
        <w:r w:rsidR="00AC21CF">
          <w:rPr>
            <w:noProof/>
            <w:webHidden/>
          </w:rPr>
          <w:t>42</w:t>
        </w:r>
        <w:r w:rsidR="000557AA">
          <w:rPr>
            <w:noProof/>
            <w:webHidden/>
          </w:rPr>
          <w:fldChar w:fldCharType="end"/>
        </w:r>
      </w:hyperlink>
    </w:p>
    <w:p w14:paraId="034D4199"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61" w:history="1">
        <w:r w:rsidR="000557AA" w:rsidRPr="00A00B40">
          <w:rPr>
            <w:rStyle w:val="Hyperlink"/>
            <w:noProof/>
          </w:rPr>
          <w:t>2.6</w:t>
        </w:r>
        <w:r w:rsidR="000557AA">
          <w:rPr>
            <w:rFonts w:eastAsiaTheme="minorEastAsia" w:cstheme="minorBidi"/>
            <w:i w:val="0"/>
            <w:iCs w:val="0"/>
            <w:noProof/>
            <w:sz w:val="22"/>
            <w:szCs w:val="22"/>
            <w:lang w:val="en-TT" w:eastAsia="en-TT"/>
          </w:rPr>
          <w:tab/>
        </w:r>
        <w:r w:rsidR="000557AA" w:rsidRPr="00A00B40">
          <w:rPr>
            <w:rStyle w:val="Hyperlink"/>
            <w:noProof/>
          </w:rPr>
          <w:t>Conclusion</w:t>
        </w:r>
        <w:r w:rsidR="000557AA">
          <w:rPr>
            <w:noProof/>
            <w:webHidden/>
          </w:rPr>
          <w:tab/>
        </w:r>
        <w:r w:rsidR="000557AA">
          <w:rPr>
            <w:noProof/>
            <w:webHidden/>
          </w:rPr>
          <w:fldChar w:fldCharType="begin"/>
        </w:r>
        <w:r w:rsidR="000557AA">
          <w:rPr>
            <w:noProof/>
            <w:webHidden/>
          </w:rPr>
          <w:instrText xml:space="preserve"> PAGEREF _Toc1902261 \h </w:instrText>
        </w:r>
        <w:r w:rsidR="000557AA">
          <w:rPr>
            <w:noProof/>
            <w:webHidden/>
          </w:rPr>
        </w:r>
        <w:r w:rsidR="000557AA">
          <w:rPr>
            <w:noProof/>
            <w:webHidden/>
          </w:rPr>
          <w:fldChar w:fldCharType="separate"/>
        </w:r>
        <w:r w:rsidR="00AC21CF">
          <w:rPr>
            <w:noProof/>
            <w:webHidden/>
          </w:rPr>
          <w:t>42</w:t>
        </w:r>
        <w:r w:rsidR="000557AA">
          <w:rPr>
            <w:noProof/>
            <w:webHidden/>
          </w:rPr>
          <w:fldChar w:fldCharType="end"/>
        </w:r>
      </w:hyperlink>
    </w:p>
    <w:p w14:paraId="45DA3A76" w14:textId="77777777" w:rsidR="000557AA" w:rsidRDefault="00993D1E">
      <w:pPr>
        <w:pStyle w:val="TOC1"/>
        <w:tabs>
          <w:tab w:val="right" w:leader="dot" w:pos="8484"/>
        </w:tabs>
        <w:rPr>
          <w:rFonts w:eastAsiaTheme="minorEastAsia" w:cstheme="minorBidi"/>
          <w:b w:val="0"/>
          <w:bCs w:val="0"/>
          <w:noProof/>
          <w:sz w:val="22"/>
          <w:szCs w:val="22"/>
          <w:lang w:val="en-TT" w:eastAsia="en-TT"/>
        </w:rPr>
      </w:pPr>
      <w:hyperlink w:anchor="_Toc1902262" w:history="1">
        <w:r w:rsidR="000557AA" w:rsidRPr="00A00B40">
          <w:rPr>
            <w:rStyle w:val="Hyperlink"/>
            <w:noProof/>
          </w:rPr>
          <w:t>Chapter 3: Methodology and Research Methods</w:t>
        </w:r>
        <w:r w:rsidR="000557AA">
          <w:rPr>
            <w:noProof/>
            <w:webHidden/>
          </w:rPr>
          <w:tab/>
        </w:r>
        <w:r w:rsidR="000557AA">
          <w:rPr>
            <w:noProof/>
            <w:webHidden/>
          </w:rPr>
          <w:fldChar w:fldCharType="begin"/>
        </w:r>
        <w:r w:rsidR="000557AA">
          <w:rPr>
            <w:noProof/>
            <w:webHidden/>
          </w:rPr>
          <w:instrText xml:space="preserve"> PAGEREF _Toc1902262 \h </w:instrText>
        </w:r>
        <w:r w:rsidR="000557AA">
          <w:rPr>
            <w:noProof/>
            <w:webHidden/>
          </w:rPr>
        </w:r>
        <w:r w:rsidR="000557AA">
          <w:rPr>
            <w:noProof/>
            <w:webHidden/>
          </w:rPr>
          <w:fldChar w:fldCharType="separate"/>
        </w:r>
        <w:r w:rsidR="00AC21CF">
          <w:rPr>
            <w:noProof/>
            <w:webHidden/>
          </w:rPr>
          <w:t>43</w:t>
        </w:r>
        <w:r w:rsidR="000557AA">
          <w:rPr>
            <w:noProof/>
            <w:webHidden/>
          </w:rPr>
          <w:fldChar w:fldCharType="end"/>
        </w:r>
      </w:hyperlink>
    </w:p>
    <w:p w14:paraId="60019D54"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63" w:history="1">
        <w:r w:rsidR="000557AA" w:rsidRPr="00A00B40">
          <w:rPr>
            <w:rStyle w:val="Hyperlink"/>
            <w:noProof/>
          </w:rPr>
          <w:t>3.1</w:t>
        </w:r>
        <w:r w:rsidR="000557AA">
          <w:rPr>
            <w:rFonts w:eastAsiaTheme="minorEastAsia" w:cstheme="minorBidi"/>
            <w:i w:val="0"/>
            <w:iCs w:val="0"/>
            <w:noProof/>
            <w:sz w:val="22"/>
            <w:szCs w:val="22"/>
            <w:lang w:val="en-TT" w:eastAsia="en-TT"/>
          </w:rPr>
          <w:tab/>
        </w:r>
        <w:r w:rsidR="000557AA" w:rsidRPr="00A00B40">
          <w:rPr>
            <w:rStyle w:val="Hyperlink"/>
            <w:noProof/>
          </w:rPr>
          <w:t>Introduction</w:t>
        </w:r>
        <w:r w:rsidR="000557AA">
          <w:rPr>
            <w:noProof/>
            <w:webHidden/>
          </w:rPr>
          <w:tab/>
        </w:r>
        <w:r w:rsidR="000557AA">
          <w:rPr>
            <w:noProof/>
            <w:webHidden/>
          </w:rPr>
          <w:fldChar w:fldCharType="begin"/>
        </w:r>
        <w:r w:rsidR="000557AA">
          <w:rPr>
            <w:noProof/>
            <w:webHidden/>
          </w:rPr>
          <w:instrText xml:space="preserve"> PAGEREF _Toc1902263 \h </w:instrText>
        </w:r>
        <w:r w:rsidR="000557AA">
          <w:rPr>
            <w:noProof/>
            <w:webHidden/>
          </w:rPr>
        </w:r>
        <w:r w:rsidR="000557AA">
          <w:rPr>
            <w:noProof/>
            <w:webHidden/>
          </w:rPr>
          <w:fldChar w:fldCharType="separate"/>
        </w:r>
        <w:r w:rsidR="00AC21CF">
          <w:rPr>
            <w:noProof/>
            <w:webHidden/>
          </w:rPr>
          <w:t>43</w:t>
        </w:r>
        <w:r w:rsidR="000557AA">
          <w:rPr>
            <w:noProof/>
            <w:webHidden/>
          </w:rPr>
          <w:fldChar w:fldCharType="end"/>
        </w:r>
      </w:hyperlink>
    </w:p>
    <w:p w14:paraId="38FD95E7"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64" w:history="1">
        <w:r w:rsidR="000557AA" w:rsidRPr="00A00B40">
          <w:rPr>
            <w:rStyle w:val="Hyperlink"/>
            <w:noProof/>
          </w:rPr>
          <w:t>3.2</w:t>
        </w:r>
        <w:r w:rsidR="000557AA">
          <w:rPr>
            <w:rFonts w:eastAsiaTheme="minorEastAsia" w:cstheme="minorBidi"/>
            <w:i w:val="0"/>
            <w:iCs w:val="0"/>
            <w:noProof/>
            <w:sz w:val="22"/>
            <w:szCs w:val="22"/>
            <w:lang w:val="en-TT" w:eastAsia="en-TT"/>
          </w:rPr>
          <w:tab/>
        </w:r>
        <w:r w:rsidR="000557AA" w:rsidRPr="00A00B40">
          <w:rPr>
            <w:rStyle w:val="Hyperlink"/>
            <w:noProof/>
          </w:rPr>
          <w:t>Overview of Methodology and Study Design</w:t>
        </w:r>
        <w:r w:rsidR="000557AA">
          <w:rPr>
            <w:noProof/>
            <w:webHidden/>
          </w:rPr>
          <w:tab/>
        </w:r>
        <w:r w:rsidR="000557AA">
          <w:rPr>
            <w:noProof/>
            <w:webHidden/>
          </w:rPr>
          <w:fldChar w:fldCharType="begin"/>
        </w:r>
        <w:r w:rsidR="000557AA">
          <w:rPr>
            <w:noProof/>
            <w:webHidden/>
          </w:rPr>
          <w:instrText xml:space="preserve"> PAGEREF _Toc1902264 \h </w:instrText>
        </w:r>
        <w:r w:rsidR="000557AA">
          <w:rPr>
            <w:noProof/>
            <w:webHidden/>
          </w:rPr>
        </w:r>
        <w:r w:rsidR="000557AA">
          <w:rPr>
            <w:noProof/>
            <w:webHidden/>
          </w:rPr>
          <w:fldChar w:fldCharType="separate"/>
        </w:r>
        <w:r w:rsidR="00AC21CF">
          <w:rPr>
            <w:noProof/>
            <w:webHidden/>
          </w:rPr>
          <w:t>43</w:t>
        </w:r>
        <w:r w:rsidR="000557AA">
          <w:rPr>
            <w:noProof/>
            <w:webHidden/>
          </w:rPr>
          <w:fldChar w:fldCharType="end"/>
        </w:r>
      </w:hyperlink>
    </w:p>
    <w:p w14:paraId="736C9874"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65" w:history="1">
        <w:r w:rsidR="000557AA" w:rsidRPr="00A00B40">
          <w:rPr>
            <w:rStyle w:val="Hyperlink"/>
            <w:noProof/>
          </w:rPr>
          <w:t>3.2.1</w:t>
        </w:r>
        <w:r w:rsidR="000557AA">
          <w:rPr>
            <w:rFonts w:eastAsiaTheme="minorEastAsia" w:cstheme="minorBidi"/>
            <w:noProof/>
            <w:sz w:val="22"/>
            <w:szCs w:val="22"/>
            <w:lang w:val="en-TT" w:eastAsia="en-TT"/>
          </w:rPr>
          <w:tab/>
        </w:r>
        <w:r w:rsidR="000557AA" w:rsidRPr="00A00B40">
          <w:rPr>
            <w:rStyle w:val="Hyperlink"/>
            <w:noProof/>
          </w:rPr>
          <w:t>Qualitative Residual Analysis</w:t>
        </w:r>
        <w:r w:rsidR="000557AA">
          <w:rPr>
            <w:noProof/>
            <w:webHidden/>
          </w:rPr>
          <w:tab/>
        </w:r>
        <w:r w:rsidR="000557AA">
          <w:rPr>
            <w:noProof/>
            <w:webHidden/>
          </w:rPr>
          <w:fldChar w:fldCharType="begin"/>
        </w:r>
        <w:r w:rsidR="000557AA">
          <w:rPr>
            <w:noProof/>
            <w:webHidden/>
          </w:rPr>
          <w:instrText xml:space="preserve"> PAGEREF _Toc1902265 \h </w:instrText>
        </w:r>
        <w:r w:rsidR="000557AA">
          <w:rPr>
            <w:noProof/>
            <w:webHidden/>
          </w:rPr>
        </w:r>
        <w:r w:rsidR="000557AA">
          <w:rPr>
            <w:noProof/>
            <w:webHidden/>
          </w:rPr>
          <w:fldChar w:fldCharType="separate"/>
        </w:r>
        <w:r w:rsidR="00AC21CF">
          <w:rPr>
            <w:noProof/>
            <w:webHidden/>
          </w:rPr>
          <w:t>44</w:t>
        </w:r>
        <w:r w:rsidR="000557AA">
          <w:rPr>
            <w:noProof/>
            <w:webHidden/>
          </w:rPr>
          <w:fldChar w:fldCharType="end"/>
        </w:r>
      </w:hyperlink>
    </w:p>
    <w:p w14:paraId="28219CAB"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66" w:history="1">
        <w:r w:rsidR="000557AA" w:rsidRPr="00A00B40">
          <w:rPr>
            <w:rStyle w:val="Hyperlink"/>
            <w:noProof/>
          </w:rPr>
          <w:t>3.2.2</w:t>
        </w:r>
        <w:r w:rsidR="000557AA">
          <w:rPr>
            <w:rFonts w:eastAsiaTheme="minorEastAsia" w:cstheme="minorBidi"/>
            <w:noProof/>
            <w:sz w:val="22"/>
            <w:szCs w:val="22"/>
            <w:lang w:val="en-TT" w:eastAsia="en-TT"/>
          </w:rPr>
          <w:tab/>
        </w:r>
        <w:r w:rsidR="000557AA" w:rsidRPr="00A00B40">
          <w:rPr>
            <w:rStyle w:val="Hyperlink"/>
            <w:noProof/>
          </w:rPr>
          <w:t>Justification of the Research Methodology and Design</w:t>
        </w:r>
        <w:r w:rsidR="000557AA">
          <w:rPr>
            <w:noProof/>
            <w:webHidden/>
          </w:rPr>
          <w:tab/>
        </w:r>
        <w:r w:rsidR="000557AA">
          <w:rPr>
            <w:noProof/>
            <w:webHidden/>
          </w:rPr>
          <w:fldChar w:fldCharType="begin"/>
        </w:r>
        <w:r w:rsidR="000557AA">
          <w:rPr>
            <w:noProof/>
            <w:webHidden/>
          </w:rPr>
          <w:instrText xml:space="preserve"> PAGEREF _Toc1902266 \h </w:instrText>
        </w:r>
        <w:r w:rsidR="000557AA">
          <w:rPr>
            <w:noProof/>
            <w:webHidden/>
          </w:rPr>
        </w:r>
        <w:r w:rsidR="000557AA">
          <w:rPr>
            <w:noProof/>
            <w:webHidden/>
          </w:rPr>
          <w:fldChar w:fldCharType="separate"/>
        </w:r>
        <w:r w:rsidR="00AC21CF">
          <w:rPr>
            <w:noProof/>
            <w:webHidden/>
          </w:rPr>
          <w:t>44</w:t>
        </w:r>
        <w:r w:rsidR="000557AA">
          <w:rPr>
            <w:noProof/>
            <w:webHidden/>
          </w:rPr>
          <w:fldChar w:fldCharType="end"/>
        </w:r>
      </w:hyperlink>
    </w:p>
    <w:p w14:paraId="2C840FC8"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67" w:history="1">
        <w:r w:rsidR="000557AA" w:rsidRPr="00A00B40">
          <w:rPr>
            <w:rStyle w:val="Hyperlink"/>
            <w:noProof/>
          </w:rPr>
          <w:t>3.2.3</w:t>
        </w:r>
        <w:r w:rsidR="000557AA">
          <w:rPr>
            <w:rFonts w:eastAsiaTheme="minorEastAsia" w:cstheme="minorBidi"/>
            <w:noProof/>
            <w:sz w:val="22"/>
            <w:szCs w:val="22"/>
            <w:lang w:val="en-TT" w:eastAsia="en-TT"/>
          </w:rPr>
          <w:tab/>
        </w:r>
        <w:r w:rsidR="000557AA" w:rsidRPr="00A00B40">
          <w:rPr>
            <w:rStyle w:val="Hyperlink"/>
            <w:noProof/>
          </w:rPr>
          <w:t>The Research Question</w:t>
        </w:r>
        <w:r w:rsidR="000557AA">
          <w:rPr>
            <w:noProof/>
            <w:webHidden/>
          </w:rPr>
          <w:tab/>
        </w:r>
        <w:r w:rsidR="000557AA">
          <w:rPr>
            <w:noProof/>
            <w:webHidden/>
          </w:rPr>
          <w:fldChar w:fldCharType="begin"/>
        </w:r>
        <w:r w:rsidR="000557AA">
          <w:rPr>
            <w:noProof/>
            <w:webHidden/>
          </w:rPr>
          <w:instrText xml:space="preserve"> PAGEREF _Toc1902267 \h </w:instrText>
        </w:r>
        <w:r w:rsidR="000557AA">
          <w:rPr>
            <w:noProof/>
            <w:webHidden/>
          </w:rPr>
        </w:r>
        <w:r w:rsidR="000557AA">
          <w:rPr>
            <w:noProof/>
            <w:webHidden/>
          </w:rPr>
          <w:fldChar w:fldCharType="separate"/>
        </w:r>
        <w:r w:rsidR="00AC21CF">
          <w:rPr>
            <w:noProof/>
            <w:webHidden/>
          </w:rPr>
          <w:t>46</w:t>
        </w:r>
        <w:r w:rsidR="000557AA">
          <w:rPr>
            <w:noProof/>
            <w:webHidden/>
          </w:rPr>
          <w:fldChar w:fldCharType="end"/>
        </w:r>
      </w:hyperlink>
    </w:p>
    <w:p w14:paraId="615E4651"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68" w:history="1">
        <w:r w:rsidR="000557AA" w:rsidRPr="00A00B40">
          <w:rPr>
            <w:rStyle w:val="Hyperlink"/>
            <w:noProof/>
          </w:rPr>
          <w:t>3.2.4</w:t>
        </w:r>
        <w:r w:rsidR="000557AA">
          <w:rPr>
            <w:rFonts w:eastAsiaTheme="minorEastAsia" w:cstheme="minorBidi"/>
            <w:noProof/>
            <w:sz w:val="22"/>
            <w:szCs w:val="22"/>
            <w:lang w:val="en-TT" w:eastAsia="en-TT"/>
          </w:rPr>
          <w:tab/>
        </w:r>
        <w:r w:rsidR="000557AA" w:rsidRPr="00A00B40">
          <w:rPr>
            <w:rStyle w:val="Hyperlink"/>
            <w:noProof/>
          </w:rPr>
          <w:t>Aims and Objectives</w:t>
        </w:r>
        <w:r w:rsidR="000557AA">
          <w:rPr>
            <w:noProof/>
            <w:webHidden/>
          </w:rPr>
          <w:tab/>
        </w:r>
        <w:r w:rsidR="000557AA">
          <w:rPr>
            <w:noProof/>
            <w:webHidden/>
          </w:rPr>
          <w:fldChar w:fldCharType="begin"/>
        </w:r>
        <w:r w:rsidR="000557AA">
          <w:rPr>
            <w:noProof/>
            <w:webHidden/>
          </w:rPr>
          <w:instrText xml:space="preserve"> PAGEREF _Toc1902268 \h </w:instrText>
        </w:r>
        <w:r w:rsidR="000557AA">
          <w:rPr>
            <w:noProof/>
            <w:webHidden/>
          </w:rPr>
        </w:r>
        <w:r w:rsidR="000557AA">
          <w:rPr>
            <w:noProof/>
            <w:webHidden/>
          </w:rPr>
          <w:fldChar w:fldCharType="separate"/>
        </w:r>
        <w:r w:rsidR="00AC21CF">
          <w:rPr>
            <w:noProof/>
            <w:webHidden/>
          </w:rPr>
          <w:t>46</w:t>
        </w:r>
        <w:r w:rsidR="000557AA">
          <w:rPr>
            <w:noProof/>
            <w:webHidden/>
          </w:rPr>
          <w:fldChar w:fldCharType="end"/>
        </w:r>
      </w:hyperlink>
    </w:p>
    <w:p w14:paraId="78BC8962"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69" w:history="1">
        <w:r w:rsidR="000557AA" w:rsidRPr="00A00B40">
          <w:rPr>
            <w:rStyle w:val="Hyperlink"/>
            <w:noProof/>
          </w:rPr>
          <w:t>3.3</w:t>
        </w:r>
        <w:r w:rsidR="000557AA">
          <w:rPr>
            <w:rFonts w:eastAsiaTheme="minorEastAsia" w:cstheme="minorBidi"/>
            <w:i w:val="0"/>
            <w:iCs w:val="0"/>
            <w:noProof/>
            <w:sz w:val="22"/>
            <w:szCs w:val="22"/>
            <w:lang w:val="en-TT" w:eastAsia="en-TT"/>
          </w:rPr>
          <w:tab/>
        </w:r>
        <w:r w:rsidR="000557AA" w:rsidRPr="00A00B40">
          <w:rPr>
            <w:rStyle w:val="Hyperlink"/>
            <w:noProof/>
          </w:rPr>
          <w:t>Study Design</w:t>
        </w:r>
        <w:r w:rsidR="000557AA">
          <w:rPr>
            <w:noProof/>
            <w:webHidden/>
          </w:rPr>
          <w:tab/>
        </w:r>
        <w:r w:rsidR="000557AA">
          <w:rPr>
            <w:noProof/>
            <w:webHidden/>
          </w:rPr>
          <w:fldChar w:fldCharType="begin"/>
        </w:r>
        <w:r w:rsidR="000557AA">
          <w:rPr>
            <w:noProof/>
            <w:webHidden/>
          </w:rPr>
          <w:instrText xml:space="preserve"> PAGEREF _Toc1902269 \h </w:instrText>
        </w:r>
        <w:r w:rsidR="000557AA">
          <w:rPr>
            <w:noProof/>
            <w:webHidden/>
          </w:rPr>
        </w:r>
        <w:r w:rsidR="000557AA">
          <w:rPr>
            <w:noProof/>
            <w:webHidden/>
          </w:rPr>
          <w:fldChar w:fldCharType="separate"/>
        </w:r>
        <w:r w:rsidR="00AC21CF">
          <w:rPr>
            <w:noProof/>
            <w:webHidden/>
          </w:rPr>
          <w:t>47</w:t>
        </w:r>
        <w:r w:rsidR="000557AA">
          <w:rPr>
            <w:noProof/>
            <w:webHidden/>
          </w:rPr>
          <w:fldChar w:fldCharType="end"/>
        </w:r>
      </w:hyperlink>
    </w:p>
    <w:p w14:paraId="73EF6D62"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70" w:history="1">
        <w:r w:rsidR="000557AA" w:rsidRPr="00A00B40">
          <w:rPr>
            <w:rStyle w:val="Hyperlink"/>
            <w:noProof/>
          </w:rPr>
          <w:t>3.3.1</w:t>
        </w:r>
        <w:r w:rsidR="000557AA">
          <w:rPr>
            <w:rFonts w:eastAsiaTheme="minorEastAsia" w:cstheme="minorBidi"/>
            <w:noProof/>
            <w:sz w:val="22"/>
            <w:szCs w:val="22"/>
            <w:lang w:val="en-TT" w:eastAsia="en-TT"/>
          </w:rPr>
          <w:tab/>
        </w:r>
        <w:r w:rsidR="000557AA" w:rsidRPr="00A00B40">
          <w:rPr>
            <w:rStyle w:val="Hyperlink"/>
            <w:noProof/>
          </w:rPr>
          <w:t>Synopsis of Study Design</w:t>
        </w:r>
        <w:r w:rsidR="000557AA">
          <w:rPr>
            <w:noProof/>
            <w:webHidden/>
          </w:rPr>
          <w:tab/>
        </w:r>
        <w:r w:rsidR="000557AA">
          <w:rPr>
            <w:noProof/>
            <w:webHidden/>
          </w:rPr>
          <w:fldChar w:fldCharType="begin"/>
        </w:r>
        <w:r w:rsidR="000557AA">
          <w:rPr>
            <w:noProof/>
            <w:webHidden/>
          </w:rPr>
          <w:instrText xml:space="preserve"> PAGEREF _Toc1902270 \h </w:instrText>
        </w:r>
        <w:r w:rsidR="000557AA">
          <w:rPr>
            <w:noProof/>
            <w:webHidden/>
          </w:rPr>
        </w:r>
        <w:r w:rsidR="000557AA">
          <w:rPr>
            <w:noProof/>
            <w:webHidden/>
          </w:rPr>
          <w:fldChar w:fldCharType="separate"/>
        </w:r>
        <w:r w:rsidR="00AC21CF">
          <w:rPr>
            <w:noProof/>
            <w:webHidden/>
          </w:rPr>
          <w:t>47</w:t>
        </w:r>
        <w:r w:rsidR="000557AA">
          <w:rPr>
            <w:noProof/>
            <w:webHidden/>
          </w:rPr>
          <w:fldChar w:fldCharType="end"/>
        </w:r>
      </w:hyperlink>
    </w:p>
    <w:p w14:paraId="43444150"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71" w:history="1">
        <w:r w:rsidR="000557AA" w:rsidRPr="00A00B40">
          <w:rPr>
            <w:rStyle w:val="Hyperlink"/>
            <w:noProof/>
          </w:rPr>
          <w:t>3.3.2</w:t>
        </w:r>
        <w:r w:rsidR="000557AA">
          <w:rPr>
            <w:rFonts w:eastAsiaTheme="minorEastAsia" w:cstheme="minorBidi"/>
            <w:noProof/>
            <w:sz w:val="22"/>
            <w:szCs w:val="22"/>
            <w:lang w:val="en-TT" w:eastAsia="en-TT"/>
          </w:rPr>
          <w:tab/>
        </w:r>
        <w:r w:rsidR="000557AA" w:rsidRPr="00A00B40">
          <w:rPr>
            <w:rStyle w:val="Hyperlink"/>
            <w:noProof/>
          </w:rPr>
          <w:t>The Sampling Strategy</w:t>
        </w:r>
        <w:r w:rsidR="000557AA">
          <w:rPr>
            <w:noProof/>
            <w:webHidden/>
          </w:rPr>
          <w:tab/>
        </w:r>
        <w:r w:rsidR="000557AA">
          <w:rPr>
            <w:noProof/>
            <w:webHidden/>
          </w:rPr>
          <w:fldChar w:fldCharType="begin"/>
        </w:r>
        <w:r w:rsidR="000557AA">
          <w:rPr>
            <w:noProof/>
            <w:webHidden/>
          </w:rPr>
          <w:instrText xml:space="preserve"> PAGEREF _Toc1902271 \h </w:instrText>
        </w:r>
        <w:r w:rsidR="000557AA">
          <w:rPr>
            <w:noProof/>
            <w:webHidden/>
          </w:rPr>
        </w:r>
        <w:r w:rsidR="000557AA">
          <w:rPr>
            <w:noProof/>
            <w:webHidden/>
          </w:rPr>
          <w:fldChar w:fldCharType="separate"/>
        </w:r>
        <w:r w:rsidR="00AC21CF">
          <w:rPr>
            <w:noProof/>
            <w:webHidden/>
          </w:rPr>
          <w:t>48</w:t>
        </w:r>
        <w:r w:rsidR="000557AA">
          <w:rPr>
            <w:noProof/>
            <w:webHidden/>
          </w:rPr>
          <w:fldChar w:fldCharType="end"/>
        </w:r>
      </w:hyperlink>
    </w:p>
    <w:p w14:paraId="2C8A6584"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72" w:history="1">
        <w:r w:rsidR="000557AA" w:rsidRPr="00A00B40">
          <w:rPr>
            <w:rStyle w:val="Hyperlink"/>
            <w:noProof/>
          </w:rPr>
          <w:t>3.3.3</w:t>
        </w:r>
        <w:r w:rsidR="000557AA">
          <w:rPr>
            <w:rFonts w:eastAsiaTheme="minorEastAsia" w:cstheme="minorBidi"/>
            <w:noProof/>
            <w:sz w:val="22"/>
            <w:szCs w:val="22"/>
            <w:lang w:val="en-TT" w:eastAsia="en-TT"/>
          </w:rPr>
          <w:tab/>
        </w:r>
        <w:r w:rsidR="000557AA" w:rsidRPr="00A00B40">
          <w:rPr>
            <w:rStyle w:val="Hyperlink"/>
            <w:noProof/>
          </w:rPr>
          <w:t>Phase 1: Identifying the Most Accurate Predictive Model</w:t>
        </w:r>
        <w:r w:rsidR="000557AA">
          <w:rPr>
            <w:noProof/>
            <w:webHidden/>
          </w:rPr>
          <w:tab/>
        </w:r>
        <w:r w:rsidR="000557AA">
          <w:rPr>
            <w:noProof/>
            <w:webHidden/>
          </w:rPr>
          <w:fldChar w:fldCharType="begin"/>
        </w:r>
        <w:r w:rsidR="000557AA">
          <w:rPr>
            <w:noProof/>
            <w:webHidden/>
          </w:rPr>
          <w:instrText xml:space="preserve"> PAGEREF _Toc1902272 \h </w:instrText>
        </w:r>
        <w:r w:rsidR="000557AA">
          <w:rPr>
            <w:noProof/>
            <w:webHidden/>
          </w:rPr>
        </w:r>
        <w:r w:rsidR="000557AA">
          <w:rPr>
            <w:noProof/>
            <w:webHidden/>
          </w:rPr>
          <w:fldChar w:fldCharType="separate"/>
        </w:r>
        <w:r w:rsidR="00AC21CF">
          <w:rPr>
            <w:noProof/>
            <w:webHidden/>
          </w:rPr>
          <w:t>49</w:t>
        </w:r>
        <w:r w:rsidR="000557AA">
          <w:rPr>
            <w:noProof/>
            <w:webHidden/>
          </w:rPr>
          <w:fldChar w:fldCharType="end"/>
        </w:r>
      </w:hyperlink>
    </w:p>
    <w:p w14:paraId="54654F6B"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73" w:history="1">
        <w:r w:rsidR="000557AA" w:rsidRPr="00A00B40">
          <w:rPr>
            <w:rStyle w:val="Hyperlink"/>
            <w:noProof/>
          </w:rPr>
          <w:t>3.3.4</w:t>
        </w:r>
        <w:r w:rsidR="000557AA">
          <w:rPr>
            <w:rFonts w:eastAsiaTheme="minorEastAsia" w:cstheme="minorBidi"/>
            <w:noProof/>
            <w:sz w:val="22"/>
            <w:szCs w:val="22"/>
            <w:lang w:val="en-TT" w:eastAsia="en-TT"/>
          </w:rPr>
          <w:tab/>
        </w:r>
        <w:r w:rsidR="000557AA" w:rsidRPr="00A00B40">
          <w:rPr>
            <w:rStyle w:val="Hyperlink"/>
            <w:noProof/>
          </w:rPr>
          <w:t>Phase 2: Exploring Factors Influencing Outcome at Outlying Hospitals</w:t>
        </w:r>
        <w:r w:rsidR="000557AA">
          <w:rPr>
            <w:noProof/>
            <w:webHidden/>
          </w:rPr>
          <w:tab/>
        </w:r>
        <w:r w:rsidR="000557AA">
          <w:rPr>
            <w:noProof/>
            <w:webHidden/>
          </w:rPr>
          <w:fldChar w:fldCharType="begin"/>
        </w:r>
        <w:r w:rsidR="000557AA">
          <w:rPr>
            <w:noProof/>
            <w:webHidden/>
          </w:rPr>
          <w:instrText xml:space="preserve"> PAGEREF _Toc1902273 \h </w:instrText>
        </w:r>
        <w:r w:rsidR="000557AA">
          <w:rPr>
            <w:noProof/>
            <w:webHidden/>
          </w:rPr>
        </w:r>
        <w:r w:rsidR="000557AA">
          <w:rPr>
            <w:noProof/>
            <w:webHidden/>
          </w:rPr>
          <w:fldChar w:fldCharType="separate"/>
        </w:r>
        <w:r w:rsidR="00AC21CF">
          <w:rPr>
            <w:noProof/>
            <w:webHidden/>
          </w:rPr>
          <w:t>60</w:t>
        </w:r>
        <w:r w:rsidR="000557AA">
          <w:rPr>
            <w:noProof/>
            <w:webHidden/>
          </w:rPr>
          <w:fldChar w:fldCharType="end"/>
        </w:r>
      </w:hyperlink>
    </w:p>
    <w:p w14:paraId="4DA4AD3D"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74" w:history="1">
        <w:r w:rsidR="000557AA" w:rsidRPr="00A00B40">
          <w:rPr>
            <w:rStyle w:val="Hyperlink"/>
            <w:noProof/>
          </w:rPr>
          <w:t>3.3.5</w:t>
        </w:r>
        <w:r w:rsidR="000557AA">
          <w:rPr>
            <w:rFonts w:eastAsiaTheme="minorEastAsia" w:cstheme="minorBidi"/>
            <w:noProof/>
            <w:sz w:val="22"/>
            <w:szCs w:val="22"/>
            <w:lang w:val="en-TT" w:eastAsia="en-TT"/>
          </w:rPr>
          <w:tab/>
        </w:r>
        <w:r w:rsidR="000557AA" w:rsidRPr="00A00B40">
          <w:rPr>
            <w:rStyle w:val="Hyperlink"/>
            <w:noProof/>
          </w:rPr>
          <w:t>Phase 3: Closing the Loop: Applying Variables from Phase 2 to the Model</w:t>
        </w:r>
        <w:r w:rsidR="000557AA">
          <w:rPr>
            <w:noProof/>
            <w:webHidden/>
          </w:rPr>
          <w:tab/>
        </w:r>
        <w:r w:rsidR="000557AA">
          <w:rPr>
            <w:noProof/>
            <w:webHidden/>
          </w:rPr>
          <w:fldChar w:fldCharType="begin"/>
        </w:r>
        <w:r w:rsidR="000557AA">
          <w:rPr>
            <w:noProof/>
            <w:webHidden/>
          </w:rPr>
          <w:instrText xml:space="preserve"> PAGEREF _Toc1902274 \h </w:instrText>
        </w:r>
        <w:r w:rsidR="000557AA">
          <w:rPr>
            <w:noProof/>
            <w:webHidden/>
          </w:rPr>
        </w:r>
        <w:r w:rsidR="000557AA">
          <w:rPr>
            <w:noProof/>
            <w:webHidden/>
          </w:rPr>
          <w:fldChar w:fldCharType="separate"/>
        </w:r>
        <w:r w:rsidR="00AC21CF">
          <w:rPr>
            <w:noProof/>
            <w:webHidden/>
          </w:rPr>
          <w:t>69</w:t>
        </w:r>
        <w:r w:rsidR="000557AA">
          <w:rPr>
            <w:noProof/>
            <w:webHidden/>
          </w:rPr>
          <w:fldChar w:fldCharType="end"/>
        </w:r>
      </w:hyperlink>
    </w:p>
    <w:p w14:paraId="4196D02E"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75" w:history="1">
        <w:r w:rsidR="000557AA" w:rsidRPr="00A00B40">
          <w:rPr>
            <w:rStyle w:val="Hyperlink"/>
            <w:noProof/>
          </w:rPr>
          <w:t>3.4</w:t>
        </w:r>
        <w:r w:rsidR="000557AA">
          <w:rPr>
            <w:rFonts w:eastAsiaTheme="minorEastAsia" w:cstheme="minorBidi"/>
            <w:i w:val="0"/>
            <w:iCs w:val="0"/>
            <w:noProof/>
            <w:sz w:val="22"/>
            <w:szCs w:val="22"/>
            <w:lang w:val="en-TT" w:eastAsia="en-TT"/>
          </w:rPr>
          <w:tab/>
        </w:r>
        <w:r w:rsidR="000557AA" w:rsidRPr="00A00B40">
          <w:rPr>
            <w:rStyle w:val="Hyperlink"/>
            <w:noProof/>
          </w:rPr>
          <w:t>Ethical Considerations</w:t>
        </w:r>
        <w:r w:rsidR="000557AA">
          <w:rPr>
            <w:noProof/>
            <w:webHidden/>
          </w:rPr>
          <w:tab/>
        </w:r>
        <w:r w:rsidR="000557AA">
          <w:rPr>
            <w:noProof/>
            <w:webHidden/>
          </w:rPr>
          <w:fldChar w:fldCharType="begin"/>
        </w:r>
        <w:r w:rsidR="000557AA">
          <w:rPr>
            <w:noProof/>
            <w:webHidden/>
          </w:rPr>
          <w:instrText xml:space="preserve"> PAGEREF _Toc1902275 \h </w:instrText>
        </w:r>
        <w:r w:rsidR="000557AA">
          <w:rPr>
            <w:noProof/>
            <w:webHidden/>
          </w:rPr>
        </w:r>
        <w:r w:rsidR="000557AA">
          <w:rPr>
            <w:noProof/>
            <w:webHidden/>
          </w:rPr>
          <w:fldChar w:fldCharType="separate"/>
        </w:r>
        <w:r w:rsidR="00AC21CF">
          <w:rPr>
            <w:noProof/>
            <w:webHidden/>
          </w:rPr>
          <w:t>72</w:t>
        </w:r>
        <w:r w:rsidR="000557AA">
          <w:rPr>
            <w:noProof/>
            <w:webHidden/>
          </w:rPr>
          <w:fldChar w:fldCharType="end"/>
        </w:r>
      </w:hyperlink>
    </w:p>
    <w:p w14:paraId="51BD5871"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76" w:history="1">
        <w:r w:rsidR="000557AA" w:rsidRPr="00A00B40">
          <w:rPr>
            <w:rStyle w:val="Hyperlink"/>
            <w:noProof/>
          </w:rPr>
          <w:t>3.4.1</w:t>
        </w:r>
        <w:r w:rsidR="000557AA">
          <w:rPr>
            <w:rFonts w:eastAsiaTheme="minorEastAsia" w:cstheme="minorBidi"/>
            <w:noProof/>
            <w:sz w:val="22"/>
            <w:szCs w:val="22"/>
            <w:lang w:val="en-TT" w:eastAsia="en-TT"/>
          </w:rPr>
          <w:tab/>
        </w:r>
        <w:r w:rsidR="000557AA" w:rsidRPr="00A00B40">
          <w:rPr>
            <w:rStyle w:val="Hyperlink"/>
            <w:noProof/>
          </w:rPr>
          <w:t>Participant Consent</w:t>
        </w:r>
        <w:r w:rsidR="000557AA">
          <w:rPr>
            <w:noProof/>
            <w:webHidden/>
          </w:rPr>
          <w:tab/>
        </w:r>
        <w:r w:rsidR="000557AA">
          <w:rPr>
            <w:noProof/>
            <w:webHidden/>
          </w:rPr>
          <w:fldChar w:fldCharType="begin"/>
        </w:r>
        <w:r w:rsidR="000557AA">
          <w:rPr>
            <w:noProof/>
            <w:webHidden/>
          </w:rPr>
          <w:instrText xml:space="preserve"> PAGEREF _Toc1902276 \h </w:instrText>
        </w:r>
        <w:r w:rsidR="000557AA">
          <w:rPr>
            <w:noProof/>
            <w:webHidden/>
          </w:rPr>
        </w:r>
        <w:r w:rsidR="000557AA">
          <w:rPr>
            <w:noProof/>
            <w:webHidden/>
          </w:rPr>
          <w:fldChar w:fldCharType="separate"/>
        </w:r>
        <w:r w:rsidR="00AC21CF">
          <w:rPr>
            <w:noProof/>
            <w:webHidden/>
          </w:rPr>
          <w:t>72</w:t>
        </w:r>
        <w:r w:rsidR="000557AA">
          <w:rPr>
            <w:noProof/>
            <w:webHidden/>
          </w:rPr>
          <w:fldChar w:fldCharType="end"/>
        </w:r>
      </w:hyperlink>
    </w:p>
    <w:p w14:paraId="67F6B7D2"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77" w:history="1">
        <w:r w:rsidR="000557AA" w:rsidRPr="00A00B40">
          <w:rPr>
            <w:rStyle w:val="Hyperlink"/>
            <w:noProof/>
          </w:rPr>
          <w:t>3.4.2</w:t>
        </w:r>
        <w:r w:rsidR="000557AA">
          <w:rPr>
            <w:rFonts w:eastAsiaTheme="minorEastAsia" w:cstheme="minorBidi"/>
            <w:noProof/>
            <w:sz w:val="22"/>
            <w:szCs w:val="22"/>
            <w:lang w:val="en-TT" w:eastAsia="en-TT"/>
          </w:rPr>
          <w:tab/>
        </w:r>
        <w:r w:rsidR="000557AA" w:rsidRPr="00A00B40">
          <w:rPr>
            <w:rStyle w:val="Hyperlink"/>
            <w:noProof/>
          </w:rPr>
          <w:t>Confidentiality and Data Protection</w:t>
        </w:r>
        <w:r w:rsidR="000557AA">
          <w:rPr>
            <w:noProof/>
            <w:webHidden/>
          </w:rPr>
          <w:tab/>
        </w:r>
        <w:r w:rsidR="000557AA">
          <w:rPr>
            <w:noProof/>
            <w:webHidden/>
          </w:rPr>
          <w:fldChar w:fldCharType="begin"/>
        </w:r>
        <w:r w:rsidR="000557AA">
          <w:rPr>
            <w:noProof/>
            <w:webHidden/>
          </w:rPr>
          <w:instrText xml:space="preserve"> PAGEREF _Toc1902277 \h </w:instrText>
        </w:r>
        <w:r w:rsidR="000557AA">
          <w:rPr>
            <w:noProof/>
            <w:webHidden/>
          </w:rPr>
        </w:r>
        <w:r w:rsidR="000557AA">
          <w:rPr>
            <w:noProof/>
            <w:webHidden/>
          </w:rPr>
          <w:fldChar w:fldCharType="separate"/>
        </w:r>
        <w:r w:rsidR="00AC21CF">
          <w:rPr>
            <w:noProof/>
            <w:webHidden/>
          </w:rPr>
          <w:t>73</w:t>
        </w:r>
        <w:r w:rsidR="000557AA">
          <w:rPr>
            <w:noProof/>
            <w:webHidden/>
          </w:rPr>
          <w:fldChar w:fldCharType="end"/>
        </w:r>
      </w:hyperlink>
    </w:p>
    <w:p w14:paraId="7EF6EC25"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78" w:history="1">
        <w:r w:rsidR="000557AA" w:rsidRPr="00A00B40">
          <w:rPr>
            <w:rStyle w:val="Hyperlink"/>
            <w:noProof/>
          </w:rPr>
          <w:t>3.4.3</w:t>
        </w:r>
        <w:r w:rsidR="000557AA">
          <w:rPr>
            <w:rFonts w:eastAsiaTheme="minorEastAsia" w:cstheme="minorBidi"/>
            <w:noProof/>
            <w:sz w:val="22"/>
            <w:szCs w:val="22"/>
            <w:lang w:val="en-TT" w:eastAsia="en-TT"/>
          </w:rPr>
          <w:tab/>
        </w:r>
        <w:r w:rsidR="000557AA" w:rsidRPr="00A00B40">
          <w:rPr>
            <w:rStyle w:val="Hyperlink"/>
            <w:noProof/>
          </w:rPr>
          <w:t>Ethical approval and ongoing monitoring of the study</w:t>
        </w:r>
        <w:r w:rsidR="000557AA">
          <w:rPr>
            <w:noProof/>
            <w:webHidden/>
          </w:rPr>
          <w:tab/>
        </w:r>
        <w:r w:rsidR="000557AA">
          <w:rPr>
            <w:noProof/>
            <w:webHidden/>
          </w:rPr>
          <w:fldChar w:fldCharType="begin"/>
        </w:r>
        <w:r w:rsidR="000557AA">
          <w:rPr>
            <w:noProof/>
            <w:webHidden/>
          </w:rPr>
          <w:instrText xml:space="preserve"> PAGEREF _Toc1902278 \h </w:instrText>
        </w:r>
        <w:r w:rsidR="000557AA">
          <w:rPr>
            <w:noProof/>
            <w:webHidden/>
          </w:rPr>
        </w:r>
        <w:r w:rsidR="000557AA">
          <w:rPr>
            <w:noProof/>
            <w:webHidden/>
          </w:rPr>
          <w:fldChar w:fldCharType="separate"/>
        </w:r>
        <w:r w:rsidR="00AC21CF">
          <w:rPr>
            <w:noProof/>
            <w:webHidden/>
          </w:rPr>
          <w:t>74</w:t>
        </w:r>
        <w:r w:rsidR="000557AA">
          <w:rPr>
            <w:noProof/>
            <w:webHidden/>
          </w:rPr>
          <w:fldChar w:fldCharType="end"/>
        </w:r>
      </w:hyperlink>
    </w:p>
    <w:p w14:paraId="61CE471E"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79" w:history="1">
        <w:r w:rsidR="000557AA" w:rsidRPr="00A00B40">
          <w:rPr>
            <w:rStyle w:val="Hyperlink"/>
            <w:noProof/>
          </w:rPr>
          <w:t>3.5</w:t>
        </w:r>
        <w:r w:rsidR="000557AA">
          <w:rPr>
            <w:rFonts w:eastAsiaTheme="minorEastAsia" w:cstheme="minorBidi"/>
            <w:i w:val="0"/>
            <w:iCs w:val="0"/>
            <w:noProof/>
            <w:sz w:val="22"/>
            <w:szCs w:val="22"/>
            <w:lang w:val="en-TT" w:eastAsia="en-TT"/>
          </w:rPr>
          <w:tab/>
        </w:r>
        <w:r w:rsidR="000557AA" w:rsidRPr="00A00B40">
          <w:rPr>
            <w:rStyle w:val="Hyperlink"/>
            <w:noProof/>
          </w:rPr>
          <w:t>Patient and Public Involvement</w:t>
        </w:r>
        <w:r w:rsidR="000557AA">
          <w:rPr>
            <w:noProof/>
            <w:webHidden/>
          </w:rPr>
          <w:tab/>
        </w:r>
        <w:r w:rsidR="000557AA">
          <w:rPr>
            <w:noProof/>
            <w:webHidden/>
          </w:rPr>
          <w:fldChar w:fldCharType="begin"/>
        </w:r>
        <w:r w:rsidR="000557AA">
          <w:rPr>
            <w:noProof/>
            <w:webHidden/>
          </w:rPr>
          <w:instrText xml:space="preserve"> PAGEREF _Toc1902279 \h </w:instrText>
        </w:r>
        <w:r w:rsidR="000557AA">
          <w:rPr>
            <w:noProof/>
            <w:webHidden/>
          </w:rPr>
        </w:r>
        <w:r w:rsidR="000557AA">
          <w:rPr>
            <w:noProof/>
            <w:webHidden/>
          </w:rPr>
          <w:fldChar w:fldCharType="separate"/>
        </w:r>
        <w:r w:rsidR="00AC21CF">
          <w:rPr>
            <w:noProof/>
            <w:webHidden/>
          </w:rPr>
          <w:t>74</w:t>
        </w:r>
        <w:r w:rsidR="000557AA">
          <w:rPr>
            <w:noProof/>
            <w:webHidden/>
          </w:rPr>
          <w:fldChar w:fldCharType="end"/>
        </w:r>
      </w:hyperlink>
    </w:p>
    <w:p w14:paraId="418B3785" w14:textId="77777777" w:rsidR="000557AA" w:rsidRDefault="00993D1E">
      <w:pPr>
        <w:pStyle w:val="TOC1"/>
        <w:tabs>
          <w:tab w:val="right" w:leader="dot" w:pos="8484"/>
        </w:tabs>
        <w:rPr>
          <w:rFonts w:eastAsiaTheme="minorEastAsia" w:cstheme="minorBidi"/>
          <w:b w:val="0"/>
          <w:bCs w:val="0"/>
          <w:noProof/>
          <w:sz w:val="22"/>
          <w:szCs w:val="22"/>
          <w:lang w:val="en-TT" w:eastAsia="en-TT"/>
        </w:rPr>
      </w:pPr>
      <w:hyperlink w:anchor="_Toc1902280" w:history="1">
        <w:r w:rsidR="000557AA" w:rsidRPr="00A00B40">
          <w:rPr>
            <w:rStyle w:val="Hyperlink"/>
            <w:noProof/>
          </w:rPr>
          <w:t>Chapter 4: Description of the Quantitative Dataset: TARN Data 2013-2015</w:t>
        </w:r>
        <w:r w:rsidR="000557AA">
          <w:rPr>
            <w:noProof/>
            <w:webHidden/>
          </w:rPr>
          <w:tab/>
        </w:r>
        <w:r w:rsidR="000557AA">
          <w:rPr>
            <w:noProof/>
            <w:webHidden/>
          </w:rPr>
          <w:fldChar w:fldCharType="begin"/>
        </w:r>
        <w:r w:rsidR="000557AA">
          <w:rPr>
            <w:noProof/>
            <w:webHidden/>
          </w:rPr>
          <w:instrText xml:space="preserve"> PAGEREF _Toc1902280 \h </w:instrText>
        </w:r>
        <w:r w:rsidR="000557AA">
          <w:rPr>
            <w:noProof/>
            <w:webHidden/>
          </w:rPr>
        </w:r>
        <w:r w:rsidR="000557AA">
          <w:rPr>
            <w:noProof/>
            <w:webHidden/>
          </w:rPr>
          <w:fldChar w:fldCharType="separate"/>
        </w:r>
        <w:r w:rsidR="00AC21CF">
          <w:rPr>
            <w:noProof/>
            <w:webHidden/>
          </w:rPr>
          <w:t>75</w:t>
        </w:r>
        <w:r w:rsidR="000557AA">
          <w:rPr>
            <w:noProof/>
            <w:webHidden/>
          </w:rPr>
          <w:fldChar w:fldCharType="end"/>
        </w:r>
      </w:hyperlink>
    </w:p>
    <w:p w14:paraId="14DDB931"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81" w:history="1">
        <w:r w:rsidR="000557AA" w:rsidRPr="00A00B40">
          <w:rPr>
            <w:rStyle w:val="Hyperlink"/>
            <w:noProof/>
          </w:rPr>
          <w:t>4.1</w:t>
        </w:r>
        <w:r w:rsidR="000557AA">
          <w:rPr>
            <w:rFonts w:eastAsiaTheme="minorEastAsia" w:cstheme="minorBidi"/>
            <w:i w:val="0"/>
            <w:iCs w:val="0"/>
            <w:noProof/>
            <w:sz w:val="22"/>
            <w:szCs w:val="22"/>
            <w:lang w:val="en-TT" w:eastAsia="en-TT"/>
          </w:rPr>
          <w:tab/>
        </w:r>
        <w:r w:rsidR="000557AA" w:rsidRPr="00A00B40">
          <w:rPr>
            <w:rStyle w:val="Hyperlink"/>
            <w:noProof/>
          </w:rPr>
          <w:t>Introduction</w:t>
        </w:r>
        <w:r w:rsidR="000557AA">
          <w:rPr>
            <w:noProof/>
            <w:webHidden/>
          </w:rPr>
          <w:tab/>
        </w:r>
        <w:r w:rsidR="000557AA">
          <w:rPr>
            <w:noProof/>
            <w:webHidden/>
          </w:rPr>
          <w:fldChar w:fldCharType="begin"/>
        </w:r>
        <w:r w:rsidR="000557AA">
          <w:rPr>
            <w:noProof/>
            <w:webHidden/>
          </w:rPr>
          <w:instrText xml:space="preserve"> PAGEREF _Toc1902281 \h </w:instrText>
        </w:r>
        <w:r w:rsidR="000557AA">
          <w:rPr>
            <w:noProof/>
            <w:webHidden/>
          </w:rPr>
        </w:r>
        <w:r w:rsidR="000557AA">
          <w:rPr>
            <w:noProof/>
            <w:webHidden/>
          </w:rPr>
          <w:fldChar w:fldCharType="separate"/>
        </w:r>
        <w:r w:rsidR="00AC21CF">
          <w:rPr>
            <w:noProof/>
            <w:webHidden/>
          </w:rPr>
          <w:t>75</w:t>
        </w:r>
        <w:r w:rsidR="000557AA">
          <w:rPr>
            <w:noProof/>
            <w:webHidden/>
          </w:rPr>
          <w:fldChar w:fldCharType="end"/>
        </w:r>
      </w:hyperlink>
    </w:p>
    <w:p w14:paraId="19165868"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82" w:history="1">
        <w:r w:rsidR="000557AA" w:rsidRPr="00A00B40">
          <w:rPr>
            <w:rStyle w:val="Hyperlink"/>
            <w:noProof/>
          </w:rPr>
          <w:t>4.2</w:t>
        </w:r>
        <w:r w:rsidR="000557AA">
          <w:rPr>
            <w:rFonts w:eastAsiaTheme="minorEastAsia" w:cstheme="minorBidi"/>
            <w:i w:val="0"/>
            <w:iCs w:val="0"/>
            <w:noProof/>
            <w:sz w:val="22"/>
            <w:szCs w:val="22"/>
            <w:lang w:val="en-TT" w:eastAsia="en-TT"/>
          </w:rPr>
          <w:tab/>
        </w:r>
        <w:r w:rsidR="000557AA" w:rsidRPr="00A00B40">
          <w:rPr>
            <w:rStyle w:val="Hyperlink"/>
            <w:noProof/>
          </w:rPr>
          <w:t>Older vs Younger Trauma Patients</w:t>
        </w:r>
        <w:r w:rsidR="000557AA">
          <w:rPr>
            <w:noProof/>
            <w:webHidden/>
          </w:rPr>
          <w:tab/>
        </w:r>
        <w:r w:rsidR="000557AA">
          <w:rPr>
            <w:noProof/>
            <w:webHidden/>
          </w:rPr>
          <w:fldChar w:fldCharType="begin"/>
        </w:r>
        <w:r w:rsidR="000557AA">
          <w:rPr>
            <w:noProof/>
            <w:webHidden/>
          </w:rPr>
          <w:instrText xml:space="preserve"> PAGEREF _Toc1902282 \h </w:instrText>
        </w:r>
        <w:r w:rsidR="000557AA">
          <w:rPr>
            <w:noProof/>
            <w:webHidden/>
          </w:rPr>
        </w:r>
        <w:r w:rsidR="000557AA">
          <w:rPr>
            <w:noProof/>
            <w:webHidden/>
          </w:rPr>
          <w:fldChar w:fldCharType="separate"/>
        </w:r>
        <w:r w:rsidR="00AC21CF">
          <w:rPr>
            <w:noProof/>
            <w:webHidden/>
          </w:rPr>
          <w:t>75</w:t>
        </w:r>
        <w:r w:rsidR="000557AA">
          <w:rPr>
            <w:noProof/>
            <w:webHidden/>
          </w:rPr>
          <w:fldChar w:fldCharType="end"/>
        </w:r>
      </w:hyperlink>
    </w:p>
    <w:p w14:paraId="094A4BD3"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83" w:history="1">
        <w:r w:rsidR="000557AA" w:rsidRPr="00A00B40">
          <w:rPr>
            <w:rStyle w:val="Hyperlink"/>
            <w:noProof/>
          </w:rPr>
          <w:t>4.2.1</w:t>
        </w:r>
        <w:r w:rsidR="000557AA">
          <w:rPr>
            <w:rFonts w:eastAsiaTheme="minorEastAsia" w:cstheme="minorBidi"/>
            <w:noProof/>
            <w:sz w:val="22"/>
            <w:szCs w:val="22"/>
            <w:lang w:val="en-TT" w:eastAsia="en-TT"/>
          </w:rPr>
          <w:tab/>
        </w:r>
        <w:r w:rsidR="000557AA" w:rsidRPr="00A00B40">
          <w:rPr>
            <w:rStyle w:val="Hyperlink"/>
            <w:noProof/>
          </w:rPr>
          <w:t>Demographic Characteristics</w:t>
        </w:r>
        <w:r w:rsidR="000557AA">
          <w:rPr>
            <w:noProof/>
            <w:webHidden/>
          </w:rPr>
          <w:tab/>
        </w:r>
        <w:r w:rsidR="000557AA">
          <w:rPr>
            <w:noProof/>
            <w:webHidden/>
          </w:rPr>
          <w:fldChar w:fldCharType="begin"/>
        </w:r>
        <w:r w:rsidR="000557AA">
          <w:rPr>
            <w:noProof/>
            <w:webHidden/>
          </w:rPr>
          <w:instrText xml:space="preserve"> PAGEREF _Toc1902283 \h </w:instrText>
        </w:r>
        <w:r w:rsidR="000557AA">
          <w:rPr>
            <w:noProof/>
            <w:webHidden/>
          </w:rPr>
        </w:r>
        <w:r w:rsidR="000557AA">
          <w:rPr>
            <w:noProof/>
            <w:webHidden/>
          </w:rPr>
          <w:fldChar w:fldCharType="separate"/>
        </w:r>
        <w:r w:rsidR="00AC21CF">
          <w:rPr>
            <w:noProof/>
            <w:webHidden/>
          </w:rPr>
          <w:t>75</w:t>
        </w:r>
        <w:r w:rsidR="000557AA">
          <w:rPr>
            <w:noProof/>
            <w:webHidden/>
          </w:rPr>
          <w:fldChar w:fldCharType="end"/>
        </w:r>
      </w:hyperlink>
    </w:p>
    <w:p w14:paraId="024BA06B"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84" w:history="1">
        <w:r w:rsidR="000557AA" w:rsidRPr="00A00B40">
          <w:rPr>
            <w:rStyle w:val="Hyperlink"/>
            <w:noProof/>
          </w:rPr>
          <w:t>4.2.2</w:t>
        </w:r>
        <w:r w:rsidR="000557AA">
          <w:rPr>
            <w:rFonts w:eastAsiaTheme="minorEastAsia" w:cstheme="minorBidi"/>
            <w:noProof/>
            <w:sz w:val="22"/>
            <w:szCs w:val="22"/>
            <w:lang w:val="en-TT" w:eastAsia="en-TT"/>
          </w:rPr>
          <w:tab/>
        </w:r>
        <w:r w:rsidR="000557AA" w:rsidRPr="00A00B40">
          <w:rPr>
            <w:rStyle w:val="Hyperlink"/>
            <w:noProof/>
          </w:rPr>
          <w:t>Injury Characteristics</w:t>
        </w:r>
        <w:r w:rsidR="000557AA">
          <w:rPr>
            <w:noProof/>
            <w:webHidden/>
          </w:rPr>
          <w:tab/>
        </w:r>
        <w:r w:rsidR="000557AA">
          <w:rPr>
            <w:noProof/>
            <w:webHidden/>
          </w:rPr>
          <w:fldChar w:fldCharType="begin"/>
        </w:r>
        <w:r w:rsidR="000557AA">
          <w:rPr>
            <w:noProof/>
            <w:webHidden/>
          </w:rPr>
          <w:instrText xml:space="preserve"> PAGEREF _Toc1902284 \h </w:instrText>
        </w:r>
        <w:r w:rsidR="000557AA">
          <w:rPr>
            <w:noProof/>
            <w:webHidden/>
          </w:rPr>
        </w:r>
        <w:r w:rsidR="000557AA">
          <w:rPr>
            <w:noProof/>
            <w:webHidden/>
          </w:rPr>
          <w:fldChar w:fldCharType="separate"/>
        </w:r>
        <w:r w:rsidR="00AC21CF">
          <w:rPr>
            <w:noProof/>
            <w:webHidden/>
          </w:rPr>
          <w:t>78</w:t>
        </w:r>
        <w:r w:rsidR="000557AA">
          <w:rPr>
            <w:noProof/>
            <w:webHidden/>
          </w:rPr>
          <w:fldChar w:fldCharType="end"/>
        </w:r>
      </w:hyperlink>
    </w:p>
    <w:p w14:paraId="2A55D647"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85" w:history="1">
        <w:r w:rsidR="000557AA" w:rsidRPr="00A00B40">
          <w:rPr>
            <w:rStyle w:val="Hyperlink"/>
            <w:noProof/>
          </w:rPr>
          <w:t>4.2.3</w:t>
        </w:r>
        <w:r w:rsidR="000557AA">
          <w:rPr>
            <w:rFonts w:eastAsiaTheme="minorEastAsia" w:cstheme="minorBidi"/>
            <w:noProof/>
            <w:sz w:val="22"/>
            <w:szCs w:val="22"/>
            <w:lang w:val="en-TT" w:eastAsia="en-TT"/>
          </w:rPr>
          <w:tab/>
        </w:r>
        <w:r w:rsidR="000557AA" w:rsidRPr="00A00B40">
          <w:rPr>
            <w:rStyle w:val="Hyperlink"/>
            <w:noProof/>
          </w:rPr>
          <w:t>Physiological variables</w:t>
        </w:r>
        <w:r w:rsidR="000557AA">
          <w:rPr>
            <w:noProof/>
            <w:webHidden/>
          </w:rPr>
          <w:tab/>
        </w:r>
        <w:r w:rsidR="000557AA">
          <w:rPr>
            <w:noProof/>
            <w:webHidden/>
          </w:rPr>
          <w:fldChar w:fldCharType="begin"/>
        </w:r>
        <w:r w:rsidR="000557AA">
          <w:rPr>
            <w:noProof/>
            <w:webHidden/>
          </w:rPr>
          <w:instrText xml:space="preserve"> PAGEREF _Toc1902285 \h </w:instrText>
        </w:r>
        <w:r w:rsidR="000557AA">
          <w:rPr>
            <w:noProof/>
            <w:webHidden/>
          </w:rPr>
        </w:r>
        <w:r w:rsidR="000557AA">
          <w:rPr>
            <w:noProof/>
            <w:webHidden/>
          </w:rPr>
          <w:fldChar w:fldCharType="separate"/>
        </w:r>
        <w:r w:rsidR="00AC21CF">
          <w:rPr>
            <w:noProof/>
            <w:webHidden/>
          </w:rPr>
          <w:t>79</w:t>
        </w:r>
        <w:r w:rsidR="000557AA">
          <w:rPr>
            <w:noProof/>
            <w:webHidden/>
          </w:rPr>
          <w:fldChar w:fldCharType="end"/>
        </w:r>
      </w:hyperlink>
    </w:p>
    <w:p w14:paraId="3A0A3E7B"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86" w:history="1">
        <w:r w:rsidR="000557AA" w:rsidRPr="00A00B40">
          <w:rPr>
            <w:rStyle w:val="Hyperlink"/>
            <w:noProof/>
          </w:rPr>
          <w:t>4.3</w:t>
        </w:r>
        <w:r w:rsidR="000557AA">
          <w:rPr>
            <w:rFonts w:eastAsiaTheme="minorEastAsia" w:cstheme="minorBidi"/>
            <w:i w:val="0"/>
            <w:iCs w:val="0"/>
            <w:noProof/>
            <w:sz w:val="22"/>
            <w:szCs w:val="22"/>
            <w:lang w:val="en-TT" w:eastAsia="en-TT"/>
          </w:rPr>
          <w:tab/>
        </w:r>
        <w:r w:rsidR="000557AA" w:rsidRPr="00A00B40">
          <w:rPr>
            <w:rStyle w:val="Hyperlink"/>
            <w:noProof/>
          </w:rPr>
          <w:t>Older Patients with Known and Unknown Outcomes</w:t>
        </w:r>
        <w:r w:rsidR="000557AA">
          <w:rPr>
            <w:noProof/>
            <w:webHidden/>
          </w:rPr>
          <w:tab/>
        </w:r>
        <w:r w:rsidR="000557AA">
          <w:rPr>
            <w:noProof/>
            <w:webHidden/>
          </w:rPr>
          <w:fldChar w:fldCharType="begin"/>
        </w:r>
        <w:r w:rsidR="000557AA">
          <w:rPr>
            <w:noProof/>
            <w:webHidden/>
          </w:rPr>
          <w:instrText xml:space="preserve"> PAGEREF _Toc1902286 \h </w:instrText>
        </w:r>
        <w:r w:rsidR="000557AA">
          <w:rPr>
            <w:noProof/>
            <w:webHidden/>
          </w:rPr>
        </w:r>
        <w:r w:rsidR="000557AA">
          <w:rPr>
            <w:noProof/>
            <w:webHidden/>
          </w:rPr>
          <w:fldChar w:fldCharType="separate"/>
        </w:r>
        <w:r w:rsidR="00AC21CF">
          <w:rPr>
            <w:noProof/>
            <w:webHidden/>
          </w:rPr>
          <w:t>79</w:t>
        </w:r>
        <w:r w:rsidR="000557AA">
          <w:rPr>
            <w:noProof/>
            <w:webHidden/>
          </w:rPr>
          <w:fldChar w:fldCharType="end"/>
        </w:r>
      </w:hyperlink>
    </w:p>
    <w:p w14:paraId="360BD99D"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87" w:history="1">
        <w:r w:rsidR="000557AA" w:rsidRPr="00A00B40">
          <w:rPr>
            <w:rStyle w:val="Hyperlink"/>
            <w:noProof/>
          </w:rPr>
          <w:t>4.3.1</w:t>
        </w:r>
        <w:r w:rsidR="000557AA">
          <w:rPr>
            <w:rFonts w:eastAsiaTheme="minorEastAsia" w:cstheme="minorBidi"/>
            <w:noProof/>
            <w:sz w:val="22"/>
            <w:szCs w:val="22"/>
            <w:lang w:val="en-TT" w:eastAsia="en-TT"/>
          </w:rPr>
          <w:tab/>
        </w:r>
        <w:r w:rsidR="000557AA" w:rsidRPr="00A00B40">
          <w:rPr>
            <w:rStyle w:val="Hyperlink"/>
            <w:noProof/>
          </w:rPr>
          <w:t>Demographic Characteristics</w:t>
        </w:r>
        <w:r w:rsidR="000557AA">
          <w:rPr>
            <w:noProof/>
            <w:webHidden/>
          </w:rPr>
          <w:tab/>
        </w:r>
        <w:r w:rsidR="000557AA">
          <w:rPr>
            <w:noProof/>
            <w:webHidden/>
          </w:rPr>
          <w:fldChar w:fldCharType="begin"/>
        </w:r>
        <w:r w:rsidR="000557AA">
          <w:rPr>
            <w:noProof/>
            <w:webHidden/>
          </w:rPr>
          <w:instrText xml:space="preserve"> PAGEREF _Toc1902287 \h </w:instrText>
        </w:r>
        <w:r w:rsidR="000557AA">
          <w:rPr>
            <w:noProof/>
            <w:webHidden/>
          </w:rPr>
        </w:r>
        <w:r w:rsidR="000557AA">
          <w:rPr>
            <w:noProof/>
            <w:webHidden/>
          </w:rPr>
          <w:fldChar w:fldCharType="separate"/>
        </w:r>
        <w:r w:rsidR="00AC21CF">
          <w:rPr>
            <w:noProof/>
            <w:webHidden/>
          </w:rPr>
          <w:t>80</w:t>
        </w:r>
        <w:r w:rsidR="000557AA">
          <w:rPr>
            <w:noProof/>
            <w:webHidden/>
          </w:rPr>
          <w:fldChar w:fldCharType="end"/>
        </w:r>
      </w:hyperlink>
    </w:p>
    <w:p w14:paraId="7FA82935"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88" w:history="1">
        <w:r w:rsidR="000557AA" w:rsidRPr="00A00B40">
          <w:rPr>
            <w:rStyle w:val="Hyperlink"/>
            <w:noProof/>
          </w:rPr>
          <w:t>4.3.2</w:t>
        </w:r>
        <w:r w:rsidR="000557AA">
          <w:rPr>
            <w:rFonts w:eastAsiaTheme="minorEastAsia" w:cstheme="minorBidi"/>
            <w:noProof/>
            <w:sz w:val="22"/>
            <w:szCs w:val="22"/>
            <w:lang w:val="en-TT" w:eastAsia="en-TT"/>
          </w:rPr>
          <w:tab/>
        </w:r>
        <w:r w:rsidR="000557AA" w:rsidRPr="00A00B40">
          <w:rPr>
            <w:rStyle w:val="Hyperlink"/>
            <w:noProof/>
          </w:rPr>
          <w:t>Injury Characteristics</w:t>
        </w:r>
        <w:r w:rsidR="000557AA">
          <w:rPr>
            <w:noProof/>
            <w:webHidden/>
          </w:rPr>
          <w:tab/>
        </w:r>
        <w:r w:rsidR="000557AA">
          <w:rPr>
            <w:noProof/>
            <w:webHidden/>
          </w:rPr>
          <w:fldChar w:fldCharType="begin"/>
        </w:r>
        <w:r w:rsidR="000557AA">
          <w:rPr>
            <w:noProof/>
            <w:webHidden/>
          </w:rPr>
          <w:instrText xml:space="preserve"> PAGEREF _Toc1902288 \h </w:instrText>
        </w:r>
        <w:r w:rsidR="000557AA">
          <w:rPr>
            <w:noProof/>
            <w:webHidden/>
          </w:rPr>
        </w:r>
        <w:r w:rsidR="000557AA">
          <w:rPr>
            <w:noProof/>
            <w:webHidden/>
          </w:rPr>
          <w:fldChar w:fldCharType="separate"/>
        </w:r>
        <w:r w:rsidR="00AC21CF">
          <w:rPr>
            <w:noProof/>
            <w:webHidden/>
          </w:rPr>
          <w:t>80</w:t>
        </w:r>
        <w:r w:rsidR="000557AA">
          <w:rPr>
            <w:noProof/>
            <w:webHidden/>
          </w:rPr>
          <w:fldChar w:fldCharType="end"/>
        </w:r>
      </w:hyperlink>
    </w:p>
    <w:p w14:paraId="7141D9E6"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89" w:history="1">
        <w:r w:rsidR="000557AA" w:rsidRPr="00A00B40">
          <w:rPr>
            <w:rStyle w:val="Hyperlink"/>
            <w:noProof/>
          </w:rPr>
          <w:t>4.3.3</w:t>
        </w:r>
        <w:r w:rsidR="000557AA">
          <w:rPr>
            <w:rFonts w:eastAsiaTheme="minorEastAsia" w:cstheme="minorBidi"/>
            <w:noProof/>
            <w:sz w:val="22"/>
            <w:szCs w:val="22"/>
            <w:lang w:val="en-TT" w:eastAsia="en-TT"/>
          </w:rPr>
          <w:tab/>
        </w:r>
        <w:r w:rsidR="000557AA" w:rsidRPr="00A00B40">
          <w:rPr>
            <w:rStyle w:val="Hyperlink"/>
            <w:noProof/>
          </w:rPr>
          <w:t>Physiological variables</w:t>
        </w:r>
        <w:r w:rsidR="000557AA">
          <w:rPr>
            <w:noProof/>
            <w:webHidden/>
          </w:rPr>
          <w:tab/>
        </w:r>
        <w:r w:rsidR="000557AA">
          <w:rPr>
            <w:noProof/>
            <w:webHidden/>
          </w:rPr>
          <w:fldChar w:fldCharType="begin"/>
        </w:r>
        <w:r w:rsidR="000557AA">
          <w:rPr>
            <w:noProof/>
            <w:webHidden/>
          </w:rPr>
          <w:instrText xml:space="preserve"> PAGEREF _Toc1902289 \h </w:instrText>
        </w:r>
        <w:r w:rsidR="000557AA">
          <w:rPr>
            <w:noProof/>
            <w:webHidden/>
          </w:rPr>
        </w:r>
        <w:r w:rsidR="000557AA">
          <w:rPr>
            <w:noProof/>
            <w:webHidden/>
          </w:rPr>
          <w:fldChar w:fldCharType="separate"/>
        </w:r>
        <w:r w:rsidR="00AC21CF">
          <w:rPr>
            <w:noProof/>
            <w:webHidden/>
          </w:rPr>
          <w:t>82</w:t>
        </w:r>
        <w:r w:rsidR="000557AA">
          <w:rPr>
            <w:noProof/>
            <w:webHidden/>
          </w:rPr>
          <w:fldChar w:fldCharType="end"/>
        </w:r>
      </w:hyperlink>
    </w:p>
    <w:p w14:paraId="0651524E"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90" w:history="1">
        <w:r w:rsidR="000557AA" w:rsidRPr="00A00B40">
          <w:rPr>
            <w:rStyle w:val="Hyperlink"/>
            <w:noProof/>
          </w:rPr>
          <w:t>4.4</w:t>
        </w:r>
        <w:r w:rsidR="000557AA">
          <w:rPr>
            <w:rFonts w:eastAsiaTheme="minorEastAsia" w:cstheme="minorBidi"/>
            <w:i w:val="0"/>
            <w:iCs w:val="0"/>
            <w:noProof/>
            <w:sz w:val="22"/>
            <w:szCs w:val="22"/>
            <w:lang w:val="en-TT" w:eastAsia="en-TT"/>
          </w:rPr>
          <w:tab/>
        </w:r>
        <w:r w:rsidR="000557AA" w:rsidRPr="00A00B40">
          <w:rPr>
            <w:rStyle w:val="Hyperlink"/>
            <w:noProof/>
          </w:rPr>
          <w:t>Conclusion</w:t>
        </w:r>
        <w:r w:rsidR="000557AA">
          <w:rPr>
            <w:noProof/>
            <w:webHidden/>
          </w:rPr>
          <w:tab/>
        </w:r>
        <w:r w:rsidR="000557AA">
          <w:rPr>
            <w:noProof/>
            <w:webHidden/>
          </w:rPr>
          <w:fldChar w:fldCharType="begin"/>
        </w:r>
        <w:r w:rsidR="000557AA">
          <w:rPr>
            <w:noProof/>
            <w:webHidden/>
          </w:rPr>
          <w:instrText xml:space="preserve"> PAGEREF _Toc1902290 \h </w:instrText>
        </w:r>
        <w:r w:rsidR="000557AA">
          <w:rPr>
            <w:noProof/>
            <w:webHidden/>
          </w:rPr>
        </w:r>
        <w:r w:rsidR="000557AA">
          <w:rPr>
            <w:noProof/>
            <w:webHidden/>
          </w:rPr>
          <w:fldChar w:fldCharType="separate"/>
        </w:r>
        <w:r w:rsidR="00AC21CF">
          <w:rPr>
            <w:noProof/>
            <w:webHidden/>
          </w:rPr>
          <w:t>83</w:t>
        </w:r>
        <w:r w:rsidR="000557AA">
          <w:rPr>
            <w:noProof/>
            <w:webHidden/>
          </w:rPr>
          <w:fldChar w:fldCharType="end"/>
        </w:r>
      </w:hyperlink>
    </w:p>
    <w:p w14:paraId="78CF36A6" w14:textId="77777777" w:rsidR="000557AA" w:rsidRDefault="00993D1E">
      <w:pPr>
        <w:pStyle w:val="TOC1"/>
        <w:tabs>
          <w:tab w:val="right" w:leader="dot" w:pos="8484"/>
        </w:tabs>
        <w:rPr>
          <w:rFonts w:eastAsiaTheme="minorEastAsia" w:cstheme="minorBidi"/>
          <w:b w:val="0"/>
          <w:bCs w:val="0"/>
          <w:noProof/>
          <w:sz w:val="22"/>
          <w:szCs w:val="22"/>
          <w:lang w:val="en-TT" w:eastAsia="en-TT"/>
        </w:rPr>
      </w:pPr>
      <w:hyperlink w:anchor="_Toc1902291" w:history="1">
        <w:r w:rsidR="000557AA" w:rsidRPr="00A00B40">
          <w:rPr>
            <w:rStyle w:val="Hyperlink"/>
            <w:noProof/>
          </w:rPr>
          <w:t>Chapter 5: Developing the Model: Analysis of Patient Characteristics</w:t>
        </w:r>
        <w:r w:rsidR="000557AA">
          <w:rPr>
            <w:noProof/>
            <w:webHidden/>
          </w:rPr>
          <w:tab/>
        </w:r>
        <w:r w:rsidR="000557AA">
          <w:rPr>
            <w:noProof/>
            <w:webHidden/>
          </w:rPr>
          <w:fldChar w:fldCharType="begin"/>
        </w:r>
        <w:r w:rsidR="000557AA">
          <w:rPr>
            <w:noProof/>
            <w:webHidden/>
          </w:rPr>
          <w:instrText xml:space="preserve"> PAGEREF _Toc1902291 \h </w:instrText>
        </w:r>
        <w:r w:rsidR="000557AA">
          <w:rPr>
            <w:noProof/>
            <w:webHidden/>
          </w:rPr>
        </w:r>
        <w:r w:rsidR="000557AA">
          <w:rPr>
            <w:noProof/>
            <w:webHidden/>
          </w:rPr>
          <w:fldChar w:fldCharType="separate"/>
        </w:r>
        <w:r w:rsidR="00AC21CF">
          <w:rPr>
            <w:noProof/>
            <w:webHidden/>
          </w:rPr>
          <w:t>84</w:t>
        </w:r>
        <w:r w:rsidR="000557AA">
          <w:rPr>
            <w:noProof/>
            <w:webHidden/>
          </w:rPr>
          <w:fldChar w:fldCharType="end"/>
        </w:r>
      </w:hyperlink>
    </w:p>
    <w:p w14:paraId="407086F9"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92" w:history="1">
        <w:r w:rsidR="000557AA" w:rsidRPr="00A00B40">
          <w:rPr>
            <w:rStyle w:val="Hyperlink"/>
            <w:noProof/>
          </w:rPr>
          <w:t>5.1</w:t>
        </w:r>
        <w:r w:rsidR="000557AA">
          <w:rPr>
            <w:rFonts w:eastAsiaTheme="minorEastAsia" w:cstheme="minorBidi"/>
            <w:i w:val="0"/>
            <w:iCs w:val="0"/>
            <w:noProof/>
            <w:sz w:val="22"/>
            <w:szCs w:val="22"/>
            <w:lang w:val="en-TT" w:eastAsia="en-TT"/>
          </w:rPr>
          <w:tab/>
        </w:r>
        <w:r w:rsidR="000557AA" w:rsidRPr="00A00B40">
          <w:rPr>
            <w:rStyle w:val="Hyperlink"/>
            <w:noProof/>
          </w:rPr>
          <w:t>Introduction</w:t>
        </w:r>
        <w:r w:rsidR="000557AA">
          <w:rPr>
            <w:noProof/>
            <w:webHidden/>
          </w:rPr>
          <w:tab/>
        </w:r>
        <w:r w:rsidR="000557AA">
          <w:rPr>
            <w:noProof/>
            <w:webHidden/>
          </w:rPr>
          <w:fldChar w:fldCharType="begin"/>
        </w:r>
        <w:r w:rsidR="000557AA">
          <w:rPr>
            <w:noProof/>
            <w:webHidden/>
          </w:rPr>
          <w:instrText xml:space="preserve"> PAGEREF _Toc1902292 \h </w:instrText>
        </w:r>
        <w:r w:rsidR="000557AA">
          <w:rPr>
            <w:noProof/>
            <w:webHidden/>
          </w:rPr>
        </w:r>
        <w:r w:rsidR="000557AA">
          <w:rPr>
            <w:noProof/>
            <w:webHidden/>
          </w:rPr>
          <w:fldChar w:fldCharType="separate"/>
        </w:r>
        <w:r w:rsidR="00AC21CF">
          <w:rPr>
            <w:noProof/>
            <w:webHidden/>
          </w:rPr>
          <w:t>84</w:t>
        </w:r>
        <w:r w:rsidR="000557AA">
          <w:rPr>
            <w:noProof/>
            <w:webHidden/>
          </w:rPr>
          <w:fldChar w:fldCharType="end"/>
        </w:r>
      </w:hyperlink>
    </w:p>
    <w:p w14:paraId="37F6E449"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93" w:history="1">
        <w:r w:rsidR="000557AA" w:rsidRPr="00A00B40">
          <w:rPr>
            <w:rStyle w:val="Hyperlink"/>
            <w:noProof/>
          </w:rPr>
          <w:t>5.2</w:t>
        </w:r>
        <w:r w:rsidR="000557AA">
          <w:rPr>
            <w:rFonts w:eastAsiaTheme="minorEastAsia" w:cstheme="minorBidi"/>
            <w:i w:val="0"/>
            <w:iCs w:val="0"/>
            <w:noProof/>
            <w:sz w:val="22"/>
            <w:szCs w:val="22"/>
            <w:lang w:val="en-TT" w:eastAsia="en-TT"/>
          </w:rPr>
          <w:tab/>
        </w:r>
        <w:r w:rsidR="000557AA" w:rsidRPr="00A00B40">
          <w:rPr>
            <w:rStyle w:val="Hyperlink"/>
            <w:noProof/>
          </w:rPr>
          <w:t>Principles and Methodology for Including Variables in the Final Multivariate Model</w:t>
        </w:r>
        <w:r w:rsidR="000557AA">
          <w:rPr>
            <w:noProof/>
            <w:webHidden/>
          </w:rPr>
          <w:tab/>
        </w:r>
        <w:r w:rsidR="000557AA">
          <w:rPr>
            <w:noProof/>
            <w:webHidden/>
          </w:rPr>
          <w:fldChar w:fldCharType="begin"/>
        </w:r>
        <w:r w:rsidR="000557AA">
          <w:rPr>
            <w:noProof/>
            <w:webHidden/>
          </w:rPr>
          <w:instrText xml:space="preserve"> PAGEREF _Toc1902293 \h </w:instrText>
        </w:r>
        <w:r w:rsidR="000557AA">
          <w:rPr>
            <w:noProof/>
            <w:webHidden/>
          </w:rPr>
        </w:r>
        <w:r w:rsidR="000557AA">
          <w:rPr>
            <w:noProof/>
            <w:webHidden/>
          </w:rPr>
          <w:fldChar w:fldCharType="separate"/>
        </w:r>
        <w:r w:rsidR="00AC21CF">
          <w:rPr>
            <w:noProof/>
            <w:webHidden/>
          </w:rPr>
          <w:t>85</w:t>
        </w:r>
        <w:r w:rsidR="000557AA">
          <w:rPr>
            <w:noProof/>
            <w:webHidden/>
          </w:rPr>
          <w:fldChar w:fldCharType="end"/>
        </w:r>
      </w:hyperlink>
    </w:p>
    <w:p w14:paraId="15A09898"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94" w:history="1">
        <w:r w:rsidR="000557AA" w:rsidRPr="00A00B40">
          <w:rPr>
            <w:rStyle w:val="Hyperlink"/>
            <w:noProof/>
          </w:rPr>
          <w:t>5.2.1</w:t>
        </w:r>
        <w:r w:rsidR="000557AA">
          <w:rPr>
            <w:rFonts w:eastAsiaTheme="minorEastAsia" w:cstheme="minorBidi"/>
            <w:noProof/>
            <w:sz w:val="22"/>
            <w:szCs w:val="22"/>
            <w:lang w:val="en-TT" w:eastAsia="en-TT"/>
          </w:rPr>
          <w:tab/>
        </w:r>
        <w:r w:rsidR="000557AA" w:rsidRPr="00A00B40">
          <w:rPr>
            <w:rStyle w:val="Hyperlink"/>
            <w:noProof/>
          </w:rPr>
          <w:t>Testing linearity of association between continuous variables and outcome</w:t>
        </w:r>
        <w:r w:rsidR="000557AA">
          <w:rPr>
            <w:noProof/>
            <w:webHidden/>
          </w:rPr>
          <w:tab/>
        </w:r>
        <w:r w:rsidR="000557AA">
          <w:rPr>
            <w:noProof/>
            <w:webHidden/>
          </w:rPr>
          <w:fldChar w:fldCharType="begin"/>
        </w:r>
        <w:r w:rsidR="000557AA">
          <w:rPr>
            <w:noProof/>
            <w:webHidden/>
          </w:rPr>
          <w:instrText xml:space="preserve"> PAGEREF _Toc1902294 \h </w:instrText>
        </w:r>
        <w:r w:rsidR="000557AA">
          <w:rPr>
            <w:noProof/>
            <w:webHidden/>
          </w:rPr>
        </w:r>
        <w:r w:rsidR="000557AA">
          <w:rPr>
            <w:noProof/>
            <w:webHidden/>
          </w:rPr>
          <w:fldChar w:fldCharType="separate"/>
        </w:r>
        <w:r w:rsidR="00AC21CF">
          <w:rPr>
            <w:noProof/>
            <w:webHidden/>
          </w:rPr>
          <w:t>85</w:t>
        </w:r>
        <w:r w:rsidR="000557AA">
          <w:rPr>
            <w:noProof/>
            <w:webHidden/>
          </w:rPr>
          <w:fldChar w:fldCharType="end"/>
        </w:r>
      </w:hyperlink>
    </w:p>
    <w:p w14:paraId="4D0AAB0D"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95" w:history="1">
        <w:r w:rsidR="000557AA" w:rsidRPr="00A00B40">
          <w:rPr>
            <w:rStyle w:val="Hyperlink"/>
            <w:noProof/>
          </w:rPr>
          <w:t>5.2.2</w:t>
        </w:r>
        <w:r w:rsidR="000557AA">
          <w:rPr>
            <w:rFonts w:eastAsiaTheme="minorEastAsia" w:cstheme="minorBidi"/>
            <w:noProof/>
            <w:sz w:val="22"/>
            <w:szCs w:val="22"/>
            <w:lang w:val="en-TT" w:eastAsia="en-TT"/>
          </w:rPr>
          <w:tab/>
        </w:r>
        <w:r w:rsidR="000557AA" w:rsidRPr="00A00B40">
          <w:rPr>
            <w:rStyle w:val="Hyperlink"/>
            <w:noProof/>
          </w:rPr>
          <w:t>Assessing for multi-collinearity</w:t>
        </w:r>
        <w:r w:rsidR="000557AA">
          <w:rPr>
            <w:noProof/>
            <w:webHidden/>
          </w:rPr>
          <w:tab/>
        </w:r>
        <w:r w:rsidR="000557AA">
          <w:rPr>
            <w:noProof/>
            <w:webHidden/>
          </w:rPr>
          <w:fldChar w:fldCharType="begin"/>
        </w:r>
        <w:r w:rsidR="000557AA">
          <w:rPr>
            <w:noProof/>
            <w:webHidden/>
          </w:rPr>
          <w:instrText xml:space="preserve"> PAGEREF _Toc1902295 \h </w:instrText>
        </w:r>
        <w:r w:rsidR="000557AA">
          <w:rPr>
            <w:noProof/>
            <w:webHidden/>
          </w:rPr>
        </w:r>
        <w:r w:rsidR="000557AA">
          <w:rPr>
            <w:noProof/>
            <w:webHidden/>
          </w:rPr>
          <w:fldChar w:fldCharType="separate"/>
        </w:r>
        <w:r w:rsidR="00AC21CF">
          <w:rPr>
            <w:noProof/>
            <w:webHidden/>
          </w:rPr>
          <w:t>85</w:t>
        </w:r>
        <w:r w:rsidR="000557AA">
          <w:rPr>
            <w:noProof/>
            <w:webHidden/>
          </w:rPr>
          <w:fldChar w:fldCharType="end"/>
        </w:r>
      </w:hyperlink>
    </w:p>
    <w:p w14:paraId="2D50F587"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296" w:history="1">
        <w:r w:rsidR="000557AA" w:rsidRPr="00A00B40">
          <w:rPr>
            <w:rStyle w:val="Hyperlink"/>
            <w:noProof/>
          </w:rPr>
          <w:t>5.3</w:t>
        </w:r>
        <w:r w:rsidR="000557AA">
          <w:rPr>
            <w:rFonts w:eastAsiaTheme="minorEastAsia" w:cstheme="minorBidi"/>
            <w:i w:val="0"/>
            <w:iCs w:val="0"/>
            <w:noProof/>
            <w:sz w:val="22"/>
            <w:szCs w:val="22"/>
            <w:lang w:val="en-TT" w:eastAsia="en-TT"/>
          </w:rPr>
          <w:tab/>
        </w:r>
        <w:r w:rsidR="000557AA" w:rsidRPr="00A00B40">
          <w:rPr>
            <w:rStyle w:val="Hyperlink"/>
            <w:noProof/>
          </w:rPr>
          <w:t>Results of the Univariate Analysis</w:t>
        </w:r>
        <w:r w:rsidR="000557AA">
          <w:rPr>
            <w:noProof/>
            <w:webHidden/>
          </w:rPr>
          <w:tab/>
        </w:r>
        <w:r w:rsidR="000557AA">
          <w:rPr>
            <w:noProof/>
            <w:webHidden/>
          </w:rPr>
          <w:fldChar w:fldCharType="begin"/>
        </w:r>
        <w:r w:rsidR="000557AA">
          <w:rPr>
            <w:noProof/>
            <w:webHidden/>
          </w:rPr>
          <w:instrText xml:space="preserve"> PAGEREF _Toc1902296 \h </w:instrText>
        </w:r>
        <w:r w:rsidR="000557AA">
          <w:rPr>
            <w:noProof/>
            <w:webHidden/>
          </w:rPr>
        </w:r>
        <w:r w:rsidR="000557AA">
          <w:rPr>
            <w:noProof/>
            <w:webHidden/>
          </w:rPr>
          <w:fldChar w:fldCharType="separate"/>
        </w:r>
        <w:r w:rsidR="00AC21CF">
          <w:rPr>
            <w:noProof/>
            <w:webHidden/>
          </w:rPr>
          <w:t>86</w:t>
        </w:r>
        <w:r w:rsidR="000557AA">
          <w:rPr>
            <w:noProof/>
            <w:webHidden/>
          </w:rPr>
          <w:fldChar w:fldCharType="end"/>
        </w:r>
      </w:hyperlink>
    </w:p>
    <w:p w14:paraId="15E813C9"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97" w:history="1">
        <w:r w:rsidR="000557AA" w:rsidRPr="00A00B40">
          <w:rPr>
            <w:rStyle w:val="Hyperlink"/>
            <w:noProof/>
          </w:rPr>
          <w:t>5.3.1</w:t>
        </w:r>
        <w:r w:rsidR="000557AA">
          <w:rPr>
            <w:rFonts w:eastAsiaTheme="minorEastAsia" w:cstheme="minorBidi"/>
            <w:noProof/>
            <w:sz w:val="22"/>
            <w:szCs w:val="22"/>
            <w:lang w:val="en-TT" w:eastAsia="en-TT"/>
          </w:rPr>
          <w:tab/>
        </w:r>
        <w:r w:rsidR="000557AA" w:rsidRPr="00A00B40">
          <w:rPr>
            <w:rStyle w:val="Hyperlink"/>
            <w:noProof/>
          </w:rPr>
          <w:t>Demographic Variables</w:t>
        </w:r>
        <w:r w:rsidR="000557AA">
          <w:rPr>
            <w:noProof/>
            <w:webHidden/>
          </w:rPr>
          <w:tab/>
        </w:r>
        <w:r w:rsidR="000557AA">
          <w:rPr>
            <w:noProof/>
            <w:webHidden/>
          </w:rPr>
          <w:fldChar w:fldCharType="begin"/>
        </w:r>
        <w:r w:rsidR="000557AA">
          <w:rPr>
            <w:noProof/>
            <w:webHidden/>
          </w:rPr>
          <w:instrText xml:space="preserve"> PAGEREF _Toc1902297 \h </w:instrText>
        </w:r>
        <w:r w:rsidR="000557AA">
          <w:rPr>
            <w:noProof/>
            <w:webHidden/>
          </w:rPr>
        </w:r>
        <w:r w:rsidR="000557AA">
          <w:rPr>
            <w:noProof/>
            <w:webHidden/>
          </w:rPr>
          <w:fldChar w:fldCharType="separate"/>
        </w:r>
        <w:r w:rsidR="00AC21CF">
          <w:rPr>
            <w:noProof/>
            <w:webHidden/>
          </w:rPr>
          <w:t>86</w:t>
        </w:r>
        <w:r w:rsidR="000557AA">
          <w:rPr>
            <w:noProof/>
            <w:webHidden/>
          </w:rPr>
          <w:fldChar w:fldCharType="end"/>
        </w:r>
      </w:hyperlink>
    </w:p>
    <w:p w14:paraId="034BD466"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98" w:history="1">
        <w:r w:rsidR="000557AA" w:rsidRPr="00A00B40">
          <w:rPr>
            <w:rStyle w:val="Hyperlink"/>
            <w:noProof/>
          </w:rPr>
          <w:t>5.3.2</w:t>
        </w:r>
        <w:r w:rsidR="000557AA">
          <w:rPr>
            <w:rFonts w:eastAsiaTheme="minorEastAsia" w:cstheme="minorBidi"/>
            <w:noProof/>
            <w:sz w:val="22"/>
            <w:szCs w:val="22"/>
            <w:lang w:val="en-TT" w:eastAsia="en-TT"/>
          </w:rPr>
          <w:tab/>
        </w:r>
        <w:r w:rsidR="000557AA" w:rsidRPr="00A00B40">
          <w:rPr>
            <w:rStyle w:val="Hyperlink"/>
            <w:noProof/>
          </w:rPr>
          <w:t>Pre-injury Clinical Characteristics</w:t>
        </w:r>
        <w:r w:rsidR="000557AA">
          <w:rPr>
            <w:noProof/>
            <w:webHidden/>
          </w:rPr>
          <w:tab/>
        </w:r>
        <w:r w:rsidR="000557AA">
          <w:rPr>
            <w:noProof/>
            <w:webHidden/>
          </w:rPr>
          <w:fldChar w:fldCharType="begin"/>
        </w:r>
        <w:r w:rsidR="000557AA">
          <w:rPr>
            <w:noProof/>
            <w:webHidden/>
          </w:rPr>
          <w:instrText xml:space="preserve"> PAGEREF _Toc1902298 \h </w:instrText>
        </w:r>
        <w:r w:rsidR="000557AA">
          <w:rPr>
            <w:noProof/>
            <w:webHidden/>
          </w:rPr>
        </w:r>
        <w:r w:rsidR="000557AA">
          <w:rPr>
            <w:noProof/>
            <w:webHidden/>
          </w:rPr>
          <w:fldChar w:fldCharType="separate"/>
        </w:r>
        <w:r w:rsidR="00AC21CF">
          <w:rPr>
            <w:noProof/>
            <w:webHidden/>
          </w:rPr>
          <w:t>88</w:t>
        </w:r>
        <w:r w:rsidR="000557AA">
          <w:rPr>
            <w:noProof/>
            <w:webHidden/>
          </w:rPr>
          <w:fldChar w:fldCharType="end"/>
        </w:r>
      </w:hyperlink>
    </w:p>
    <w:p w14:paraId="0F200062"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299" w:history="1">
        <w:r w:rsidR="000557AA" w:rsidRPr="00A00B40">
          <w:rPr>
            <w:rStyle w:val="Hyperlink"/>
            <w:noProof/>
          </w:rPr>
          <w:t>5.3.3</w:t>
        </w:r>
        <w:r w:rsidR="000557AA">
          <w:rPr>
            <w:rFonts w:eastAsiaTheme="minorEastAsia" w:cstheme="minorBidi"/>
            <w:noProof/>
            <w:sz w:val="22"/>
            <w:szCs w:val="22"/>
            <w:lang w:val="en-TT" w:eastAsia="en-TT"/>
          </w:rPr>
          <w:tab/>
        </w:r>
        <w:r w:rsidR="000557AA" w:rsidRPr="00A00B40">
          <w:rPr>
            <w:rStyle w:val="Hyperlink"/>
            <w:noProof/>
          </w:rPr>
          <w:t>Injury Characteristics</w:t>
        </w:r>
        <w:r w:rsidR="000557AA">
          <w:rPr>
            <w:noProof/>
            <w:webHidden/>
          </w:rPr>
          <w:tab/>
        </w:r>
        <w:r w:rsidR="000557AA">
          <w:rPr>
            <w:noProof/>
            <w:webHidden/>
          </w:rPr>
          <w:fldChar w:fldCharType="begin"/>
        </w:r>
        <w:r w:rsidR="000557AA">
          <w:rPr>
            <w:noProof/>
            <w:webHidden/>
          </w:rPr>
          <w:instrText xml:space="preserve"> PAGEREF _Toc1902299 \h </w:instrText>
        </w:r>
        <w:r w:rsidR="000557AA">
          <w:rPr>
            <w:noProof/>
            <w:webHidden/>
          </w:rPr>
        </w:r>
        <w:r w:rsidR="000557AA">
          <w:rPr>
            <w:noProof/>
            <w:webHidden/>
          </w:rPr>
          <w:fldChar w:fldCharType="separate"/>
        </w:r>
        <w:r w:rsidR="00AC21CF">
          <w:rPr>
            <w:noProof/>
            <w:webHidden/>
          </w:rPr>
          <w:t>88</w:t>
        </w:r>
        <w:r w:rsidR="000557AA">
          <w:rPr>
            <w:noProof/>
            <w:webHidden/>
          </w:rPr>
          <w:fldChar w:fldCharType="end"/>
        </w:r>
      </w:hyperlink>
    </w:p>
    <w:p w14:paraId="59BB7356"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00" w:history="1">
        <w:r w:rsidR="000557AA" w:rsidRPr="00A00B40">
          <w:rPr>
            <w:rStyle w:val="Hyperlink"/>
            <w:noProof/>
          </w:rPr>
          <w:t>5.3.4</w:t>
        </w:r>
        <w:r w:rsidR="000557AA">
          <w:rPr>
            <w:rFonts w:eastAsiaTheme="minorEastAsia" w:cstheme="minorBidi"/>
            <w:noProof/>
            <w:sz w:val="22"/>
            <w:szCs w:val="22"/>
            <w:lang w:val="en-TT" w:eastAsia="en-TT"/>
          </w:rPr>
          <w:tab/>
        </w:r>
        <w:r w:rsidR="000557AA" w:rsidRPr="00A00B40">
          <w:rPr>
            <w:rStyle w:val="Hyperlink"/>
            <w:noProof/>
          </w:rPr>
          <w:t>Physiological Status</w:t>
        </w:r>
        <w:r w:rsidR="000557AA">
          <w:rPr>
            <w:noProof/>
            <w:webHidden/>
          </w:rPr>
          <w:tab/>
        </w:r>
        <w:r w:rsidR="000557AA">
          <w:rPr>
            <w:noProof/>
            <w:webHidden/>
          </w:rPr>
          <w:fldChar w:fldCharType="begin"/>
        </w:r>
        <w:r w:rsidR="000557AA">
          <w:rPr>
            <w:noProof/>
            <w:webHidden/>
          </w:rPr>
          <w:instrText xml:space="preserve"> PAGEREF _Toc1902300 \h </w:instrText>
        </w:r>
        <w:r w:rsidR="000557AA">
          <w:rPr>
            <w:noProof/>
            <w:webHidden/>
          </w:rPr>
        </w:r>
        <w:r w:rsidR="000557AA">
          <w:rPr>
            <w:noProof/>
            <w:webHidden/>
          </w:rPr>
          <w:fldChar w:fldCharType="separate"/>
        </w:r>
        <w:r w:rsidR="00AC21CF">
          <w:rPr>
            <w:noProof/>
            <w:webHidden/>
          </w:rPr>
          <w:t>92</w:t>
        </w:r>
        <w:r w:rsidR="000557AA">
          <w:rPr>
            <w:noProof/>
            <w:webHidden/>
          </w:rPr>
          <w:fldChar w:fldCharType="end"/>
        </w:r>
      </w:hyperlink>
    </w:p>
    <w:p w14:paraId="0744A2E1"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01" w:history="1">
        <w:r w:rsidR="000557AA" w:rsidRPr="00A00B40">
          <w:rPr>
            <w:rStyle w:val="Hyperlink"/>
            <w:noProof/>
          </w:rPr>
          <w:t>5.3.5</w:t>
        </w:r>
        <w:r w:rsidR="000557AA">
          <w:rPr>
            <w:rFonts w:eastAsiaTheme="minorEastAsia" w:cstheme="minorBidi"/>
            <w:noProof/>
            <w:sz w:val="22"/>
            <w:szCs w:val="22"/>
            <w:lang w:val="en-TT" w:eastAsia="en-TT"/>
          </w:rPr>
          <w:tab/>
        </w:r>
        <w:r w:rsidR="000557AA" w:rsidRPr="00A00B40">
          <w:rPr>
            <w:rStyle w:val="Hyperlink"/>
            <w:noProof/>
          </w:rPr>
          <w:t>Summary of Univariate Analysis and Choice of Variables for Multivariate Model</w:t>
        </w:r>
        <w:r w:rsidR="000557AA">
          <w:rPr>
            <w:noProof/>
            <w:webHidden/>
          </w:rPr>
          <w:tab/>
        </w:r>
        <w:r w:rsidR="000557AA">
          <w:rPr>
            <w:noProof/>
            <w:webHidden/>
          </w:rPr>
          <w:fldChar w:fldCharType="begin"/>
        </w:r>
        <w:r w:rsidR="000557AA">
          <w:rPr>
            <w:noProof/>
            <w:webHidden/>
          </w:rPr>
          <w:instrText xml:space="preserve"> PAGEREF _Toc1902301 \h </w:instrText>
        </w:r>
        <w:r w:rsidR="000557AA">
          <w:rPr>
            <w:noProof/>
            <w:webHidden/>
          </w:rPr>
        </w:r>
        <w:r w:rsidR="000557AA">
          <w:rPr>
            <w:noProof/>
            <w:webHidden/>
          </w:rPr>
          <w:fldChar w:fldCharType="separate"/>
        </w:r>
        <w:r w:rsidR="00AC21CF">
          <w:rPr>
            <w:noProof/>
            <w:webHidden/>
          </w:rPr>
          <w:t>93</w:t>
        </w:r>
        <w:r w:rsidR="000557AA">
          <w:rPr>
            <w:noProof/>
            <w:webHidden/>
          </w:rPr>
          <w:fldChar w:fldCharType="end"/>
        </w:r>
      </w:hyperlink>
    </w:p>
    <w:p w14:paraId="6F295625"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302" w:history="1">
        <w:r w:rsidR="000557AA" w:rsidRPr="00A00B40">
          <w:rPr>
            <w:rStyle w:val="Hyperlink"/>
            <w:noProof/>
          </w:rPr>
          <w:t>5.4</w:t>
        </w:r>
        <w:r w:rsidR="000557AA">
          <w:rPr>
            <w:rFonts w:eastAsiaTheme="minorEastAsia" w:cstheme="minorBidi"/>
            <w:i w:val="0"/>
            <w:iCs w:val="0"/>
            <w:noProof/>
            <w:sz w:val="22"/>
            <w:szCs w:val="22"/>
            <w:lang w:val="en-TT" w:eastAsia="en-TT"/>
          </w:rPr>
          <w:tab/>
        </w:r>
        <w:r w:rsidR="000557AA" w:rsidRPr="00A00B40">
          <w:rPr>
            <w:rStyle w:val="Hyperlink"/>
            <w:noProof/>
          </w:rPr>
          <w:t>Development of the Multivariate Model</w:t>
        </w:r>
        <w:r w:rsidR="000557AA">
          <w:rPr>
            <w:noProof/>
            <w:webHidden/>
          </w:rPr>
          <w:tab/>
        </w:r>
        <w:r w:rsidR="000557AA">
          <w:rPr>
            <w:noProof/>
            <w:webHidden/>
          </w:rPr>
          <w:fldChar w:fldCharType="begin"/>
        </w:r>
        <w:r w:rsidR="000557AA">
          <w:rPr>
            <w:noProof/>
            <w:webHidden/>
          </w:rPr>
          <w:instrText xml:space="preserve"> PAGEREF _Toc1902302 \h </w:instrText>
        </w:r>
        <w:r w:rsidR="000557AA">
          <w:rPr>
            <w:noProof/>
            <w:webHidden/>
          </w:rPr>
        </w:r>
        <w:r w:rsidR="000557AA">
          <w:rPr>
            <w:noProof/>
            <w:webHidden/>
          </w:rPr>
          <w:fldChar w:fldCharType="separate"/>
        </w:r>
        <w:r w:rsidR="00AC21CF">
          <w:rPr>
            <w:noProof/>
            <w:webHidden/>
          </w:rPr>
          <w:t>95</w:t>
        </w:r>
        <w:r w:rsidR="000557AA">
          <w:rPr>
            <w:noProof/>
            <w:webHidden/>
          </w:rPr>
          <w:fldChar w:fldCharType="end"/>
        </w:r>
      </w:hyperlink>
    </w:p>
    <w:p w14:paraId="1FDAC36D"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03" w:history="1">
        <w:r w:rsidR="000557AA" w:rsidRPr="00A00B40">
          <w:rPr>
            <w:rStyle w:val="Hyperlink"/>
            <w:noProof/>
          </w:rPr>
          <w:t>5.4.1</w:t>
        </w:r>
        <w:r w:rsidR="000557AA">
          <w:rPr>
            <w:rFonts w:eastAsiaTheme="minorEastAsia" w:cstheme="minorBidi"/>
            <w:noProof/>
            <w:sz w:val="22"/>
            <w:szCs w:val="22"/>
            <w:lang w:val="en-TT" w:eastAsia="en-TT"/>
          </w:rPr>
          <w:tab/>
        </w:r>
        <w:r w:rsidR="000557AA" w:rsidRPr="00A00B40">
          <w:rPr>
            <w:rStyle w:val="Hyperlink"/>
            <w:noProof/>
          </w:rPr>
          <w:t>Selection of variables for the final multivariate model</w:t>
        </w:r>
        <w:r w:rsidR="000557AA">
          <w:rPr>
            <w:noProof/>
            <w:webHidden/>
          </w:rPr>
          <w:tab/>
        </w:r>
        <w:r w:rsidR="000557AA">
          <w:rPr>
            <w:noProof/>
            <w:webHidden/>
          </w:rPr>
          <w:fldChar w:fldCharType="begin"/>
        </w:r>
        <w:r w:rsidR="000557AA">
          <w:rPr>
            <w:noProof/>
            <w:webHidden/>
          </w:rPr>
          <w:instrText xml:space="preserve"> PAGEREF _Toc1902303 \h </w:instrText>
        </w:r>
        <w:r w:rsidR="000557AA">
          <w:rPr>
            <w:noProof/>
            <w:webHidden/>
          </w:rPr>
        </w:r>
        <w:r w:rsidR="000557AA">
          <w:rPr>
            <w:noProof/>
            <w:webHidden/>
          </w:rPr>
          <w:fldChar w:fldCharType="separate"/>
        </w:r>
        <w:r w:rsidR="00AC21CF">
          <w:rPr>
            <w:noProof/>
            <w:webHidden/>
          </w:rPr>
          <w:t>95</w:t>
        </w:r>
        <w:r w:rsidR="000557AA">
          <w:rPr>
            <w:noProof/>
            <w:webHidden/>
          </w:rPr>
          <w:fldChar w:fldCharType="end"/>
        </w:r>
      </w:hyperlink>
    </w:p>
    <w:p w14:paraId="2687FB59"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04" w:history="1">
        <w:r w:rsidR="000557AA" w:rsidRPr="00A00B40">
          <w:rPr>
            <w:rStyle w:val="Hyperlink"/>
            <w:noProof/>
          </w:rPr>
          <w:t>5.4.2</w:t>
        </w:r>
        <w:r w:rsidR="000557AA">
          <w:rPr>
            <w:rFonts w:eastAsiaTheme="minorEastAsia" w:cstheme="minorBidi"/>
            <w:noProof/>
            <w:sz w:val="22"/>
            <w:szCs w:val="22"/>
            <w:lang w:val="en-TT" w:eastAsia="en-TT"/>
          </w:rPr>
          <w:tab/>
        </w:r>
        <w:r w:rsidR="000557AA" w:rsidRPr="00A00B40">
          <w:rPr>
            <w:rStyle w:val="Hyperlink"/>
            <w:noProof/>
          </w:rPr>
          <w:t>Variables with significant collinearity</w:t>
        </w:r>
        <w:r w:rsidR="000557AA">
          <w:rPr>
            <w:noProof/>
            <w:webHidden/>
          </w:rPr>
          <w:tab/>
        </w:r>
        <w:r w:rsidR="000557AA">
          <w:rPr>
            <w:noProof/>
            <w:webHidden/>
          </w:rPr>
          <w:fldChar w:fldCharType="begin"/>
        </w:r>
        <w:r w:rsidR="000557AA">
          <w:rPr>
            <w:noProof/>
            <w:webHidden/>
          </w:rPr>
          <w:instrText xml:space="preserve"> PAGEREF _Toc1902304 \h </w:instrText>
        </w:r>
        <w:r w:rsidR="000557AA">
          <w:rPr>
            <w:noProof/>
            <w:webHidden/>
          </w:rPr>
        </w:r>
        <w:r w:rsidR="000557AA">
          <w:rPr>
            <w:noProof/>
            <w:webHidden/>
          </w:rPr>
          <w:fldChar w:fldCharType="separate"/>
        </w:r>
        <w:r w:rsidR="00AC21CF">
          <w:rPr>
            <w:noProof/>
            <w:webHidden/>
          </w:rPr>
          <w:t>95</w:t>
        </w:r>
        <w:r w:rsidR="000557AA">
          <w:rPr>
            <w:noProof/>
            <w:webHidden/>
          </w:rPr>
          <w:fldChar w:fldCharType="end"/>
        </w:r>
      </w:hyperlink>
    </w:p>
    <w:p w14:paraId="49C25B80"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05" w:history="1">
        <w:r w:rsidR="000557AA" w:rsidRPr="00A00B40">
          <w:rPr>
            <w:rStyle w:val="Hyperlink"/>
            <w:noProof/>
          </w:rPr>
          <w:t>5.4.3</w:t>
        </w:r>
        <w:r w:rsidR="000557AA">
          <w:rPr>
            <w:rFonts w:eastAsiaTheme="minorEastAsia" w:cstheme="minorBidi"/>
            <w:noProof/>
            <w:sz w:val="22"/>
            <w:szCs w:val="22"/>
            <w:lang w:val="en-TT" w:eastAsia="en-TT"/>
          </w:rPr>
          <w:tab/>
        </w:r>
        <w:r w:rsidR="000557AA" w:rsidRPr="00A00B40">
          <w:rPr>
            <w:rStyle w:val="Hyperlink"/>
            <w:noProof/>
          </w:rPr>
          <w:t>Variables initially included in the multivariate model</w:t>
        </w:r>
        <w:r w:rsidR="000557AA">
          <w:rPr>
            <w:noProof/>
            <w:webHidden/>
          </w:rPr>
          <w:tab/>
        </w:r>
        <w:r w:rsidR="000557AA">
          <w:rPr>
            <w:noProof/>
            <w:webHidden/>
          </w:rPr>
          <w:fldChar w:fldCharType="begin"/>
        </w:r>
        <w:r w:rsidR="000557AA">
          <w:rPr>
            <w:noProof/>
            <w:webHidden/>
          </w:rPr>
          <w:instrText xml:space="preserve"> PAGEREF _Toc1902305 \h </w:instrText>
        </w:r>
        <w:r w:rsidR="000557AA">
          <w:rPr>
            <w:noProof/>
            <w:webHidden/>
          </w:rPr>
        </w:r>
        <w:r w:rsidR="000557AA">
          <w:rPr>
            <w:noProof/>
            <w:webHidden/>
          </w:rPr>
          <w:fldChar w:fldCharType="separate"/>
        </w:r>
        <w:r w:rsidR="00AC21CF">
          <w:rPr>
            <w:noProof/>
            <w:webHidden/>
          </w:rPr>
          <w:t>96</w:t>
        </w:r>
        <w:r w:rsidR="000557AA">
          <w:rPr>
            <w:noProof/>
            <w:webHidden/>
          </w:rPr>
          <w:fldChar w:fldCharType="end"/>
        </w:r>
      </w:hyperlink>
    </w:p>
    <w:p w14:paraId="403D12FE"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06" w:history="1">
        <w:r w:rsidR="000557AA" w:rsidRPr="00A00B40">
          <w:rPr>
            <w:rStyle w:val="Hyperlink"/>
            <w:noProof/>
          </w:rPr>
          <w:t>5.4.4</w:t>
        </w:r>
        <w:r w:rsidR="000557AA">
          <w:rPr>
            <w:rFonts w:eastAsiaTheme="minorEastAsia" w:cstheme="minorBidi"/>
            <w:noProof/>
            <w:sz w:val="22"/>
            <w:szCs w:val="22"/>
            <w:lang w:val="en-TT" w:eastAsia="en-TT"/>
          </w:rPr>
          <w:tab/>
        </w:r>
        <w:r w:rsidR="000557AA" w:rsidRPr="00A00B40">
          <w:rPr>
            <w:rStyle w:val="Hyperlink"/>
            <w:noProof/>
          </w:rPr>
          <w:t>Exclusion of variables on the basis of their performance in the multivariate model</w:t>
        </w:r>
        <w:r w:rsidR="000557AA">
          <w:rPr>
            <w:noProof/>
            <w:webHidden/>
          </w:rPr>
          <w:tab/>
        </w:r>
        <w:r w:rsidR="000557AA">
          <w:rPr>
            <w:noProof/>
            <w:webHidden/>
          </w:rPr>
          <w:fldChar w:fldCharType="begin"/>
        </w:r>
        <w:r w:rsidR="000557AA">
          <w:rPr>
            <w:noProof/>
            <w:webHidden/>
          </w:rPr>
          <w:instrText xml:space="preserve"> PAGEREF _Toc1902306 \h </w:instrText>
        </w:r>
        <w:r w:rsidR="000557AA">
          <w:rPr>
            <w:noProof/>
            <w:webHidden/>
          </w:rPr>
        </w:r>
        <w:r w:rsidR="000557AA">
          <w:rPr>
            <w:noProof/>
            <w:webHidden/>
          </w:rPr>
          <w:fldChar w:fldCharType="separate"/>
        </w:r>
        <w:r w:rsidR="00AC21CF">
          <w:rPr>
            <w:noProof/>
            <w:webHidden/>
          </w:rPr>
          <w:t>100</w:t>
        </w:r>
        <w:r w:rsidR="000557AA">
          <w:rPr>
            <w:noProof/>
            <w:webHidden/>
          </w:rPr>
          <w:fldChar w:fldCharType="end"/>
        </w:r>
      </w:hyperlink>
    </w:p>
    <w:p w14:paraId="020E7DC8"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07" w:history="1">
        <w:r w:rsidR="000557AA" w:rsidRPr="00A00B40">
          <w:rPr>
            <w:rStyle w:val="Hyperlink"/>
            <w:noProof/>
          </w:rPr>
          <w:t>5.4.5</w:t>
        </w:r>
        <w:r w:rsidR="000557AA">
          <w:rPr>
            <w:rFonts w:eastAsiaTheme="minorEastAsia" w:cstheme="minorBidi"/>
            <w:noProof/>
            <w:sz w:val="22"/>
            <w:szCs w:val="22"/>
            <w:lang w:val="en-TT" w:eastAsia="en-TT"/>
          </w:rPr>
          <w:tab/>
        </w:r>
        <w:r w:rsidR="000557AA" w:rsidRPr="00A00B40">
          <w:rPr>
            <w:rStyle w:val="Hyperlink"/>
            <w:noProof/>
          </w:rPr>
          <w:t>Further refinement of the model</w:t>
        </w:r>
        <w:r w:rsidR="000557AA">
          <w:rPr>
            <w:noProof/>
            <w:webHidden/>
          </w:rPr>
          <w:tab/>
        </w:r>
        <w:r w:rsidR="000557AA">
          <w:rPr>
            <w:noProof/>
            <w:webHidden/>
          </w:rPr>
          <w:fldChar w:fldCharType="begin"/>
        </w:r>
        <w:r w:rsidR="000557AA">
          <w:rPr>
            <w:noProof/>
            <w:webHidden/>
          </w:rPr>
          <w:instrText xml:space="preserve"> PAGEREF _Toc1902307 \h </w:instrText>
        </w:r>
        <w:r w:rsidR="000557AA">
          <w:rPr>
            <w:noProof/>
            <w:webHidden/>
          </w:rPr>
        </w:r>
        <w:r w:rsidR="000557AA">
          <w:rPr>
            <w:noProof/>
            <w:webHidden/>
          </w:rPr>
          <w:fldChar w:fldCharType="separate"/>
        </w:r>
        <w:r w:rsidR="00AC21CF">
          <w:rPr>
            <w:noProof/>
            <w:webHidden/>
          </w:rPr>
          <w:t>100</w:t>
        </w:r>
        <w:r w:rsidR="000557AA">
          <w:rPr>
            <w:noProof/>
            <w:webHidden/>
          </w:rPr>
          <w:fldChar w:fldCharType="end"/>
        </w:r>
      </w:hyperlink>
    </w:p>
    <w:p w14:paraId="00FC1D87"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08" w:history="1">
        <w:r w:rsidR="000557AA" w:rsidRPr="00A00B40">
          <w:rPr>
            <w:rStyle w:val="Hyperlink"/>
            <w:noProof/>
          </w:rPr>
          <w:t>5.4.6</w:t>
        </w:r>
        <w:r w:rsidR="000557AA">
          <w:rPr>
            <w:rFonts w:eastAsiaTheme="minorEastAsia" w:cstheme="minorBidi"/>
            <w:noProof/>
            <w:sz w:val="22"/>
            <w:szCs w:val="22"/>
            <w:lang w:val="en-TT" w:eastAsia="en-TT"/>
          </w:rPr>
          <w:tab/>
        </w:r>
        <w:r w:rsidR="000557AA" w:rsidRPr="00A00B40">
          <w:rPr>
            <w:rStyle w:val="Hyperlink"/>
            <w:noProof/>
          </w:rPr>
          <w:t>Comparison of different forms of specific variables</w:t>
        </w:r>
        <w:r w:rsidR="000557AA">
          <w:rPr>
            <w:noProof/>
            <w:webHidden/>
          </w:rPr>
          <w:tab/>
        </w:r>
        <w:r w:rsidR="000557AA">
          <w:rPr>
            <w:noProof/>
            <w:webHidden/>
          </w:rPr>
          <w:fldChar w:fldCharType="begin"/>
        </w:r>
        <w:r w:rsidR="000557AA">
          <w:rPr>
            <w:noProof/>
            <w:webHidden/>
          </w:rPr>
          <w:instrText xml:space="preserve"> PAGEREF _Toc1902308 \h </w:instrText>
        </w:r>
        <w:r w:rsidR="000557AA">
          <w:rPr>
            <w:noProof/>
            <w:webHidden/>
          </w:rPr>
        </w:r>
        <w:r w:rsidR="000557AA">
          <w:rPr>
            <w:noProof/>
            <w:webHidden/>
          </w:rPr>
          <w:fldChar w:fldCharType="separate"/>
        </w:r>
        <w:r w:rsidR="00AC21CF">
          <w:rPr>
            <w:noProof/>
            <w:webHidden/>
          </w:rPr>
          <w:t>103</w:t>
        </w:r>
        <w:r w:rsidR="000557AA">
          <w:rPr>
            <w:noProof/>
            <w:webHidden/>
          </w:rPr>
          <w:fldChar w:fldCharType="end"/>
        </w:r>
      </w:hyperlink>
    </w:p>
    <w:p w14:paraId="63057C8A"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09" w:history="1">
        <w:r w:rsidR="000557AA" w:rsidRPr="00A00B40">
          <w:rPr>
            <w:rStyle w:val="Hyperlink"/>
            <w:noProof/>
          </w:rPr>
          <w:t>5.4.7</w:t>
        </w:r>
        <w:r w:rsidR="000557AA">
          <w:rPr>
            <w:rFonts w:eastAsiaTheme="minorEastAsia" w:cstheme="minorBidi"/>
            <w:noProof/>
            <w:sz w:val="22"/>
            <w:szCs w:val="22"/>
            <w:lang w:val="en-TT" w:eastAsia="en-TT"/>
          </w:rPr>
          <w:tab/>
        </w:r>
        <w:r w:rsidR="000557AA" w:rsidRPr="00A00B40">
          <w:rPr>
            <w:rStyle w:val="Hyperlink"/>
            <w:noProof/>
          </w:rPr>
          <w:t>The final multivariate model</w:t>
        </w:r>
        <w:r w:rsidR="000557AA">
          <w:rPr>
            <w:noProof/>
            <w:webHidden/>
          </w:rPr>
          <w:tab/>
        </w:r>
        <w:r w:rsidR="000557AA">
          <w:rPr>
            <w:noProof/>
            <w:webHidden/>
          </w:rPr>
          <w:fldChar w:fldCharType="begin"/>
        </w:r>
        <w:r w:rsidR="000557AA">
          <w:rPr>
            <w:noProof/>
            <w:webHidden/>
          </w:rPr>
          <w:instrText xml:space="preserve"> PAGEREF _Toc1902309 \h </w:instrText>
        </w:r>
        <w:r w:rsidR="000557AA">
          <w:rPr>
            <w:noProof/>
            <w:webHidden/>
          </w:rPr>
        </w:r>
        <w:r w:rsidR="000557AA">
          <w:rPr>
            <w:noProof/>
            <w:webHidden/>
          </w:rPr>
          <w:fldChar w:fldCharType="separate"/>
        </w:r>
        <w:r w:rsidR="00AC21CF">
          <w:rPr>
            <w:noProof/>
            <w:webHidden/>
          </w:rPr>
          <w:t>104</w:t>
        </w:r>
        <w:r w:rsidR="000557AA">
          <w:rPr>
            <w:noProof/>
            <w:webHidden/>
          </w:rPr>
          <w:fldChar w:fldCharType="end"/>
        </w:r>
      </w:hyperlink>
    </w:p>
    <w:p w14:paraId="6487A952"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10" w:history="1">
        <w:r w:rsidR="000557AA" w:rsidRPr="00A00B40">
          <w:rPr>
            <w:rStyle w:val="Hyperlink"/>
            <w:noProof/>
          </w:rPr>
          <w:t>5.4.8</w:t>
        </w:r>
        <w:r w:rsidR="000557AA">
          <w:rPr>
            <w:rFonts w:eastAsiaTheme="minorEastAsia" w:cstheme="minorBidi"/>
            <w:noProof/>
            <w:sz w:val="22"/>
            <w:szCs w:val="22"/>
            <w:lang w:val="en-TT" w:eastAsia="en-TT"/>
          </w:rPr>
          <w:tab/>
        </w:r>
        <w:r w:rsidR="000557AA" w:rsidRPr="00A00B40">
          <w:rPr>
            <w:rStyle w:val="Hyperlink"/>
            <w:noProof/>
          </w:rPr>
          <w:t>Validation of the models, using the imputed dataset</w:t>
        </w:r>
        <w:r w:rsidR="000557AA">
          <w:rPr>
            <w:noProof/>
            <w:webHidden/>
          </w:rPr>
          <w:tab/>
        </w:r>
        <w:r w:rsidR="000557AA">
          <w:rPr>
            <w:noProof/>
            <w:webHidden/>
          </w:rPr>
          <w:fldChar w:fldCharType="begin"/>
        </w:r>
        <w:r w:rsidR="000557AA">
          <w:rPr>
            <w:noProof/>
            <w:webHidden/>
          </w:rPr>
          <w:instrText xml:space="preserve"> PAGEREF _Toc1902310 \h </w:instrText>
        </w:r>
        <w:r w:rsidR="000557AA">
          <w:rPr>
            <w:noProof/>
            <w:webHidden/>
          </w:rPr>
        </w:r>
        <w:r w:rsidR="000557AA">
          <w:rPr>
            <w:noProof/>
            <w:webHidden/>
          </w:rPr>
          <w:fldChar w:fldCharType="separate"/>
        </w:r>
        <w:r w:rsidR="00AC21CF">
          <w:rPr>
            <w:noProof/>
            <w:webHidden/>
          </w:rPr>
          <w:t>106</w:t>
        </w:r>
        <w:r w:rsidR="000557AA">
          <w:rPr>
            <w:noProof/>
            <w:webHidden/>
          </w:rPr>
          <w:fldChar w:fldCharType="end"/>
        </w:r>
      </w:hyperlink>
    </w:p>
    <w:p w14:paraId="43778ACD"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311" w:history="1">
        <w:r w:rsidR="000557AA" w:rsidRPr="00A00B40">
          <w:rPr>
            <w:rStyle w:val="Hyperlink"/>
            <w:noProof/>
          </w:rPr>
          <w:t>5.5</w:t>
        </w:r>
        <w:r w:rsidR="000557AA">
          <w:rPr>
            <w:rFonts w:eastAsiaTheme="minorEastAsia" w:cstheme="minorBidi"/>
            <w:i w:val="0"/>
            <w:iCs w:val="0"/>
            <w:noProof/>
            <w:sz w:val="22"/>
            <w:szCs w:val="22"/>
            <w:lang w:val="en-TT" w:eastAsia="en-TT"/>
          </w:rPr>
          <w:tab/>
        </w:r>
        <w:r w:rsidR="000557AA" w:rsidRPr="00A00B40">
          <w:rPr>
            <w:rStyle w:val="Hyperlink"/>
            <w:noProof/>
          </w:rPr>
          <w:t>Sensitivity Analysis</w:t>
        </w:r>
        <w:r w:rsidR="000557AA">
          <w:rPr>
            <w:noProof/>
            <w:webHidden/>
          </w:rPr>
          <w:tab/>
        </w:r>
        <w:r w:rsidR="000557AA">
          <w:rPr>
            <w:noProof/>
            <w:webHidden/>
          </w:rPr>
          <w:fldChar w:fldCharType="begin"/>
        </w:r>
        <w:r w:rsidR="000557AA">
          <w:rPr>
            <w:noProof/>
            <w:webHidden/>
          </w:rPr>
          <w:instrText xml:space="preserve"> PAGEREF _Toc1902311 \h </w:instrText>
        </w:r>
        <w:r w:rsidR="000557AA">
          <w:rPr>
            <w:noProof/>
            <w:webHidden/>
          </w:rPr>
        </w:r>
        <w:r w:rsidR="000557AA">
          <w:rPr>
            <w:noProof/>
            <w:webHidden/>
          </w:rPr>
          <w:fldChar w:fldCharType="separate"/>
        </w:r>
        <w:r w:rsidR="00AC21CF">
          <w:rPr>
            <w:noProof/>
            <w:webHidden/>
          </w:rPr>
          <w:t>106</w:t>
        </w:r>
        <w:r w:rsidR="000557AA">
          <w:rPr>
            <w:noProof/>
            <w:webHidden/>
          </w:rPr>
          <w:fldChar w:fldCharType="end"/>
        </w:r>
      </w:hyperlink>
    </w:p>
    <w:p w14:paraId="5C14B669"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312" w:history="1">
        <w:r w:rsidR="000557AA" w:rsidRPr="00A00B40">
          <w:rPr>
            <w:rStyle w:val="Hyperlink"/>
            <w:noProof/>
          </w:rPr>
          <w:t>5.6</w:t>
        </w:r>
        <w:r w:rsidR="000557AA">
          <w:rPr>
            <w:rFonts w:eastAsiaTheme="minorEastAsia" w:cstheme="minorBidi"/>
            <w:i w:val="0"/>
            <w:iCs w:val="0"/>
            <w:noProof/>
            <w:sz w:val="22"/>
            <w:szCs w:val="22"/>
            <w:lang w:val="en-TT" w:eastAsia="en-TT"/>
          </w:rPr>
          <w:tab/>
        </w:r>
        <w:r w:rsidR="000557AA" w:rsidRPr="00A00B40">
          <w:rPr>
            <w:rStyle w:val="Hyperlink"/>
            <w:noProof/>
          </w:rPr>
          <w:t>Summary</w:t>
        </w:r>
        <w:r w:rsidR="000557AA">
          <w:rPr>
            <w:noProof/>
            <w:webHidden/>
          </w:rPr>
          <w:tab/>
        </w:r>
        <w:r w:rsidR="000557AA">
          <w:rPr>
            <w:noProof/>
            <w:webHidden/>
          </w:rPr>
          <w:fldChar w:fldCharType="begin"/>
        </w:r>
        <w:r w:rsidR="000557AA">
          <w:rPr>
            <w:noProof/>
            <w:webHidden/>
          </w:rPr>
          <w:instrText xml:space="preserve"> PAGEREF _Toc1902312 \h </w:instrText>
        </w:r>
        <w:r w:rsidR="000557AA">
          <w:rPr>
            <w:noProof/>
            <w:webHidden/>
          </w:rPr>
        </w:r>
        <w:r w:rsidR="000557AA">
          <w:rPr>
            <w:noProof/>
            <w:webHidden/>
          </w:rPr>
          <w:fldChar w:fldCharType="separate"/>
        </w:r>
        <w:r w:rsidR="00AC21CF">
          <w:rPr>
            <w:noProof/>
            <w:webHidden/>
          </w:rPr>
          <w:t>107</w:t>
        </w:r>
        <w:r w:rsidR="000557AA">
          <w:rPr>
            <w:noProof/>
            <w:webHidden/>
          </w:rPr>
          <w:fldChar w:fldCharType="end"/>
        </w:r>
      </w:hyperlink>
    </w:p>
    <w:p w14:paraId="21A6AF1E" w14:textId="77777777" w:rsidR="000557AA" w:rsidRDefault="00993D1E">
      <w:pPr>
        <w:pStyle w:val="TOC1"/>
        <w:tabs>
          <w:tab w:val="right" w:leader="dot" w:pos="8484"/>
        </w:tabs>
        <w:rPr>
          <w:rFonts w:eastAsiaTheme="minorEastAsia" w:cstheme="minorBidi"/>
          <w:b w:val="0"/>
          <w:bCs w:val="0"/>
          <w:noProof/>
          <w:sz w:val="22"/>
          <w:szCs w:val="22"/>
          <w:lang w:val="en-TT" w:eastAsia="en-TT"/>
        </w:rPr>
      </w:pPr>
      <w:hyperlink w:anchor="_Toc1902313" w:history="1">
        <w:r w:rsidR="000557AA" w:rsidRPr="00A00B40">
          <w:rPr>
            <w:rStyle w:val="Hyperlink"/>
            <w:noProof/>
          </w:rPr>
          <w:t>Chapter 6: Refining the Model and Identifying Hospital Outliers</w:t>
        </w:r>
        <w:r w:rsidR="000557AA">
          <w:rPr>
            <w:noProof/>
            <w:webHidden/>
          </w:rPr>
          <w:tab/>
        </w:r>
        <w:r w:rsidR="000557AA">
          <w:rPr>
            <w:noProof/>
            <w:webHidden/>
          </w:rPr>
          <w:fldChar w:fldCharType="begin"/>
        </w:r>
        <w:r w:rsidR="000557AA">
          <w:rPr>
            <w:noProof/>
            <w:webHidden/>
          </w:rPr>
          <w:instrText xml:space="preserve"> PAGEREF _Toc1902313 \h </w:instrText>
        </w:r>
        <w:r w:rsidR="000557AA">
          <w:rPr>
            <w:noProof/>
            <w:webHidden/>
          </w:rPr>
        </w:r>
        <w:r w:rsidR="000557AA">
          <w:rPr>
            <w:noProof/>
            <w:webHidden/>
          </w:rPr>
          <w:fldChar w:fldCharType="separate"/>
        </w:r>
        <w:r w:rsidR="00AC21CF">
          <w:rPr>
            <w:noProof/>
            <w:webHidden/>
          </w:rPr>
          <w:t>109</w:t>
        </w:r>
        <w:r w:rsidR="000557AA">
          <w:rPr>
            <w:noProof/>
            <w:webHidden/>
          </w:rPr>
          <w:fldChar w:fldCharType="end"/>
        </w:r>
      </w:hyperlink>
    </w:p>
    <w:p w14:paraId="1298C4A1"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314" w:history="1">
        <w:r w:rsidR="000557AA" w:rsidRPr="00A00B40">
          <w:rPr>
            <w:rStyle w:val="Hyperlink"/>
            <w:noProof/>
          </w:rPr>
          <w:t>6.1</w:t>
        </w:r>
        <w:r w:rsidR="000557AA">
          <w:rPr>
            <w:rFonts w:eastAsiaTheme="minorEastAsia" w:cstheme="minorBidi"/>
            <w:i w:val="0"/>
            <w:iCs w:val="0"/>
            <w:noProof/>
            <w:sz w:val="22"/>
            <w:szCs w:val="22"/>
            <w:lang w:val="en-TT" w:eastAsia="en-TT"/>
          </w:rPr>
          <w:tab/>
        </w:r>
        <w:r w:rsidR="000557AA" w:rsidRPr="00A00B40">
          <w:rPr>
            <w:rStyle w:val="Hyperlink"/>
            <w:noProof/>
          </w:rPr>
          <w:t>Introduction</w:t>
        </w:r>
        <w:r w:rsidR="000557AA">
          <w:rPr>
            <w:noProof/>
            <w:webHidden/>
          </w:rPr>
          <w:tab/>
        </w:r>
        <w:r w:rsidR="000557AA">
          <w:rPr>
            <w:noProof/>
            <w:webHidden/>
          </w:rPr>
          <w:fldChar w:fldCharType="begin"/>
        </w:r>
        <w:r w:rsidR="000557AA">
          <w:rPr>
            <w:noProof/>
            <w:webHidden/>
          </w:rPr>
          <w:instrText xml:space="preserve"> PAGEREF _Toc1902314 \h </w:instrText>
        </w:r>
        <w:r w:rsidR="000557AA">
          <w:rPr>
            <w:noProof/>
            <w:webHidden/>
          </w:rPr>
        </w:r>
        <w:r w:rsidR="000557AA">
          <w:rPr>
            <w:noProof/>
            <w:webHidden/>
          </w:rPr>
          <w:fldChar w:fldCharType="separate"/>
        </w:r>
        <w:r w:rsidR="00AC21CF">
          <w:rPr>
            <w:noProof/>
            <w:webHidden/>
          </w:rPr>
          <w:t>109</w:t>
        </w:r>
        <w:r w:rsidR="000557AA">
          <w:rPr>
            <w:noProof/>
            <w:webHidden/>
          </w:rPr>
          <w:fldChar w:fldCharType="end"/>
        </w:r>
      </w:hyperlink>
    </w:p>
    <w:p w14:paraId="09BC06D8"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15" w:history="1">
        <w:r w:rsidR="000557AA" w:rsidRPr="00A00B40">
          <w:rPr>
            <w:rStyle w:val="Hyperlink"/>
            <w:noProof/>
          </w:rPr>
          <w:t>6.1.1</w:t>
        </w:r>
        <w:r w:rsidR="000557AA">
          <w:rPr>
            <w:rFonts w:eastAsiaTheme="minorEastAsia" w:cstheme="minorBidi"/>
            <w:noProof/>
            <w:sz w:val="22"/>
            <w:szCs w:val="22"/>
            <w:lang w:val="en-TT" w:eastAsia="en-TT"/>
          </w:rPr>
          <w:tab/>
        </w:r>
        <w:r w:rsidR="000557AA" w:rsidRPr="00A00B40">
          <w:rPr>
            <w:rStyle w:val="Hyperlink"/>
            <w:noProof/>
          </w:rPr>
          <w:t>Principles and Methodology for Adding Process Variables and Identifying ‘Outliers’</w:t>
        </w:r>
        <w:r w:rsidR="000557AA">
          <w:rPr>
            <w:noProof/>
            <w:webHidden/>
          </w:rPr>
          <w:tab/>
        </w:r>
        <w:r w:rsidR="000557AA">
          <w:rPr>
            <w:noProof/>
            <w:webHidden/>
          </w:rPr>
          <w:fldChar w:fldCharType="begin"/>
        </w:r>
        <w:r w:rsidR="000557AA">
          <w:rPr>
            <w:noProof/>
            <w:webHidden/>
          </w:rPr>
          <w:instrText xml:space="preserve"> PAGEREF _Toc1902315 \h </w:instrText>
        </w:r>
        <w:r w:rsidR="000557AA">
          <w:rPr>
            <w:noProof/>
            <w:webHidden/>
          </w:rPr>
        </w:r>
        <w:r w:rsidR="000557AA">
          <w:rPr>
            <w:noProof/>
            <w:webHidden/>
          </w:rPr>
          <w:fldChar w:fldCharType="separate"/>
        </w:r>
        <w:r w:rsidR="00AC21CF">
          <w:rPr>
            <w:noProof/>
            <w:webHidden/>
          </w:rPr>
          <w:t>109</w:t>
        </w:r>
        <w:r w:rsidR="000557AA">
          <w:rPr>
            <w:noProof/>
            <w:webHidden/>
          </w:rPr>
          <w:fldChar w:fldCharType="end"/>
        </w:r>
      </w:hyperlink>
    </w:p>
    <w:p w14:paraId="0D5F4258"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316" w:history="1">
        <w:r w:rsidR="000557AA" w:rsidRPr="00A00B40">
          <w:rPr>
            <w:rStyle w:val="Hyperlink"/>
            <w:noProof/>
          </w:rPr>
          <w:t>6.2</w:t>
        </w:r>
        <w:r w:rsidR="000557AA">
          <w:rPr>
            <w:rFonts w:eastAsiaTheme="minorEastAsia" w:cstheme="minorBidi"/>
            <w:i w:val="0"/>
            <w:iCs w:val="0"/>
            <w:noProof/>
            <w:sz w:val="22"/>
            <w:szCs w:val="22"/>
            <w:lang w:val="en-TT" w:eastAsia="en-TT"/>
          </w:rPr>
          <w:tab/>
        </w:r>
        <w:r w:rsidR="000557AA" w:rsidRPr="00A00B40">
          <w:rPr>
            <w:rStyle w:val="Hyperlink"/>
            <w:noProof/>
          </w:rPr>
          <w:t>Initial Comparisons of Hospital Performance</w:t>
        </w:r>
        <w:r w:rsidR="000557AA">
          <w:rPr>
            <w:noProof/>
            <w:webHidden/>
          </w:rPr>
          <w:tab/>
        </w:r>
        <w:r w:rsidR="000557AA">
          <w:rPr>
            <w:noProof/>
            <w:webHidden/>
          </w:rPr>
          <w:fldChar w:fldCharType="begin"/>
        </w:r>
        <w:r w:rsidR="000557AA">
          <w:rPr>
            <w:noProof/>
            <w:webHidden/>
          </w:rPr>
          <w:instrText xml:space="preserve"> PAGEREF _Toc1902316 \h </w:instrText>
        </w:r>
        <w:r w:rsidR="000557AA">
          <w:rPr>
            <w:noProof/>
            <w:webHidden/>
          </w:rPr>
        </w:r>
        <w:r w:rsidR="000557AA">
          <w:rPr>
            <w:noProof/>
            <w:webHidden/>
          </w:rPr>
          <w:fldChar w:fldCharType="separate"/>
        </w:r>
        <w:r w:rsidR="00AC21CF">
          <w:rPr>
            <w:noProof/>
            <w:webHidden/>
          </w:rPr>
          <w:t>110</w:t>
        </w:r>
        <w:r w:rsidR="000557AA">
          <w:rPr>
            <w:noProof/>
            <w:webHidden/>
          </w:rPr>
          <w:fldChar w:fldCharType="end"/>
        </w:r>
      </w:hyperlink>
    </w:p>
    <w:p w14:paraId="1A80F473"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17" w:history="1">
        <w:r w:rsidR="000557AA" w:rsidRPr="00A00B40">
          <w:rPr>
            <w:rStyle w:val="Hyperlink"/>
            <w:noProof/>
          </w:rPr>
          <w:t>6.2.1</w:t>
        </w:r>
        <w:r w:rsidR="000557AA">
          <w:rPr>
            <w:rFonts w:eastAsiaTheme="minorEastAsia" w:cstheme="minorBidi"/>
            <w:noProof/>
            <w:sz w:val="22"/>
            <w:szCs w:val="22"/>
            <w:lang w:val="en-TT" w:eastAsia="en-TT"/>
          </w:rPr>
          <w:tab/>
        </w:r>
        <w:r w:rsidR="000557AA" w:rsidRPr="00A00B40">
          <w:rPr>
            <w:rStyle w:val="Hyperlink"/>
            <w:noProof/>
          </w:rPr>
          <w:t>Comparing Hospital Performance Across All Participating Hospitals</w:t>
        </w:r>
        <w:r w:rsidR="000557AA">
          <w:rPr>
            <w:noProof/>
            <w:webHidden/>
          </w:rPr>
          <w:tab/>
        </w:r>
        <w:r w:rsidR="000557AA">
          <w:rPr>
            <w:noProof/>
            <w:webHidden/>
          </w:rPr>
          <w:fldChar w:fldCharType="begin"/>
        </w:r>
        <w:r w:rsidR="000557AA">
          <w:rPr>
            <w:noProof/>
            <w:webHidden/>
          </w:rPr>
          <w:instrText xml:space="preserve"> PAGEREF _Toc1902317 \h </w:instrText>
        </w:r>
        <w:r w:rsidR="000557AA">
          <w:rPr>
            <w:noProof/>
            <w:webHidden/>
          </w:rPr>
        </w:r>
        <w:r w:rsidR="000557AA">
          <w:rPr>
            <w:noProof/>
            <w:webHidden/>
          </w:rPr>
          <w:fldChar w:fldCharType="separate"/>
        </w:r>
        <w:r w:rsidR="00AC21CF">
          <w:rPr>
            <w:noProof/>
            <w:webHidden/>
          </w:rPr>
          <w:t>110</w:t>
        </w:r>
        <w:r w:rsidR="000557AA">
          <w:rPr>
            <w:noProof/>
            <w:webHidden/>
          </w:rPr>
          <w:fldChar w:fldCharType="end"/>
        </w:r>
      </w:hyperlink>
    </w:p>
    <w:p w14:paraId="602EA862"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18" w:history="1">
        <w:r w:rsidR="000557AA" w:rsidRPr="00A00B40">
          <w:rPr>
            <w:rStyle w:val="Hyperlink"/>
            <w:noProof/>
          </w:rPr>
          <w:t>6.2.2</w:t>
        </w:r>
        <w:r w:rsidR="000557AA">
          <w:rPr>
            <w:rFonts w:eastAsiaTheme="minorEastAsia" w:cstheme="minorBidi"/>
            <w:noProof/>
            <w:sz w:val="22"/>
            <w:szCs w:val="22"/>
            <w:lang w:val="en-TT" w:eastAsia="en-TT"/>
          </w:rPr>
          <w:tab/>
        </w:r>
        <w:r w:rsidR="000557AA" w:rsidRPr="00A00B40">
          <w:rPr>
            <w:rStyle w:val="Hyperlink"/>
            <w:noProof/>
          </w:rPr>
          <w:t>Application of a Quality Filter</w:t>
        </w:r>
        <w:r w:rsidR="000557AA">
          <w:rPr>
            <w:noProof/>
            <w:webHidden/>
          </w:rPr>
          <w:tab/>
        </w:r>
        <w:r w:rsidR="000557AA">
          <w:rPr>
            <w:noProof/>
            <w:webHidden/>
          </w:rPr>
          <w:fldChar w:fldCharType="begin"/>
        </w:r>
        <w:r w:rsidR="000557AA">
          <w:rPr>
            <w:noProof/>
            <w:webHidden/>
          </w:rPr>
          <w:instrText xml:space="preserve"> PAGEREF _Toc1902318 \h </w:instrText>
        </w:r>
        <w:r w:rsidR="000557AA">
          <w:rPr>
            <w:noProof/>
            <w:webHidden/>
          </w:rPr>
        </w:r>
        <w:r w:rsidR="000557AA">
          <w:rPr>
            <w:noProof/>
            <w:webHidden/>
          </w:rPr>
          <w:fldChar w:fldCharType="separate"/>
        </w:r>
        <w:r w:rsidR="00AC21CF">
          <w:rPr>
            <w:noProof/>
            <w:webHidden/>
          </w:rPr>
          <w:t>111</w:t>
        </w:r>
        <w:r w:rsidR="000557AA">
          <w:rPr>
            <w:noProof/>
            <w:webHidden/>
          </w:rPr>
          <w:fldChar w:fldCharType="end"/>
        </w:r>
      </w:hyperlink>
    </w:p>
    <w:p w14:paraId="78FE91D0"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319" w:history="1">
        <w:r w:rsidR="000557AA" w:rsidRPr="00A00B40">
          <w:rPr>
            <w:rStyle w:val="Hyperlink"/>
            <w:noProof/>
          </w:rPr>
          <w:t>6.3</w:t>
        </w:r>
        <w:r w:rsidR="000557AA">
          <w:rPr>
            <w:rFonts w:eastAsiaTheme="minorEastAsia" w:cstheme="minorBidi"/>
            <w:i w:val="0"/>
            <w:iCs w:val="0"/>
            <w:noProof/>
            <w:sz w:val="22"/>
            <w:szCs w:val="22"/>
            <w:lang w:val="en-TT" w:eastAsia="en-TT"/>
          </w:rPr>
          <w:tab/>
        </w:r>
        <w:r w:rsidR="000557AA" w:rsidRPr="00A00B40">
          <w:rPr>
            <w:rStyle w:val="Hyperlink"/>
            <w:noProof/>
          </w:rPr>
          <w:t>Refining the Model</w:t>
        </w:r>
        <w:r w:rsidR="000557AA">
          <w:rPr>
            <w:noProof/>
            <w:webHidden/>
          </w:rPr>
          <w:tab/>
        </w:r>
        <w:r w:rsidR="000557AA">
          <w:rPr>
            <w:noProof/>
            <w:webHidden/>
          </w:rPr>
          <w:fldChar w:fldCharType="begin"/>
        </w:r>
        <w:r w:rsidR="000557AA">
          <w:rPr>
            <w:noProof/>
            <w:webHidden/>
          </w:rPr>
          <w:instrText xml:space="preserve"> PAGEREF _Toc1902319 \h </w:instrText>
        </w:r>
        <w:r w:rsidR="000557AA">
          <w:rPr>
            <w:noProof/>
            <w:webHidden/>
          </w:rPr>
        </w:r>
        <w:r w:rsidR="000557AA">
          <w:rPr>
            <w:noProof/>
            <w:webHidden/>
          </w:rPr>
          <w:fldChar w:fldCharType="separate"/>
        </w:r>
        <w:r w:rsidR="00AC21CF">
          <w:rPr>
            <w:noProof/>
            <w:webHidden/>
          </w:rPr>
          <w:t>112</w:t>
        </w:r>
        <w:r w:rsidR="000557AA">
          <w:rPr>
            <w:noProof/>
            <w:webHidden/>
          </w:rPr>
          <w:fldChar w:fldCharType="end"/>
        </w:r>
      </w:hyperlink>
    </w:p>
    <w:p w14:paraId="592CCD13"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20" w:history="1">
        <w:r w:rsidR="000557AA" w:rsidRPr="00A00B40">
          <w:rPr>
            <w:rStyle w:val="Hyperlink"/>
            <w:noProof/>
          </w:rPr>
          <w:t>6.3.1</w:t>
        </w:r>
        <w:r w:rsidR="000557AA">
          <w:rPr>
            <w:rFonts w:eastAsiaTheme="minorEastAsia" w:cstheme="minorBidi"/>
            <w:noProof/>
            <w:sz w:val="22"/>
            <w:szCs w:val="22"/>
            <w:lang w:val="en-TT" w:eastAsia="en-TT"/>
          </w:rPr>
          <w:tab/>
        </w:r>
        <w:r w:rsidR="000557AA" w:rsidRPr="00A00B40">
          <w:rPr>
            <w:rStyle w:val="Hyperlink"/>
            <w:noProof/>
          </w:rPr>
          <w:t>Univariate Analysis of Process Variables</w:t>
        </w:r>
        <w:r w:rsidR="000557AA">
          <w:rPr>
            <w:noProof/>
            <w:webHidden/>
          </w:rPr>
          <w:tab/>
        </w:r>
        <w:r w:rsidR="000557AA">
          <w:rPr>
            <w:noProof/>
            <w:webHidden/>
          </w:rPr>
          <w:fldChar w:fldCharType="begin"/>
        </w:r>
        <w:r w:rsidR="000557AA">
          <w:rPr>
            <w:noProof/>
            <w:webHidden/>
          </w:rPr>
          <w:instrText xml:space="preserve"> PAGEREF _Toc1902320 \h </w:instrText>
        </w:r>
        <w:r w:rsidR="000557AA">
          <w:rPr>
            <w:noProof/>
            <w:webHidden/>
          </w:rPr>
        </w:r>
        <w:r w:rsidR="000557AA">
          <w:rPr>
            <w:noProof/>
            <w:webHidden/>
          </w:rPr>
          <w:fldChar w:fldCharType="separate"/>
        </w:r>
        <w:r w:rsidR="00AC21CF">
          <w:rPr>
            <w:noProof/>
            <w:webHidden/>
          </w:rPr>
          <w:t>113</w:t>
        </w:r>
        <w:r w:rsidR="000557AA">
          <w:rPr>
            <w:noProof/>
            <w:webHidden/>
          </w:rPr>
          <w:fldChar w:fldCharType="end"/>
        </w:r>
      </w:hyperlink>
    </w:p>
    <w:p w14:paraId="26C43D20"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21" w:history="1">
        <w:r w:rsidR="000557AA" w:rsidRPr="00A00B40">
          <w:rPr>
            <w:rStyle w:val="Hyperlink"/>
            <w:noProof/>
          </w:rPr>
          <w:t>6.3.2</w:t>
        </w:r>
        <w:r w:rsidR="000557AA">
          <w:rPr>
            <w:rFonts w:eastAsiaTheme="minorEastAsia" w:cstheme="minorBidi"/>
            <w:noProof/>
            <w:sz w:val="22"/>
            <w:szCs w:val="22"/>
            <w:lang w:val="en-TT" w:eastAsia="en-TT"/>
          </w:rPr>
          <w:tab/>
        </w:r>
        <w:r w:rsidR="000557AA" w:rsidRPr="00A00B40">
          <w:rPr>
            <w:rStyle w:val="Hyperlink"/>
            <w:noProof/>
          </w:rPr>
          <w:t>Applying Relevant Variables to the Multivariate Model</w:t>
        </w:r>
        <w:r w:rsidR="000557AA">
          <w:rPr>
            <w:noProof/>
            <w:webHidden/>
          </w:rPr>
          <w:tab/>
        </w:r>
        <w:r w:rsidR="000557AA">
          <w:rPr>
            <w:noProof/>
            <w:webHidden/>
          </w:rPr>
          <w:fldChar w:fldCharType="begin"/>
        </w:r>
        <w:r w:rsidR="000557AA">
          <w:rPr>
            <w:noProof/>
            <w:webHidden/>
          </w:rPr>
          <w:instrText xml:space="preserve"> PAGEREF _Toc1902321 \h </w:instrText>
        </w:r>
        <w:r w:rsidR="000557AA">
          <w:rPr>
            <w:noProof/>
            <w:webHidden/>
          </w:rPr>
        </w:r>
        <w:r w:rsidR="000557AA">
          <w:rPr>
            <w:noProof/>
            <w:webHidden/>
          </w:rPr>
          <w:fldChar w:fldCharType="separate"/>
        </w:r>
        <w:r w:rsidR="00AC21CF">
          <w:rPr>
            <w:noProof/>
            <w:webHidden/>
          </w:rPr>
          <w:t>118</w:t>
        </w:r>
        <w:r w:rsidR="000557AA">
          <w:rPr>
            <w:noProof/>
            <w:webHidden/>
          </w:rPr>
          <w:fldChar w:fldCharType="end"/>
        </w:r>
      </w:hyperlink>
    </w:p>
    <w:p w14:paraId="5169CBB1"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322" w:history="1">
        <w:r w:rsidR="000557AA" w:rsidRPr="00A00B40">
          <w:rPr>
            <w:rStyle w:val="Hyperlink"/>
            <w:noProof/>
          </w:rPr>
          <w:t>6.4</w:t>
        </w:r>
        <w:r w:rsidR="000557AA">
          <w:rPr>
            <w:rFonts w:eastAsiaTheme="minorEastAsia" w:cstheme="minorBidi"/>
            <w:i w:val="0"/>
            <w:iCs w:val="0"/>
            <w:noProof/>
            <w:sz w:val="22"/>
            <w:szCs w:val="22"/>
            <w:lang w:val="en-TT" w:eastAsia="en-TT"/>
          </w:rPr>
          <w:tab/>
        </w:r>
        <w:r w:rsidR="000557AA" w:rsidRPr="00A00B40">
          <w:rPr>
            <w:rStyle w:val="Hyperlink"/>
            <w:noProof/>
          </w:rPr>
          <w:t>The final multivariate model</w:t>
        </w:r>
        <w:r w:rsidR="000557AA">
          <w:rPr>
            <w:noProof/>
            <w:webHidden/>
          </w:rPr>
          <w:tab/>
        </w:r>
        <w:r w:rsidR="000557AA">
          <w:rPr>
            <w:noProof/>
            <w:webHidden/>
          </w:rPr>
          <w:fldChar w:fldCharType="begin"/>
        </w:r>
        <w:r w:rsidR="000557AA">
          <w:rPr>
            <w:noProof/>
            <w:webHidden/>
          </w:rPr>
          <w:instrText xml:space="preserve"> PAGEREF _Toc1902322 \h </w:instrText>
        </w:r>
        <w:r w:rsidR="000557AA">
          <w:rPr>
            <w:noProof/>
            <w:webHidden/>
          </w:rPr>
        </w:r>
        <w:r w:rsidR="000557AA">
          <w:rPr>
            <w:noProof/>
            <w:webHidden/>
          </w:rPr>
          <w:fldChar w:fldCharType="separate"/>
        </w:r>
        <w:r w:rsidR="00AC21CF">
          <w:rPr>
            <w:noProof/>
            <w:webHidden/>
          </w:rPr>
          <w:t>120</w:t>
        </w:r>
        <w:r w:rsidR="000557AA">
          <w:rPr>
            <w:noProof/>
            <w:webHidden/>
          </w:rPr>
          <w:fldChar w:fldCharType="end"/>
        </w:r>
      </w:hyperlink>
    </w:p>
    <w:p w14:paraId="62B821B0"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323" w:history="1">
        <w:r w:rsidR="000557AA" w:rsidRPr="00A00B40">
          <w:rPr>
            <w:rStyle w:val="Hyperlink"/>
            <w:noProof/>
          </w:rPr>
          <w:t>6.5</w:t>
        </w:r>
        <w:r w:rsidR="000557AA">
          <w:rPr>
            <w:rFonts w:eastAsiaTheme="minorEastAsia" w:cstheme="minorBidi"/>
            <w:i w:val="0"/>
            <w:iCs w:val="0"/>
            <w:noProof/>
            <w:sz w:val="22"/>
            <w:szCs w:val="22"/>
            <w:lang w:val="en-TT" w:eastAsia="en-TT"/>
          </w:rPr>
          <w:tab/>
        </w:r>
        <w:r w:rsidR="000557AA" w:rsidRPr="00A00B40">
          <w:rPr>
            <w:rStyle w:val="Hyperlink"/>
            <w:noProof/>
          </w:rPr>
          <w:t>Choosing Outlying Hospitals for Inclusion in Phase 3 of the Study</w:t>
        </w:r>
        <w:r w:rsidR="000557AA">
          <w:rPr>
            <w:noProof/>
            <w:webHidden/>
          </w:rPr>
          <w:tab/>
        </w:r>
        <w:r w:rsidR="000557AA">
          <w:rPr>
            <w:noProof/>
            <w:webHidden/>
          </w:rPr>
          <w:fldChar w:fldCharType="begin"/>
        </w:r>
        <w:r w:rsidR="000557AA">
          <w:rPr>
            <w:noProof/>
            <w:webHidden/>
          </w:rPr>
          <w:instrText xml:space="preserve"> PAGEREF _Toc1902323 \h </w:instrText>
        </w:r>
        <w:r w:rsidR="000557AA">
          <w:rPr>
            <w:noProof/>
            <w:webHidden/>
          </w:rPr>
        </w:r>
        <w:r w:rsidR="000557AA">
          <w:rPr>
            <w:noProof/>
            <w:webHidden/>
          </w:rPr>
          <w:fldChar w:fldCharType="separate"/>
        </w:r>
        <w:r w:rsidR="00AC21CF">
          <w:rPr>
            <w:noProof/>
            <w:webHidden/>
          </w:rPr>
          <w:t>120</w:t>
        </w:r>
        <w:r w:rsidR="000557AA">
          <w:rPr>
            <w:noProof/>
            <w:webHidden/>
          </w:rPr>
          <w:fldChar w:fldCharType="end"/>
        </w:r>
      </w:hyperlink>
    </w:p>
    <w:p w14:paraId="4CF1355A" w14:textId="77777777" w:rsidR="000557AA" w:rsidRDefault="00993D1E">
      <w:pPr>
        <w:pStyle w:val="TOC1"/>
        <w:tabs>
          <w:tab w:val="right" w:leader="dot" w:pos="8484"/>
        </w:tabs>
        <w:rPr>
          <w:rFonts w:eastAsiaTheme="minorEastAsia" w:cstheme="minorBidi"/>
          <w:b w:val="0"/>
          <w:bCs w:val="0"/>
          <w:noProof/>
          <w:sz w:val="22"/>
          <w:szCs w:val="22"/>
          <w:lang w:val="en-TT" w:eastAsia="en-TT"/>
        </w:rPr>
      </w:pPr>
      <w:hyperlink w:anchor="_Toc1902324" w:history="1">
        <w:r w:rsidR="000557AA" w:rsidRPr="00A00B40">
          <w:rPr>
            <w:rStyle w:val="Hyperlink"/>
            <w:noProof/>
          </w:rPr>
          <w:t>Chapter 7: Findings of Interviews with Staff from Outlying Hospitals</w:t>
        </w:r>
        <w:r w:rsidR="000557AA">
          <w:rPr>
            <w:noProof/>
            <w:webHidden/>
          </w:rPr>
          <w:tab/>
        </w:r>
        <w:r w:rsidR="000557AA">
          <w:rPr>
            <w:noProof/>
            <w:webHidden/>
          </w:rPr>
          <w:fldChar w:fldCharType="begin"/>
        </w:r>
        <w:r w:rsidR="000557AA">
          <w:rPr>
            <w:noProof/>
            <w:webHidden/>
          </w:rPr>
          <w:instrText xml:space="preserve"> PAGEREF _Toc1902324 \h </w:instrText>
        </w:r>
        <w:r w:rsidR="000557AA">
          <w:rPr>
            <w:noProof/>
            <w:webHidden/>
          </w:rPr>
        </w:r>
        <w:r w:rsidR="000557AA">
          <w:rPr>
            <w:noProof/>
            <w:webHidden/>
          </w:rPr>
          <w:fldChar w:fldCharType="separate"/>
        </w:r>
        <w:r w:rsidR="00AC21CF">
          <w:rPr>
            <w:noProof/>
            <w:webHidden/>
          </w:rPr>
          <w:t>123</w:t>
        </w:r>
        <w:r w:rsidR="000557AA">
          <w:rPr>
            <w:noProof/>
            <w:webHidden/>
          </w:rPr>
          <w:fldChar w:fldCharType="end"/>
        </w:r>
      </w:hyperlink>
    </w:p>
    <w:p w14:paraId="5C98A46C"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325" w:history="1">
        <w:r w:rsidR="000557AA" w:rsidRPr="00A00B40">
          <w:rPr>
            <w:rStyle w:val="Hyperlink"/>
            <w:noProof/>
          </w:rPr>
          <w:t>7.1</w:t>
        </w:r>
        <w:r w:rsidR="000557AA">
          <w:rPr>
            <w:rFonts w:eastAsiaTheme="minorEastAsia" w:cstheme="minorBidi"/>
            <w:i w:val="0"/>
            <w:iCs w:val="0"/>
            <w:noProof/>
            <w:sz w:val="22"/>
            <w:szCs w:val="22"/>
            <w:lang w:val="en-TT" w:eastAsia="en-TT"/>
          </w:rPr>
          <w:tab/>
        </w:r>
        <w:r w:rsidR="000557AA" w:rsidRPr="00A00B40">
          <w:rPr>
            <w:rStyle w:val="Hyperlink"/>
            <w:noProof/>
          </w:rPr>
          <w:t>Overview of the Interviews</w:t>
        </w:r>
        <w:r w:rsidR="000557AA">
          <w:rPr>
            <w:noProof/>
            <w:webHidden/>
          </w:rPr>
          <w:tab/>
        </w:r>
        <w:r w:rsidR="000557AA">
          <w:rPr>
            <w:noProof/>
            <w:webHidden/>
          </w:rPr>
          <w:fldChar w:fldCharType="begin"/>
        </w:r>
        <w:r w:rsidR="000557AA">
          <w:rPr>
            <w:noProof/>
            <w:webHidden/>
          </w:rPr>
          <w:instrText xml:space="preserve"> PAGEREF _Toc1902325 \h </w:instrText>
        </w:r>
        <w:r w:rsidR="000557AA">
          <w:rPr>
            <w:noProof/>
            <w:webHidden/>
          </w:rPr>
        </w:r>
        <w:r w:rsidR="000557AA">
          <w:rPr>
            <w:noProof/>
            <w:webHidden/>
          </w:rPr>
          <w:fldChar w:fldCharType="separate"/>
        </w:r>
        <w:r w:rsidR="00AC21CF">
          <w:rPr>
            <w:noProof/>
            <w:webHidden/>
          </w:rPr>
          <w:t>123</w:t>
        </w:r>
        <w:r w:rsidR="000557AA">
          <w:rPr>
            <w:noProof/>
            <w:webHidden/>
          </w:rPr>
          <w:fldChar w:fldCharType="end"/>
        </w:r>
      </w:hyperlink>
    </w:p>
    <w:p w14:paraId="66E89E32"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26" w:history="1">
        <w:r w:rsidR="000557AA" w:rsidRPr="00A00B40">
          <w:rPr>
            <w:rStyle w:val="Hyperlink"/>
            <w:noProof/>
          </w:rPr>
          <w:t>7.1.1</w:t>
        </w:r>
        <w:r w:rsidR="000557AA">
          <w:rPr>
            <w:rFonts w:eastAsiaTheme="minorEastAsia" w:cstheme="minorBidi"/>
            <w:noProof/>
            <w:sz w:val="22"/>
            <w:szCs w:val="22"/>
            <w:lang w:val="en-TT" w:eastAsia="en-TT"/>
          </w:rPr>
          <w:tab/>
        </w:r>
        <w:r w:rsidR="000557AA" w:rsidRPr="00A00B40">
          <w:rPr>
            <w:rStyle w:val="Hyperlink"/>
            <w:noProof/>
          </w:rPr>
          <w:t>Development of the Thematic Framework</w:t>
        </w:r>
        <w:r w:rsidR="000557AA">
          <w:rPr>
            <w:noProof/>
            <w:webHidden/>
          </w:rPr>
          <w:tab/>
        </w:r>
        <w:r w:rsidR="000557AA">
          <w:rPr>
            <w:noProof/>
            <w:webHidden/>
          </w:rPr>
          <w:fldChar w:fldCharType="begin"/>
        </w:r>
        <w:r w:rsidR="000557AA">
          <w:rPr>
            <w:noProof/>
            <w:webHidden/>
          </w:rPr>
          <w:instrText xml:space="preserve"> PAGEREF _Toc1902326 \h </w:instrText>
        </w:r>
        <w:r w:rsidR="000557AA">
          <w:rPr>
            <w:noProof/>
            <w:webHidden/>
          </w:rPr>
        </w:r>
        <w:r w:rsidR="000557AA">
          <w:rPr>
            <w:noProof/>
            <w:webHidden/>
          </w:rPr>
          <w:fldChar w:fldCharType="separate"/>
        </w:r>
        <w:r w:rsidR="00AC21CF">
          <w:rPr>
            <w:noProof/>
            <w:webHidden/>
          </w:rPr>
          <w:t>123</w:t>
        </w:r>
        <w:r w:rsidR="000557AA">
          <w:rPr>
            <w:noProof/>
            <w:webHidden/>
          </w:rPr>
          <w:fldChar w:fldCharType="end"/>
        </w:r>
      </w:hyperlink>
    </w:p>
    <w:p w14:paraId="0509D1A3"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27" w:history="1">
        <w:r w:rsidR="000557AA" w:rsidRPr="00A00B40">
          <w:rPr>
            <w:rStyle w:val="Hyperlink"/>
            <w:noProof/>
          </w:rPr>
          <w:t>7.1.2</w:t>
        </w:r>
        <w:r w:rsidR="000557AA">
          <w:rPr>
            <w:rFonts w:eastAsiaTheme="minorEastAsia" w:cstheme="minorBidi"/>
            <w:noProof/>
            <w:sz w:val="22"/>
            <w:szCs w:val="22"/>
            <w:lang w:val="en-TT" w:eastAsia="en-TT"/>
          </w:rPr>
          <w:tab/>
        </w:r>
        <w:r w:rsidR="000557AA" w:rsidRPr="00A00B40">
          <w:rPr>
            <w:rStyle w:val="Hyperlink"/>
            <w:noProof/>
          </w:rPr>
          <w:t>The Final Thematic Framework</w:t>
        </w:r>
        <w:r w:rsidR="000557AA">
          <w:rPr>
            <w:noProof/>
            <w:webHidden/>
          </w:rPr>
          <w:tab/>
        </w:r>
        <w:r w:rsidR="000557AA">
          <w:rPr>
            <w:noProof/>
            <w:webHidden/>
          </w:rPr>
          <w:fldChar w:fldCharType="begin"/>
        </w:r>
        <w:r w:rsidR="000557AA">
          <w:rPr>
            <w:noProof/>
            <w:webHidden/>
          </w:rPr>
          <w:instrText xml:space="preserve"> PAGEREF _Toc1902327 \h </w:instrText>
        </w:r>
        <w:r w:rsidR="000557AA">
          <w:rPr>
            <w:noProof/>
            <w:webHidden/>
          </w:rPr>
        </w:r>
        <w:r w:rsidR="000557AA">
          <w:rPr>
            <w:noProof/>
            <w:webHidden/>
          </w:rPr>
          <w:fldChar w:fldCharType="separate"/>
        </w:r>
        <w:r w:rsidR="00AC21CF">
          <w:rPr>
            <w:noProof/>
            <w:webHidden/>
          </w:rPr>
          <w:t>123</w:t>
        </w:r>
        <w:r w:rsidR="000557AA">
          <w:rPr>
            <w:noProof/>
            <w:webHidden/>
          </w:rPr>
          <w:fldChar w:fldCharType="end"/>
        </w:r>
      </w:hyperlink>
    </w:p>
    <w:p w14:paraId="64BC1C26"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328" w:history="1">
        <w:r w:rsidR="000557AA" w:rsidRPr="00A00B40">
          <w:rPr>
            <w:rStyle w:val="Hyperlink"/>
            <w:noProof/>
          </w:rPr>
          <w:t>7.2</w:t>
        </w:r>
        <w:r w:rsidR="000557AA">
          <w:rPr>
            <w:rFonts w:eastAsiaTheme="minorEastAsia" w:cstheme="minorBidi"/>
            <w:i w:val="0"/>
            <w:iCs w:val="0"/>
            <w:noProof/>
            <w:sz w:val="22"/>
            <w:szCs w:val="22"/>
            <w:lang w:val="en-TT" w:eastAsia="en-TT"/>
          </w:rPr>
          <w:tab/>
        </w:r>
        <w:r w:rsidR="000557AA" w:rsidRPr="00A00B40">
          <w:rPr>
            <w:rStyle w:val="Hyperlink"/>
            <w:noProof/>
          </w:rPr>
          <w:t>Characteristics of Older Trauma Patients</w:t>
        </w:r>
        <w:r w:rsidR="000557AA">
          <w:rPr>
            <w:noProof/>
            <w:webHidden/>
          </w:rPr>
          <w:tab/>
        </w:r>
        <w:r w:rsidR="000557AA">
          <w:rPr>
            <w:noProof/>
            <w:webHidden/>
          </w:rPr>
          <w:fldChar w:fldCharType="begin"/>
        </w:r>
        <w:r w:rsidR="000557AA">
          <w:rPr>
            <w:noProof/>
            <w:webHidden/>
          </w:rPr>
          <w:instrText xml:space="preserve"> PAGEREF _Toc1902328 \h </w:instrText>
        </w:r>
        <w:r w:rsidR="000557AA">
          <w:rPr>
            <w:noProof/>
            <w:webHidden/>
          </w:rPr>
        </w:r>
        <w:r w:rsidR="000557AA">
          <w:rPr>
            <w:noProof/>
            <w:webHidden/>
          </w:rPr>
          <w:fldChar w:fldCharType="separate"/>
        </w:r>
        <w:r w:rsidR="00AC21CF">
          <w:rPr>
            <w:noProof/>
            <w:webHidden/>
          </w:rPr>
          <w:t>126</w:t>
        </w:r>
        <w:r w:rsidR="000557AA">
          <w:rPr>
            <w:noProof/>
            <w:webHidden/>
          </w:rPr>
          <w:fldChar w:fldCharType="end"/>
        </w:r>
      </w:hyperlink>
    </w:p>
    <w:p w14:paraId="1F90D804"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29" w:history="1">
        <w:r w:rsidR="000557AA" w:rsidRPr="00A00B40">
          <w:rPr>
            <w:rStyle w:val="Hyperlink"/>
            <w:noProof/>
          </w:rPr>
          <w:t>7.2.1</w:t>
        </w:r>
        <w:r w:rsidR="000557AA">
          <w:rPr>
            <w:rFonts w:eastAsiaTheme="minorEastAsia" w:cstheme="minorBidi"/>
            <w:noProof/>
            <w:sz w:val="22"/>
            <w:szCs w:val="22"/>
            <w:lang w:val="en-TT" w:eastAsia="en-TT"/>
          </w:rPr>
          <w:tab/>
        </w:r>
        <w:r w:rsidR="000557AA" w:rsidRPr="00A00B40">
          <w:rPr>
            <w:rStyle w:val="Hyperlink"/>
            <w:noProof/>
          </w:rPr>
          <w:t>Frailty</w:t>
        </w:r>
        <w:r w:rsidR="000557AA">
          <w:rPr>
            <w:noProof/>
            <w:webHidden/>
          </w:rPr>
          <w:tab/>
        </w:r>
        <w:r w:rsidR="000557AA">
          <w:rPr>
            <w:noProof/>
            <w:webHidden/>
          </w:rPr>
          <w:fldChar w:fldCharType="begin"/>
        </w:r>
        <w:r w:rsidR="000557AA">
          <w:rPr>
            <w:noProof/>
            <w:webHidden/>
          </w:rPr>
          <w:instrText xml:space="preserve"> PAGEREF _Toc1902329 \h </w:instrText>
        </w:r>
        <w:r w:rsidR="000557AA">
          <w:rPr>
            <w:noProof/>
            <w:webHidden/>
          </w:rPr>
        </w:r>
        <w:r w:rsidR="000557AA">
          <w:rPr>
            <w:noProof/>
            <w:webHidden/>
          </w:rPr>
          <w:fldChar w:fldCharType="separate"/>
        </w:r>
        <w:r w:rsidR="00AC21CF">
          <w:rPr>
            <w:noProof/>
            <w:webHidden/>
          </w:rPr>
          <w:t>126</w:t>
        </w:r>
        <w:r w:rsidR="000557AA">
          <w:rPr>
            <w:noProof/>
            <w:webHidden/>
          </w:rPr>
          <w:fldChar w:fldCharType="end"/>
        </w:r>
      </w:hyperlink>
    </w:p>
    <w:p w14:paraId="12BBCEBF"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30" w:history="1">
        <w:r w:rsidR="000557AA" w:rsidRPr="00A00B40">
          <w:rPr>
            <w:rStyle w:val="Hyperlink"/>
            <w:noProof/>
          </w:rPr>
          <w:t>7.2.2</w:t>
        </w:r>
        <w:r w:rsidR="000557AA">
          <w:rPr>
            <w:rFonts w:eastAsiaTheme="minorEastAsia" w:cstheme="minorBidi"/>
            <w:noProof/>
            <w:sz w:val="22"/>
            <w:szCs w:val="22"/>
            <w:lang w:val="en-TT" w:eastAsia="en-TT"/>
          </w:rPr>
          <w:tab/>
        </w:r>
        <w:r w:rsidR="000557AA" w:rsidRPr="00A00B40">
          <w:rPr>
            <w:rStyle w:val="Hyperlink"/>
            <w:noProof/>
          </w:rPr>
          <w:t>Older People Are Not All the Same</w:t>
        </w:r>
        <w:r w:rsidR="000557AA">
          <w:rPr>
            <w:noProof/>
            <w:webHidden/>
          </w:rPr>
          <w:tab/>
        </w:r>
        <w:r w:rsidR="000557AA">
          <w:rPr>
            <w:noProof/>
            <w:webHidden/>
          </w:rPr>
          <w:fldChar w:fldCharType="begin"/>
        </w:r>
        <w:r w:rsidR="000557AA">
          <w:rPr>
            <w:noProof/>
            <w:webHidden/>
          </w:rPr>
          <w:instrText xml:space="preserve"> PAGEREF _Toc1902330 \h </w:instrText>
        </w:r>
        <w:r w:rsidR="000557AA">
          <w:rPr>
            <w:noProof/>
            <w:webHidden/>
          </w:rPr>
        </w:r>
        <w:r w:rsidR="000557AA">
          <w:rPr>
            <w:noProof/>
            <w:webHidden/>
          </w:rPr>
          <w:fldChar w:fldCharType="separate"/>
        </w:r>
        <w:r w:rsidR="00AC21CF">
          <w:rPr>
            <w:noProof/>
            <w:webHidden/>
          </w:rPr>
          <w:t>131</w:t>
        </w:r>
        <w:r w:rsidR="000557AA">
          <w:rPr>
            <w:noProof/>
            <w:webHidden/>
          </w:rPr>
          <w:fldChar w:fldCharType="end"/>
        </w:r>
      </w:hyperlink>
    </w:p>
    <w:p w14:paraId="49F73F31"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331" w:history="1">
        <w:r w:rsidR="000557AA" w:rsidRPr="00A00B40">
          <w:rPr>
            <w:rStyle w:val="Hyperlink"/>
            <w:noProof/>
          </w:rPr>
          <w:t>7.3</w:t>
        </w:r>
        <w:r w:rsidR="000557AA">
          <w:rPr>
            <w:rFonts w:eastAsiaTheme="minorEastAsia" w:cstheme="minorBidi"/>
            <w:i w:val="0"/>
            <w:iCs w:val="0"/>
            <w:noProof/>
            <w:sz w:val="22"/>
            <w:szCs w:val="22"/>
            <w:lang w:val="en-TT" w:eastAsia="en-TT"/>
          </w:rPr>
          <w:tab/>
        </w:r>
        <w:r w:rsidR="000557AA" w:rsidRPr="00A00B40">
          <w:rPr>
            <w:rStyle w:val="Hyperlink"/>
            <w:noProof/>
          </w:rPr>
          <w:t>Attitudes Toward Ageing</w:t>
        </w:r>
        <w:r w:rsidR="000557AA">
          <w:rPr>
            <w:noProof/>
            <w:webHidden/>
          </w:rPr>
          <w:tab/>
        </w:r>
        <w:r w:rsidR="000557AA">
          <w:rPr>
            <w:noProof/>
            <w:webHidden/>
          </w:rPr>
          <w:fldChar w:fldCharType="begin"/>
        </w:r>
        <w:r w:rsidR="000557AA">
          <w:rPr>
            <w:noProof/>
            <w:webHidden/>
          </w:rPr>
          <w:instrText xml:space="preserve"> PAGEREF _Toc1902331 \h </w:instrText>
        </w:r>
        <w:r w:rsidR="000557AA">
          <w:rPr>
            <w:noProof/>
            <w:webHidden/>
          </w:rPr>
        </w:r>
        <w:r w:rsidR="000557AA">
          <w:rPr>
            <w:noProof/>
            <w:webHidden/>
          </w:rPr>
          <w:fldChar w:fldCharType="separate"/>
        </w:r>
        <w:r w:rsidR="00AC21CF">
          <w:rPr>
            <w:noProof/>
            <w:webHidden/>
          </w:rPr>
          <w:t>134</w:t>
        </w:r>
        <w:r w:rsidR="000557AA">
          <w:rPr>
            <w:noProof/>
            <w:webHidden/>
          </w:rPr>
          <w:fldChar w:fldCharType="end"/>
        </w:r>
      </w:hyperlink>
    </w:p>
    <w:p w14:paraId="2D40116B"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32" w:history="1">
        <w:r w:rsidR="000557AA" w:rsidRPr="00A00B40">
          <w:rPr>
            <w:rStyle w:val="Hyperlink"/>
            <w:noProof/>
          </w:rPr>
          <w:t>7.3.1</w:t>
        </w:r>
        <w:r w:rsidR="000557AA">
          <w:rPr>
            <w:rFonts w:eastAsiaTheme="minorEastAsia" w:cstheme="minorBidi"/>
            <w:noProof/>
            <w:sz w:val="22"/>
            <w:szCs w:val="22"/>
            <w:lang w:val="en-TT" w:eastAsia="en-TT"/>
          </w:rPr>
          <w:tab/>
        </w:r>
        <w:r w:rsidR="000557AA" w:rsidRPr="00A00B40">
          <w:rPr>
            <w:rStyle w:val="Hyperlink"/>
            <w:noProof/>
          </w:rPr>
          <w:t>Attitudes and Motivation of Older Patients</w:t>
        </w:r>
        <w:r w:rsidR="000557AA">
          <w:rPr>
            <w:noProof/>
            <w:webHidden/>
          </w:rPr>
          <w:tab/>
        </w:r>
        <w:r w:rsidR="000557AA">
          <w:rPr>
            <w:noProof/>
            <w:webHidden/>
          </w:rPr>
          <w:fldChar w:fldCharType="begin"/>
        </w:r>
        <w:r w:rsidR="000557AA">
          <w:rPr>
            <w:noProof/>
            <w:webHidden/>
          </w:rPr>
          <w:instrText xml:space="preserve"> PAGEREF _Toc1902332 \h </w:instrText>
        </w:r>
        <w:r w:rsidR="000557AA">
          <w:rPr>
            <w:noProof/>
            <w:webHidden/>
          </w:rPr>
        </w:r>
        <w:r w:rsidR="000557AA">
          <w:rPr>
            <w:noProof/>
            <w:webHidden/>
          </w:rPr>
          <w:fldChar w:fldCharType="separate"/>
        </w:r>
        <w:r w:rsidR="00AC21CF">
          <w:rPr>
            <w:noProof/>
            <w:webHidden/>
          </w:rPr>
          <w:t>134</w:t>
        </w:r>
        <w:r w:rsidR="000557AA">
          <w:rPr>
            <w:noProof/>
            <w:webHidden/>
          </w:rPr>
          <w:fldChar w:fldCharType="end"/>
        </w:r>
      </w:hyperlink>
    </w:p>
    <w:p w14:paraId="0DE90ED0"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33" w:history="1">
        <w:r w:rsidR="000557AA" w:rsidRPr="00A00B40">
          <w:rPr>
            <w:rStyle w:val="Hyperlink"/>
            <w:noProof/>
          </w:rPr>
          <w:t>7.3.2</w:t>
        </w:r>
        <w:r w:rsidR="000557AA">
          <w:rPr>
            <w:rFonts w:eastAsiaTheme="minorEastAsia" w:cstheme="minorBidi"/>
            <w:noProof/>
            <w:sz w:val="22"/>
            <w:szCs w:val="22"/>
            <w:lang w:val="en-TT" w:eastAsia="en-TT"/>
          </w:rPr>
          <w:tab/>
        </w:r>
        <w:r w:rsidR="000557AA" w:rsidRPr="00A00B40">
          <w:rPr>
            <w:rStyle w:val="Hyperlink"/>
            <w:noProof/>
          </w:rPr>
          <w:t>Family Dynamics</w:t>
        </w:r>
        <w:r w:rsidR="000557AA">
          <w:rPr>
            <w:noProof/>
            <w:webHidden/>
          </w:rPr>
          <w:tab/>
        </w:r>
        <w:r w:rsidR="000557AA">
          <w:rPr>
            <w:noProof/>
            <w:webHidden/>
          </w:rPr>
          <w:fldChar w:fldCharType="begin"/>
        </w:r>
        <w:r w:rsidR="000557AA">
          <w:rPr>
            <w:noProof/>
            <w:webHidden/>
          </w:rPr>
          <w:instrText xml:space="preserve"> PAGEREF _Toc1902333 \h </w:instrText>
        </w:r>
        <w:r w:rsidR="000557AA">
          <w:rPr>
            <w:noProof/>
            <w:webHidden/>
          </w:rPr>
        </w:r>
        <w:r w:rsidR="000557AA">
          <w:rPr>
            <w:noProof/>
            <w:webHidden/>
          </w:rPr>
          <w:fldChar w:fldCharType="separate"/>
        </w:r>
        <w:r w:rsidR="00AC21CF">
          <w:rPr>
            <w:noProof/>
            <w:webHidden/>
          </w:rPr>
          <w:t>135</w:t>
        </w:r>
        <w:r w:rsidR="000557AA">
          <w:rPr>
            <w:noProof/>
            <w:webHidden/>
          </w:rPr>
          <w:fldChar w:fldCharType="end"/>
        </w:r>
      </w:hyperlink>
    </w:p>
    <w:p w14:paraId="40EA0C57"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34" w:history="1">
        <w:r w:rsidR="000557AA" w:rsidRPr="00A00B40">
          <w:rPr>
            <w:rStyle w:val="Hyperlink"/>
            <w:noProof/>
          </w:rPr>
          <w:t>7.3.3</w:t>
        </w:r>
        <w:r w:rsidR="000557AA">
          <w:rPr>
            <w:rFonts w:eastAsiaTheme="minorEastAsia" w:cstheme="minorBidi"/>
            <w:noProof/>
            <w:sz w:val="22"/>
            <w:szCs w:val="22"/>
            <w:lang w:val="en-TT" w:eastAsia="en-TT"/>
          </w:rPr>
          <w:tab/>
        </w:r>
        <w:r w:rsidR="000557AA" w:rsidRPr="00A00B40">
          <w:rPr>
            <w:rStyle w:val="Hyperlink"/>
            <w:noProof/>
          </w:rPr>
          <w:t>Attitudes of Healthcare Providers</w:t>
        </w:r>
        <w:r w:rsidR="000557AA">
          <w:rPr>
            <w:noProof/>
            <w:webHidden/>
          </w:rPr>
          <w:tab/>
        </w:r>
        <w:r w:rsidR="000557AA">
          <w:rPr>
            <w:noProof/>
            <w:webHidden/>
          </w:rPr>
          <w:fldChar w:fldCharType="begin"/>
        </w:r>
        <w:r w:rsidR="000557AA">
          <w:rPr>
            <w:noProof/>
            <w:webHidden/>
          </w:rPr>
          <w:instrText xml:space="preserve"> PAGEREF _Toc1902334 \h </w:instrText>
        </w:r>
        <w:r w:rsidR="000557AA">
          <w:rPr>
            <w:noProof/>
            <w:webHidden/>
          </w:rPr>
        </w:r>
        <w:r w:rsidR="000557AA">
          <w:rPr>
            <w:noProof/>
            <w:webHidden/>
          </w:rPr>
          <w:fldChar w:fldCharType="separate"/>
        </w:r>
        <w:r w:rsidR="00AC21CF">
          <w:rPr>
            <w:noProof/>
            <w:webHidden/>
          </w:rPr>
          <w:t>136</w:t>
        </w:r>
        <w:r w:rsidR="000557AA">
          <w:rPr>
            <w:noProof/>
            <w:webHidden/>
          </w:rPr>
          <w:fldChar w:fldCharType="end"/>
        </w:r>
      </w:hyperlink>
    </w:p>
    <w:p w14:paraId="6DE84A15"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335" w:history="1">
        <w:r w:rsidR="000557AA" w:rsidRPr="00A00B40">
          <w:rPr>
            <w:rStyle w:val="Hyperlink"/>
            <w:noProof/>
          </w:rPr>
          <w:t>7.4</w:t>
        </w:r>
        <w:r w:rsidR="000557AA">
          <w:rPr>
            <w:rFonts w:eastAsiaTheme="minorEastAsia" w:cstheme="minorBidi"/>
            <w:i w:val="0"/>
            <w:iCs w:val="0"/>
            <w:noProof/>
            <w:sz w:val="22"/>
            <w:szCs w:val="22"/>
            <w:lang w:val="en-TT" w:eastAsia="en-TT"/>
          </w:rPr>
          <w:tab/>
        </w:r>
        <w:r w:rsidR="000557AA" w:rsidRPr="00A00B40">
          <w:rPr>
            <w:rStyle w:val="Hyperlink"/>
            <w:noProof/>
          </w:rPr>
          <w:t>Management of Older Trauma Patients</w:t>
        </w:r>
        <w:r w:rsidR="000557AA">
          <w:rPr>
            <w:noProof/>
            <w:webHidden/>
          </w:rPr>
          <w:tab/>
        </w:r>
        <w:r w:rsidR="000557AA">
          <w:rPr>
            <w:noProof/>
            <w:webHidden/>
          </w:rPr>
          <w:fldChar w:fldCharType="begin"/>
        </w:r>
        <w:r w:rsidR="000557AA">
          <w:rPr>
            <w:noProof/>
            <w:webHidden/>
          </w:rPr>
          <w:instrText xml:space="preserve"> PAGEREF _Toc1902335 \h </w:instrText>
        </w:r>
        <w:r w:rsidR="000557AA">
          <w:rPr>
            <w:noProof/>
            <w:webHidden/>
          </w:rPr>
        </w:r>
        <w:r w:rsidR="000557AA">
          <w:rPr>
            <w:noProof/>
            <w:webHidden/>
          </w:rPr>
          <w:fldChar w:fldCharType="separate"/>
        </w:r>
        <w:r w:rsidR="00AC21CF">
          <w:rPr>
            <w:noProof/>
            <w:webHidden/>
          </w:rPr>
          <w:t>139</w:t>
        </w:r>
        <w:r w:rsidR="000557AA">
          <w:rPr>
            <w:noProof/>
            <w:webHidden/>
          </w:rPr>
          <w:fldChar w:fldCharType="end"/>
        </w:r>
      </w:hyperlink>
    </w:p>
    <w:p w14:paraId="036EF7BA"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36" w:history="1">
        <w:r w:rsidR="000557AA" w:rsidRPr="00A00B40">
          <w:rPr>
            <w:rStyle w:val="Hyperlink"/>
            <w:noProof/>
          </w:rPr>
          <w:t>7.4.1</w:t>
        </w:r>
        <w:r w:rsidR="000557AA">
          <w:rPr>
            <w:rFonts w:eastAsiaTheme="minorEastAsia" w:cstheme="minorBidi"/>
            <w:noProof/>
            <w:sz w:val="22"/>
            <w:szCs w:val="22"/>
            <w:lang w:val="en-TT" w:eastAsia="en-TT"/>
          </w:rPr>
          <w:tab/>
        </w:r>
        <w:r w:rsidR="000557AA" w:rsidRPr="00A00B40">
          <w:rPr>
            <w:rStyle w:val="Hyperlink"/>
            <w:noProof/>
          </w:rPr>
          <w:t>Trauma Wards</w:t>
        </w:r>
        <w:r w:rsidR="000557AA">
          <w:rPr>
            <w:noProof/>
            <w:webHidden/>
          </w:rPr>
          <w:tab/>
        </w:r>
        <w:r w:rsidR="000557AA">
          <w:rPr>
            <w:noProof/>
            <w:webHidden/>
          </w:rPr>
          <w:fldChar w:fldCharType="begin"/>
        </w:r>
        <w:r w:rsidR="000557AA">
          <w:rPr>
            <w:noProof/>
            <w:webHidden/>
          </w:rPr>
          <w:instrText xml:space="preserve"> PAGEREF _Toc1902336 \h </w:instrText>
        </w:r>
        <w:r w:rsidR="000557AA">
          <w:rPr>
            <w:noProof/>
            <w:webHidden/>
          </w:rPr>
        </w:r>
        <w:r w:rsidR="000557AA">
          <w:rPr>
            <w:noProof/>
            <w:webHidden/>
          </w:rPr>
          <w:fldChar w:fldCharType="separate"/>
        </w:r>
        <w:r w:rsidR="00AC21CF">
          <w:rPr>
            <w:noProof/>
            <w:webHidden/>
          </w:rPr>
          <w:t>139</w:t>
        </w:r>
        <w:r w:rsidR="000557AA">
          <w:rPr>
            <w:noProof/>
            <w:webHidden/>
          </w:rPr>
          <w:fldChar w:fldCharType="end"/>
        </w:r>
      </w:hyperlink>
    </w:p>
    <w:p w14:paraId="532243DB"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37" w:history="1">
        <w:r w:rsidR="000557AA" w:rsidRPr="00A00B40">
          <w:rPr>
            <w:rStyle w:val="Hyperlink"/>
            <w:noProof/>
          </w:rPr>
          <w:t>7.4.2</w:t>
        </w:r>
        <w:r w:rsidR="000557AA">
          <w:rPr>
            <w:rFonts w:eastAsiaTheme="minorEastAsia" w:cstheme="minorBidi"/>
            <w:noProof/>
            <w:sz w:val="22"/>
            <w:szCs w:val="22"/>
            <w:lang w:val="en-TT" w:eastAsia="en-TT"/>
          </w:rPr>
          <w:tab/>
        </w:r>
        <w:r w:rsidR="000557AA" w:rsidRPr="00A00B40">
          <w:rPr>
            <w:rStyle w:val="Hyperlink"/>
            <w:noProof/>
          </w:rPr>
          <w:t>A Holistic Approach to Older Patients</w:t>
        </w:r>
        <w:r w:rsidR="000557AA">
          <w:rPr>
            <w:noProof/>
            <w:webHidden/>
          </w:rPr>
          <w:tab/>
        </w:r>
        <w:r w:rsidR="000557AA">
          <w:rPr>
            <w:noProof/>
            <w:webHidden/>
          </w:rPr>
          <w:fldChar w:fldCharType="begin"/>
        </w:r>
        <w:r w:rsidR="000557AA">
          <w:rPr>
            <w:noProof/>
            <w:webHidden/>
          </w:rPr>
          <w:instrText xml:space="preserve"> PAGEREF _Toc1902337 \h </w:instrText>
        </w:r>
        <w:r w:rsidR="000557AA">
          <w:rPr>
            <w:noProof/>
            <w:webHidden/>
          </w:rPr>
        </w:r>
        <w:r w:rsidR="000557AA">
          <w:rPr>
            <w:noProof/>
            <w:webHidden/>
          </w:rPr>
          <w:fldChar w:fldCharType="separate"/>
        </w:r>
        <w:r w:rsidR="00AC21CF">
          <w:rPr>
            <w:noProof/>
            <w:webHidden/>
          </w:rPr>
          <w:t>143</w:t>
        </w:r>
        <w:r w:rsidR="000557AA">
          <w:rPr>
            <w:noProof/>
            <w:webHidden/>
          </w:rPr>
          <w:fldChar w:fldCharType="end"/>
        </w:r>
      </w:hyperlink>
    </w:p>
    <w:p w14:paraId="6492059E"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38" w:history="1">
        <w:r w:rsidR="000557AA" w:rsidRPr="00A00B40">
          <w:rPr>
            <w:rStyle w:val="Hyperlink"/>
            <w:noProof/>
          </w:rPr>
          <w:t>7.4.3</w:t>
        </w:r>
        <w:r w:rsidR="000557AA">
          <w:rPr>
            <w:rFonts w:eastAsiaTheme="minorEastAsia" w:cstheme="minorBidi"/>
            <w:noProof/>
            <w:sz w:val="22"/>
            <w:szCs w:val="22"/>
            <w:lang w:val="en-TT" w:eastAsia="en-TT"/>
          </w:rPr>
          <w:tab/>
        </w:r>
        <w:r w:rsidR="000557AA" w:rsidRPr="00A00B40">
          <w:rPr>
            <w:rStyle w:val="Hyperlink"/>
            <w:noProof/>
          </w:rPr>
          <w:t>Resuscitation versus rehabilitation</w:t>
        </w:r>
        <w:r w:rsidR="000557AA">
          <w:rPr>
            <w:noProof/>
            <w:webHidden/>
          </w:rPr>
          <w:tab/>
        </w:r>
        <w:r w:rsidR="000557AA">
          <w:rPr>
            <w:noProof/>
            <w:webHidden/>
          </w:rPr>
          <w:fldChar w:fldCharType="begin"/>
        </w:r>
        <w:r w:rsidR="000557AA">
          <w:rPr>
            <w:noProof/>
            <w:webHidden/>
          </w:rPr>
          <w:instrText xml:space="preserve"> PAGEREF _Toc1902338 \h </w:instrText>
        </w:r>
        <w:r w:rsidR="000557AA">
          <w:rPr>
            <w:noProof/>
            <w:webHidden/>
          </w:rPr>
        </w:r>
        <w:r w:rsidR="000557AA">
          <w:rPr>
            <w:noProof/>
            <w:webHidden/>
          </w:rPr>
          <w:fldChar w:fldCharType="separate"/>
        </w:r>
        <w:r w:rsidR="00AC21CF">
          <w:rPr>
            <w:noProof/>
            <w:webHidden/>
          </w:rPr>
          <w:t>150</w:t>
        </w:r>
        <w:r w:rsidR="000557AA">
          <w:rPr>
            <w:noProof/>
            <w:webHidden/>
          </w:rPr>
          <w:fldChar w:fldCharType="end"/>
        </w:r>
      </w:hyperlink>
    </w:p>
    <w:p w14:paraId="50EE6F2A"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39" w:history="1">
        <w:r w:rsidR="000557AA" w:rsidRPr="00A00B40">
          <w:rPr>
            <w:rStyle w:val="Hyperlink"/>
            <w:noProof/>
          </w:rPr>
          <w:t>7.4.4</w:t>
        </w:r>
        <w:r w:rsidR="000557AA">
          <w:rPr>
            <w:rFonts w:eastAsiaTheme="minorEastAsia" w:cstheme="minorBidi"/>
            <w:noProof/>
            <w:sz w:val="22"/>
            <w:szCs w:val="22"/>
            <w:lang w:val="en-TT" w:eastAsia="en-TT"/>
          </w:rPr>
          <w:tab/>
        </w:r>
        <w:r w:rsidR="000557AA" w:rsidRPr="00A00B40">
          <w:rPr>
            <w:rStyle w:val="Hyperlink"/>
            <w:noProof/>
          </w:rPr>
          <w:t>Decision to resuscitate</w:t>
        </w:r>
        <w:r w:rsidR="000557AA">
          <w:rPr>
            <w:noProof/>
            <w:webHidden/>
          </w:rPr>
          <w:tab/>
        </w:r>
        <w:r w:rsidR="000557AA">
          <w:rPr>
            <w:noProof/>
            <w:webHidden/>
          </w:rPr>
          <w:fldChar w:fldCharType="begin"/>
        </w:r>
        <w:r w:rsidR="000557AA">
          <w:rPr>
            <w:noProof/>
            <w:webHidden/>
          </w:rPr>
          <w:instrText xml:space="preserve"> PAGEREF _Toc1902339 \h </w:instrText>
        </w:r>
        <w:r w:rsidR="000557AA">
          <w:rPr>
            <w:noProof/>
            <w:webHidden/>
          </w:rPr>
        </w:r>
        <w:r w:rsidR="000557AA">
          <w:rPr>
            <w:noProof/>
            <w:webHidden/>
          </w:rPr>
          <w:fldChar w:fldCharType="separate"/>
        </w:r>
        <w:r w:rsidR="00AC21CF">
          <w:rPr>
            <w:noProof/>
            <w:webHidden/>
          </w:rPr>
          <w:t>152</w:t>
        </w:r>
        <w:r w:rsidR="000557AA">
          <w:rPr>
            <w:noProof/>
            <w:webHidden/>
          </w:rPr>
          <w:fldChar w:fldCharType="end"/>
        </w:r>
      </w:hyperlink>
    </w:p>
    <w:p w14:paraId="662B8642"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40" w:history="1">
        <w:r w:rsidR="000557AA" w:rsidRPr="00A00B40">
          <w:rPr>
            <w:rStyle w:val="Hyperlink"/>
            <w:noProof/>
          </w:rPr>
          <w:t>7.4.5</w:t>
        </w:r>
        <w:r w:rsidR="000557AA">
          <w:rPr>
            <w:rFonts w:eastAsiaTheme="minorEastAsia" w:cstheme="minorBidi"/>
            <w:noProof/>
            <w:sz w:val="22"/>
            <w:szCs w:val="22"/>
            <w:lang w:val="en-TT" w:eastAsia="en-TT"/>
          </w:rPr>
          <w:tab/>
        </w:r>
        <w:r w:rsidR="000557AA" w:rsidRPr="00A00B40">
          <w:rPr>
            <w:rStyle w:val="Hyperlink"/>
            <w:noProof/>
          </w:rPr>
          <w:t>Guidelines and Protocols for Older Trauma Patients</w:t>
        </w:r>
        <w:r w:rsidR="000557AA">
          <w:rPr>
            <w:noProof/>
            <w:webHidden/>
          </w:rPr>
          <w:tab/>
        </w:r>
        <w:r w:rsidR="000557AA">
          <w:rPr>
            <w:noProof/>
            <w:webHidden/>
          </w:rPr>
          <w:fldChar w:fldCharType="begin"/>
        </w:r>
        <w:r w:rsidR="000557AA">
          <w:rPr>
            <w:noProof/>
            <w:webHidden/>
          </w:rPr>
          <w:instrText xml:space="preserve"> PAGEREF _Toc1902340 \h </w:instrText>
        </w:r>
        <w:r w:rsidR="000557AA">
          <w:rPr>
            <w:noProof/>
            <w:webHidden/>
          </w:rPr>
        </w:r>
        <w:r w:rsidR="000557AA">
          <w:rPr>
            <w:noProof/>
            <w:webHidden/>
          </w:rPr>
          <w:fldChar w:fldCharType="separate"/>
        </w:r>
        <w:r w:rsidR="00AC21CF">
          <w:rPr>
            <w:noProof/>
            <w:webHidden/>
          </w:rPr>
          <w:t>157</w:t>
        </w:r>
        <w:r w:rsidR="000557AA">
          <w:rPr>
            <w:noProof/>
            <w:webHidden/>
          </w:rPr>
          <w:fldChar w:fldCharType="end"/>
        </w:r>
      </w:hyperlink>
    </w:p>
    <w:p w14:paraId="2ECA7050"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341" w:history="1">
        <w:r w:rsidR="000557AA" w:rsidRPr="00A00B40">
          <w:rPr>
            <w:rStyle w:val="Hyperlink"/>
            <w:noProof/>
          </w:rPr>
          <w:t>7.5</w:t>
        </w:r>
        <w:r w:rsidR="000557AA">
          <w:rPr>
            <w:rFonts w:eastAsiaTheme="minorEastAsia" w:cstheme="minorBidi"/>
            <w:i w:val="0"/>
            <w:iCs w:val="0"/>
            <w:noProof/>
            <w:sz w:val="22"/>
            <w:szCs w:val="22"/>
            <w:lang w:val="en-TT" w:eastAsia="en-TT"/>
          </w:rPr>
          <w:tab/>
        </w:r>
        <w:r w:rsidR="000557AA" w:rsidRPr="00A00B40">
          <w:rPr>
            <w:rStyle w:val="Hyperlink"/>
            <w:noProof/>
          </w:rPr>
          <w:t>Breaking the Code – Which Hospital was Which?</w:t>
        </w:r>
        <w:r w:rsidR="000557AA">
          <w:rPr>
            <w:noProof/>
            <w:webHidden/>
          </w:rPr>
          <w:tab/>
        </w:r>
        <w:r w:rsidR="000557AA">
          <w:rPr>
            <w:noProof/>
            <w:webHidden/>
          </w:rPr>
          <w:fldChar w:fldCharType="begin"/>
        </w:r>
        <w:r w:rsidR="000557AA">
          <w:rPr>
            <w:noProof/>
            <w:webHidden/>
          </w:rPr>
          <w:instrText xml:space="preserve"> PAGEREF _Toc1902341 \h </w:instrText>
        </w:r>
        <w:r w:rsidR="000557AA">
          <w:rPr>
            <w:noProof/>
            <w:webHidden/>
          </w:rPr>
        </w:r>
        <w:r w:rsidR="000557AA">
          <w:rPr>
            <w:noProof/>
            <w:webHidden/>
          </w:rPr>
          <w:fldChar w:fldCharType="separate"/>
        </w:r>
        <w:r w:rsidR="00AC21CF">
          <w:rPr>
            <w:noProof/>
            <w:webHidden/>
          </w:rPr>
          <w:t>160</w:t>
        </w:r>
        <w:r w:rsidR="000557AA">
          <w:rPr>
            <w:noProof/>
            <w:webHidden/>
          </w:rPr>
          <w:fldChar w:fldCharType="end"/>
        </w:r>
      </w:hyperlink>
    </w:p>
    <w:p w14:paraId="27437AD7"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342" w:history="1">
        <w:r w:rsidR="000557AA" w:rsidRPr="00A00B40">
          <w:rPr>
            <w:rStyle w:val="Hyperlink"/>
            <w:noProof/>
          </w:rPr>
          <w:t>7.6</w:t>
        </w:r>
        <w:r w:rsidR="000557AA">
          <w:rPr>
            <w:rFonts w:eastAsiaTheme="minorEastAsia" w:cstheme="minorBidi"/>
            <w:i w:val="0"/>
            <w:iCs w:val="0"/>
            <w:noProof/>
            <w:sz w:val="22"/>
            <w:szCs w:val="22"/>
            <w:lang w:val="en-TT" w:eastAsia="en-TT"/>
          </w:rPr>
          <w:tab/>
        </w:r>
        <w:r w:rsidR="000557AA" w:rsidRPr="00A00B40">
          <w:rPr>
            <w:rStyle w:val="Hyperlink"/>
            <w:noProof/>
          </w:rPr>
          <w:t>Conclusion</w:t>
        </w:r>
        <w:r w:rsidR="000557AA">
          <w:rPr>
            <w:noProof/>
            <w:webHidden/>
          </w:rPr>
          <w:tab/>
        </w:r>
        <w:r w:rsidR="000557AA">
          <w:rPr>
            <w:noProof/>
            <w:webHidden/>
          </w:rPr>
          <w:fldChar w:fldCharType="begin"/>
        </w:r>
        <w:r w:rsidR="000557AA">
          <w:rPr>
            <w:noProof/>
            <w:webHidden/>
          </w:rPr>
          <w:instrText xml:space="preserve"> PAGEREF _Toc1902342 \h </w:instrText>
        </w:r>
        <w:r w:rsidR="000557AA">
          <w:rPr>
            <w:noProof/>
            <w:webHidden/>
          </w:rPr>
        </w:r>
        <w:r w:rsidR="000557AA">
          <w:rPr>
            <w:noProof/>
            <w:webHidden/>
          </w:rPr>
          <w:fldChar w:fldCharType="separate"/>
        </w:r>
        <w:r w:rsidR="00AC21CF">
          <w:rPr>
            <w:noProof/>
            <w:webHidden/>
          </w:rPr>
          <w:t>161</w:t>
        </w:r>
        <w:r w:rsidR="000557AA">
          <w:rPr>
            <w:noProof/>
            <w:webHidden/>
          </w:rPr>
          <w:fldChar w:fldCharType="end"/>
        </w:r>
      </w:hyperlink>
    </w:p>
    <w:p w14:paraId="62CC5269" w14:textId="77777777" w:rsidR="000557AA" w:rsidRDefault="00993D1E">
      <w:pPr>
        <w:pStyle w:val="TOC1"/>
        <w:tabs>
          <w:tab w:val="right" w:leader="dot" w:pos="8484"/>
        </w:tabs>
        <w:rPr>
          <w:rFonts w:eastAsiaTheme="minorEastAsia" w:cstheme="minorBidi"/>
          <w:b w:val="0"/>
          <w:bCs w:val="0"/>
          <w:noProof/>
          <w:sz w:val="22"/>
          <w:szCs w:val="22"/>
          <w:lang w:val="en-TT" w:eastAsia="en-TT"/>
        </w:rPr>
      </w:pPr>
      <w:hyperlink w:anchor="_Toc1902343" w:history="1">
        <w:r w:rsidR="000557AA" w:rsidRPr="00A00B40">
          <w:rPr>
            <w:rStyle w:val="Hyperlink"/>
            <w:noProof/>
          </w:rPr>
          <w:t>Chapter 8: Refining the Predictive Model, Using Factors from Phase 2</w:t>
        </w:r>
        <w:r w:rsidR="000557AA">
          <w:rPr>
            <w:noProof/>
            <w:webHidden/>
          </w:rPr>
          <w:tab/>
        </w:r>
        <w:r w:rsidR="000557AA">
          <w:rPr>
            <w:noProof/>
            <w:webHidden/>
          </w:rPr>
          <w:fldChar w:fldCharType="begin"/>
        </w:r>
        <w:r w:rsidR="000557AA">
          <w:rPr>
            <w:noProof/>
            <w:webHidden/>
          </w:rPr>
          <w:instrText xml:space="preserve"> PAGEREF _Toc1902343 \h </w:instrText>
        </w:r>
        <w:r w:rsidR="000557AA">
          <w:rPr>
            <w:noProof/>
            <w:webHidden/>
          </w:rPr>
        </w:r>
        <w:r w:rsidR="000557AA">
          <w:rPr>
            <w:noProof/>
            <w:webHidden/>
          </w:rPr>
          <w:fldChar w:fldCharType="separate"/>
        </w:r>
        <w:r w:rsidR="00AC21CF">
          <w:rPr>
            <w:noProof/>
            <w:webHidden/>
          </w:rPr>
          <w:t>162</w:t>
        </w:r>
        <w:r w:rsidR="000557AA">
          <w:rPr>
            <w:noProof/>
            <w:webHidden/>
          </w:rPr>
          <w:fldChar w:fldCharType="end"/>
        </w:r>
      </w:hyperlink>
    </w:p>
    <w:p w14:paraId="53826AD9"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344" w:history="1">
        <w:r w:rsidR="000557AA" w:rsidRPr="00A00B40">
          <w:rPr>
            <w:rStyle w:val="Hyperlink"/>
            <w:noProof/>
          </w:rPr>
          <w:t>8.1</w:t>
        </w:r>
        <w:r w:rsidR="000557AA">
          <w:rPr>
            <w:rFonts w:eastAsiaTheme="minorEastAsia" w:cstheme="minorBidi"/>
            <w:i w:val="0"/>
            <w:iCs w:val="0"/>
            <w:noProof/>
            <w:sz w:val="22"/>
            <w:szCs w:val="22"/>
            <w:lang w:val="en-TT" w:eastAsia="en-TT"/>
          </w:rPr>
          <w:tab/>
        </w:r>
        <w:r w:rsidR="000557AA" w:rsidRPr="00A00B40">
          <w:rPr>
            <w:rStyle w:val="Hyperlink"/>
            <w:noProof/>
          </w:rPr>
          <w:t>Introduction</w:t>
        </w:r>
        <w:r w:rsidR="000557AA">
          <w:rPr>
            <w:noProof/>
            <w:webHidden/>
          </w:rPr>
          <w:tab/>
        </w:r>
        <w:r w:rsidR="000557AA">
          <w:rPr>
            <w:noProof/>
            <w:webHidden/>
          </w:rPr>
          <w:fldChar w:fldCharType="begin"/>
        </w:r>
        <w:r w:rsidR="000557AA">
          <w:rPr>
            <w:noProof/>
            <w:webHidden/>
          </w:rPr>
          <w:instrText xml:space="preserve"> PAGEREF _Toc1902344 \h </w:instrText>
        </w:r>
        <w:r w:rsidR="000557AA">
          <w:rPr>
            <w:noProof/>
            <w:webHidden/>
          </w:rPr>
        </w:r>
        <w:r w:rsidR="000557AA">
          <w:rPr>
            <w:noProof/>
            <w:webHidden/>
          </w:rPr>
          <w:fldChar w:fldCharType="separate"/>
        </w:r>
        <w:r w:rsidR="00AC21CF">
          <w:rPr>
            <w:noProof/>
            <w:webHidden/>
          </w:rPr>
          <w:t>162</w:t>
        </w:r>
        <w:r w:rsidR="000557AA">
          <w:rPr>
            <w:noProof/>
            <w:webHidden/>
          </w:rPr>
          <w:fldChar w:fldCharType="end"/>
        </w:r>
      </w:hyperlink>
    </w:p>
    <w:p w14:paraId="4D49E577"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345" w:history="1">
        <w:r w:rsidR="000557AA" w:rsidRPr="00A00B40">
          <w:rPr>
            <w:rStyle w:val="Hyperlink"/>
            <w:noProof/>
          </w:rPr>
          <w:t>8.2</w:t>
        </w:r>
        <w:r w:rsidR="000557AA">
          <w:rPr>
            <w:rFonts w:eastAsiaTheme="minorEastAsia" w:cstheme="minorBidi"/>
            <w:i w:val="0"/>
            <w:iCs w:val="0"/>
            <w:noProof/>
            <w:sz w:val="22"/>
            <w:szCs w:val="22"/>
            <w:lang w:val="en-TT" w:eastAsia="en-TT"/>
          </w:rPr>
          <w:tab/>
        </w:r>
        <w:r w:rsidR="000557AA" w:rsidRPr="00A00B40">
          <w:rPr>
            <w:rStyle w:val="Hyperlink"/>
            <w:noProof/>
          </w:rPr>
          <w:t>Methods</w:t>
        </w:r>
        <w:r w:rsidR="000557AA">
          <w:rPr>
            <w:noProof/>
            <w:webHidden/>
          </w:rPr>
          <w:tab/>
        </w:r>
        <w:r w:rsidR="000557AA">
          <w:rPr>
            <w:noProof/>
            <w:webHidden/>
          </w:rPr>
          <w:fldChar w:fldCharType="begin"/>
        </w:r>
        <w:r w:rsidR="000557AA">
          <w:rPr>
            <w:noProof/>
            <w:webHidden/>
          </w:rPr>
          <w:instrText xml:space="preserve"> PAGEREF _Toc1902345 \h </w:instrText>
        </w:r>
        <w:r w:rsidR="000557AA">
          <w:rPr>
            <w:noProof/>
            <w:webHidden/>
          </w:rPr>
        </w:r>
        <w:r w:rsidR="000557AA">
          <w:rPr>
            <w:noProof/>
            <w:webHidden/>
          </w:rPr>
          <w:fldChar w:fldCharType="separate"/>
        </w:r>
        <w:r w:rsidR="00AC21CF">
          <w:rPr>
            <w:noProof/>
            <w:webHidden/>
          </w:rPr>
          <w:t>162</w:t>
        </w:r>
        <w:r w:rsidR="000557AA">
          <w:rPr>
            <w:noProof/>
            <w:webHidden/>
          </w:rPr>
          <w:fldChar w:fldCharType="end"/>
        </w:r>
      </w:hyperlink>
    </w:p>
    <w:p w14:paraId="26F4EFE2"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46" w:history="1">
        <w:r w:rsidR="000557AA" w:rsidRPr="00A00B40">
          <w:rPr>
            <w:rStyle w:val="Hyperlink"/>
            <w:noProof/>
          </w:rPr>
          <w:t>8.2.1</w:t>
        </w:r>
        <w:r w:rsidR="000557AA">
          <w:rPr>
            <w:rFonts w:eastAsiaTheme="minorEastAsia" w:cstheme="minorBidi"/>
            <w:noProof/>
            <w:sz w:val="22"/>
            <w:szCs w:val="22"/>
            <w:lang w:val="en-TT" w:eastAsia="en-TT"/>
          </w:rPr>
          <w:tab/>
        </w:r>
        <w:r w:rsidR="000557AA" w:rsidRPr="00A00B40">
          <w:rPr>
            <w:rStyle w:val="Hyperlink"/>
            <w:noProof/>
          </w:rPr>
          <w:t>Proxy measures used to further develop the predictive model</w:t>
        </w:r>
        <w:r w:rsidR="000557AA">
          <w:rPr>
            <w:noProof/>
            <w:webHidden/>
          </w:rPr>
          <w:tab/>
        </w:r>
        <w:r w:rsidR="000557AA">
          <w:rPr>
            <w:noProof/>
            <w:webHidden/>
          </w:rPr>
          <w:fldChar w:fldCharType="begin"/>
        </w:r>
        <w:r w:rsidR="000557AA">
          <w:rPr>
            <w:noProof/>
            <w:webHidden/>
          </w:rPr>
          <w:instrText xml:space="preserve"> PAGEREF _Toc1902346 \h </w:instrText>
        </w:r>
        <w:r w:rsidR="000557AA">
          <w:rPr>
            <w:noProof/>
            <w:webHidden/>
          </w:rPr>
        </w:r>
        <w:r w:rsidR="000557AA">
          <w:rPr>
            <w:noProof/>
            <w:webHidden/>
          </w:rPr>
          <w:fldChar w:fldCharType="separate"/>
        </w:r>
        <w:r w:rsidR="00AC21CF">
          <w:rPr>
            <w:noProof/>
            <w:webHidden/>
          </w:rPr>
          <w:t>162</w:t>
        </w:r>
        <w:r w:rsidR="000557AA">
          <w:rPr>
            <w:noProof/>
            <w:webHidden/>
          </w:rPr>
          <w:fldChar w:fldCharType="end"/>
        </w:r>
      </w:hyperlink>
    </w:p>
    <w:p w14:paraId="1DA368ED"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47" w:history="1">
        <w:r w:rsidR="000557AA" w:rsidRPr="00A00B40">
          <w:rPr>
            <w:rStyle w:val="Hyperlink"/>
            <w:noProof/>
          </w:rPr>
          <w:t>8.2.2</w:t>
        </w:r>
        <w:r w:rsidR="000557AA">
          <w:rPr>
            <w:rFonts w:eastAsiaTheme="minorEastAsia" w:cstheme="minorBidi"/>
            <w:noProof/>
            <w:sz w:val="22"/>
            <w:szCs w:val="22"/>
            <w:lang w:val="en-TT" w:eastAsia="en-TT"/>
          </w:rPr>
          <w:tab/>
        </w:r>
        <w:r w:rsidR="000557AA" w:rsidRPr="00A00B40">
          <w:rPr>
            <w:rStyle w:val="Hyperlink"/>
            <w:noProof/>
          </w:rPr>
          <w:t>Approach to the development of the predictive model</w:t>
        </w:r>
        <w:r w:rsidR="000557AA">
          <w:rPr>
            <w:noProof/>
            <w:webHidden/>
          </w:rPr>
          <w:tab/>
        </w:r>
        <w:r w:rsidR="000557AA">
          <w:rPr>
            <w:noProof/>
            <w:webHidden/>
          </w:rPr>
          <w:fldChar w:fldCharType="begin"/>
        </w:r>
        <w:r w:rsidR="000557AA">
          <w:rPr>
            <w:noProof/>
            <w:webHidden/>
          </w:rPr>
          <w:instrText xml:space="preserve"> PAGEREF _Toc1902347 \h </w:instrText>
        </w:r>
        <w:r w:rsidR="000557AA">
          <w:rPr>
            <w:noProof/>
            <w:webHidden/>
          </w:rPr>
        </w:r>
        <w:r w:rsidR="000557AA">
          <w:rPr>
            <w:noProof/>
            <w:webHidden/>
          </w:rPr>
          <w:fldChar w:fldCharType="separate"/>
        </w:r>
        <w:r w:rsidR="00AC21CF">
          <w:rPr>
            <w:noProof/>
            <w:webHidden/>
          </w:rPr>
          <w:t>166</w:t>
        </w:r>
        <w:r w:rsidR="000557AA">
          <w:rPr>
            <w:noProof/>
            <w:webHidden/>
          </w:rPr>
          <w:fldChar w:fldCharType="end"/>
        </w:r>
      </w:hyperlink>
    </w:p>
    <w:p w14:paraId="20FD0BF0"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348" w:history="1">
        <w:r w:rsidR="000557AA" w:rsidRPr="00A00B40">
          <w:rPr>
            <w:rStyle w:val="Hyperlink"/>
            <w:noProof/>
          </w:rPr>
          <w:t xml:space="preserve">8.3 </w:t>
        </w:r>
        <w:r w:rsidR="000557AA">
          <w:rPr>
            <w:rFonts w:eastAsiaTheme="minorEastAsia" w:cstheme="minorBidi"/>
            <w:i w:val="0"/>
            <w:iCs w:val="0"/>
            <w:noProof/>
            <w:sz w:val="22"/>
            <w:szCs w:val="22"/>
            <w:lang w:val="en-TT" w:eastAsia="en-TT"/>
          </w:rPr>
          <w:tab/>
        </w:r>
        <w:r w:rsidR="000557AA" w:rsidRPr="00A00B40">
          <w:rPr>
            <w:rStyle w:val="Hyperlink"/>
            <w:noProof/>
          </w:rPr>
          <w:t>Impact of new variables on the predictive model</w:t>
        </w:r>
        <w:r w:rsidR="000557AA">
          <w:rPr>
            <w:noProof/>
            <w:webHidden/>
          </w:rPr>
          <w:tab/>
        </w:r>
        <w:r w:rsidR="000557AA">
          <w:rPr>
            <w:noProof/>
            <w:webHidden/>
          </w:rPr>
          <w:fldChar w:fldCharType="begin"/>
        </w:r>
        <w:r w:rsidR="000557AA">
          <w:rPr>
            <w:noProof/>
            <w:webHidden/>
          </w:rPr>
          <w:instrText xml:space="preserve"> PAGEREF _Toc1902348 \h </w:instrText>
        </w:r>
        <w:r w:rsidR="000557AA">
          <w:rPr>
            <w:noProof/>
            <w:webHidden/>
          </w:rPr>
        </w:r>
        <w:r w:rsidR="000557AA">
          <w:rPr>
            <w:noProof/>
            <w:webHidden/>
          </w:rPr>
          <w:fldChar w:fldCharType="separate"/>
        </w:r>
        <w:r w:rsidR="00AC21CF">
          <w:rPr>
            <w:noProof/>
            <w:webHidden/>
          </w:rPr>
          <w:t>166</w:t>
        </w:r>
        <w:r w:rsidR="000557AA">
          <w:rPr>
            <w:noProof/>
            <w:webHidden/>
          </w:rPr>
          <w:fldChar w:fldCharType="end"/>
        </w:r>
      </w:hyperlink>
    </w:p>
    <w:p w14:paraId="26BFC6BD"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49" w:history="1">
        <w:r w:rsidR="000557AA" w:rsidRPr="00A00B40">
          <w:rPr>
            <w:rStyle w:val="Hyperlink"/>
            <w:noProof/>
          </w:rPr>
          <w:t>8.3.1</w:t>
        </w:r>
        <w:r w:rsidR="000557AA">
          <w:rPr>
            <w:rFonts w:eastAsiaTheme="minorEastAsia" w:cstheme="minorBidi"/>
            <w:noProof/>
            <w:sz w:val="22"/>
            <w:szCs w:val="22"/>
            <w:lang w:val="en-TT" w:eastAsia="en-TT"/>
          </w:rPr>
          <w:tab/>
        </w:r>
        <w:r w:rsidR="000557AA" w:rsidRPr="00A00B40">
          <w:rPr>
            <w:rStyle w:val="Hyperlink"/>
            <w:noProof/>
          </w:rPr>
          <w:t>Neurosurgery on site</w:t>
        </w:r>
        <w:r w:rsidR="000557AA">
          <w:rPr>
            <w:noProof/>
            <w:webHidden/>
          </w:rPr>
          <w:tab/>
        </w:r>
        <w:r w:rsidR="000557AA">
          <w:rPr>
            <w:noProof/>
            <w:webHidden/>
          </w:rPr>
          <w:fldChar w:fldCharType="begin"/>
        </w:r>
        <w:r w:rsidR="000557AA">
          <w:rPr>
            <w:noProof/>
            <w:webHidden/>
          </w:rPr>
          <w:instrText xml:space="preserve"> PAGEREF _Toc1902349 \h </w:instrText>
        </w:r>
        <w:r w:rsidR="000557AA">
          <w:rPr>
            <w:noProof/>
            <w:webHidden/>
          </w:rPr>
        </w:r>
        <w:r w:rsidR="000557AA">
          <w:rPr>
            <w:noProof/>
            <w:webHidden/>
          </w:rPr>
          <w:fldChar w:fldCharType="separate"/>
        </w:r>
        <w:r w:rsidR="00AC21CF">
          <w:rPr>
            <w:noProof/>
            <w:webHidden/>
          </w:rPr>
          <w:t>166</w:t>
        </w:r>
        <w:r w:rsidR="000557AA">
          <w:rPr>
            <w:noProof/>
            <w:webHidden/>
          </w:rPr>
          <w:fldChar w:fldCharType="end"/>
        </w:r>
      </w:hyperlink>
    </w:p>
    <w:p w14:paraId="2637FE41"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50" w:history="1">
        <w:r w:rsidR="000557AA" w:rsidRPr="00A00B40">
          <w:rPr>
            <w:rStyle w:val="Hyperlink"/>
            <w:noProof/>
          </w:rPr>
          <w:t>8.3.2</w:t>
        </w:r>
        <w:r w:rsidR="000557AA">
          <w:rPr>
            <w:rFonts w:eastAsiaTheme="minorEastAsia" w:cstheme="minorBidi"/>
            <w:noProof/>
            <w:sz w:val="22"/>
            <w:szCs w:val="22"/>
            <w:lang w:val="en-TT" w:eastAsia="en-TT"/>
          </w:rPr>
          <w:tab/>
        </w:r>
        <w:r w:rsidR="000557AA" w:rsidRPr="00A00B40">
          <w:rPr>
            <w:rStyle w:val="Hyperlink"/>
            <w:noProof/>
          </w:rPr>
          <w:t>Trauma Wards</w:t>
        </w:r>
        <w:r w:rsidR="000557AA">
          <w:rPr>
            <w:noProof/>
            <w:webHidden/>
          </w:rPr>
          <w:tab/>
        </w:r>
        <w:r w:rsidR="000557AA">
          <w:rPr>
            <w:noProof/>
            <w:webHidden/>
          </w:rPr>
          <w:fldChar w:fldCharType="begin"/>
        </w:r>
        <w:r w:rsidR="000557AA">
          <w:rPr>
            <w:noProof/>
            <w:webHidden/>
          </w:rPr>
          <w:instrText xml:space="preserve"> PAGEREF _Toc1902350 \h </w:instrText>
        </w:r>
        <w:r w:rsidR="000557AA">
          <w:rPr>
            <w:noProof/>
            <w:webHidden/>
          </w:rPr>
        </w:r>
        <w:r w:rsidR="000557AA">
          <w:rPr>
            <w:noProof/>
            <w:webHidden/>
          </w:rPr>
          <w:fldChar w:fldCharType="separate"/>
        </w:r>
        <w:r w:rsidR="00AC21CF">
          <w:rPr>
            <w:noProof/>
            <w:webHidden/>
          </w:rPr>
          <w:t>167</w:t>
        </w:r>
        <w:r w:rsidR="000557AA">
          <w:rPr>
            <w:noProof/>
            <w:webHidden/>
          </w:rPr>
          <w:fldChar w:fldCharType="end"/>
        </w:r>
      </w:hyperlink>
    </w:p>
    <w:p w14:paraId="4D21C2ED"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51" w:history="1">
        <w:r w:rsidR="000557AA" w:rsidRPr="00A00B40">
          <w:rPr>
            <w:rStyle w:val="Hyperlink"/>
            <w:noProof/>
          </w:rPr>
          <w:t>8.3.3</w:t>
        </w:r>
        <w:r w:rsidR="000557AA">
          <w:rPr>
            <w:rFonts w:eastAsiaTheme="minorEastAsia" w:cstheme="minorBidi"/>
            <w:noProof/>
            <w:sz w:val="22"/>
            <w:szCs w:val="22"/>
            <w:lang w:val="en-TT" w:eastAsia="en-TT"/>
          </w:rPr>
          <w:tab/>
        </w:r>
        <w:r w:rsidR="000557AA" w:rsidRPr="00A00B40">
          <w:rPr>
            <w:rStyle w:val="Hyperlink"/>
            <w:noProof/>
          </w:rPr>
          <w:t>Admission to a Trauma Ward</w:t>
        </w:r>
        <w:r w:rsidR="000557AA">
          <w:rPr>
            <w:noProof/>
            <w:webHidden/>
          </w:rPr>
          <w:tab/>
        </w:r>
        <w:r w:rsidR="000557AA">
          <w:rPr>
            <w:noProof/>
            <w:webHidden/>
          </w:rPr>
          <w:fldChar w:fldCharType="begin"/>
        </w:r>
        <w:r w:rsidR="000557AA">
          <w:rPr>
            <w:noProof/>
            <w:webHidden/>
          </w:rPr>
          <w:instrText xml:space="preserve"> PAGEREF _Toc1902351 \h </w:instrText>
        </w:r>
        <w:r w:rsidR="000557AA">
          <w:rPr>
            <w:noProof/>
            <w:webHidden/>
          </w:rPr>
        </w:r>
        <w:r w:rsidR="000557AA">
          <w:rPr>
            <w:noProof/>
            <w:webHidden/>
          </w:rPr>
          <w:fldChar w:fldCharType="separate"/>
        </w:r>
        <w:r w:rsidR="00AC21CF">
          <w:rPr>
            <w:noProof/>
            <w:webHidden/>
          </w:rPr>
          <w:t>167</w:t>
        </w:r>
        <w:r w:rsidR="000557AA">
          <w:rPr>
            <w:noProof/>
            <w:webHidden/>
          </w:rPr>
          <w:fldChar w:fldCharType="end"/>
        </w:r>
      </w:hyperlink>
    </w:p>
    <w:p w14:paraId="233FEA99"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52" w:history="1">
        <w:r w:rsidR="000557AA" w:rsidRPr="00A00B40">
          <w:rPr>
            <w:rStyle w:val="Hyperlink"/>
            <w:noProof/>
          </w:rPr>
          <w:t>8.3.4</w:t>
        </w:r>
        <w:r w:rsidR="000557AA">
          <w:rPr>
            <w:rFonts w:eastAsiaTheme="minorEastAsia" w:cstheme="minorBidi"/>
            <w:noProof/>
            <w:sz w:val="22"/>
            <w:szCs w:val="22"/>
            <w:lang w:val="en-TT" w:eastAsia="en-TT"/>
          </w:rPr>
          <w:tab/>
        </w:r>
        <w:r w:rsidR="000557AA" w:rsidRPr="00A00B40">
          <w:rPr>
            <w:rStyle w:val="Hyperlink"/>
            <w:noProof/>
          </w:rPr>
          <w:t>Rehabilitation Prescription</w:t>
        </w:r>
        <w:r w:rsidR="000557AA">
          <w:rPr>
            <w:noProof/>
            <w:webHidden/>
          </w:rPr>
          <w:tab/>
        </w:r>
        <w:r w:rsidR="000557AA">
          <w:rPr>
            <w:noProof/>
            <w:webHidden/>
          </w:rPr>
          <w:fldChar w:fldCharType="begin"/>
        </w:r>
        <w:r w:rsidR="000557AA">
          <w:rPr>
            <w:noProof/>
            <w:webHidden/>
          </w:rPr>
          <w:instrText xml:space="preserve"> PAGEREF _Toc1902352 \h </w:instrText>
        </w:r>
        <w:r w:rsidR="000557AA">
          <w:rPr>
            <w:noProof/>
            <w:webHidden/>
          </w:rPr>
        </w:r>
        <w:r w:rsidR="000557AA">
          <w:rPr>
            <w:noProof/>
            <w:webHidden/>
          </w:rPr>
          <w:fldChar w:fldCharType="separate"/>
        </w:r>
        <w:r w:rsidR="00AC21CF">
          <w:rPr>
            <w:noProof/>
            <w:webHidden/>
          </w:rPr>
          <w:t>167</w:t>
        </w:r>
        <w:r w:rsidR="000557AA">
          <w:rPr>
            <w:noProof/>
            <w:webHidden/>
          </w:rPr>
          <w:fldChar w:fldCharType="end"/>
        </w:r>
      </w:hyperlink>
    </w:p>
    <w:p w14:paraId="6617A3A8"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53" w:history="1">
        <w:r w:rsidR="000557AA" w:rsidRPr="00A00B40">
          <w:rPr>
            <w:rStyle w:val="Hyperlink"/>
            <w:noProof/>
          </w:rPr>
          <w:t>8.3.5</w:t>
        </w:r>
        <w:r w:rsidR="000557AA">
          <w:rPr>
            <w:rFonts w:eastAsiaTheme="minorEastAsia" w:cstheme="minorBidi"/>
            <w:noProof/>
            <w:sz w:val="22"/>
            <w:szCs w:val="22"/>
            <w:lang w:val="en-TT" w:eastAsia="en-TT"/>
          </w:rPr>
          <w:tab/>
        </w:r>
        <w:r w:rsidR="000557AA" w:rsidRPr="00A00B40">
          <w:rPr>
            <w:rStyle w:val="Hyperlink"/>
            <w:noProof/>
          </w:rPr>
          <w:t>Sensitivity Analyses on Phase 3 Multilevel Models</w:t>
        </w:r>
        <w:r w:rsidR="000557AA">
          <w:rPr>
            <w:noProof/>
            <w:webHidden/>
          </w:rPr>
          <w:tab/>
        </w:r>
        <w:r w:rsidR="000557AA">
          <w:rPr>
            <w:noProof/>
            <w:webHidden/>
          </w:rPr>
          <w:fldChar w:fldCharType="begin"/>
        </w:r>
        <w:r w:rsidR="000557AA">
          <w:rPr>
            <w:noProof/>
            <w:webHidden/>
          </w:rPr>
          <w:instrText xml:space="preserve"> PAGEREF _Toc1902353 \h </w:instrText>
        </w:r>
        <w:r w:rsidR="000557AA">
          <w:rPr>
            <w:noProof/>
            <w:webHidden/>
          </w:rPr>
        </w:r>
        <w:r w:rsidR="000557AA">
          <w:rPr>
            <w:noProof/>
            <w:webHidden/>
          </w:rPr>
          <w:fldChar w:fldCharType="separate"/>
        </w:r>
        <w:r w:rsidR="00AC21CF">
          <w:rPr>
            <w:noProof/>
            <w:webHidden/>
          </w:rPr>
          <w:t>168</w:t>
        </w:r>
        <w:r w:rsidR="000557AA">
          <w:rPr>
            <w:noProof/>
            <w:webHidden/>
          </w:rPr>
          <w:fldChar w:fldCharType="end"/>
        </w:r>
      </w:hyperlink>
    </w:p>
    <w:p w14:paraId="33EE4716" w14:textId="77777777" w:rsidR="000557AA" w:rsidRDefault="00993D1E">
      <w:pPr>
        <w:pStyle w:val="TOC2"/>
        <w:tabs>
          <w:tab w:val="right" w:leader="dot" w:pos="8484"/>
        </w:tabs>
        <w:rPr>
          <w:rFonts w:eastAsiaTheme="minorEastAsia" w:cstheme="minorBidi"/>
          <w:i w:val="0"/>
          <w:iCs w:val="0"/>
          <w:noProof/>
          <w:sz w:val="22"/>
          <w:szCs w:val="22"/>
          <w:lang w:val="en-TT" w:eastAsia="en-TT"/>
        </w:rPr>
      </w:pPr>
      <w:hyperlink w:anchor="_Toc1902354" w:history="1">
        <w:r w:rsidR="000557AA" w:rsidRPr="00A00B40">
          <w:rPr>
            <w:rStyle w:val="Hyperlink"/>
            <w:noProof/>
          </w:rPr>
          <w:t>8.4 Variance in Hospital Performance Using the Refined Model</w:t>
        </w:r>
        <w:r w:rsidR="000557AA">
          <w:rPr>
            <w:noProof/>
            <w:webHidden/>
          </w:rPr>
          <w:tab/>
        </w:r>
        <w:r w:rsidR="000557AA">
          <w:rPr>
            <w:noProof/>
            <w:webHidden/>
          </w:rPr>
          <w:fldChar w:fldCharType="begin"/>
        </w:r>
        <w:r w:rsidR="000557AA">
          <w:rPr>
            <w:noProof/>
            <w:webHidden/>
          </w:rPr>
          <w:instrText xml:space="preserve"> PAGEREF _Toc1902354 \h </w:instrText>
        </w:r>
        <w:r w:rsidR="000557AA">
          <w:rPr>
            <w:noProof/>
            <w:webHidden/>
          </w:rPr>
        </w:r>
        <w:r w:rsidR="000557AA">
          <w:rPr>
            <w:noProof/>
            <w:webHidden/>
          </w:rPr>
          <w:fldChar w:fldCharType="separate"/>
        </w:r>
        <w:r w:rsidR="00AC21CF">
          <w:rPr>
            <w:noProof/>
            <w:webHidden/>
          </w:rPr>
          <w:t>170</w:t>
        </w:r>
        <w:r w:rsidR="000557AA">
          <w:rPr>
            <w:noProof/>
            <w:webHidden/>
          </w:rPr>
          <w:fldChar w:fldCharType="end"/>
        </w:r>
      </w:hyperlink>
    </w:p>
    <w:p w14:paraId="5729F5C6"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55" w:history="1">
        <w:r w:rsidR="000557AA" w:rsidRPr="00A00B40">
          <w:rPr>
            <w:rStyle w:val="Hyperlink"/>
            <w:noProof/>
          </w:rPr>
          <w:t>8.4.1</w:t>
        </w:r>
        <w:r w:rsidR="000557AA">
          <w:rPr>
            <w:rFonts w:eastAsiaTheme="minorEastAsia" w:cstheme="minorBidi"/>
            <w:noProof/>
            <w:sz w:val="22"/>
            <w:szCs w:val="22"/>
            <w:lang w:val="en-TT" w:eastAsia="en-TT"/>
          </w:rPr>
          <w:tab/>
        </w:r>
        <w:r w:rsidR="000557AA" w:rsidRPr="00A00B40">
          <w:rPr>
            <w:rStyle w:val="Hyperlink"/>
            <w:noProof/>
          </w:rPr>
          <w:t>Variance in the Model, When Applied to Eligible MTCs and TUs</w:t>
        </w:r>
        <w:r w:rsidR="000557AA">
          <w:rPr>
            <w:noProof/>
            <w:webHidden/>
          </w:rPr>
          <w:tab/>
        </w:r>
        <w:r w:rsidR="000557AA">
          <w:rPr>
            <w:noProof/>
            <w:webHidden/>
          </w:rPr>
          <w:fldChar w:fldCharType="begin"/>
        </w:r>
        <w:r w:rsidR="000557AA">
          <w:rPr>
            <w:noProof/>
            <w:webHidden/>
          </w:rPr>
          <w:instrText xml:space="preserve"> PAGEREF _Toc1902355 \h </w:instrText>
        </w:r>
        <w:r w:rsidR="000557AA">
          <w:rPr>
            <w:noProof/>
            <w:webHidden/>
          </w:rPr>
        </w:r>
        <w:r w:rsidR="000557AA">
          <w:rPr>
            <w:noProof/>
            <w:webHidden/>
          </w:rPr>
          <w:fldChar w:fldCharType="separate"/>
        </w:r>
        <w:r w:rsidR="00AC21CF">
          <w:rPr>
            <w:noProof/>
            <w:webHidden/>
          </w:rPr>
          <w:t>170</w:t>
        </w:r>
        <w:r w:rsidR="000557AA">
          <w:rPr>
            <w:noProof/>
            <w:webHidden/>
          </w:rPr>
          <w:fldChar w:fldCharType="end"/>
        </w:r>
      </w:hyperlink>
    </w:p>
    <w:p w14:paraId="7FC6A483"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56" w:history="1">
        <w:r w:rsidR="000557AA" w:rsidRPr="00A00B40">
          <w:rPr>
            <w:rStyle w:val="Hyperlink"/>
            <w:noProof/>
          </w:rPr>
          <w:t>8.4.2</w:t>
        </w:r>
        <w:r w:rsidR="000557AA">
          <w:rPr>
            <w:rFonts w:eastAsiaTheme="minorEastAsia" w:cstheme="minorBidi"/>
            <w:noProof/>
            <w:sz w:val="22"/>
            <w:szCs w:val="22"/>
            <w:lang w:val="en-TT" w:eastAsia="en-TT"/>
          </w:rPr>
          <w:tab/>
        </w:r>
        <w:r w:rsidR="000557AA" w:rsidRPr="00A00B40">
          <w:rPr>
            <w:rStyle w:val="Hyperlink"/>
            <w:noProof/>
          </w:rPr>
          <w:t>Variance in the Model, When Applied to MTCs Only</w:t>
        </w:r>
        <w:r w:rsidR="000557AA">
          <w:rPr>
            <w:noProof/>
            <w:webHidden/>
          </w:rPr>
          <w:tab/>
        </w:r>
        <w:r w:rsidR="000557AA">
          <w:rPr>
            <w:noProof/>
            <w:webHidden/>
          </w:rPr>
          <w:fldChar w:fldCharType="begin"/>
        </w:r>
        <w:r w:rsidR="000557AA">
          <w:rPr>
            <w:noProof/>
            <w:webHidden/>
          </w:rPr>
          <w:instrText xml:space="preserve"> PAGEREF _Toc1902356 \h </w:instrText>
        </w:r>
        <w:r w:rsidR="000557AA">
          <w:rPr>
            <w:noProof/>
            <w:webHidden/>
          </w:rPr>
        </w:r>
        <w:r w:rsidR="000557AA">
          <w:rPr>
            <w:noProof/>
            <w:webHidden/>
          </w:rPr>
          <w:fldChar w:fldCharType="separate"/>
        </w:r>
        <w:r w:rsidR="00AC21CF">
          <w:rPr>
            <w:noProof/>
            <w:webHidden/>
          </w:rPr>
          <w:t>172</w:t>
        </w:r>
        <w:r w:rsidR="000557AA">
          <w:rPr>
            <w:noProof/>
            <w:webHidden/>
          </w:rPr>
          <w:fldChar w:fldCharType="end"/>
        </w:r>
      </w:hyperlink>
    </w:p>
    <w:p w14:paraId="02A231E6"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357" w:history="1">
        <w:r w:rsidR="000557AA" w:rsidRPr="00A00B40">
          <w:rPr>
            <w:rStyle w:val="Hyperlink"/>
            <w:noProof/>
          </w:rPr>
          <w:t>8.5</w:t>
        </w:r>
        <w:r w:rsidR="000557AA">
          <w:rPr>
            <w:rFonts w:eastAsiaTheme="minorEastAsia" w:cstheme="minorBidi"/>
            <w:i w:val="0"/>
            <w:iCs w:val="0"/>
            <w:noProof/>
            <w:sz w:val="22"/>
            <w:szCs w:val="22"/>
            <w:lang w:val="en-TT" w:eastAsia="en-TT"/>
          </w:rPr>
          <w:tab/>
        </w:r>
        <w:r w:rsidR="000557AA" w:rsidRPr="00A00B40">
          <w:rPr>
            <w:rStyle w:val="Hyperlink"/>
            <w:noProof/>
          </w:rPr>
          <w:t>Conclusion</w:t>
        </w:r>
        <w:r w:rsidR="000557AA">
          <w:rPr>
            <w:noProof/>
            <w:webHidden/>
          </w:rPr>
          <w:tab/>
        </w:r>
        <w:r w:rsidR="000557AA">
          <w:rPr>
            <w:noProof/>
            <w:webHidden/>
          </w:rPr>
          <w:fldChar w:fldCharType="begin"/>
        </w:r>
        <w:r w:rsidR="000557AA">
          <w:rPr>
            <w:noProof/>
            <w:webHidden/>
          </w:rPr>
          <w:instrText xml:space="preserve"> PAGEREF _Toc1902357 \h </w:instrText>
        </w:r>
        <w:r w:rsidR="000557AA">
          <w:rPr>
            <w:noProof/>
            <w:webHidden/>
          </w:rPr>
        </w:r>
        <w:r w:rsidR="000557AA">
          <w:rPr>
            <w:noProof/>
            <w:webHidden/>
          </w:rPr>
          <w:fldChar w:fldCharType="separate"/>
        </w:r>
        <w:r w:rsidR="00AC21CF">
          <w:rPr>
            <w:noProof/>
            <w:webHidden/>
          </w:rPr>
          <w:t>172</w:t>
        </w:r>
        <w:r w:rsidR="000557AA">
          <w:rPr>
            <w:noProof/>
            <w:webHidden/>
          </w:rPr>
          <w:fldChar w:fldCharType="end"/>
        </w:r>
      </w:hyperlink>
    </w:p>
    <w:p w14:paraId="23610538" w14:textId="77777777" w:rsidR="000557AA" w:rsidRDefault="00993D1E">
      <w:pPr>
        <w:pStyle w:val="TOC1"/>
        <w:tabs>
          <w:tab w:val="right" w:leader="dot" w:pos="8484"/>
        </w:tabs>
        <w:rPr>
          <w:rFonts w:eastAsiaTheme="minorEastAsia" w:cstheme="minorBidi"/>
          <w:b w:val="0"/>
          <w:bCs w:val="0"/>
          <w:noProof/>
          <w:sz w:val="22"/>
          <w:szCs w:val="22"/>
          <w:lang w:val="en-TT" w:eastAsia="en-TT"/>
        </w:rPr>
      </w:pPr>
      <w:hyperlink w:anchor="_Toc1902358" w:history="1">
        <w:r w:rsidR="000557AA" w:rsidRPr="00A00B40">
          <w:rPr>
            <w:rStyle w:val="Hyperlink"/>
            <w:noProof/>
          </w:rPr>
          <w:t>Chapter 9: Discussion</w:t>
        </w:r>
        <w:r w:rsidR="000557AA">
          <w:rPr>
            <w:noProof/>
            <w:webHidden/>
          </w:rPr>
          <w:tab/>
        </w:r>
        <w:r w:rsidR="000557AA">
          <w:rPr>
            <w:noProof/>
            <w:webHidden/>
          </w:rPr>
          <w:fldChar w:fldCharType="begin"/>
        </w:r>
        <w:r w:rsidR="000557AA">
          <w:rPr>
            <w:noProof/>
            <w:webHidden/>
          </w:rPr>
          <w:instrText xml:space="preserve"> PAGEREF _Toc1902358 \h </w:instrText>
        </w:r>
        <w:r w:rsidR="000557AA">
          <w:rPr>
            <w:noProof/>
            <w:webHidden/>
          </w:rPr>
        </w:r>
        <w:r w:rsidR="000557AA">
          <w:rPr>
            <w:noProof/>
            <w:webHidden/>
          </w:rPr>
          <w:fldChar w:fldCharType="separate"/>
        </w:r>
        <w:r w:rsidR="00AC21CF">
          <w:rPr>
            <w:noProof/>
            <w:webHidden/>
          </w:rPr>
          <w:t>174</w:t>
        </w:r>
        <w:r w:rsidR="000557AA">
          <w:rPr>
            <w:noProof/>
            <w:webHidden/>
          </w:rPr>
          <w:fldChar w:fldCharType="end"/>
        </w:r>
      </w:hyperlink>
    </w:p>
    <w:p w14:paraId="5C1205D1" w14:textId="77777777" w:rsidR="000557AA" w:rsidRDefault="00993D1E">
      <w:pPr>
        <w:pStyle w:val="TOC2"/>
        <w:tabs>
          <w:tab w:val="right" w:leader="dot" w:pos="8484"/>
        </w:tabs>
        <w:rPr>
          <w:rFonts w:eastAsiaTheme="minorEastAsia" w:cstheme="minorBidi"/>
          <w:i w:val="0"/>
          <w:iCs w:val="0"/>
          <w:noProof/>
          <w:sz w:val="22"/>
          <w:szCs w:val="22"/>
          <w:lang w:val="en-TT" w:eastAsia="en-TT"/>
        </w:rPr>
      </w:pPr>
      <w:hyperlink w:anchor="_Toc1902359" w:history="1">
        <w:r w:rsidR="000557AA" w:rsidRPr="00A00B40">
          <w:rPr>
            <w:rStyle w:val="Hyperlink"/>
            <w:noProof/>
          </w:rPr>
          <w:t>9.1 Introduction</w:t>
        </w:r>
        <w:r w:rsidR="000557AA">
          <w:rPr>
            <w:noProof/>
            <w:webHidden/>
          </w:rPr>
          <w:tab/>
        </w:r>
        <w:r w:rsidR="000557AA">
          <w:rPr>
            <w:noProof/>
            <w:webHidden/>
          </w:rPr>
          <w:fldChar w:fldCharType="begin"/>
        </w:r>
        <w:r w:rsidR="000557AA">
          <w:rPr>
            <w:noProof/>
            <w:webHidden/>
          </w:rPr>
          <w:instrText xml:space="preserve"> PAGEREF _Toc1902359 \h </w:instrText>
        </w:r>
        <w:r w:rsidR="000557AA">
          <w:rPr>
            <w:noProof/>
            <w:webHidden/>
          </w:rPr>
        </w:r>
        <w:r w:rsidR="000557AA">
          <w:rPr>
            <w:noProof/>
            <w:webHidden/>
          </w:rPr>
          <w:fldChar w:fldCharType="separate"/>
        </w:r>
        <w:r w:rsidR="00AC21CF">
          <w:rPr>
            <w:noProof/>
            <w:webHidden/>
          </w:rPr>
          <w:t>174</w:t>
        </w:r>
        <w:r w:rsidR="000557AA">
          <w:rPr>
            <w:noProof/>
            <w:webHidden/>
          </w:rPr>
          <w:fldChar w:fldCharType="end"/>
        </w:r>
      </w:hyperlink>
    </w:p>
    <w:p w14:paraId="3A7616EA"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360" w:history="1">
        <w:r w:rsidR="000557AA" w:rsidRPr="00A00B40">
          <w:rPr>
            <w:rStyle w:val="Hyperlink"/>
            <w:noProof/>
          </w:rPr>
          <w:t>9.2</w:t>
        </w:r>
        <w:r w:rsidR="000557AA">
          <w:rPr>
            <w:rFonts w:eastAsiaTheme="minorEastAsia" w:cstheme="minorBidi"/>
            <w:i w:val="0"/>
            <w:iCs w:val="0"/>
            <w:noProof/>
            <w:sz w:val="22"/>
            <w:szCs w:val="22"/>
            <w:lang w:val="en-TT" w:eastAsia="en-TT"/>
          </w:rPr>
          <w:tab/>
        </w:r>
        <w:r w:rsidR="000557AA" w:rsidRPr="00A00B40">
          <w:rPr>
            <w:rStyle w:val="Hyperlink"/>
            <w:noProof/>
          </w:rPr>
          <w:t>Principal Findings of the Study</w:t>
        </w:r>
        <w:r w:rsidR="000557AA">
          <w:rPr>
            <w:noProof/>
            <w:webHidden/>
          </w:rPr>
          <w:tab/>
        </w:r>
        <w:r w:rsidR="000557AA">
          <w:rPr>
            <w:noProof/>
            <w:webHidden/>
          </w:rPr>
          <w:fldChar w:fldCharType="begin"/>
        </w:r>
        <w:r w:rsidR="000557AA">
          <w:rPr>
            <w:noProof/>
            <w:webHidden/>
          </w:rPr>
          <w:instrText xml:space="preserve"> PAGEREF _Toc1902360 \h </w:instrText>
        </w:r>
        <w:r w:rsidR="000557AA">
          <w:rPr>
            <w:noProof/>
            <w:webHidden/>
          </w:rPr>
        </w:r>
        <w:r w:rsidR="000557AA">
          <w:rPr>
            <w:noProof/>
            <w:webHidden/>
          </w:rPr>
          <w:fldChar w:fldCharType="separate"/>
        </w:r>
        <w:r w:rsidR="00AC21CF">
          <w:rPr>
            <w:noProof/>
            <w:webHidden/>
          </w:rPr>
          <w:t>174</w:t>
        </w:r>
        <w:r w:rsidR="000557AA">
          <w:rPr>
            <w:noProof/>
            <w:webHidden/>
          </w:rPr>
          <w:fldChar w:fldCharType="end"/>
        </w:r>
      </w:hyperlink>
    </w:p>
    <w:p w14:paraId="5F59EFBD"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61" w:history="1">
        <w:r w:rsidR="000557AA" w:rsidRPr="00A00B40">
          <w:rPr>
            <w:rStyle w:val="Hyperlink"/>
            <w:noProof/>
          </w:rPr>
          <w:t>9.2.1</w:t>
        </w:r>
        <w:r w:rsidR="000557AA">
          <w:rPr>
            <w:rFonts w:eastAsiaTheme="minorEastAsia" w:cstheme="minorBidi"/>
            <w:noProof/>
            <w:sz w:val="22"/>
            <w:szCs w:val="22"/>
            <w:lang w:val="en-TT" w:eastAsia="en-TT"/>
          </w:rPr>
          <w:tab/>
        </w:r>
        <w:r w:rsidR="000557AA" w:rsidRPr="00A00B40">
          <w:rPr>
            <w:rStyle w:val="Hyperlink"/>
            <w:noProof/>
          </w:rPr>
          <w:t>Patient Characteristics Significantly Associated with Survival</w:t>
        </w:r>
        <w:r w:rsidR="000557AA">
          <w:rPr>
            <w:noProof/>
            <w:webHidden/>
          </w:rPr>
          <w:tab/>
        </w:r>
        <w:r w:rsidR="000557AA">
          <w:rPr>
            <w:noProof/>
            <w:webHidden/>
          </w:rPr>
          <w:fldChar w:fldCharType="begin"/>
        </w:r>
        <w:r w:rsidR="000557AA">
          <w:rPr>
            <w:noProof/>
            <w:webHidden/>
          </w:rPr>
          <w:instrText xml:space="preserve"> PAGEREF _Toc1902361 \h </w:instrText>
        </w:r>
        <w:r w:rsidR="000557AA">
          <w:rPr>
            <w:noProof/>
            <w:webHidden/>
          </w:rPr>
        </w:r>
        <w:r w:rsidR="000557AA">
          <w:rPr>
            <w:noProof/>
            <w:webHidden/>
          </w:rPr>
          <w:fldChar w:fldCharType="separate"/>
        </w:r>
        <w:r w:rsidR="00AC21CF">
          <w:rPr>
            <w:noProof/>
            <w:webHidden/>
          </w:rPr>
          <w:t>174</w:t>
        </w:r>
        <w:r w:rsidR="000557AA">
          <w:rPr>
            <w:noProof/>
            <w:webHidden/>
          </w:rPr>
          <w:fldChar w:fldCharType="end"/>
        </w:r>
      </w:hyperlink>
    </w:p>
    <w:p w14:paraId="184F129C"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62" w:history="1">
        <w:r w:rsidR="000557AA" w:rsidRPr="00A00B40">
          <w:rPr>
            <w:rStyle w:val="Hyperlink"/>
            <w:noProof/>
          </w:rPr>
          <w:t>9.2.2</w:t>
        </w:r>
        <w:r w:rsidR="000557AA">
          <w:rPr>
            <w:rFonts w:eastAsiaTheme="minorEastAsia" w:cstheme="minorBidi"/>
            <w:noProof/>
            <w:sz w:val="22"/>
            <w:szCs w:val="22"/>
            <w:lang w:val="en-TT" w:eastAsia="en-TT"/>
          </w:rPr>
          <w:tab/>
        </w:r>
        <w:r w:rsidR="000557AA" w:rsidRPr="00A00B40">
          <w:rPr>
            <w:rStyle w:val="Hyperlink"/>
            <w:noProof/>
          </w:rPr>
          <w:t>Care Process Factors Significantly Associated with Survival in Older Trauma Patients</w:t>
        </w:r>
        <w:r w:rsidR="000557AA">
          <w:rPr>
            <w:noProof/>
            <w:webHidden/>
          </w:rPr>
          <w:tab/>
        </w:r>
        <w:r w:rsidR="000557AA">
          <w:rPr>
            <w:noProof/>
            <w:webHidden/>
          </w:rPr>
          <w:fldChar w:fldCharType="begin"/>
        </w:r>
        <w:r w:rsidR="000557AA">
          <w:rPr>
            <w:noProof/>
            <w:webHidden/>
          </w:rPr>
          <w:instrText xml:space="preserve"> PAGEREF _Toc1902362 \h </w:instrText>
        </w:r>
        <w:r w:rsidR="000557AA">
          <w:rPr>
            <w:noProof/>
            <w:webHidden/>
          </w:rPr>
        </w:r>
        <w:r w:rsidR="000557AA">
          <w:rPr>
            <w:noProof/>
            <w:webHidden/>
          </w:rPr>
          <w:fldChar w:fldCharType="separate"/>
        </w:r>
        <w:r w:rsidR="00AC21CF">
          <w:rPr>
            <w:noProof/>
            <w:webHidden/>
          </w:rPr>
          <w:t>175</w:t>
        </w:r>
        <w:r w:rsidR="000557AA">
          <w:rPr>
            <w:noProof/>
            <w:webHidden/>
          </w:rPr>
          <w:fldChar w:fldCharType="end"/>
        </w:r>
      </w:hyperlink>
    </w:p>
    <w:p w14:paraId="2C89A232"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63" w:history="1">
        <w:r w:rsidR="000557AA" w:rsidRPr="00A00B40">
          <w:rPr>
            <w:rStyle w:val="Hyperlink"/>
            <w:noProof/>
          </w:rPr>
          <w:t>9.2.3</w:t>
        </w:r>
        <w:r w:rsidR="000557AA">
          <w:rPr>
            <w:rFonts w:eastAsiaTheme="minorEastAsia" w:cstheme="minorBidi"/>
            <w:noProof/>
            <w:sz w:val="22"/>
            <w:szCs w:val="22"/>
            <w:lang w:val="en-TT" w:eastAsia="en-TT"/>
          </w:rPr>
          <w:tab/>
        </w:r>
        <w:r w:rsidR="000557AA" w:rsidRPr="00A00B40">
          <w:rPr>
            <w:rStyle w:val="Hyperlink"/>
            <w:noProof/>
          </w:rPr>
          <w:t>Themes from the Semi-Structured Interviews</w:t>
        </w:r>
        <w:r w:rsidR="000557AA">
          <w:rPr>
            <w:noProof/>
            <w:webHidden/>
          </w:rPr>
          <w:tab/>
        </w:r>
        <w:r w:rsidR="000557AA">
          <w:rPr>
            <w:noProof/>
            <w:webHidden/>
          </w:rPr>
          <w:fldChar w:fldCharType="begin"/>
        </w:r>
        <w:r w:rsidR="000557AA">
          <w:rPr>
            <w:noProof/>
            <w:webHidden/>
          </w:rPr>
          <w:instrText xml:space="preserve"> PAGEREF _Toc1902363 \h </w:instrText>
        </w:r>
        <w:r w:rsidR="000557AA">
          <w:rPr>
            <w:noProof/>
            <w:webHidden/>
          </w:rPr>
        </w:r>
        <w:r w:rsidR="000557AA">
          <w:rPr>
            <w:noProof/>
            <w:webHidden/>
          </w:rPr>
          <w:fldChar w:fldCharType="separate"/>
        </w:r>
        <w:r w:rsidR="00AC21CF">
          <w:rPr>
            <w:noProof/>
            <w:webHidden/>
          </w:rPr>
          <w:t>176</w:t>
        </w:r>
        <w:r w:rsidR="000557AA">
          <w:rPr>
            <w:noProof/>
            <w:webHidden/>
          </w:rPr>
          <w:fldChar w:fldCharType="end"/>
        </w:r>
      </w:hyperlink>
    </w:p>
    <w:p w14:paraId="3720227E"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64" w:history="1">
        <w:r w:rsidR="000557AA" w:rsidRPr="00A00B40">
          <w:rPr>
            <w:rStyle w:val="Hyperlink"/>
            <w:noProof/>
          </w:rPr>
          <w:t>9.2.4</w:t>
        </w:r>
        <w:r w:rsidR="000557AA">
          <w:rPr>
            <w:rFonts w:eastAsiaTheme="minorEastAsia" w:cstheme="minorBidi"/>
            <w:noProof/>
            <w:sz w:val="22"/>
            <w:szCs w:val="22"/>
            <w:lang w:val="en-TT" w:eastAsia="en-TT"/>
          </w:rPr>
          <w:tab/>
        </w:r>
        <w:r w:rsidR="000557AA" w:rsidRPr="00A00B40">
          <w:rPr>
            <w:rStyle w:val="Hyperlink"/>
            <w:noProof/>
          </w:rPr>
          <w:t>Refining the Model – Adding Factors Identified in the Semi-Structured Interviews</w:t>
        </w:r>
        <w:r w:rsidR="000557AA">
          <w:rPr>
            <w:noProof/>
            <w:webHidden/>
          </w:rPr>
          <w:tab/>
        </w:r>
        <w:r w:rsidR="000557AA">
          <w:rPr>
            <w:noProof/>
            <w:webHidden/>
          </w:rPr>
          <w:fldChar w:fldCharType="begin"/>
        </w:r>
        <w:r w:rsidR="000557AA">
          <w:rPr>
            <w:noProof/>
            <w:webHidden/>
          </w:rPr>
          <w:instrText xml:space="preserve"> PAGEREF _Toc1902364 \h </w:instrText>
        </w:r>
        <w:r w:rsidR="000557AA">
          <w:rPr>
            <w:noProof/>
            <w:webHidden/>
          </w:rPr>
        </w:r>
        <w:r w:rsidR="000557AA">
          <w:rPr>
            <w:noProof/>
            <w:webHidden/>
          </w:rPr>
          <w:fldChar w:fldCharType="separate"/>
        </w:r>
        <w:r w:rsidR="00AC21CF">
          <w:rPr>
            <w:noProof/>
            <w:webHidden/>
          </w:rPr>
          <w:t>178</w:t>
        </w:r>
        <w:r w:rsidR="000557AA">
          <w:rPr>
            <w:noProof/>
            <w:webHidden/>
          </w:rPr>
          <w:fldChar w:fldCharType="end"/>
        </w:r>
      </w:hyperlink>
    </w:p>
    <w:p w14:paraId="66D81CCE"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365" w:history="1">
        <w:r w:rsidR="000557AA" w:rsidRPr="00A00B40">
          <w:rPr>
            <w:rStyle w:val="Hyperlink"/>
            <w:noProof/>
          </w:rPr>
          <w:t xml:space="preserve">9.3 </w:t>
        </w:r>
        <w:r w:rsidR="000557AA">
          <w:rPr>
            <w:rFonts w:eastAsiaTheme="minorEastAsia" w:cstheme="minorBidi"/>
            <w:i w:val="0"/>
            <w:iCs w:val="0"/>
            <w:noProof/>
            <w:sz w:val="22"/>
            <w:szCs w:val="22"/>
            <w:lang w:val="en-TT" w:eastAsia="en-TT"/>
          </w:rPr>
          <w:tab/>
        </w:r>
        <w:r w:rsidR="000557AA" w:rsidRPr="00A00B40">
          <w:rPr>
            <w:rStyle w:val="Hyperlink"/>
            <w:noProof/>
          </w:rPr>
          <w:t>Comparisons with other research and previous scientific literature</w:t>
        </w:r>
        <w:r w:rsidR="000557AA">
          <w:rPr>
            <w:noProof/>
            <w:webHidden/>
          </w:rPr>
          <w:tab/>
        </w:r>
        <w:r w:rsidR="000557AA">
          <w:rPr>
            <w:noProof/>
            <w:webHidden/>
          </w:rPr>
          <w:fldChar w:fldCharType="begin"/>
        </w:r>
        <w:r w:rsidR="000557AA">
          <w:rPr>
            <w:noProof/>
            <w:webHidden/>
          </w:rPr>
          <w:instrText xml:space="preserve"> PAGEREF _Toc1902365 \h </w:instrText>
        </w:r>
        <w:r w:rsidR="000557AA">
          <w:rPr>
            <w:noProof/>
            <w:webHidden/>
          </w:rPr>
        </w:r>
        <w:r w:rsidR="000557AA">
          <w:rPr>
            <w:noProof/>
            <w:webHidden/>
          </w:rPr>
          <w:fldChar w:fldCharType="separate"/>
        </w:r>
        <w:r w:rsidR="00AC21CF">
          <w:rPr>
            <w:noProof/>
            <w:webHidden/>
          </w:rPr>
          <w:t>178</w:t>
        </w:r>
        <w:r w:rsidR="000557AA">
          <w:rPr>
            <w:noProof/>
            <w:webHidden/>
          </w:rPr>
          <w:fldChar w:fldCharType="end"/>
        </w:r>
      </w:hyperlink>
    </w:p>
    <w:p w14:paraId="0BD5ED4C"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66" w:history="1">
        <w:r w:rsidR="000557AA" w:rsidRPr="00A00B40">
          <w:rPr>
            <w:rStyle w:val="Hyperlink"/>
            <w:noProof/>
          </w:rPr>
          <w:t>9.3.1</w:t>
        </w:r>
        <w:r w:rsidR="000557AA">
          <w:rPr>
            <w:rFonts w:eastAsiaTheme="minorEastAsia" w:cstheme="minorBidi"/>
            <w:noProof/>
            <w:sz w:val="22"/>
            <w:szCs w:val="22"/>
            <w:lang w:val="en-TT" w:eastAsia="en-TT"/>
          </w:rPr>
          <w:tab/>
        </w:r>
        <w:r w:rsidR="000557AA" w:rsidRPr="00A00B40">
          <w:rPr>
            <w:rStyle w:val="Hyperlink"/>
            <w:noProof/>
          </w:rPr>
          <w:t>Patient Characteristics Affecting Outcome in Older Trauma Patients</w:t>
        </w:r>
        <w:r w:rsidR="000557AA">
          <w:rPr>
            <w:noProof/>
            <w:webHidden/>
          </w:rPr>
          <w:tab/>
        </w:r>
        <w:r w:rsidR="000557AA">
          <w:rPr>
            <w:noProof/>
            <w:webHidden/>
          </w:rPr>
          <w:fldChar w:fldCharType="begin"/>
        </w:r>
        <w:r w:rsidR="000557AA">
          <w:rPr>
            <w:noProof/>
            <w:webHidden/>
          </w:rPr>
          <w:instrText xml:space="preserve"> PAGEREF _Toc1902366 \h </w:instrText>
        </w:r>
        <w:r w:rsidR="000557AA">
          <w:rPr>
            <w:noProof/>
            <w:webHidden/>
          </w:rPr>
        </w:r>
        <w:r w:rsidR="000557AA">
          <w:rPr>
            <w:noProof/>
            <w:webHidden/>
          </w:rPr>
          <w:fldChar w:fldCharType="separate"/>
        </w:r>
        <w:r w:rsidR="00AC21CF">
          <w:rPr>
            <w:noProof/>
            <w:webHidden/>
          </w:rPr>
          <w:t>178</w:t>
        </w:r>
        <w:r w:rsidR="000557AA">
          <w:rPr>
            <w:noProof/>
            <w:webHidden/>
          </w:rPr>
          <w:fldChar w:fldCharType="end"/>
        </w:r>
      </w:hyperlink>
    </w:p>
    <w:p w14:paraId="28FD23A6"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67" w:history="1">
        <w:r w:rsidR="000557AA" w:rsidRPr="00A00B40">
          <w:rPr>
            <w:rStyle w:val="Hyperlink"/>
            <w:noProof/>
          </w:rPr>
          <w:t>9.3.2</w:t>
        </w:r>
        <w:r w:rsidR="000557AA">
          <w:rPr>
            <w:rFonts w:eastAsiaTheme="minorEastAsia" w:cstheme="minorBidi"/>
            <w:noProof/>
            <w:sz w:val="22"/>
            <w:szCs w:val="22"/>
            <w:lang w:val="en-TT" w:eastAsia="en-TT"/>
          </w:rPr>
          <w:tab/>
        </w:r>
        <w:r w:rsidR="000557AA" w:rsidRPr="00A00B40">
          <w:rPr>
            <w:rStyle w:val="Hyperlink"/>
            <w:noProof/>
          </w:rPr>
          <w:t>Process Factors Affecting Outcome in Older Trauma Patients</w:t>
        </w:r>
        <w:r w:rsidR="000557AA">
          <w:rPr>
            <w:noProof/>
            <w:webHidden/>
          </w:rPr>
          <w:tab/>
        </w:r>
        <w:r w:rsidR="000557AA">
          <w:rPr>
            <w:noProof/>
            <w:webHidden/>
          </w:rPr>
          <w:fldChar w:fldCharType="begin"/>
        </w:r>
        <w:r w:rsidR="000557AA">
          <w:rPr>
            <w:noProof/>
            <w:webHidden/>
          </w:rPr>
          <w:instrText xml:space="preserve"> PAGEREF _Toc1902367 \h </w:instrText>
        </w:r>
        <w:r w:rsidR="000557AA">
          <w:rPr>
            <w:noProof/>
            <w:webHidden/>
          </w:rPr>
        </w:r>
        <w:r w:rsidR="000557AA">
          <w:rPr>
            <w:noProof/>
            <w:webHidden/>
          </w:rPr>
          <w:fldChar w:fldCharType="separate"/>
        </w:r>
        <w:r w:rsidR="00AC21CF">
          <w:rPr>
            <w:noProof/>
            <w:webHidden/>
          </w:rPr>
          <w:t>181</w:t>
        </w:r>
        <w:r w:rsidR="000557AA">
          <w:rPr>
            <w:noProof/>
            <w:webHidden/>
          </w:rPr>
          <w:fldChar w:fldCharType="end"/>
        </w:r>
      </w:hyperlink>
    </w:p>
    <w:p w14:paraId="124D6323"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68" w:history="1">
        <w:r w:rsidR="000557AA" w:rsidRPr="00A00B40">
          <w:rPr>
            <w:rStyle w:val="Hyperlink"/>
            <w:noProof/>
          </w:rPr>
          <w:t>9.3.3</w:t>
        </w:r>
        <w:r w:rsidR="000557AA">
          <w:rPr>
            <w:rFonts w:eastAsiaTheme="minorEastAsia" w:cstheme="minorBidi"/>
            <w:noProof/>
            <w:sz w:val="22"/>
            <w:szCs w:val="22"/>
            <w:lang w:val="en-TT" w:eastAsia="en-TT"/>
          </w:rPr>
          <w:tab/>
        </w:r>
        <w:r w:rsidR="000557AA" w:rsidRPr="00A00B40">
          <w:rPr>
            <w:rStyle w:val="Hyperlink"/>
            <w:noProof/>
          </w:rPr>
          <w:t>Factors Identified in the Semi-Structured Interviews</w:t>
        </w:r>
        <w:r w:rsidR="000557AA">
          <w:rPr>
            <w:noProof/>
            <w:webHidden/>
          </w:rPr>
          <w:tab/>
        </w:r>
        <w:r w:rsidR="000557AA">
          <w:rPr>
            <w:noProof/>
            <w:webHidden/>
          </w:rPr>
          <w:fldChar w:fldCharType="begin"/>
        </w:r>
        <w:r w:rsidR="000557AA">
          <w:rPr>
            <w:noProof/>
            <w:webHidden/>
          </w:rPr>
          <w:instrText xml:space="preserve"> PAGEREF _Toc1902368 \h </w:instrText>
        </w:r>
        <w:r w:rsidR="000557AA">
          <w:rPr>
            <w:noProof/>
            <w:webHidden/>
          </w:rPr>
        </w:r>
        <w:r w:rsidR="000557AA">
          <w:rPr>
            <w:noProof/>
            <w:webHidden/>
          </w:rPr>
          <w:fldChar w:fldCharType="separate"/>
        </w:r>
        <w:r w:rsidR="00AC21CF">
          <w:rPr>
            <w:noProof/>
            <w:webHidden/>
          </w:rPr>
          <w:t>183</w:t>
        </w:r>
        <w:r w:rsidR="000557AA">
          <w:rPr>
            <w:noProof/>
            <w:webHidden/>
          </w:rPr>
          <w:fldChar w:fldCharType="end"/>
        </w:r>
      </w:hyperlink>
    </w:p>
    <w:p w14:paraId="3DE0E24C"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69" w:history="1">
        <w:r w:rsidR="000557AA" w:rsidRPr="00A00B40">
          <w:rPr>
            <w:rStyle w:val="Hyperlink"/>
            <w:noProof/>
          </w:rPr>
          <w:t>9.3.4</w:t>
        </w:r>
        <w:r w:rsidR="000557AA">
          <w:rPr>
            <w:rFonts w:eastAsiaTheme="minorEastAsia" w:cstheme="minorBidi"/>
            <w:noProof/>
            <w:sz w:val="22"/>
            <w:szCs w:val="22"/>
            <w:lang w:val="en-TT" w:eastAsia="en-TT"/>
          </w:rPr>
          <w:tab/>
        </w:r>
        <w:r w:rsidR="000557AA" w:rsidRPr="00A00B40">
          <w:rPr>
            <w:rStyle w:val="Hyperlink"/>
            <w:noProof/>
          </w:rPr>
          <w:t>Factors Affecting Recovery – a Holistic View</w:t>
        </w:r>
        <w:r w:rsidR="000557AA">
          <w:rPr>
            <w:noProof/>
            <w:webHidden/>
          </w:rPr>
          <w:tab/>
        </w:r>
        <w:r w:rsidR="000557AA">
          <w:rPr>
            <w:noProof/>
            <w:webHidden/>
          </w:rPr>
          <w:fldChar w:fldCharType="begin"/>
        </w:r>
        <w:r w:rsidR="000557AA">
          <w:rPr>
            <w:noProof/>
            <w:webHidden/>
          </w:rPr>
          <w:instrText xml:space="preserve"> PAGEREF _Toc1902369 \h </w:instrText>
        </w:r>
        <w:r w:rsidR="000557AA">
          <w:rPr>
            <w:noProof/>
            <w:webHidden/>
          </w:rPr>
        </w:r>
        <w:r w:rsidR="000557AA">
          <w:rPr>
            <w:noProof/>
            <w:webHidden/>
          </w:rPr>
          <w:fldChar w:fldCharType="separate"/>
        </w:r>
        <w:r w:rsidR="00AC21CF">
          <w:rPr>
            <w:noProof/>
            <w:webHidden/>
          </w:rPr>
          <w:t>185</w:t>
        </w:r>
        <w:r w:rsidR="000557AA">
          <w:rPr>
            <w:noProof/>
            <w:webHidden/>
          </w:rPr>
          <w:fldChar w:fldCharType="end"/>
        </w:r>
      </w:hyperlink>
    </w:p>
    <w:p w14:paraId="77565A5E"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370" w:history="1">
        <w:r w:rsidR="000557AA" w:rsidRPr="00A00B40">
          <w:rPr>
            <w:rStyle w:val="Hyperlink"/>
            <w:noProof/>
          </w:rPr>
          <w:t>9.4</w:t>
        </w:r>
        <w:r w:rsidR="000557AA">
          <w:rPr>
            <w:rFonts w:eastAsiaTheme="minorEastAsia" w:cstheme="minorBidi"/>
            <w:i w:val="0"/>
            <w:iCs w:val="0"/>
            <w:noProof/>
            <w:sz w:val="22"/>
            <w:szCs w:val="22"/>
            <w:lang w:val="en-TT" w:eastAsia="en-TT"/>
          </w:rPr>
          <w:tab/>
        </w:r>
        <w:r w:rsidR="000557AA" w:rsidRPr="00A00B40">
          <w:rPr>
            <w:rStyle w:val="Hyperlink"/>
            <w:noProof/>
          </w:rPr>
          <w:t>Strengths and Limitations of the Study Design</w:t>
        </w:r>
        <w:r w:rsidR="000557AA">
          <w:rPr>
            <w:noProof/>
            <w:webHidden/>
          </w:rPr>
          <w:tab/>
        </w:r>
        <w:r w:rsidR="000557AA">
          <w:rPr>
            <w:noProof/>
            <w:webHidden/>
          </w:rPr>
          <w:fldChar w:fldCharType="begin"/>
        </w:r>
        <w:r w:rsidR="000557AA">
          <w:rPr>
            <w:noProof/>
            <w:webHidden/>
          </w:rPr>
          <w:instrText xml:space="preserve"> PAGEREF _Toc1902370 \h </w:instrText>
        </w:r>
        <w:r w:rsidR="000557AA">
          <w:rPr>
            <w:noProof/>
            <w:webHidden/>
          </w:rPr>
        </w:r>
        <w:r w:rsidR="000557AA">
          <w:rPr>
            <w:noProof/>
            <w:webHidden/>
          </w:rPr>
          <w:fldChar w:fldCharType="separate"/>
        </w:r>
        <w:r w:rsidR="00AC21CF">
          <w:rPr>
            <w:noProof/>
            <w:webHidden/>
          </w:rPr>
          <w:t>185</w:t>
        </w:r>
        <w:r w:rsidR="000557AA">
          <w:rPr>
            <w:noProof/>
            <w:webHidden/>
          </w:rPr>
          <w:fldChar w:fldCharType="end"/>
        </w:r>
      </w:hyperlink>
    </w:p>
    <w:p w14:paraId="46D5C368"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71" w:history="1">
        <w:r w:rsidR="000557AA" w:rsidRPr="00A00B40">
          <w:rPr>
            <w:rStyle w:val="Hyperlink"/>
            <w:noProof/>
          </w:rPr>
          <w:t>9.4.1</w:t>
        </w:r>
        <w:r w:rsidR="000557AA">
          <w:rPr>
            <w:rFonts w:eastAsiaTheme="minorEastAsia" w:cstheme="minorBidi"/>
            <w:noProof/>
            <w:sz w:val="22"/>
            <w:szCs w:val="22"/>
            <w:lang w:val="en-TT" w:eastAsia="en-TT"/>
          </w:rPr>
          <w:tab/>
        </w:r>
        <w:r w:rsidR="000557AA" w:rsidRPr="00A00B40">
          <w:rPr>
            <w:rStyle w:val="Hyperlink"/>
            <w:noProof/>
          </w:rPr>
          <w:t>Strengths of the Study: Assuring Quality in Research</w:t>
        </w:r>
        <w:r w:rsidR="000557AA">
          <w:rPr>
            <w:noProof/>
            <w:webHidden/>
          </w:rPr>
          <w:tab/>
        </w:r>
        <w:r w:rsidR="000557AA">
          <w:rPr>
            <w:noProof/>
            <w:webHidden/>
          </w:rPr>
          <w:fldChar w:fldCharType="begin"/>
        </w:r>
        <w:r w:rsidR="000557AA">
          <w:rPr>
            <w:noProof/>
            <w:webHidden/>
          </w:rPr>
          <w:instrText xml:space="preserve"> PAGEREF _Toc1902371 \h </w:instrText>
        </w:r>
        <w:r w:rsidR="000557AA">
          <w:rPr>
            <w:noProof/>
            <w:webHidden/>
          </w:rPr>
        </w:r>
        <w:r w:rsidR="000557AA">
          <w:rPr>
            <w:noProof/>
            <w:webHidden/>
          </w:rPr>
          <w:fldChar w:fldCharType="separate"/>
        </w:r>
        <w:r w:rsidR="00AC21CF">
          <w:rPr>
            <w:noProof/>
            <w:webHidden/>
          </w:rPr>
          <w:t>186</w:t>
        </w:r>
        <w:r w:rsidR="000557AA">
          <w:rPr>
            <w:noProof/>
            <w:webHidden/>
          </w:rPr>
          <w:fldChar w:fldCharType="end"/>
        </w:r>
      </w:hyperlink>
    </w:p>
    <w:p w14:paraId="11B63EFB"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72" w:history="1">
        <w:r w:rsidR="000557AA" w:rsidRPr="00A00B40">
          <w:rPr>
            <w:rStyle w:val="Hyperlink"/>
            <w:noProof/>
          </w:rPr>
          <w:t>9.4.2</w:t>
        </w:r>
        <w:r w:rsidR="000557AA">
          <w:rPr>
            <w:rFonts w:eastAsiaTheme="minorEastAsia" w:cstheme="minorBidi"/>
            <w:noProof/>
            <w:sz w:val="22"/>
            <w:szCs w:val="22"/>
            <w:lang w:val="en-TT" w:eastAsia="en-TT"/>
          </w:rPr>
          <w:tab/>
        </w:r>
        <w:r w:rsidR="000557AA" w:rsidRPr="00A00B40">
          <w:rPr>
            <w:rStyle w:val="Hyperlink"/>
            <w:noProof/>
          </w:rPr>
          <w:t>Limitations of the Study</w:t>
        </w:r>
        <w:r w:rsidR="000557AA">
          <w:rPr>
            <w:noProof/>
            <w:webHidden/>
          </w:rPr>
          <w:tab/>
        </w:r>
        <w:r w:rsidR="000557AA">
          <w:rPr>
            <w:noProof/>
            <w:webHidden/>
          </w:rPr>
          <w:fldChar w:fldCharType="begin"/>
        </w:r>
        <w:r w:rsidR="000557AA">
          <w:rPr>
            <w:noProof/>
            <w:webHidden/>
          </w:rPr>
          <w:instrText xml:space="preserve"> PAGEREF _Toc1902372 \h </w:instrText>
        </w:r>
        <w:r w:rsidR="000557AA">
          <w:rPr>
            <w:noProof/>
            <w:webHidden/>
          </w:rPr>
        </w:r>
        <w:r w:rsidR="000557AA">
          <w:rPr>
            <w:noProof/>
            <w:webHidden/>
          </w:rPr>
          <w:fldChar w:fldCharType="separate"/>
        </w:r>
        <w:r w:rsidR="00AC21CF">
          <w:rPr>
            <w:noProof/>
            <w:webHidden/>
          </w:rPr>
          <w:t>188</w:t>
        </w:r>
        <w:r w:rsidR="000557AA">
          <w:rPr>
            <w:noProof/>
            <w:webHidden/>
          </w:rPr>
          <w:fldChar w:fldCharType="end"/>
        </w:r>
      </w:hyperlink>
    </w:p>
    <w:p w14:paraId="179AE0A1"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373" w:history="1">
        <w:r w:rsidR="000557AA" w:rsidRPr="00A00B40">
          <w:rPr>
            <w:rStyle w:val="Hyperlink"/>
            <w:noProof/>
          </w:rPr>
          <w:t xml:space="preserve">9.5 </w:t>
        </w:r>
        <w:r w:rsidR="000557AA">
          <w:rPr>
            <w:rFonts w:eastAsiaTheme="minorEastAsia" w:cstheme="minorBidi"/>
            <w:i w:val="0"/>
            <w:iCs w:val="0"/>
            <w:noProof/>
            <w:sz w:val="22"/>
            <w:szCs w:val="22"/>
            <w:lang w:val="en-TT" w:eastAsia="en-TT"/>
          </w:rPr>
          <w:tab/>
        </w:r>
        <w:r w:rsidR="000557AA" w:rsidRPr="00A00B40">
          <w:rPr>
            <w:rStyle w:val="Hyperlink"/>
            <w:noProof/>
          </w:rPr>
          <w:t>Implications for Further Research and Clinical Practice</w:t>
        </w:r>
        <w:r w:rsidR="000557AA">
          <w:rPr>
            <w:noProof/>
            <w:webHidden/>
          </w:rPr>
          <w:tab/>
        </w:r>
        <w:r w:rsidR="000557AA">
          <w:rPr>
            <w:noProof/>
            <w:webHidden/>
          </w:rPr>
          <w:fldChar w:fldCharType="begin"/>
        </w:r>
        <w:r w:rsidR="000557AA">
          <w:rPr>
            <w:noProof/>
            <w:webHidden/>
          </w:rPr>
          <w:instrText xml:space="preserve"> PAGEREF _Toc1902373 \h </w:instrText>
        </w:r>
        <w:r w:rsidR="000557AA">
          <w:rPr>
            <w:noProof/>
            <w:webHidden/>
          </w:rPr>
        </w:r>
        <w:r w:rsidR="000557AA">
          <w:rPr>
            <w:noProof/>
            <w:webHidden/>
          </w:rPr>
          <w:fldChar w:fldCharType="separate"/>
        </w:r>
        <w:r w:rsidR="00AC21CF">
          <w:rPr>
            <w:noProof/>
            <w:webHidden/>
          </w:rPr>
          <w:t>191</w:t>
        </w:r>
        <w:r w:rsidR="000557AA">
          <w:rPr>
            <w:noProof/>
            <w:webHidden/>
          </w:rPr>
          <w:fldChar w:fldCharType="end"/>
        </w:r>
      </w:hyperlink>
    </w:p>
    <w:p w14:paraId="2BA831DE"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74" w:history="1">
        <w:r w:rsidR="000557AA" w:rsidRPr="00A00B40">
          <w:rPr>
            <w:rStyle w:val="Hyperlink"/>
            <w:noProof/>
          </w:rPr>
          <w:t>9.5.1</w:t>
        </w:r>
        <w:r w:rsidR="000557AA">
          <w:rPr>
            <w:rFonts w:eastAsiaTheme="minorEastAsia" w:cstheme="minorBidi"/>
            <w:noProof/>
            <w:sz w:val="22"/>
            <w:szCs w:val="22"/>
            <w:lang w:val="en-TT" w:eastAsia="en-TT"/>
          </w:rPr>
          <w:tab/>
        </w:r>
        <w:r w:rsidR="000557AA" w:rsidRPr="00A00B40">
          <w:rPr>
            <w:rStyle w:val="Hyperlink"/>
            <w:noProof/>
          </w:rPr>
          <w:t>Implications for Clinical Practice</w:t>
        </w:r>
        <w:r w:rsidR="000557AA">
          <w:rPr>
            <w:noProof/>
            <w:webHidden/>
          </w:rPr>
          <w:tab/>
        </w:r>
        <w:r w:rsidR="000557AA">
          <w:rPr>
            <w:noProof/>
            <w:webHidden/>
          </w:rPr>
          <w:fldChar w:fldCharType="begin"/>
        </w:r>
        <w:r w:rsidR="000557AA">
          <w:rPr>
            <w:noProof/>
            <w:webHidden/>
          </w:rPr>
          <w:instrText xml:space="preserve"> PAGEREF _Toc1902374 \h </w:instrText>
        </w:r>
        <w:r w:rsidR="000557AA">
          <w:rPr>
            <w:noProof/>
            <w:webHidden/>
          </w:rPr>
        </w:r>
        <w:r w:rsidR="000557AA">
          <w:rPr>
            <w:noProof/>
            <w:webHidden/>
          </w:rPr>
          <w:fldChar w:fldCharType="separate"/>
        </w:r>
        <w:r w:rsidR="00AC21CF">
          <w:rPr>
            <w:noProof/>
            <w:webHidden/>
          </w:rPr>
          <w:t>191</w:t>
        </w:r>
        <w:r w:rsidR="000557AA">
          <w:rPr>
            <w:noProof/>
            <w:webHidden/>
          </w:rPr>
          <w:fldChar w:fldCharType="end"/>
        </w:r>
      </w:hyperlink>
    </w:p>
    <w:p w14:paraId="6E8DE005" w14:textId="77777777" w:rsidR="000557AA" w:rsidRDefault="00993D1E">
      <w:pPr>
        <w:pStyle w:val="TOC3"/>
        <w:tabs>
          <w:tab w:val="left" w:pos="1100"/>
          <w:tab w:val="right" w:leader="dot" w:pos="8484"/>
        </w:tabs>
        <w:rPr>
          <w:rFonts w:eastAsiaTheme="minorEastAsia" w:cstheme="minorBidi"/>
          <w:noProof/>
          <w:sz w:val="22"/>
          <w:szCs w:val="22"/>
          <w:lang w:val="en-TT" w:eastAsia="en-TT"/>
        </w:rPr>
      </w:pPr>
      <w:hyperlink w:anchor="_Toc1902375" w:history="1">
        <w:r w:rsidR="000557AA" w:rsidRPr="00A00B40">
          <w:rPr>
            <w:rStyle w:val="Hyperlink"/>
            <w:noProof/>
          </w:rPr>
          <w:t>9.5.1</w:t>
        </w:r>
        <w:r w:rsidR="000557AA">
          <w:rPr>
            <w:rFonts w:eastAsiaTheme="minorEastAsia" w:cstheme="minorBidi"/>
            <w:noProof/>
            <w:sz w:val="22"/>
            <w:szCs w:val="22"/>
            <w:lang w:val="en-TT" w:eastAsia="en-TT"/>
          </w:rPr>
          <w:tab/>
        </w:r>
        <w:r w:rsidR="000557AA" w:rsidRPr="00A00B40">
          <w:rPr>
            <w:rStyle w:val="Hyperlink"/>
            <w:noProof/>
          </w:rPr>
          <w:t>Implications for Further Research</w:t>
        </w:r>
        <w:r w:rsidR="000557AA">
          <w:rPr>
            <w:noProof/>
            <w:webHidden/>
          </w:rPr>
          <w:tab/>
        </w:r>
        <w:r w:rsidR="000557AA">
          <w:rPr>
            <w:noProof/>
            <w:webHidden/>
          </w:rPr>
          <w:fldChar w:fldCharType="begin"/>
        </w:r>
        <w:r w:rsidR="000557AA">
          <w:rPr>
            <w:noProof/>
            <w:webHidden/>
          </w:rPr>
          <w:instrText xml:space="preserve"> PAGEREF _Toc1902375 \h </w:instrText>
        </w:r>
        <w:r w:rsidR="000557AA">
          <w:rPr>
            <w:noProof/>
            <w:webHidden/>
          </w:rPr>
        </w:r>
        <w:r w:rsidR="000557AA">
          <w:rPr>
            <w:noProof/>
            <w:webHidden/>
          </w:rPr>
          <w:fldChar w:fldCharType="separate"/>
        </w:r>
        <w:r w:rsidR="00AC21CF">
          <w:rPr>
            <w:noProof/>
            <w:webHidden/>
          </w:rPr>
          <w:t>192</w:t>
        </w:r>
        <w:r w:rsidR="000557AA">
          <w:rPr>
            <w:noProof/>
            <w:webHidden/>
          </w:rPr>
          <w:fldChar w:fldCharType="end"/>
        </w:r>
      </w:hyperlink>
    </w:p>
    <w:p w14:paraId="53D81FDE" w14:textId="77777777" w:rsidR="000557AA" w:rsidRDefault="00993D1E">
      <w:pPr>
        <w:pStyle w:val="TOC2"/>
        <w:tabs>
          <w:tab w:val="left" w:pos="880"/>
          <w:tab w:val="right" w:leader="dot" w:pos="8484"/>
        </w:tabs>
        <w:rPr>
          <w:rFonts w:eastAsiaTheme="minorEastAsia" w:cstheme="minorBidi"/>
          <w:i w:val="0"/>
          <w:iCs w:val="0"/>
          <w:noProof/>
          <w:sz w:val="22"/>
          <w:szCs w:val="22"/>
          <w:lang w:val="en-TT" w:eastAsia="en-TT"/>
        </w:rPr>
      </w:pPr>
      <w:hyperlink w:anchor="_Toc1902376" w:history="1">
        <w:r w:rsidR="000557AA" w:rsidRPr="00A00B40">
          <w:rPr>
            <w:rStyle w:val="Hyperlink"/>
            <w:noProof/>
          </w:rPr>
          <w:t>9.6</w:t>
        </w:r>
        <w:r w:rsidR="000557AA">
          <w:rPr>
            <w:rFonts w:eastAsiaTheme="minorEastAsia" w:cstheme="minorBidi"/>
            <w:i w:val="0"/>
            <w:iCs w:val="0"/>
            <w:noProof/>
            <w:sz w:val="22"/>
            <w:szCs w:val="22"/>
            <w:lang w:val="en-TT" w:eastAsia="en-TT"/>
          </w:rPr>
          <w:tab/>
        </w:r>
        <w:r w:rsidR="000557AA" w:rsidRPr="00A00B40">
          <w:rPr>
            <w:rStyle w:val="Hyperlink"/>
            <w:noProof/>
          </w:rPr>
          <w:t>Conclusion</w:t>
        </w:r>
        <w:r w:rsidR="000557AA">
          <w:rPr>
            <w:noProof/>
            <w:webHidden/>
          </w:rPr>
          <w:tab/>
        </w:r>
        <w:r w:rsidR="000557AA">
          <w:rPr>
            <w:noProof/>
            <w:webHidden/>
          </w:rPr>
          <w:fldChar w:fldCharType="begin"/>
        </w:r>
        <w:r w:rsidR="000557AA">
          <w:rPr>
            <w:noProof/>
            <w:webHidden/>
          </w:rPr>
          <w:instrText xml:space="preserve"> PAGEREF _Toc1902376 \h </w:instrText>
        </w:r>
        <w:r w:rsidR="000557AA">
          <w:rPr>
            <w:noProof/>
            <w:webHidden/>
          </w:rPr>
        </w:r>
        <w:r w:rsidR="000557AA">
          <w:rPr>
            <w:noProof/>
            <w:webHidden/>
          </w:rPr>
          <w:fldChar w:fldCharType="separate"/>
        </w:r>
        <w:r w:rsidR="00AC21CF">
          <w:rPr>
            <w:noProof/>
            <w:webHidden/>
          </w:rPr>
          <w:t>193</w:t>
        </w:r>
        <w:r w:rsidR="000557AA">
          <w:rPr>
            <w:noProof/>
            <w:webHidden/>
          </w:rPr>
          <w:fldChar w:fldCharType="end"/>
        </w:r>
      </w:hyperlink>
    </w:p>
    <w:p w14:paraId="254B71D3" w14:textId="77777777" w:rsidR="000557AA" w:rsidRDefault="00993D1E">
      <w:pPr>
        <w:pStyle w:val="TOC1"/>
        <w:tabs>
          <w:tab w:val="right" w:leader="dot" w:pos="8484"/>
        </w:tabs>
        <w:rPr>
          <w:rFonts w:eastAsiaTheme="minorEastAsia" w:cstheme="minorBidi"/>
          <w:b w:val="0"/>
          <w:bCs w:val="0"/>
          <w:noProof/>
          <w:sz w:val="22"/>
          <w:szCs w:val="22"/>
          <w:lang w:val="en-TT" w:eastAsia="en-TT"/>
        </w:rPr>
      </w:pPr>
      <w:hyperlink w:anchor="_Toc1902377" w:history="1">
        <w:r w:rsidR="000557AA" w:rsidRPr="00A00B40">
          <w:rPr>
            <w:rStyle w:val="Hyperlink"/>
            <w:noProof/>
          </w:rPr>
          <w:t>References</w:t>
        </w:r>
        <w:r w:rsidR="000557AA">
          <w:rPr>
            <w:noProof/>
            <w:webHidden/>
          </w:rPr>
          <w:tab/>
        </w:r>
        <w:r w:rsidR="000557AA">
          <w:rPr>
            <w:noProof/>
            <w:webHidden/>
          </w:rPr>
          <w:fldChar w:fldCharType="begin"/>
        </w:r>
        <w:r w:rsidR="000557AA">
          <w:rPr>
            <w:noProof/>
            <w:webHidden/>
          </w:rPr>
          <w:instrText xml:space="preserve"> PAGEREF _Toc1902377 \h </w:instrText>
        </w:r>
        <w:r w:rsidR="000557AA">
          <w:rPr>
            <w:noProof/>
            <w:webHidden/>
          </w:rPr>
        </w:r>
        <w:r w:rsidR="000557AA">
          <w:rPr>
            <w:noProof/>
            <w:webHidden/>
          </w:rPr>
          <w:fldChar w:fldCharType="separate"/>
        </w:r>
        <w:r w:rsidR="00AC21CF">
          <w:rPr>
            <w:noProof/>
            <w:webHidden/>
          </w:rPr>
          <w:t>194</w:t>
        </w:r>
        <w:r w:rsidR="000557AA">
          <w:rPr>
            <w:noProof/>
            <w:webHidden/>
          </w:rPr>
          <w:fldChar w:fldCharType="end"/>
        </w:r>
      </w:hyperlink>
    </w:p>
    <w:p w14:paraId="5A5A6DE3" w14:textId="77777777" w:rsidR="000557AA" w:rsidRDefault="00993D1E">
      <w:pPr>
        <w:pStyle w:val="TOC1"/>
        <w:tabs>
          <w:tab w:val="right" w:leader="dot" w:pos="8484"/>
        </w:tabs>
        <w:rPr>
          <w:rFonts w:eastAsiaTheme="minorEastAsia" w:cstheme="minorBidi"/>
          <w:b w:val="0"/>
          <w:bCs w:val="0"/>
          <w:noProof/>
          <w:sz w:val="22"/>
          <w:szCs w:val="22"/>
          <w:lang w:val="en-TT" w:eastAsia="en-TT"/>
        </w:rPr>
      </w:pPr>
      <w:hyperlink w:anchor="_Toc1902378" w:history="1">
        <w:r w:rsidR="000557AA" w:rsidRPr="00A00B40">
          <w:rPr>
            <w:rStyle w:val="Hyperlink"/>
            <w:noProof/>
          </w:rPr>
          <w:t>Appendix 1 – Systematic Review (Patient Characteristics)</w:t>
        </w:r>
        <w:r w:rsidR="000557AA">
          <w:rPr>
            <w:noProof/>
            <w:webHidden/>
          </w:rPr>
          <w:tab/>
        </w:r>
        <w:r w:rsidR="000557AA">
          <w:rPr>
            <w:noProof/>
            <w:webHidden/>
          </w:rPr>
          <w:fldChar w:fldCharType="begin"/>
        </w:r>
        <w:r w:rsidR="000557AA">
          <w:rPr>
            <w:noProof/>
            <w:webHidden/>
          </w:rPr>
          <w:instrText xml:space="preserve"> PAGEREF _Toc1902378 \h </w:instrText>
        </w:r>
        <w:r w:rsidR="000557AA">
          <w:rPr>
            <w:noProof/>
            <w:webHidden/>
          </w:rPr>
        </w:r>
        <w:r w:rsidR="000557AA">
          <w:rPr>
            <w:noProof/>
            <w:webHidden/>
          </w:rPr>
          <w:fldChar w:fldCharType="separate"/>
        </w:r>
        <w:r w:rsidR="00AC21CF">
          <w:rPr>
            <w:noProof/>
            <w:webHidden/>
          </w:rPr>
          <w:t>209</w:t>
        </w:r>
        <w:r w:rsidR="000557AA">
          <w:rPr>
            <w:noProof/>
            <w:webHidden/>
          </w:rPr>
          <w:fldChar w:fldCharType="end"/>
        </w:r>
      </w:hyperlink>
    </w:p>
    <w:p w14:paraId="5A368D2F" w14:textId="77777777" w:rsidR="000557AA" w:rsidRDefault="00993D1E">
      <w:pPr>
        <w:pStyle w:val="TOC1"/>
        <w:tabs>
          <w:tab w:val="right" w:leader="dot" w:pos="8484"/>
        </w:tabs>
        <w:rPr>
          <w:rFonts w:eastAsiaTheme="minorEastAsia" w:cstheme="minorBidi"/>
          <w:b w:val="0"/>
          <w:bCs w:val="0"/>
          <w:noProof/>
          <w:sz w:val="22"/>
          <w:szCs w:val="22"/>
          <w:lang w:val="en-TT" w:eastAsia="en-TT"/>
        </w:rPr>
      </w:pPr>
      <w:hyperlink w:anchor="_Toc1902379" w:history="1">
        <w:r w:rsidR="000557AA" w:rsidRPr="00A00B40">
          <w:rPr>
            <w:rStyle w:val="Hyperlink"/>
            <w:noProof/>
          </w:rPr>
          <w:t>Appendix 2 – Systematic Review (Care Process Factors)</w:t>
        </w:r>
        <w:r w:rsidR="000557AA">
          <w:rPr>
            <w:noProof/>
            <w:webHidden/>
          </w:rPr>
          <w:tab/>
        </w:r>
        <w:r w:rsidR="000557AA">
          <w:rPr>
            <w:noProof/>
            <w:webHidden/>
          </w:rPr>
          <w:fldChar w:fldCharType="begin"/>
        </w:r>
        <w:r w:rsidR="000557AA">
          <w:rPr>
            <w:noProof/>
            <w:webHidden/>
          </w:rPr>
          <w:instrText xml:space="preserve"> PAGEREF _Toc1902379 \h </w:instrText>
        </w:r>
        <w:r w:rsidR="000557AA">
          <w:rPr>
            <w:noProof/>
            <w:webHidden/>
          </w:rPr>
        </w:r>
        <w:r w:rsidR="000557AA">
          <w:rPr>
            <w:noProof/>
            <w:webHidden/>
          </w:rPr>
          <w:fldChar w:fldCharType="separate"/>
        </w:r>
        <w:r w:rsidR="00AC21CF">
          <w:rPr>
            <w:noProof/>
            <w:webHidden/>
          </w:rPr>
          <w:t>219</w:t>
        </w:r>
        <w:r w:rsidR="000557AA">
          <w:rPr>
            <w:noProof/>
            <w:webHidden/>
          </w:rPr>
          <w:fldChar w:fldCharType="end"/>
        </w:r>
      </w:hyperlink>
    </w:p>
    <w:p w14:paraId="79D3173E" w14:textId="77777777" w:rsidR="000557AA" w:rsidRDefault="00993D1E">
      <w:pPr>
        <w:pStyle w:val="TOC1"/>
        <w:tabs>
          <w:tab w:val="right" w:leader="dot" w:pos="8484"/>
        </w:tabs>
        <w:rPr>
          <w:rFonts w:eastAsiaTheme="minorEastAsia" w:cstheme="minorBidi"/>
          <w:b w:val="0"/>
          <w:bCs w:val="0"/>
          <w:noProof/>
          <w:sz w:val="22"/>
          <w:szCs w:val="22"/>
          <w:lang w:val="en-TT" w:eastAsia="en-TT"/>
        </w:rPr>
      </w:pPr>
      <w:hyperlink w:anchor="_Toc1902380" w:history="1">
        <w:r w:rsidR="000557AA" w:rsidRPr="00A00B40">
          <w:rPr>
            <w:rStyle w:val="Hyperlink"/>
            <w:noProof/>
          </w:rPr>
          <w:t>Appendix 3 – Systematic Review (Treatment Decisions)</w:t>
        </w:r>
        <w:r w:rsidR="000557AA">
          <w:rPr>
            <w:noProof/>
            <w:webHidden/>
          </w:rPr>
          <w:tab/>
        </w:r>
        <w:r w:rsidR="000557AA">
          <w:rPr>
            <w:noProof/>
            <w:webHidden/>
          </w:rPr>
          <w:fldChar w:fldCharType="begin"/>
        </w:r>
        <w:r w:rsidR="000557AA">
          <w:rPr>
            <w:noProof/>
            <w:webHidden/>
          </w:rPr>
          <w:instrText xml:space="preserve"> PAGEREF _Toc1902380 \h </w:instrText>
        </w:r>
        <w:r w:rsidR="000557AA">
          <w:rPr>
            <w:noProof/>
            <w:webHidden/>
          </w:rPr>
        </w:r>
        <w:r w:rsidR="000557AA">
          <w:rPr>
            <w:noProof/>
            <w:webHidden/>
          </w:rPr>
          <w:fldChar w:fldCharType="separate"/>
        </w:r>
        <w:r w:rsidR="00AC21CF">
          <w:rPr>
            <w:noProof/>
            <w:webHidden/>
          </w:rPr>
          <w:t>223</w:t>
        </w:r>
        <w:r w:rsidR="000557AA">
          <w:rPr>
            <w:noProof/>
            <w:webHidden/>
          </w:rPr>
          <w:fldChar w:fldCharType="end"/>
        </w:r>
      </w:hyperlink>
    </w:p>
    <w:p w14:paraId="322F9731" w14:textId="77777777" w:rsidR="000557AA" w:rsidRDefault="00993D1E">
      <w:pPr>
        <w:pStyle w:val="TOC1"/>
        <w:tabs>
          <w:tab w:val="right" w:leader="dot" w:pos="8484"/>
        </w:tabs>
        <w:rPr>
          <w:rFonts w:eastAsiaTheme="minorEastAsia" w:cstheme="minorBidi"/>
          <w:b w:val="0"/>
          <w:bCs w:val="0"/>
          <w:noProof/>
          <w:sz w:val="22"/>
          <w:szCs w:val="22"/>
          <w:lang w:val="en-TT" w:eastAsia="en-TT"/>
        </w:rPr>
      </w:pPr>
      <w:hyperlink w:anchor="_Toc1902381" w:history="1">
        <w:r w:rsidR="000557AA" w:rsidRPr="00A00B40">
          <w:rPr>
            <w:rStyle w:val="Hyperlink"/>
            <w:noProof/>
          </w:rPr>
          <w:t>Appendix 4 – List of Interviewees</w:t>
        </w:r>
        <w:r w:rsidR="000557AA">
          <w:rPr>
            <w:noProof/>
            <w:webHidden/>
          </w:rPr>
          <w:tab/>
        </w:r>
        <w:r w:rsidR="000557AA">
          <w:rPr>
            <w:noProof/>
            <w:webHidden/>
          </w:rPr>
          <w:fldChar w:fldCharType="begin"/>
        </w:r>
        <w:r w:rsidR="000557AA">
          <w:rPr>
            <w:noProof/>
            <w:webHidden/>
          </w:rPr>
          <w:instrText xml:space="preserve"> PAGEREF _Toc1902381 \h </w:instrText>
        </w:r>
        <w:r w:rsidR="000557AA">
          <w:rPr>
            <w:noProof/>
            <w:webHidden/>
          </w:rPr>
        </w:r>
        <w:r w:rsidR="000557AA">
          <w:rPr>
            <w:noProof/>
            <w:webHidden/>
          </w:rPr>
          <w:fldChar w:fldCharType="separate"/>
        </w:r>
        <w:r w:rsidR="00AC21CF">
          <w:rPr>
            <w:noProof/>
            <w:webHidden/>
          </w:rPr>
          <w:t>228</w:t>
        </w:r>
        <w:r w:rsidR="000557AA">
          <w:rPr>
            <w:noProof/>
            <w:webHidden/>
          </w:rPr>
          <w:fldChar w:fldCharType="end"/>
        </w:r>
      </w:hyperlink>
    </w:p>
    <w:p w14:paraId="66C7FB67" w14:textId="77777777" w:rsidR="000557AA" w:rsidRDefault="00993D1E">
      <w:pPr>
        <w:pStyle w:val="TOC1"/>
        <w:tabs>
          <w:tab w:val="right" w:leader="dot" w:pos="8484"/>
        </w:tabs>
        <w:rPr>
          <w:rFonts w:eastAsiaTheme="minorEastAsia" w:cstheme="minorBidi"/>
          <w:b w:val="0"/>
          <w:bCs w:val="0"/>
          <w:noProof/>
          <w:sz w:val="22"/>
          <w:szCs w:val="22"/>
          <w:lang w:val="en-TT" w:eastAsia="en-TT"/>
        </w:rPr>
      </w:pPr>
      <w:hyperlink w:anchor="_Toc1902382" w:history="1">
        <w:r w:rsidR="000557AA" w:rsidRPr="00A00B40">
          <w:rPr>
            <w:rStyle w:val="Hyperlink"/>
            <w:noProof/>
          </w:rPr>
          <w:t>Appendix 5 – Topic Guide</w:t>
        </w:r>
        <w:r w:rsidR="000557AA">
          <w:rPr>
            <w:noProof/>
            <w:webHidden/>
          </w:rPr>
          <w:tab/>
        </w:r>
        <w:r w:rsidR="000557AA">
          <w:rPr>
            <w:noProof/>
            <w:webHidden/>
          </w:rPr>
          <w:fldChar w:fldCharType="begin"/>
        </w:r>
        <w:r w:rsidR="000557AA">
          <w:rPr>
            <w:noProof/>
            <w:webHidden/>
          </w:rPr>
          <w:instrText xml:space="preserve"> PAGEREF _Toc1902382 \h </w:instrText>
        </w:r>
        <w:r w:rsidR="000557AA">
          <w:rPr>
            <w:noProof/>
            <w:webHidden/>
          </w:rPr>
        </w:r>
        <w:r w:rsidR="000557AA">
          <w:rPr>
            <w:noProof/>
            <w:webHidden/>
          </w:rPr>
          <w:fldChar w:fldCharType="separate"/>
        </w:r>
        <w:r w:rsidR="00AC21CF">
          <w:rPr>
            <w:noProof/>
            <w:webHidden/>
          </w:rPr>
          <w:t>229</w:t>
        </w:r>
        <w:r w:rsidR="000557AA">
          <w:rPr>
            <w:noProof/>
            <w:webHidden/>
          </w:rPr>
          <w:fldChar w:fldCharType="end"/>
        </w:r>
      </w:hyperlink>
    </w:p>
    <w:p w14:paraId="21049EFF" w14:textId="77777777" w:rsidR="000557AA" w:rsidRDefault="00993D1E">
      <w:pPr>
        <w:pStyle w:val="TOC1"/>
        <w:tabs>
          <w:tab w:val="right" w:leader="dot" w:pos="8484"/>
        </w:tabs>
        <w:rPr>
          <w:rFonts w:eastAsiaTheme="minorEastAsia" w:cstheme="minorBidi"/>
          <w:b w:val="0"/>
          <w:bCs w:val="0"/>
          <w:noProof/>
          <w:sz w:val="22"/>
          <w:szCs w:val="22"/>
          <w:lang w:val="en-TT" w:eastAsia="en-TT"/>
        </w:rPr>
      </w:pPr>
      <w:hyperlink w:anchor="_Toc1902383" w:history="1">
        <w:r w:rsidR="000557AA" w:rsidRPr="00A00B40">
          <w:rPr>
            <w:rStyle w:val="Hyperlink"/>
            <w:noProof/>
          </w:rPr>
          <w:t>Appendix 6 – Supporting Documents for Phase 2 of the Study</w:t>
        </w:r>
        <w:r w:rsidR="000557AA">
          <w:rPr>
            <w:noProof/>
            <w:webHidden/>
          </w:rPr>
          <w:tab/>
        </w:r>
        <w:r w:rsidR="000557AA">
          <w:rPr>
            <w:noProof/>
            <w:webHidden/>
          </w:rPr>
          <w:fldChar w:fldCharType="begin"/>
        </w:r>
        <w:r w:rsidR="000557AA">
          <w:rPr>
            <w:noProof/>
            <w:webHidden/>
          </w:rPr>
          <w:instrText xml:space="preserve"> PAGEREF _Toc1902383 \h </w:instrText>
        </w:r>
        <w:r w:rsidR="000557AA">
          <w:rPr>
            <w:noProof/>
            <w:webHidden/>
          </w:rPr>
        </w:r>
        <w:r w:rsidR="000557AA">
          <w:rPr>
            <w:noProof/>
            <w:webHidden/>
          </w:rPr>
          <w:fldChar w:fldCharType="separate"/>
        </w:r>
        <w:r w:rsidR="00AC21CF">
          <w:rPr>
            <w:noProof/>
            <w:webHidden/>
          </w:rPr>
          <w:t>230</w:t>
        </w:r>
        <w:r w:rsidR="000557AA">
          <w:rPr>
            <w:noProof/>
            <w:webHidden/>
          </w:rPr>
          <w:fldChar w:fldCharType="end"/>
        </w:r>
      </w:hyperlink>
    </w:p>
    <w:p w14:paraId="49546AC9" w14:textId="77777777" w:rsidR="000557AA" w:rsidRDefault="00993D1E">
      <w:pPr>
        <w:pStyle w:val="TOC2"/>
        <w:tabs>
          <w:tab w:val="right" w:leader="dot" w:pos="8484"/>
        </w:tabs>
        <w:rPr>
          <w:rFonts w:eastAsiaTheme="minorEastAsia" w:cstheme="minorBidi"/>
          <w:i w:val="0"/>
          <w:iCs w:val="0"/>
          <w:noProof/>
          <w:sz w:val="22"/>
          <w:szCs w:val="22"/>
          <w:lang w:val="en-TT" w:eastAsia="en-TT"/>
        </w:rPr>
      </w:pPr>
      <w:hyperlink w:anchor="_Toc1902384" w:history="1">
        <w:r w:rsidR="000557AA" w:rsidRPr="00A00B40">
          <w:rPr>
            <w:rStyle w:val="Hyperlink"/>
            <w:noProof/>
          </w:rPr>
          <w:t>Letter of Introduction</w:t>
        </w:r>
        <w:r w:rsidR="000557AA">
          <w:rPr>
            <w:noProof/>
            <w:webHidden/>
          </w:rPr>
          <w:tab/>
        </w:r>
        <w:r w:rsidR="000557AA">
          <w:rPr>
            <w:noProof/>
            <w:webHidden/>
          </w:rPr>
          <w:fldChar w:fldCharType="begin"/>
        </w:r>
        <w:r w:rsidR="000557AA">
          <w:rPr>
            <w:noProof/>
            <w:webHidden/>
          </w:rPr>
          <w:instrText xml:space="preserve"> PAGEREF _Toc1902384 \h </w:instrText>
        </w:r>
        <w:r w:rsidR="000557AA">
          <w:rPr>
            <w:noProof/>
            <w:webHidden/>
          </w:rPr>
        </w:r>
        <w:r w:rsidR="000557AA">
          <w:rPr>
            <w:noProof/>
            <w:webHidden/>
          </w:rPr>
          <w:fldChar w:fldCharType="separate"/>
        </w:r>
        <w:r w:rsidR="00AC21CF">
          <w:rPr>
            <w:noProof/>
            <w:webHidden/>
          </w:rPr>
          <w:t>230</w:t>
        </w:r>
        <w:r w:rsidR="000557AA">
          <w:rPr>
            <w:noProof/>
            <w:webHidden/>
          </w:rPr>
          <w:fldChar w:fldCharType="end"/>
        </w:r>
      </w:hyperlink>
    </w:p>
    <w:p w14:paraId="46918C2B" w14:textId="77777777" w:rsidR="000557AA" w:rsidRDefault="00993D1E">
      <w:pPr>
        <w:pStyle w:val="TOC2"/>
        <w:tabs>
          <w:tab w:val="right" w:leader="dot" w:pos="8484"/>
        </w:tabs>
        <w:rPr>
          <w:rFonts w:eastAsiaTheme="minorEastAsia" w:cstheme="minorBidi"/>
          <w:i w:val="0"/>
          <w:iCs w:val="0"/>
          <w:noProof/>
          <w:sz w:val="22"/>
          <w:szCs w:val="22"/>
          <w:lang w:val="en-TT" w:eastAsia="en-TT"/>
        </w:rPr>
      </w:pPr>
      <w:hyperlink w:anchor="_Toc1902385" w:history="1">
        <w:r w:rsidR="000557AA" w:rsidRPr="00A00B40">
          <w:rPr>
            <w:rStyle w:val="Hyperlink"/>
            <w:noProof/>
          </w:rPr>
          <w:t>Participant Information Sheet</w:t>
        </w:r>
        <w:r w:rsidR="000557AA">
          <w:rPr>
            <w:noProof/>
            <w:webHidden/>
          </w:rPr>
          <w:tab/>
        </w:r>
        <w:r w:rsidR="000557AA">
          <w:rPr>
            <w:noProof/>
            <w:webHidden/>
          </w:rPr>
          <w:fldChar w:fldCharType="begin"/>
        </w:r>
        <w:r w:rsidR="000557AA">
          <w:rPr>
            <w:noProof/>
            <w:webHidden/>
          </w:rPr>
          <w:instrText xml:space="preserve"> PAGEREF _Toc1902385 \h </w:instrText>
        </w:r>
        <w:r w:rsidR="000557AA">
          <w:rPr>
            <w:noProof/>
            <w:webHidden/>
          </w:rPr>
        </w:r>
        <w:r w:rsidR="000557AA">
          <w:rPr>
            <w:noProof/>
            <w:webHidden/>
          </w:rPr>
          <w:fldChar w:fldCharType="separate"/>
        </w:r>
        <w:r w:rsidR="00AC21CF">
          <w:rPr>
            <w:noProof/>
            <w:webHidden/>
          </w:rPr>
          <w:t>231</w:t>
        </w:r>
        <w:r w:rsidR="000557AA">
          <w:rPr>
            <w:noProof/>
            <w:webHidden/>
          </w:rPr>
          <w:fldChar w:fldCharType="end"/>
        </w:r>
      </w:hyperlink>
    </w:p>
    <w:p w14:paraId="58BB1DB8" w14:textId="77777777" w:rsidR="000557AA" w:rsidRDefault="00993D1E">
      <w:pPr>
        <w:pStyle w:val="TOC2"/>
        <w:tabs>
          <w:tab w:val="right" w:leader="dot" w:pos="8484"/>
        </w:tabs>
        <w:rPr>
          <w:rFonts w:eastAsiaTheme="minorEastAsia" w:cstheme="minorBidi"/>
          <w:i w:val="0"/>
          <w:iCs w:val="0"/>
          <w:noProof/>
          <w:sz w:val="22"/>
          <w:szCs w:val="22"/>
          <w:lang w:val="en-TT" w:eastAsia="en-TT"/>
        </w:rPr>
      </w:pPr>
      <w:hyperlink w:anchor="_Toc1902386" w:history="1">
        <w:r w:rsidR="000557AA" w:rsidRPr="00A00B40">
          <w:rPr>
            <w:rStyle w:val="Hyperlink"/>
            <w:rFonts w:eastAsia="Times New Roman"/>
            <w:noProof/>
          </w:rPr>
          <w:t>Consent Form</w:t>
        </w:r>
        <w:r w:rsidR="000557AA">
          <w:rPr>
            <w:noProof/>
            <w:webHidden/>
          </w:rPr>
          <w:tab/>
        </w:r>
        <w:r w:rsidR="000557AA">
          <w:rPr>
            <w:noProof/>
            <w:webHidden/>
          </w:rPr>
          <w:fldChar w:fldCharType="begin"/>
        </w:r>
        <w:r w:rsidR="000557AA">
          <w:rPr>
            <w:noProof/>
            <w:webHidden/>
          </w:rPr>
          <w:instrText xml:space="preserve"> PAGEREF _Toc1902386 \h </w:instrText>
        </w:r>
        <w:r w:rsidR="000557AA">
          <w:rPr>
            <w:noProof/>
            <w:webHidden/>
          </w:rPr>
        </w:r>
        <w:r w:rsidR="000557AA">
          <w:rPr>
            <w:noProof/>
            <w:webHidden/>
          </w:rPr>
          <w:fldChar w:fldCharType="separate"/>
        </w:r>
        <w:r w:rsidR="00AC21CF">
          <w:rPr>
            <w:noProof/>
            <w:webHidden/>
          </w:rPr>
          <w:t>235</w:t>
        </w:r>
        <w:r w:rsidR="000557AA">
          <w:rPr>
            <w:noProof/>
            <w:webHidden/>
          </w:rPr>
          <w:fldChar w:fldCharType="end"/>
        </w:r>
      </w:hyperlink>
    </w:p>
    <w:p w14:paraId="1D6FFC5B" w14:textId="77777777" w:rsidR="000557AA" w:rsidRDefault="00993D1E">
      <w:pPr>
        <w:pStyle w:val="TOC1"/>
        <w:tabs>
          <w:tab w:val="right" w:leader="dot" w:pos="8484"/>
        </w:tabs>
        <w:rPr>
          <w:rFonts w:eastAsiaTheme="minorEastAsia" w:cstheme="minorBidi"/>
          <w:b w:val="0"/>
          <w:bCs w:val="0"/>
          <w:noProof/>
          <w:sz w:val="22"/>
          <w:szCs w:val="22"/>
          <w:lang w:val="en-TT" w:eastAsia="en-TT"/>
        </w:rPr>
      </w:pPr>
      <w:hyperlink w:anchor="_Toc1902387" w:history="1">
        <w:r w:rsidR="000557AA" w:rsidRPr="00A00B40">
          <w:rPr>
            <w:rStyle w:val="Hyperlink"/>
            <w:noProof/>
          </w:rPr>
          <w:t>Appendix 7 – Ethical Approval</w:t>
        </w:r>
        <w:r w:rsidR="000557AA">
          <w:rPr>
            <w:noProof/>
            <w:webHidden/>
          </w:rPr>
          <w:tab/>
        </w:r>
        <w:r w:rsidR="000557AA">
          <w:rPr>
            <w:noProof/>
            <w:webHidden/>
          </w:rPr>
          <w:fldChar w:fldCharType="begin"/>
        </w:r>
        <w:r w:rsidR="000557AA">
          <w:rPr>
            <w:noProof/>
            <w:webHidden/>
          </w:rPr>
          <w:instrText xml:space="preserve"> PAGEREF _Toc1902387 \h </w:instrText>
        </w:r>
        <w:r w:rsidR="000557AA">
          <w:rPr>
            <w:noProof/>
            <w:webHidden/>
          </w:rPr>
        </w:r>
        <w:r w:rsidR="000557AA">
          <w:rPr>
            <w:noProof/>
            <w:webHidden/>
          </w:rPr>
          <w:fldChar w:fldCharType="separate"/>
        </w:r>
        <w:r w:rsidR="00AC21CF">
          <w:rPr>
            <w:noProof/>
            <w:webHidden/>
          </w:rPr>
          <w:t>236</w:t>
        </w:r>
        <w:r w:rsidR="000557AA">
          <w:rPr>
            <w:noProof/>
            <w:webHidden/>
          </w:rPr>
          <w:fldChar w:fldCharType="end"/>
        </w:r>
      </w:hyperlink>
    </w:p>
    <w:p w14:paraId="6C30E0BC" w14:textId="77777777" w:rsidR="000557AA" w:rsidRDefault="00993D1E">
      <w:pPr>
        <w:pStyle w:val="TOC2"/>
        <w:tabs>
          <w:tab w:val="right" w:leader="dot" w:pos="8484"/>
        </w:tabs>
        <w:rPr>
          <w:rFonts w:eastAsiaTheme="minorEastAsia" w:cstheme="minorBidi"/>
          <w:i w:val="0"/>
          <w:iCs w:val="0"/>
          <w:noProof/>
          <w:sz w:val="22"/>
          <w:szCs w:val="22"/>
          <w:lang w:val="en-TT" w:eastAsia="en-TT"/>
        </w:rPr>
      </w:pPr>
      <w:hyperlink w:anchor="_Toc1902388" w:history="1">
        <w:r w:rsidR="000557AA" w:rsidRPr="00A00B40">
          <w:rPr>
            <w:rStyle w:val="Hyperlink"/>
            <w:noProof/>
          </w:rPr>
          <w:t>ScHARR Research Ethics Committee Approval</w:t>
        </w:r>
        <w:r w:rsidR="000557AA">
          <w:rPr>
            <w:noProof/>
            <w:webHidden/>
          </w:rPr>
          <w:tab/>
        </w:r>
        <w:r w:rsidR="000557AA">
          <w:rPr>
            <w:noProof/>
            <w:webHidden/>
          </w:rPr>
          <w:fldChar w:fldCharType="begin"/>
        </w:r>
        <w:r w:rsidR="000557AA">
          <w:rPr>
            <w:noProof/>
            <w:webHidden/>
          </w:rPr>
          <w:instrText xml:space="preserve"> PAGEREF _Toc1902388 \h </w:instrText>
        </w:r>
        <w:r w:rsidR="000557AA">
          <w:rPr>
            <w:noProof/>
            <w:webHidden/>
          </w:rPr>
        </w:r>
        <w:r w:rsidR="000557AA">
          <w:rPr>
            <w:noProof/>
            <w:webHidden/>
          </w:rPr>
          <w:fldChar w:fldCharType="separate"/>
        </w:r>
        <w:r w:rsidR="00AC21CF">
          <w:rPr>
            <w:noProof/>
            <w:webHidden/>
          </w:rPr>
          <w:t>236</w:t>
        </w:r>
        <w:r w:rsidR="000557AA">
          <w:rPr>
            <w:noProof/>
            <w:webHidden/>
          </w:rPr>
          <w:fldChar w:fldCharType="end"/>
        </w:r>
      </w:hyperlink>
    </w:p>
    <w:p w14:paraId="2A2A768C" w14:textId="77777777" w:rsidR="000557AA" w:rsidRDefault="00993D1E">
      <w:pPr>
        <w:pStyle w:val="TOC2"/>
        <w:tabs>
          <w:tab w:val="right" w:leader="dot" w:pos="8484"/>
        </w:tabs>
        <w:rPr>
          <w:rFonts w:eastAsiaTheme="minorEastAsia" w:cstheme="minorBidi"/>
          <w:i w:val="0"/>
          <w:iCs w:val="0"/>
          <w:noProof/>
          <w:sz w:val="22"/>
          <w:szCs w:val="22"/>
          <w:lang w:val="en-TT" w:eastAsia="en-TT"/>
        </w:rPr>
      </w:pPr>
      <w:hyperlink w:anchor="_Toc1902389" w:history="1">
        <w:r w:rsidR="000557AA" w:rsidRPr="00A00B40">
          <w:rPr>
            <w:rStyle w:val="Hyperlink"/>
            <w:noProof/>
          </w:rPr>
          <w:t>HRA (IRAS) Approval</w:t>
        </w:r>
        <w:r w:rsidR="000557AA">
          <w:rPr>
            <w:noProof/>
            <w:webHidden/>
          </w:rPr>
          <w:tab/>
        </w:r>
        <w:r w:rsidR="000557AA">
          <w:rPr>
            <w:noProof/>
            <w:webHidden/>
          </w:rPr>
          <w:fldChar w:fldCharType="begin"/>
        </w:r>
        <w:r w:rsidR="000557AA">
          <w:rPr>
            <w:noProof/>
            <w:webHidden/>
          </w:rPr>
          <w:instrText xml:space="preserve"> PAGEREF _Toc1902389 \h </w:instrText>
        </w:r>
        <w:r w:rsidR="000557AA">
          <w:rPr>
            <w:noProof/>
            <w:webHidden/>
          </w:rPr>
        </w:r>
        <w:r w:rsidR="000557AA">
          <w:rPr>
            <w:noProof/>
            <w:webHidden/>
          </w:rPr>
          <w:fldChar w:fldCharType="separate"/>
        </w:r>
        <w:r w:rsidR="00AC21CF">
          <w:rPr>
            <w:noProof/>
            <w:webHidden/>
          </w:rPr>
          <w:t>237</w:t>
        </w:r>
        <w:r w:rsidR="000557AA">
          <w:rPr>
            <w:noProof/>
            <w:webHidden/>
          </w:rPr>
          <w:fldChar w:fldCharType="end"/>
        </w:r>
      </w:hyperlink>
    </w:p>
    <w:p w14:paraId="3A12A237" w14:textId="77777777" w:rsidR="000557AA" w:rsidRDefault="00993D1E">
      <w:pPr>
        <w:pStyle w:val="TOC2"/>
        <w:tabs>
          <w:tab w:val="right" w:leader="dot" w:pos="8484"/>
        </w:tabs>
        <w:rPr>
          <w:rFonts w:eastAsiaTheme="minorEastAsia" w:cstheme="minorBidi"/>
          <w:i w:val="0"/>
          <w:iCs w:val="0"/>
          <w:noProof/>
          <w:sz w:val="22"/>
          <w:szCs w:val="22"/>
          <w:lang w:val="en-TT" w:eastAsia="en-TT"/>
        </w:rPr>
      </w:pPr>
      <w:hyperlink w:anchor="_Toc1902390" w:history="1">
        <w:r w:rsidR="000557AA" w:rsidRPr="00A00B40">
          <w:rPr>
            <w:rStyle w:val="Hyperlink"/>
            <w:noProof/>
          </w:rPr>
          <w:t>Letter of Access – Site 01</w:t>
        </w:r>
        <w:r w:rsidR="000557AA">
          <w:rPr>
            <w:noProof/>
            <w:webHidden/>
          </w:rPr>
          <w:tab/>
        </w:r>
        <w:r w:rsidR="000557AA">
          <w:rPr>
            <w:noProof/>
            <w:webHidden/>
          </w:rPr>
          <w:fldChar w:fldCharType="begin"/>
        </w:r>
        <w:r w:rsidR="000557AA">
          <w:rPr>
            <w:noProof/>
            <w:webHidden/>
          </w:rPr>
          <w:instrText xml:space="preserve"> PAGEREF _Toc1902390 \h </w:instrText>
        </w:r>
        <w:r w:rsidR="000557AA">
          <w:rPr>
            <w:noProof/>
            <w:webHidden/>
          </w:rPr>
        </w:r>
        <w:r w:rsidR="000557AA">
          <w:rPr>
            <w:noProof/>
            <w:webHidden/>
          </w:rPr>
          <w:fldChar w:fldCharType="separate"/>
        </w:r>
        <w:r w:rsidR="00AC21CF">
          <w:rPr>
            <w:noProof/>
            <w:webHidden/>
          </w:rPr>
          <w:t>240</w:t>
        </w:r>
        <w:r w:rsidR="000557AA">
          <w:rPr>
            <w:noProof/>
            <w:webHidden/>
          </w:rPr>
          <w:fldChar w:fldCharType="end"/>
        </w:r>
      </w:hyperlink>
    </w:p>
    <w:p w14:paraId="77E5EB26" w14:textId="77777777" w:rsidR="000557AA" w:rsidRDefault="00993D1E">
      <w:pPr>
        <w:pStyle w:val="TOC2"/>
        <w:tabs>
          <w:tab w:val="right" w:leader="dot" w:pos="8484"/>
        </w:tabs>
        <w:rPr>
          <w:rFonts w:eastAsiaTheme="minorEastAsia" w:cstheme="minorBidi"/>
          <w:i w:val="0"/>
          <w:iCs w:val="0"/>
          <w:noProof/>
          <w:sz w:val="22"/>
          <w:szCs w:val="22"/>
          <w:lang w:val="en-TT" w:eastAsia="en-TT"/>
        </w:rPr>
      </w:pPr>
      <w:hyperlink w:anchor="_Toc1902391" w:history="1">
        <w:r w:rsidR="000557AA" w:rsidRPr="00A00B40">
          <w:rPr>
            <w:rStyle w:val="Hyperlink"/>
            <w:rFonts w:eastAsia="Times New Roman"/>
            <w:noProof/>
          </w:rPr>
          <w:t>Letter of Access – Site 02</w:t>
        </w:r>
        <w:r w:rsidR="000557AA">
          <w:rPr>
            <w:noProof/>
            <w:webHidden/>
          </w:rPr>
          <w:tab/>
        </w:r>
        <w:r w:rsidR="000557AA">
          <w:rPr>
            <w:noProof/>
            <w:webHidden/>
          </w:rPr>
          <w:fldChar w:fldCharType="begin"/>
        </w:r>
        <w:r w:rsidR="000557AA">
          <w:rPr>
            <w:noProof/>
            <w:webHidden/>
          </w:rPr>
          <w:instrText xml:space="preserve"> PAGEREF _Toc1902391 \h </w:instrText>
        </w:r>
        <w:r w:rsidR="000557AA">
          <w:rPr>
            <w:noProof/>
            <w:webHidden/>
          </w:rPr>
        </w:r>
        <w:r w:rsidR="000557AA">
          <w:rPr>
            <w:noProof/>
            <w:webHidden/>
          </w:rPr>
          <w:fldChar w:fldCharType="separate"/>
        </w:r>
        <w:r w:rsidR="00AC21CF">
          <w:rPr>
            <w:noProof/>
            <w:webHidden/>
          </w:rPr>
          <w:t>243</w:t>
        </w:r>
        <w:r w:rsidR="000557AA">
          <w:rPr>
            <w:noProof/>
            <w:webHidden/>
          </w:rPr>
          <w:fldChar w:fldCharType="end"/>
        </w:r>
      </w:hyperlink>
    </w:p>
    <w:p w14:paraId="4A7B0278" w14:textId="77777777" w:rsidR="00CA0EF0" w:rsidRPr="00361E30" w:rsidRDefault="00CA0EF0" w:rsidP="00DC6190">
      <w:pPr>
        <w:pStyle w:val="Heading2"/>
      </w:pPr>
      <w:r w:rsidRPr="00361E30">
        <w:rPr>
          <w:rFonts w:cstheme="minorHAnsi"/>
          <w:sz w:val="20"/>
          <w:szCs w:val="20"/>
        </w:rPr>
        <w:lastRenderedPageBreak/>
        <w:fldChar w:fldCharType="end"/>
      </w:r>
      <w:bookmarkStart w:id="1" w:name="_Toc1902193"/>
      <w:r w:rsidRPr="00361E30">
        <w:t>List of Abbreviations</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6861"/>
      </w:tblGrid>
      <w:tr w:rsidR="00CA0EF0" w:rsidRPr="00361E30" w14:paraId="7AF5C331" w14:textId="77777777" w:rsidTr="003C13F4">
        <w:tc>
          <w:tcPr>
            <w:tcW w:w="1728" w:type="dxa"/>
          </w:tcPr>
          <w:p w14:paraId="6C1AA48F"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AIS</w:t>
            </w:r>
          </w:p>
        </w:tc>
        <w:tc>
          <w:tcPr>
            <w:tcW w:w="7514" w:type="dxa"/>
          </w:tcPr>
          <w:p w14:paraId="55280286"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Abbreviated Injury Score</w:t>
            </w:r>
          </w:p>
        </w:tc>
      </w:tr>
      <w:tr w:rsidR="00CA0EF0" w:rsidRPr="00361E30" w14:paraId="6065B61F" w14:textId="77777777" w:rsidTr="003C13F4">
        <w:tc>
          <w:tcPr>
            <w:tcW w:w="1728" w:type="dxa"/>
          </w:tcPr>
          <w:p w14:paraId="414E19F3"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AOR</w:t>
            </w:r>
          </w:p>
        </w:tc>
        <w:tc>
          <w:tcPr>
            <w:tcW w:w="7514" w:type="dxa"/>
          </w:tcPr>
          <w:p w14:paraId="6C464F86"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Adjusted odds ratio</w:t>
            </w:r>
          </w:p>
        </w:tc>
      </w:tr>
      <w:tr w:rsidR="00CA0EF0" w:rsidRPr="00361E30" w14:paraId="627F46BD" w14:textId="77777777" w:rsidTr="003C13F4">
        <w:tc>
          <w:tcPr>
            <w:tcW w:w="1728" w:type="dxa"/>
          </w:tcPr>
          <w:p w14:paraId="3908B993"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AQA</w:t>
            </w:r>
          </w:p>
        </w:tc>
        <w:tc>
          <w:tcPr>
            <w:tcW w:w="7514" w:type="dxa"/>
          </w:tcPr>
          <w:p w14:paraId="1EC40EFA"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Advanced Quality Alliance</w:t>
            </w:r>
          </w:p>
        </w:tc>
      </w:tr>
      <w:tr w:rsidR="00CA0EF0" w:rsidRPr="00361E30" w14:paraId="572BCE85" w14:textId="77777777" w:rsidTr="003C13F4">
        <w:tc>
          <w:tcPr>
            <w:tcW w:w="1728" w:type="dxa"/>
          </w:tcPr>
          <w:p w14:paraId="47C9AA29"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ATS</w:t>
            </w:r>
          </w:p>
        </w:tc>
        <w:tc>
          <w:tcPr>
            <w:tcW w:w="7514" w:type="dxa"/>
          </w:tcPr>
          <w:p w14:paraId="1E91B725"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Australian Triage Score</w:t>
            </w:r>
          </w:p>
        </w:tc>
      </w:tr>
      <w:tr w:rsidR="00CA0EF0" w:rsidRPr="00361E30" w14:paraId="7EF29CF2" w14:textId="77777777" w:rsidTr="003C13F4">
        <w:tc>
          <w:tcPr>
            <w:tcW w:w="1728" w:type="dxa"/>
          </w:tcPr>
          <w:p w14:paraId="469EBA7A"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AUROC</w:t>
            </w:r>
          </w:p>
        </w:tc>
        <w:tc>
          <w:tcPr>
            <w:tcW w:w="7514" w:type="dxa"/>
          </w:tcPr>
          <w:p w14:paraId="5264C551"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Area under the receiver-operator curve</w:t>
            </w:r>
          </w:p>
        </w:tc>
      </w:tr>
      <w:tr w:rsidR="00CA0EF0" w:rsidRPr="00361E30" w14:paraId="488E4A69" w14:textId="77777777" w:rsidTr="003C13F4">
        <w:tc>
          <w:tcPr>
            <w:tcW w:w="1728" w:type="dxa"/>
          </w:tcPr>
          <w:p w14:paraId="3C7BFF07"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CASP</w:t>
            </w:r>
          </w:p>
        </w:tc>
        <w:tc>
          <w:tcPr>
            <w:tcW w:w="7514" w:type="dxa"/>
          </w:tcPr>
          <w:p w14:paraId="7BF386FB"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Critical Appraisal Studies Programme</w:t>
            </w:r>
          </w:p>
        </w:tc>
      </w:tr>
      <w:tr w:rsidR="00CA0EF0" w:rsidRPr="00361E30" w14:paraId="641FCDAD" w14:textId="77777777" w:rsidTr="003C13F4">
        <w:tc>
          <w:tcPr>
            <w:tcW w:w="1728" w:type="dxa"/>
          </w:tcPr>
          <w:p w14:paraId="15C98878"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CCI</w:t>
            </w:r>
          </w:p>
        </w:tc>
        <w:tc>
          <w:tcPr>
            <w:tcW w:w="7514" w:type="dxa"/>
          </w:tcPr>
          <w:p w14:paraId="6F8533C4"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Charlson comorbidity index (see also mCCI)</w:t>
            </w:r>
          </w:p>
        </w:tc>
      </w:tr>
      <w:tr w:rsidR="00CA0EF0" w:rsidRPr="00361E30" w14:paraId="2C6D029C" w14:textId="77777777" w:rsidTr="003C13F4">
        <w:tc>
          <w:tcPr>
            <w:tcW w:w="1728" w:type="dxa"/>
          </w:tcPr>
          <w:p w14:paraId="33226035"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CI</w:t>
            </w:r>
          </w:p>
        </w:tc>
        <w:tc>
          <w:tcPr>
            <w:tcW w:w="7514" w:type="dxa"/>
          </w:tcPr>
          <w:p w14:paraId="48D19C7B"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Confidence interval</w:t>
            </w:r>
          </w:p>
        </w:tc>
      </w:tr>
      <w:tr w:rsidR="00CA0EF0" w:rsidRPr="00361E30" w14:paraId="11D3986A" w14:textId="77777777" w:rsidTr="003C13F4">
        <w:tc>
          <w:tcPr>
            <w:tcW w:w="1728" w:type="dxa"/>
          </w:tcPr>
          <w:p w14:paraId="6D09F209"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COPD</w:t>
            </w:r>
          </w:p>
        </w:tc>
        <w:tc>
          <w:tcPr>
            <w:tcW w:w="7514" w:type="dxa"/>
          </w:tcPr>
          <w:p w14:paraId="31973B88"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Chronic obstructive pulmonary disease</w:t>
            </w:r>
          </w:p>
        </w:tc>
      </w:tr>
      <w:tr w:rsidR="00CA0EF0" w:rsidRPr="00361E30" w14:paraId="414B36A6" w14:textId="77777777" w:rsidTr="003C13F4">
        <w:tc>
          <w:tcPr>
            <w:tcW w:w="1728" w:type="dxa"/>
          </w:tcPr>
          <w:p w14:paraId="7D8AE356"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 xml:space="preserve">CQC </w:t>
            </w:r>
          </w:p>
        </w:tc>
        <w:tc>
          <w:tcPr>
            <w:tcW w:w="7514" w:type="dxa"/>
          </w:tcPr>
          <w:p w14:paraId="5440495C"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Care Quality Commission</w:t>
            </w:r>
          </w:p>
        </w:tc>
      </w:tr>
      <w:tr w:rsidR="00CA0EF0" w:rsidRPr="00361E30" w14:paraId="208E83EB" w14:textId="77777777" w:rsidTr="003C13F4">
        <w:tc>
          <w:tcPr>
            <w:tcW w:w="1728" w:type="dxa"/>
          </w:tcPr>
          <w:p w14:paraId="7D7C4B2D"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CT</w:t>
            </w:r>
          </w:p>
        </w:tc>
        <w:tc>
          <w:tcPr>
            <w:tcW w:w="7514" w:type="dxa"/>
          </w:tcPr>
          <w:p w14:paraId="245D0B7D"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Computerised tomography</w:t>
            </w:r>
          </w:p>
        </w:tc>
      </w:tr>
      <w:tr w:rsidR="00CA0EF0" w:rsidRPr="00361E30" w14:paraId="3E8BD4A6" w14:textId="77777777" w:rsidTr="003C13F4">
        <w:tc>
          <w:tcPr>
            <w:tcW w:w="1728" w:type="dxa"/>
          </w:tcPr>
          <w:p w14:paraId="1667891E"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ED</w:t>
            </w:r>
          </w:p>
        </w:tc>
        <w:tc>
          <w:tcPr>
            <w:tcW w:w="7514" w:type="dxa"/>
          </w:tcPr>
          <w:p w14:paraId="1D0406F6"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Emergency department</w:t>
            </w:r>
          </w:p>
        </w:tc>
      </w:tr>
      <w:tr w:rsidR="00CA0EF0" w:rsidRPr="00361E30" w14:paraId="67C7E0D2" w14:textId="77777777" w:rsidTr="003C13F4">
        <w:tc>
          <w:tcPr>
            <w:tcW w:w="1728" w:type="dxa"/>
          </w:tcPr>
          <w:p w14:paraId="1569B082"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EMS</w:t>
            </w:r>
          </w:p>
        </w:tc>
        <w:tc>
          <w:tcPr>
            <w:tcW w:w="7514" w:type="dxa"/>
          </w:tcPr>
          <w:p w14:paraId="12A53AA7"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Emergency Medical Services</w:t>
            </w:r>
          </w:p>
        </w:tc>
      </w:tr>
      <w:tr w:rsidR="00CA0EF0" w:rsidRPr="00361E30" w14:paraId="0156985E" w14:textId="77777777" w:rsidTr="003C13F4">
        <w:tc>
          <w:tcPr>
            <w:tcW w:w="1728" w:type="dxa"/>
          </w:tcPr>
          <w:p w14:paraId="7A08D56B"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FIM</w:t>
            </w:r>
          </w:p>
        </w:tc>
        <w:tc>
          <w:tcPr>
            <w:tcW w:w="7514" w:type="dxa"/>
          </w:tcPr>
          <w:p w14:paraId="3FF050BF"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Functional Independence Measure</w:t>
            </w:r>
          </w:p>
        </w:tc>
      </w:tr>
      <w:tr w:rsidR="00CA0EF0" w:rsidRPr="00361E30" w14:paraId="65188E4E" w14:textId="77777777" w:rsidTr="003C13F4">
        <w:tc>
          <w:tcPr>
            <w:tcW w:w="1728" w:type="dxa"/>
          </w:tcPr>
          <w:p w14:paraId="721FED9E"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GCS</w:t>
            </w:r>
          </w:p>
        </w:tc>
        <w:tc>
          <w:tcPr>
            <w:tcW w:w="7514" w:type="dxa"/>
          </w:tcPr>
          <w:p w14:paraId="4DEBAB54"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Glasgow coma score</w:t>
            </w:r>
          </w:p>
        </w:tc>
      </w:tr>
      <w:tr w:rsidR="00CA0EF0" w:rsidRPr="00361E30" w14:paraId="3D7BBD9D" w14:textId="77777777" w:rsidTr="003C13F4">
        <w:tc>
          <w:tcPr>
            <w:tcW w:w="1728" w:type="dxa"/>
          </w:tcPr>
          <w:p w14:paraId="7A18298A"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GOS</w:t>
            </w:r>
          </w:p>
        </w:tc>
        <w:tc>
          <w:tcPr>
            <w:tcW w:w="7514" w:type="dxa"/>
          </w:tcPr>
          <w:p w14:paraId="0BFE7FDB"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Glasgow outcome score</w:t>
            </w:r>
          </w:p>
        </w:tc>
      </w:tr>
      <w:tr w:rsidR="00CA0EF0" w:rsidRPr="00361E30" w14:paraId="4623C62C" w14:textId="77777777" w:rsidTr="003C13F4">
        <w:tc>
          <w:tcPr>
            <w:tcW w:w="1728" w:type="dxa"/>
          </w:tcPr>
          <w:p w14:paraId="4F260DB2"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HEMS</w:t>
            </w:r>
          </w:p>
        </w:tc>
        <w:tc>
          <w:tcPr>
            <w:tcW w:w="7514" w:type="dxa"/>
          </w:tcPr>
          <w:p w14:paraId="01E84175"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Helicopter Emergency Medical Service</w:t>
            </w:r>
          </w:p>
        </w:tc>
      </w:tr>
      <w:tr w:rsidR="00CA0EF0" w:rsidRPr="00361E30" w14:paraId="18E565E8" w14:textId="77777777" w:rsidTr="003C13F4">
        <w:tc>
          <w:tcPr>
            <w:tcW w:w="1728" w:type="dxa"/>
          </w:tcPr>
          <w:p w14:paraId="65766751"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HES</w:t>
            </w:r>
          </w:p>
        </w:tc>
        <w:tc>
          <w:tcPr>
            <w:tcW w:w="7514" w:type="dxa"/>
          </w:tcPr>
          <w:p w14:paraId="0A667D66"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Hospital episode statistics</w:t>
            </w:r>
          </w:p>
        </w:tc>
      </w:tr>
      <w:tr w:rsidR="00CA0EF0" w:rsidRPr="00361E30" w14:paraId="29900846" w14:textId="77777777" w:rsidTr="003C13F4">
        <w:tc>
          <w:tcPr>
            <w:tcW w:w="1728" w:type="dxa"/>
          </w:tcPr>
          <w:p w14:paraId="3383436F"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HRA</w:t>
            </w:r>
          </w:p>
        </w:tc>
        <w:tc>
          <w:tcPr>
            <w:tcW w:w="7514" w:type="dxa"/>
          </w:tcPr>
          <w:p w14:paraId="4DBEBE1C"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Health Research Authority</w:t>
            </w:r>
          </w:p>
        </w:tc>
      </w:tr>
      <w:tr w:rsidR="00CA0EF0" w:rsidRPr="00361E30" w14:paraId="03C8334E" w14:textId="77777777" w:rsidTr="003C13F4">
        <w:tc>
          <w:tcPr>
            <w:tcW w:w="1728" w:type="dxa"/>
          </w:tcPr>
          <w:p w14:paraId="159A1F94"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ICU</w:t>
            </w:r>
          </w:p>
        </w:tc>
        <w:tc>
          <w:tcPr>
            <w:tcW w:w="7514" w:type="dxa"/>
          </w:tcPr>
          <w:p w14:paraId="54BA2271"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Intensive Care Unit</w:t>
            </w:r>
          </w:p>
        </w:tc>
      </w:tr>
      <w:tr w:rsidR="00CA0EF0" w:rsidRPr="00361E30" w14:paraId="088CA676" w14:textId="77777777" w:rsidTr="003C13F4">
        <w:tc>
          <w:tcPr>
            <w:tcW w:w="1728" w:type="dxa"/>
          </w:tcPr>
          <w:p w14:paraId="3264DA2E"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IQR</w:t>
            </w:r>
          </w:p>
        </w:tc>
        <w:tc>
          <w:tcPr>
            <w:tcW w:w="7514" w:type="dxa"/>
          </w:tcPr>
          <w:p w14:paraId="6212DBF1"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Interquartile range</w:t>
            </w:r>
          </w:p>
        </w:tc>
      </w:tr>
      <w:tr w:rsidR="00CA0EF0" w:rsidRPr="00361E30" w14:paraId="41EC1256" w14:textId="77777777" w:rsidTr="003C13F4">
        <w:tc>
          <w:tcPr>
            <w:tcW w:w="1728" w:type="dxa"/>
          </w:tcPr>
          <w:p w14:paraId="16DAC4A7"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IRAS</w:t>
            </w:r>
          </w:p>
        </w:tc>
        <w:tc>
          <w:tcPr>
            <w:tcW w:w="7514" w:type="dxa"/>
          </w:tcPr>
          <w:p w14:paraId="61B6EE97"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Integrated research application system</w:t>
            </w:r>
          </w:p>
        </w:tc>
      </w:tr>
      <w:tr w:rsidR="00CA0EF0" w:rsidRPr="00361E30" w14:paraId="7762AA1E" w14:textId="77777777" w:rsidTr="003C13F4">
        <w:tc>
          <w:tcPr>
            <w:tcW w:w="1728" w:type="dxa"/>
          </w:tcPr>
          <w:p w14:paraId="18885445"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ISS</w:t>
            </w:r>
          </w:p>
        </w:tc>
        <w:tc>
          <w:tcPr>
            <w:tcW w:w="7514" w:type="dxa"/>
          </w:tcPr>
          <w:p w14:paraId="4115AB8A"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Injury Severity Score</w:t>
            </w:r>
          </w:p>
        </w:tc>
      </w:tr>
      <w:tr w:rsidR="00CA0EF0" w:rsidRPr="00361E30" w14:paraId="134D2EFC" w14:textId="77777777" w:rsidTr="003C13F4">
        <w:tc>
          <w:tcPr>
            <w:tcW w:w="1728" w:type="dxa"/>
          </w:tcPr>
          <w:p w14:paraId="1F252AB3"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mCCI</w:t>
            </w:r>
          </w:p>
        </w:tc>
        <w:tc>
          <w:tcPr>
            <w:tcW w:w="7514" w:type="dxa"/>
          </w:tcPr>
          <w:p w14:paraId="6FE3DAC8"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Modified Charlson comorbidity index (see also CCI)</w:t>
            </w:r>
          </w:p>
        </w:tc>
      </w:tr>
      <w:tr w:rsidR="00CA0EF0" w:rsidRPr="00361E30" w14:paraId="357100D5" w14:textId="77777777" w:rsidTr="003C13F4">
        <w:tc>
          <w:tcPr>
            <w:tcW w:w="1728" w:type="dxa"/>
          </w:tcPr>
          <w:p w14:paraId="131024A2"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MDT</w:t>
            </w:r>
          </w:p>
        </w:tc>
        <w:tc>
          <w:tcPr>
            <w:tcW w:w="7514" w:type="dxa"/>
          </w:tcPr>
          <w:p w14:paraId="6D5A1F55"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Multidisciplinary team</w:t>
            </w:r>
          </w:p>
        </w:tc>
      </w:tr>
      <w:tr w:rsidR="00CA0EF0" w:rsidRPr="00361E30" w14:paraId="46032FEE" w14:textId="77777777" w:rsidTr="003C13F4">
        <w:tc>
          <w:tcPr>
            <w:tcW w:w="1728" w:type="dxa"/>
          </w:tcPr>
          <w:p w14:paraId="4B39B615"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MTC</w:t>
            </w:r>
          </w:p>
        </w:tc>
        <w:tc>
          <w:tcPr>
            <w:tcW w:w="7514" w:type="dxa"/>
          </w:tcPr>
          <w:p w14:paraId="000B2125"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Major Trauma Centre</w:t>
            </w:r>
          </w:p>
        </w:tc>
      </w:tr>
      <w:tr w:rsidR="00CA0EF0" w:rsidRPr="00361E30" w14:paraId="14170737" w14:textId="77777777" w:rsidTr="003C13F4">
        <w:tc>
          <w:tcPr>
            <w:tcW w:w="1728" w:type="dxa"/>
          </w:tcPr>
          <w:p w14:paraId="03528CBE"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MTOS</w:t>
            </w:r>
          </w:p>
        </w:tc>
        <w:tc>
          <w:tcPr>
            <w:tcW w:w="7514" w:type="dxa"/>
          </w:tcPr>
          <w:p w14:paraId="10EDF685"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Major Outcome Trauma Study</w:t>
            </w:r>
          </w:p>
        </w:tc>
      </w:tr>
      <w:tr w:rsidR="00CA0EF0" w:rsidRPr="00361E30" w14:paraId="0FBBD313" w14:textId="77777777" w:rsidTr="003C13F4">
        <w:tc>
          <w:tcPr>
            <w:tcW w:w="1728" w:type="dxa"/>
          </w:tcPr>
          <w:p w14:paraId="527C8A9E"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NHFD</w:t>
            </w:r>
          </w:p>
        </w:tc>
        <w:tc>
          <w:tcPr>
            <w:tcW w:w="7514" w:type="dxa"/>
          </w:tcPr>
          <w:p w14:paraId="0EDEADBD"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National Hip Fracture Database</w:t>
            </w:r>
          </w:p>
        </w:tc>
      </w:tr>
      <w:tr w:rsidR="00CA0EF0" w:rsidRPr="00361E30" w14:paraId="66067EA3" w14:textId="77777777" w:rsidTr="003C13F4">
        <w:tc>
          <w:tcPr>
            <w:tcW w:w="1728" w:type="dxa"/>
          </w:tcPr>
          <w:p w14:paraId="339D4836"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NHS</w:t>
            </w:r>
          </w:p>
        </w:tc>
        <w:tc>
          <w:tcPr>
            <w:tcW w:w="7514" w:type="dxa"/>
          </w:tcPr>
          <w:p w14:paraId="33E7FDF5"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National Health Service (of the United Kingdom)</w:t>
            </w:r>
          </w:p>
        </w:tc>
      </w:tr>
      <w:tr w:rsidR="00CA0EF0" w:rsidRPr="00361E30" w14:paraId="439A69CC" w14:textId="77777777" w:rsidTr="003C13F4">
        <w:tc>
          <w:tcPr>
            <w:tcW w:w="1728" w:type="dxa"/>
          </w:tcPr>
          <w:p w14:paraId="22351CDE"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NICE</w:t>
            </w:r>
          </w:p>
        </w:tc>
        <w:tc>
          <w:tcPr>
            <w:tcW w:w="7514" w:type="dxa"/>
          </w:tcPr>
          <w:p w14:paraId="6AA12878"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National Institute for Clinical Excellence</w:t>
            </w:r>
          </w:p>
        </w:tc>
      </w:tr>
      <w:tr w:rsidR="00CA0EF0" w:rsidRPr="00361E30" w14:paraId="17DC783A" w14:textId="77777777" w:rsidTr="003C13F4">
        <w:tc>
          <w:tcPr>
            <w:tcW w:w="1728" w:type="dxa"/>
          </w:tcPr>
          <w:p w14:paraId="15D987A9"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NISS</w:t>
            </w:r>
          </w:p>
        </w:tc>
        <w:tc>
          <w:tcPr>
            <w:tcW w:w="7514" w:type="dxa"/>
          </w:tcPr>
          <w:p w14:paraId="55361BFC"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New Injury Severity Score</w:t>
            </w:r>
          </w:p>
        </w:tc>
      </w:tr>
      <w:tr w:rsidR="00CA0EF0" w:rsidRPr="00361E30" w14:paraId="04DB31A6" w14:textId="77777777" w:rsidTr="003C13F4">
        <w:tc>
          <w:tcPr>
            <w:tcW w:w="1728" w:type="dxa"/>
          </w:tcPr>
          <w:p w14:paraId="7FFD0F33"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ONS</w:t>
            </w:r>
          </w:p>
        </w:tc>
        <w:tc>
          <w:tcPr>
            <w:tcW w:w="7514" w:type="dxa"/>
          </w:tcPr>
          <w:p w14:paraId="2A3D1855"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Office of National Statistics</w:t>
            </w:r>
          </w:p>
        </w:tc>
      </w:tr>
      <w:tr w:rsidR="00CA0EF0" w:rsidRPr="00361E30" w14:paraId="45F3F685" w14:textId="77777777" w:rsidTr="003C13F4">
        <w:tc>
          <w:tcPr>
            <w:tcW w:w="1728" w:type="dxa"/>
          </w:tcPr>
          <w:p w14:paraId="680C6CB1"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OT</w:t>
            </w:r>
          </w:p>
        </w:tc>
        <w:tc>
          <w:tcPr>
            <w:tcW w:w="7514" w:type="dxa"/>
          </w:tcPr>
          <w:p w14:paraId="3FB2B5C4"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Occupational therapy</w:t>
            </w:r>
          </w:p>
        </w:tc>
      </w:tr>
      <w:tr w:rsidR="00CA0EF0" w:rsidRPr="00361E30" w14:paraId="4F57FC49" w14:textId="77777777" w:rsidTr="003C13F4">
        <w:tc>
          <w:tcPr>
            <w:tcW w:w="1728" w:type="dxa"/>
          </w:tcPr>
          <w:p w14:paraId="3B452FBF"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PICO</w:t>
            </w:r>
          </w:p>
        </w:tc>
        <w:tc>
          <w:tcPr>
            <w:tcW w:w="7514" w:type="dxa"/>
          </w:tcPr>
          <w:p w14:paraId="68458DA6"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Population, Intervention, Comparator and Outcome – a method of structuring research questions, particularly for the purposes of reviewing the literature</w:t>
            </w:r>
          </w:p>
        </w:tc>
      </w:tr>
      <w:tr w:rsidR="00CA0EF0" w:rsidRPr="00361E30" w14:paraId="4EB71C22" w14:textId="77777777" w:rsidTr="003C13F4">
        <w:tc>
          <w:tcPr>
            <w:tcW w:w="1728" w:type="dxa"/>
          </w:tcPr>
          <w:p w14:paraId="7D765455"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PS</w:t>
            </w:r>
          </w:p>
        </w:tc>
        <w:tc>
          <w:tcPr>
            <w:tcW w:w="7514" w:type="dxa"/>
          </w:tcPr>
          <w:p w14:paraId="3F8E3C96"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Probability of Survival</w:t>
            </w:r>
          </w:p>
        </w:tc>
      </w:tr>
      <w:tr w:rsidR="00CA0EF0" w:rsidRPr="00361E30" w14:paraId="5A60B9E7" w14:textId="77777777" w:rsidTr="003C13F4">
        <w:tc>
          <w:tcPr>
            <w:tcW w:w="1728" w:type="dxa"/>
          </w:tcPr>
          <w:p w14:paraId="61BF35CB"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PSR</w:t>
            </w:r>
          </w:p>
        </w:tc>
        <w:tc>
          <w:tcPr>
            <w:tcW w:w="7514" w:type="dxa"/>
          </w:tcPr>
          <w:p w14:paraId="7F7F86BB"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Potential Support Ratio</w:t>
            </w:r>
          </w:p>
        </w:tc>
      </w:tr>
      <w:tr w:rsidR="00CA0EF0" w:rsidRPr="00361E30" w14:paraId="419937E6" w14:textId="77777777" w:rsidTr="003C13F4">
        <w:tc>
          <w:tcPr>
            <w:tcW w:w="1728" w:type="dxa"/>
          </w:tcPr>
          <w:p w14:paraId="4BC8CA6E"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QRA</w:t>
            </w:r>
          </w:p>
        </w:tc>
        <w:tc>
          <w:tcPr>
            <w:tcW w:w="7514" w:type="dxa"/>
          </w:tcPr>
          <w:p w14:paraId="710AACEF"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Qualitative residual analysis</w:t>
            </w:r>
          </w:p>
        </w:tc>
      </w:tr>
      <w:tr w:rsidR="00CA0EF0" w:rsidRPr="00361E30" w14:paraId="7F544572" w14:textId="77777777" w:rsidTr="003C13F4">
        <w:tc>
          <w:tcPr>
            <w:tcW w:w="1728" w:type="dxa"/>
          </w:tcPr>
          <w:p w14:paraId="2E023BC3"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lastRenderedPageBreak/>
              <w:t>REC</w:t>
            </w:r>
          </w:p>
        </w:tc>
        <w:tc>
          <w:tcPr>
            <w:tcW w:w="7514" w:type="dxa"/>
          </w:tcPr>
          <w:p w14:paraId="26BB6D13"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Research ethics committee</w:t>
            </w:r>
          </w:p>
        </w:tc>
      </w:tr>
      <w:tr w:rsidR="00CA0EF0" w:rsidRPr="00361E30" w14:paraId="6E949504" w14:textId="77777777" w:rsidTr="003C13F4">
        <w:tc>
          <w:tcPr>
            <w:tcW w:w="1728" w:type="dxa"/>
          </w:tcPr>
          <w:p w14:paraId="5EF9148F"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RR</w:t>
            </w:r>
          </w:p>
        </w:tc>
        <w:tc>
          <w:tcPr>
            <w:tcW w:w="7514" w:type="dxa"/>
          </w:tcPr>
          <w:p w14:paraId="14968C64"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Respiratory rate</w:t>
            </w:r>
          </w:p>
        </w:tc>
      </w:tr>
      <w:tr w:rsidR="00CA0EF0" w:rsidRPr="00361E30" w14:paraId="04C44F70" w14:textId="77777777" w:rsidTr="003C13F4">
        <w:tc>
          <w:tcPr>
            <w:tcW w:w="1728" w:type="dxa"/>
          </w:tcPr>
          <w:p w14:paraId="5525BF9A"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RTS</w:t>
            </w:r>
          </w:p>
        </w:tc>
        <w:tc>
          <w:tcPr>
            <w:tcW w:w="7514" w:type="dxa"/>
          </w:tcPr>
          <w:p w14:paraId="2434483F"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Revised Trauma Score</w:t>
            </w:r>
          </w:p>
        </w:tc>
      </w:tr>
      <w:tr w:rsidR="00CA0EF0" w:rsidRPr="00361E30" w14:paraId="1D8B39E2" w14:textId="77777777" w:rsidTr="003C13F4">
        <w:tc>
          <w:tcPr>
            <w:tcW w:w="1728" w:type="dxa"/>
          </w:tcPr>
          <w:p w14:paraId="7A283827"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SALT</w:t>
            </w:r>
          </w:p>
        </w:tc>
        <w:tc>
          <w:tcPr>
            <w:tcW w:w="7514" w:type="dxa"/>
          </w:tcPr>
          <w:p w14:paraId="73FF2068"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Speech and language therapy</w:t>
            </w:r>
          </w:p>
        </w:tc>
      </w:tr>
      <w:tr w:rsidR="00CA0EF0" w:rsidRPr="00361E30" w14:paraId="148CDDF6" w14:textId="77777777" w:rsidTr="003C13F4">
        <w:tc>
          <w:tcPr>
            <w:tcW w:w="1728" w:type="dxa"/>
          </w:tcPr>
          <w:p w14:paraId="01384F93"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SBP</w:t>
            </w:r>
          </w:p>
        </w:tc>
        <w:tc>
          <w:tcPr>
            <w:tcW w:w="7514" w:type="dxa"/>
          </w:tcPr>
          <w:p w14:paraId="68515DEB"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Systolic blood pressure</w:t>
            </w:r>
          </w:p>
        </w:tc>
      </w:tr>
      <w:tr w:rsidR="00CA0EF0" w:rsidRPr="00361E30" w14:paraId="36E6A211" w14:textId="77777777" w:rsidTr="003C13F4">
        <w:tc>
          <w:tcPr>
            <w:tcW w:w="1728" w:type="dxa"/>
          </w:tcPr>
          <w:p w14:paraId="7B2BE049"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SECF</w:t>
            </w:r>
          </w:p>
        </w:tc>
        <w:tc>
          <w:tcPr>
            <w:tcW w:w="7514" w:type="dxa"/>
          </w:tcPr>
          <w:p w14:paraId="5D483A04"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Sheffield Emergency Care Forum</w:t>
            </w:r>
          </w:p>
        </w:tc>
      </w:tr>
      <w:tr w:rsidR="00CA0EF0" w:rsidRPr="00361E30" w14:paraId="7A4B5B9F" w14:textId="77777777" w:rsidTr="003C13F4">
        <w:tc>
          <w:tcPr>
            <w:tcW w:w="1728" w:type="dxa"/>
          </w:tcPr>
          <w:p w14:paraId="48E42E42"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STROBE</w:t>
            </w:r>
          </w:p>
        </w:tc>
        <w:tc>
          <w:tcPr>
            <w:tcW w:w="7514" w:type="dxa"/>
          </w:tcPr>
          <w:p w14:paraId="74CF69C6"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 xml:space="preserve">STrengthening the Reporting of OBservational studies in Epidemiology </w:t>
            </w:r>
          </w:p>
          <w:p w14:paraId="5419BBED"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(Guidelines for reporting observational studies)</w:t>
            </w:r>
          </w:p>
        </w:tc>
      </w:tr>
      <w:tr w:rsidR="00CA0EF0" w:rsidRPr="00361E30" w14:paraId="3E0463C6" w14:textId="77777777" w:rsidTr="003C13F4">
        <w:tc>
          <w:tcPr>
            <w:tcW w:w="1728" w:type="dxa"/>
          </w:tcPr>
          <w:p w14:paraId="3806CB83"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TARN</w:t>
            </w:r>
          </w:p>
        </w:tc>
        <w:tc>
          <w:tcPr>
            <w:tcW w:w="7514" w:type="dxa"/>
          </w:tcPr>
          <w:p w14:paraId="77BA3807"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Trauma Audit and Research Network</w:t>
            </w:r>
          </w:p>
        </w:tc>
      </w:tr>
      <w:tr w:rsidR="00CA0EF0" w:rsidRPr="00361E30" w14:paraId="2A122C7A" w14:textId="77777777" w:rsidTr="003C13F4">
        <w:tc>
          <w:tcPr>
            <w:tcW w:w="1728" w:type="dxa"/>
          </w:tcPr>
          <w:p w14:paraId="497466E4"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TBI</w:t>
            </w:r>
          </w:p>
        </w:tc>
        <w:tc>
          <w:tcPr>
            <w:tcW w:w="7514" w:type="dxa"/>
          </w:tcPr>
          <w:p w14:paraId="119C0901"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Traumatic brain injury</w:t>
            </w:r>
          </w:p>
        </w:tc>
      </w:tr>
      <w:tr w:rsidR="00CA0EF0" w:rsidRPr="00361E30" w14:paraId="2815D2B4" w14:textId="77777777" w:rsidTr="003C13F4">
        <w:tc>
          <w:tcPr>
            <w:tcW w:w="1728" w:type="dxa"/>
          </w:tcPr>
          <w:p w14:paraId="1641183E"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TRISS</w:t>
            </w:r>
          </w:p>
        </w:tc>
        <w:tc>
          <w:tcPr>
            <w:tcW w:w="7514" w:type="dxa"/>
          </w:tcPr>
          <w:p w14:paraId="5A4BC6C8"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TRISS – a system for assessing trauma severity using the ISS and RTS</w:t>
            </w:r>
          </w:p>
        </w:tc>
      </w:tr>
      <w:tr w:rsidR="00CA0EF0" w:rsidRPr="00361E30" w14:paraId="5B1A575A" w14:textId="77777777" w:rsidTr="003C13F4">
        <w:tc>
          <w:tcPr>
            <w:tcW w:w="1728" w:type="dxa"/>
          </w:tcPr>
          <w:p w14:paraId="68411A61" w14:textId="77777777" w:rsidR="00CA0EF0" w:rsidRPr="00361E30" w:rsidRDefault="00CA0EF0" w:rsidP="003C13F4">
            <w:pPr>
              <w:jc w:val="left"/>
              <w:rPr>
                <w:rFonts w:cstheme="minorHAnsi"/>
                <w:b/>
                <w:sz w:val="20"/>
                <w:szCs w:val="20"/>
                <w:lang w:val="en-GB"/>
              </w:rPr>
            </w:pPr>
            <w:r w:rsidRPr="00361E30">
              <w:rPr>
                <w:rFonts w:cstheme="minorHAnsi"/>
                <w:b/>
                <w:sz w:val="20"/>
                <w:szCs w:val="20"/>
                <w:lang w:val="en-GB"/>
              </w:rPr>
              <w:t xml:space="preserve">TU </w:t>
            </w:r>
          </w:p>
        </w:tc>
        <w:tc>
          <w:tcPr>
            <w:tcW w:w="7514" w:type="dxa"/>
          </w:tcPr>
          <w:p w14:paraId="249DF706" w14:textId="77777777" w:rsidR="00CA0EF0" w:rsidRPr="00361E30" w:rsidRDefault="00CA0EF0" w:rsidP="003C13F4">
            <w:pPr>
              <w:jc w:val="left"/>
              <w:rPr>
                <w:rFonts w:cstheme="minorHAnsi"/>
                <w:sz w:val="20"/>
                <w:szCs w:val="20"/>
                <w:lang w:val="en-GB"/>
              </w:rPr>
            </w:pPr>
            <w:r w:rsidRPr="00361E30">
              <w:rPr>
                <w:rFonts w:cstheme="minorHAnsi"/>
                <w:sz w:val="20"/>
                <w:szCs w:val="20"/>
                <w:lang w:val="en-GB"/>
              </w:rPr>
              <w:t>Trauma Unit</w:t>
            </w:r>
          </w:p>
        </w:tc>
      </w:tr>
    </w:tbl>
    <w:p w14:paraId="1C95FE0D" w14:textId="77777777" w:rsidR="00CA0EF0" w:rsidRPr="00361E30" w:rsidRDefault="00CA0EF0" w:rsidP="003C13F4"/>
    <w:p w14:paraId="413FF0D8" w14:textId="77777777" w:rsidR="00CA0EF0" w:rsidRPr="00361E30" w:rsidRDefault="00CA0EF0">
      <w:pPr>
        <w:spacing w:line="276" w:lineRule="auto"/>
        <w:jc w:val="left"/>
        <w:rPr>
          <w:rFonts w:eastAsiaTheme="majorEastAsia" w:cstheme="majorBidi"/>
          <w:b/>
          <w:color w:val="4F81BD" w:themeColor="accent1"/>
          <w:szCs w:val="26"/>
        </w:rPr>
      </w:pPr>
      <w:r w:rsidRPr="00361E30">
        <w:br w:type="page"/>
      </w:r>
    </w:p>
    <w:p w14:paraId="4D076A2E" w14:textId="77777777" w:rsidR="00CA0EF0" w:rsidRPr="00361E30" w:rsidRDefault="00CA0EF0" w:rsidP="003C13F4">
      <w:pPr>
        <w:pStyle w:val="Heading2"/>
      </w:pPr>
      <w:bookmarkStart w:id="2" w:name="_Toc1902194"/>
      <w:r w:rsidRPr="00361E30">
        <w:lastRenderedPageBreak/>
        <w:t>List of Tables</w:t>
      </w:r>
      <w:bookmarkEnd w:id="2"/>
    </w:p>
    <w:p w14:paraId="30814D24"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bCs w:val="0"/>
        </w:rPr>
        <w:fldChar w:fldCharType="begin"/>
      </w:r>
      <w:r w:rsidRPr="00361E30">
        <w:rPr>
          <w:bCs w:val="0"/>
        </w:rPr>
        <w:instrText xml:space="preserve"> TOC \t "Table Title" \c </w:instrText>
      </w:r>
      <w:r w:rsidRPr="00361E30">
        <w:rPr>
          <w:bCs w:val="0"/>
        </w:rPr>
        <w:fldChar w:fldCharType="separate"/>
      </w:r>
      <w:r w:rsidRPr="00361E30">
        <w:rPr>
          <w:noProof/>
        </w:rPr>
        <w:t>Table 2.1: Studies and risk factors included in the review.</w:t>
      </w:r>
      <w:r w:rsidRPr="00361E30">
        <w:rPr>
          <w:noProof/>
        </w:rPr>
        <w:tab/>
      </w:r>
      <w:r w:rsidRPr="00361E30">
        <w:rPr>
          <w:noProof/>
        </w:rPr>
        <w:fldChar w:fldCharType="begin"/>
      </w:r>
      <w:r w:rsidRPr="00361E30">
        <w:rPr>
          <w:noProof/>
        </w:rPr>
        <w:instrText xml:space="preserve"> PAGEREF _Toc528321036 \h </w:instrText>
      </w:r>
      <w:r w:rsidRPr="00361E30">
        <w:rPr>
          <w:noProof/>
        </w:rPr>
      </w:r>
      <w:r w:rsidRPr="00361E30">
        <w:rPr>
          <w:noProof/>
        </w:rPr>
        <w:fldChar w:fldCharType="separate"/>
      </w:r>
      <w:r w:rsidR="00AC21CF">
        <w:rPr>
          <w:noProof/>
        </w:rPr>
        <w:t>25</w:t>
      </w:r>
      <w:r w:rsidRPr="00361E30">
        <w:rPr>
          <w:noProof/>
        </w:rPr>
        <w:fldChar w:fldCharType="end"/>
      </w:r>
    </w:p>
    <w:p w14:paraId="6B791D2A"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2.2: A summary of the relationship between age and risk-adjusted mortality.</w:t>
      </w:r>
      <w:r w:rsidRPr="00361E30">
        <w:rPr>
          <w:noProof/>
        </w:rPr>
        <w:tab/>
      </w:r>
      <w:r w:rsidRPr="00361E30">
        <w:rPr>
          <w:noProof/>
        </w:rPr>
        <w:fldChar w:fldCharType="begin"/>
      </w:r>
      <w:r w:rsidRPr="00361E30">
        <w:rPr>
          <w:noProof/>
        </w:rPr>
        <w:instrText xml:space="preserve"> PAGEREF _Toc528321037 \h </w:instrText>
      </w:r>
      <w:r w:rsidRPr="00361E30">
        <w:rPr>
          <w:noProof/>
        </w:rPr>
      </w:r>
      <w:r w:rsidRPr="00361E30">
        <w:rPr>
          <w:noProof/>
        </w:rPr>
        <w:fldChar w:fldCharType="separate"/>
      </w:r>
      <w:r w:rsidR="00AC21CF">
        <w:rPr>
          <w:noProof/>
        </w:rPr>
        <w:t>26</w:t>
      </w:r>
      <w:r w:rsidRPr="00361E30">
        <w:rPr>
          <w:noProof/>
        </w:rPr>
        <w:fldChar w:fldCharType="end"/>
      </w:r>
    </w:p>
    <w:p w14:paraId="2060D237"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2.3: Summary of studies investigating process factors and mortality</w:t>
      </w:r>
      <w:r w:rsidRPr="00361E30">
        <w:rPr>
          <w:noProof/>
        </w:rPr>
        <w:tab/>
      </w:r>
      <w:r w:rsidRPr="00361E30">
        <w:rPr>
          <w:noProof/>
        </w:rPr>
        <w:fldChar w:fldCharType="begin"/>
      </w:r>
      <w:r w:rsidRPr="00361E30">
        <w:rPr>
          <w:noProof/>
        </w:rPr>
        <w:instrText xml:space="preserve"> PAGEREF _Toc528321038 \h </w:instrText>
      </w:r>
      <w:r w:rsidRPr="00361E30">
        <w:rPr>
          <w:noProof/>
        </w:rPr>
      </w:r>
      <w:r w:rsidRPr="00361E30">
        <w:rPr>
          <w:noProof/>
        </w:rPr>
        <w:fldChar w:fldCharType="separate"/>
      </w:r>
      <w:r w:rsidR="00AC21CF">
        <w:rPr>
          <w:noProof/>
        </w:rPr>
        <w:t>33</w:t>
      </w:r>
      <w:r w:rsidRPr="00361E30">
        <w:rPr>
          <w:noProof/>
        </w:rPr>
        <w:fldChar w:fldCharType="end"/>
      </w:r>
    </w:p>
    <w:p w14:paraId="3D6D487F"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2.4: Summary of studies comparing trauma care in older and younger patients</w:t>
      </w:r>
      <w:r w:rsidRPr="00361E30">
        <w:rPr>
          <w:noProof/>
        </w:rPr>
        <w:tab/>
      </w:r>
      <w:r w:rsidRPr="00361E30">
        <w:rPr>
          <w:noProof/>
        </w:rPr>
        <w:fldChar w:fldCharType="begin"/>
      </w:r>
      <w:r w:rsidRPr="00361E30">
        <w:rPr>
          <w:noProof/>
        </w:rPr>
        <w:instrText xml:space="preserve"> PAGEREF _Toc528321039 \h </w:instrText>
      </w:r>
      <w:r w:rsidRPr="00361E30">
        <w:rPr>
          <w:noProof/>
        </w:rPr>
      </w:r>
      <w:r w:rsidRPr="00361E30">
        <w:rPr>
          <w:noProof/>
        </w:rPr>
        <w:fldChar w:fldCharType="separate"/>
      </w:r>
      <w:r w:rsidR="00AC21CF">
        <w:rPr>
          <w:noProof/>
        </w:rPr>
        <w:t>36</w:t>
      </w:r>
      <w:r w:rsidRPr="00361E30">
        <w:rPr>
          <w:noProof/>
        </w:rPr>
        <w:fldChar w:fldCharType="end"/>
      </w:r>
    </w:p>
    <w:p w14:paraId="2482F2AD"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3.1: Patient characteristics tested in the multivariate model</w:t>
      </w:r>
      <w:r w:rsidRPr="00361E30">
        <w:rPr>
          <w:noProof/>
        </w:rPr>
        <w:tab/>
      </w:r>
      <w:r w:rsidRPr="00361E30">
        <w:rPr>
          <w:noProof/>
        </w:rPr>
        <w:fldChar w:fldCharType="begin"/>
      </w:r>
      <w:r w:rsidRPr="00361E30">
        <w:rPr>
          <w:noProof/>
        </w:rPr>
        <w:instrText xml:space="preserve"> PAGEREF _Toc528321040 \h </w:instrText>
      </w:r>
      <w:r w:rsidRPr="00361E30">
        <w:rPr>
          <w:noProof/>
        </w:rPr>
      </w:r>
      <w:r w:rsidRPr="00361E30">
        <w:rPr>
          <w:noProof/>
        </w:rPr>
        <w:fldChar w:fldCharType="separate"/>
      </w:r>
      <w:r w:rsidR="00AC21CF">
        <w:rPr>
          <w:noProof/>
        </w:rPr>
        <w:t>52</w:t>
      </w:r>
      <w:r w:rsidRPr="00361E30">
        <w:rPr>
          <w:noProof/>
        </w:rPr>
        <w:fldChar w:fldCharType="end"/>
      </w:r>
    </w:p>
    <w:p w14:paraId="4EA495B6"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3.2: Care process factors tested in the multivariate model (Phase1, Step 2)</w:t>
      </w:r>
      <w:r w:rsidRPr="00361E30">
        <w:rPr>
          <w:noProof/>
        </w:rPr>
        <w:tab/>
      </w:r>
      <w:r w:rsidRPr="00361E30">
        <w:rPr>
          <w:noProof/>
        </w:rPr>
        <w:fldChar w:fldCharType="begin"/>
      </w:r>
      <w:r w:rsidRPr="00361E30">
        <w:rPr>
          <w:noProof/>
        </w:rPr>
        <w:instrText xml:space="preserve"> PAGEREF _Toc528321041 \h </w:instrText>
      </w:r>
      <w:r w:rsidRPr="00361E30">
        <w:rPr>
          <w:noProof/>
        </w:rPr>
      </w:r>
      <w:r w:rsidRPr="00361E30">
        <w:rPr>
          <w:noProof/>
        </w:rPr>
        <w:fldChar w:fldCharType="separate"/>
      </w:r>
      <w:r w:rsidR="00AC21CF">
        <w:rPr>
          <w:noProof/>
        </w:rPr>
        <w:t>56</w:t>
      </w:r>
      <w:r w:rsidRPr="00361E30">
        <w:rPr>
          <w:noProof/>
        </w:rPr>
        <w:fldChar w:fldCharType="end"/>
      </w:r>
    </w:p>
    <w:p w14:paraId="1B10502B"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3.3: Variables tested in the model during Phase 3 of the study</w:t>
      </w:r>
      <w:r w:rsidRPr="00361E30">
        <w:rPr>
          <w:noProof/>
        </w:rPr>
        <w:tab/>
      </w:r>
      <w:r w:rsidRPr="00361E30">
        <w:rPr>
          <w:noProof/>
        </w:rPr>
        <w:fldChar w:fldCharType="begin"/>
      </w:r>
      <w:r w:rsidRPr="00361E30">
        <w:rPr>
          <w:noProof/>
        </w:rPr>
        <w:instrText xml:space="preserve"> PAGEREF _Toc528321042 \h </w:instrText>
      </w:r>
      <w:r w:rsidRPr="00361E30">
        <w:rPr>
          <w:noProof/>
        </w:rPr>
      </w:r>
      <w:r w:rsidRPr="00361E30">
        <w:rPr>
          <w:noProof/>
        </w:rPr>
        <w:fldChar w:fldCharType="separate"/>
      </w:r>
      <w:r w:rsidR="00AC21CF">
        <w:rPr>
          <w:noProof/>
        </w:rPr>
        <w:t>69</w:t>
      </w:r>
      <w:r w:rsidRPr="00361E30">
        <w:rPr>
          <w:noProof/>
        </w:rPr>
        <w:fldChar w:fldCharType="end"/>
      </w:r>
    </w:p>
    <w:p w14:paraId="5BE04E6C"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4.1: Data comparing older and younger major trauma patients</w:t>
      </w:r>
      <w:r w:rsidRPr="00361E30">
        <w:rPr>
          <w:noProof/>
        </w:rPr>
        <w:tab/>
      </w:r>
      <w:r w:rsidRPr="00361E30">
        <w:rPr>
          <w:noProof/>
        </w:rPr>
        <w:fldChar w:fldCharType="begin"/>
      </w:r>
      <w:r w:rsidRPr="00361E30">
        <w:rPr>
          <w:noProof/>
        </w:rPr>
        <w:instrText xml:space="preserve"> PAGEREF _Toc528321043 \h </w:instrText>
      </w:r>
      <w:r w:rsidRPr="00361E30">
        <w:rPr>
          <w:noProof/>
        </w:rPr>
      </w:r>
      <w:r w:rsidRPr="00361E30">
        <w:rPr>
          <w:noProof/>
        </w:rPr>
        <w:fldChar w:fldCharType="separate"/>
      </w:r>
      <w:r w:rsidR="00AC21CF">
        <w:rPr>
          <w:noProof/>
        </w:rPr>
        <w:t>78</w:t>
      </w:r>
      <w:r w:rsidRPr="00361E30">
        <w:rPr>
          <w:noProof/>
        </w:rPr>
        <w:fldChar w:fldCharType="end"/>
      </w:r>
    </w:p>
    <w:p w14:paraId="472D660B"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4.2: Older patients with and without known outcomes</w:t>
      </w:r>
      <w:r w:rsidRPr="00361E30">
        <w:rPr>
          <w:noProof/>
        </w:rPr>
        <w:tab/>
      </w:r>
      <w:r w:rsidRPr="00361E30">
        <w:rPr>
          <w:noProof/>
        </w:rPr>
        <w:fldChar w:fldCharType="begin"/>
      </w:r>
      <w:r w:rsidRPr="00361E30">
        <w:rPr>
          <w:noProof/>
        </w:rPr>
        <w:instrText xml:space="preserve"> PAGEREF _Toc528321044 \h </w:instrText>
      </w:r>
      <w:r w:rsidRPr="00361E30">
        <w:rPr>
          <w:noProof/>
        </w:rPr>
      </w:r>
      <w:r w:rsidRPr="00361E30">
        <w:rPr>
          <w:noProof/>
        </w:rPr>
        <w:fldChar w:fldCharType="separate"/>
      </w:r>
      <w:r w:rsidR="00AC21CF">
        <w:rPr>
          <w:noProof/>
        </w:rPr>
        <w:t>82</w:t>
      </w:r>
      <w:r w:rsidRPr="00361E30">
        <w:rPr>
          <w:noProof/>
        </w:rPr>
        <w:fldChar w:fldCharType="end"/>
      </w:r>
    </w:p>
    <w:p w14:paraId="33B0818C"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5.1: Univariate analysis of the association between pre-injury patient characteristics and survival</w:t>
      </w:r>
      <w:r w:rsidRPr="00361E30">
        <w:rPr>
          <w:noProof/>
        </w:rPr>
        <w:tab/>
      </w:r>
      <w:r w:rsidRPr="00361E30">
        <w:rPr>
          <w:noProof/>
        </w:rPr>
        <w:fldChar w:fldCharType="begin"/>
      </w:r>
      <w:r w:rsidRPr="00361E30">
        <w:rPr>
          <w:noProof/>
        </w:rPr>
        <w:instrText xml:space="preserve"> PAGEREF _Toc528321045 \h </w:instrText>
      </w:r>
      <w:r w:rsidRPr="00361E30">
        <w:rPr>
          <w:noProof/>
        </w:rPr>
      </w:r>
      <w:r w:rsidRPr="00361E30">
        <w:rPr>
          <w:noProof/>
        </w:rPr>
        <w:fldChar w:fldCharType="separate"/>
      </w:r>
      <w:r w:rsidR="00AC21CF">
        <w:rPr>
          <w:noProof/>
        </w:rPr>
        <w:t>89</w:t>
      </w:r>
      <w:r w:rsidRPr="00361E30">
        <w:rPr>
          <w:noProof/>
        </w:rPr>
        <w:fldChar w:fldCharType="end"/>
      </w:r>
    </w:p>
    <w:p w14:paraId="1566B1A0"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5.2: Univariate analysis of the association between injury characteristics and 30-day survival</w:t>
      </w:r>
      <w:r w:rsidRPr="00361E30">
        <w:rPr>
          <w:noProof/>
        </w:rPr>
        <w:tab/>
      </w:r>
      <w:r w:rsidRPr="00361E30">
        <w:rPr>
          <w:noProof/>
        </w:rPr>
        <w:fldChar w:fldCharType="begin"/>
      </w:r>
      <w:r w:rsidRPr="00361E30">
        <w:rPr>
          <w:noProof/>
        </w:rPr>
        <w:instrText xml:space="preserve"> PAGEREF _Toc528321046 \h </w:instrText>
      </w:r>
      <w:r w:rsidRPr="00361E30">
        <w:rPr>
          <w:noProof/>
        </w:rPr>
      </w:r>
      <w:r w:rsidRPr="00361E30">
        <w:rPr>
          <w:noProof/>
        </w:rPr>
        <w:fldChar w:fldCharType="separate"/>
      </w:r>
      <w:r w:rsidR="00AC21CF">
        <w:rPr>
          <w:noProof/>
        </w:rPr>
        <w:t>92</w:t>
      </w:r>
      <w:r w:rsidRPr="00361E30">
        <w:rPr>
          <w:noProof/>
        </w:rPr>
        <w:fldChar w:fldCharType="end"/>
      </w:r>
    </w:p>
    <w:p w14:paraId="1FB911D5"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5.3: Univariate analysis of the association between physiological variables and 30-day survival</w:t>
      </w:r>
      <w:r w:rsidRPr="00361E30">
        <w:rPr>
          <w:noProof/>
        </w:rPr>
        <w:tab/>
      </w:r>
      <w:r w:rsidRPr="00361E30">
        <w:rPr>
          <w:noProof/>
        </w:rPr>
        <w:fldChar w:fldCharType="begin"/>
      </w:r>
      <w:r w:rsidRPr="00361E30">
        <w:rPr>
          <w:noProof/>
        </w:rPr>
        <w:instrText xml:space="preserve"> PAGEREF _Toc528321047 \h </w:instrText>
      </w:r>
      <w:r w:rsidRPr="00361E30">
        <w:rPr>
          <w:noProof/>
        </w:rPr>
      </w:r>
      <w:r w:rsidRPr="00361E30">
        <w:rPr>
          <w:noProof/>
        </w:rPr>
        <w:fldChar w:fldCharType="separate"/>
      </w:r>
      <w:r w:rsidR="00AC21CF">
        <w:rPr>
          <w:noProof/>
        </w:rPr>
        <w:t>93</w:t>
      </w:r>
      <w:r w:rsidRPr="00361E30">
        <w:rPr>
          <w:noProof/>
        </w:rPr>
        <w:fldChar w:fldCharType="end"/>
      </w:r>
    </w:p>
    <w:p w14:paraId="19EDCF87"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5.4: Variables tested for univariate association with survival.</w:t>
      </w:r>
      <w:r w:rsidRPr="00361E30">
        <w:rPr>
          <w:noProof/>
        </w:rPr>
        <w:tab/>
      </w:r>
      <w:r w:rsidRPr="00361E30">
        <w:rPr>
          <w:noProof/>
        </w:rPr>
        <w:fldChar w:fldCharType="begin"/>
      </w:r>
      <w:r w:rsidRPr="00361E30">
        <w:rPr>
          <w:noProof/>
        </w:rPr>
        <w:instrText xml:space="preserve"> PAGEREF _Toc528321048 \h </w:instrText>
      </w:r>
      <w:r w:rsidRPr="00361E30">
        <w:rPr>
          <w:noProof/>
        </w:rPr>
      </w:r>
      <w:r w:rsidRPr="00361E30">
        <w:rPr>
          <w:noProof/>
        </w:rPr>
        <w:fldChar w:fldCharType="separate"/>
      </w:r>
      <w:r w:rsidR="00AC21CF">
        <w:rPr>
          <w:noProof/>
        </w:rPr>
        <w:t>94</w:t>
      </w:r>
      <w:r w:rsidRPr="00361E30">
        <w:rPr>
          <w:noProof/>
        </w:rPr>
        <w:fldChar w:fldCharType="end"/>
      </w:r>
    </w:p>
    <w:p w14:paraId="533F3BE5"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5.5: Variance-Covariance Matrix (including all variables in tested in the multivariate analysis.</w:t>
      </w:r>
      <w:r w:rsidRPr="00361E30">
        <w:rPr>
          <w:noProof/>
        </w:rPr>
        <w:tab/>
      </w:r>
      <w:r w:rsidRPr="00361E30">
        <w:rPr>
          <w:noProof/>
        </w:rPr>
        <w:fldChar w:fldCharType="begin"/>
      </w:r>
      <w:r w:rsidRPr="00361E30">
        <w:rPr>
          <w:noProof/>
        </w:rPr>
        <w:instrText xml:space="preserve"> PAGEREF _Toc528321049 \h </w:instrText>
      </w:r>
      <w:r w:rsidRPr="00361E30">
        <w:rPr>
          <w:noProof/>
        </w:rPr>
      </w:r>
      <w:r w:rsidRPr="00361E30">
        <w:rPr>
          <w:noProof/>
        </w:rPr>
        <w:fldChar w:fldCharType="separate"/>
      </w:r>
      <w:r w:rsidR="00AC21CF">
        <w:rPr>
          <w:noProof/>
        </w:rPr>
        <w:t>97</w:t>
      </w:r>
      <w:r w:rsidRPr="00361E30">
        <w:rPr>
          <w:noProof/>
        </w:rPr>
        <w:fldChar w:fldCharType="end"/>
      </w:r>
    </w:p>
    <w:p w14:paraId="3BE98F77"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5.6: Variance Inflated Factors for variables tested in the multivariate analysis..</w:t>
      </w:r>
      <w:r w:rsidRPr="00361E30">
        <w:rPr>
          <w:noProof/>
        </w:rPr>
        <w:tab/>
      </w:r>
      <w:r w:rsidRPr="00361E30">
        <w:rPr>
          <w:noProof/>
        </w:rPr>
        <w:fldChar w:fldCharType="begin"/>
      </w:r>
      <w:r w:rsidRPr="00361E30">
        <w:rPr>
          <w:noProof/>
        </w:rPr>
        <w:instrText xml:space="preserve"> PAGEREF _Toc528321050 \h </w:instrText>
      </w:r>
      <w:r w:rsidRPr="00361E30">
        <w:rPr>
          <w:noProof/>
        </w:rPr>
      </w:r>
      <w:r w:rsidRPr="00361E30">
        <w:rPr>
          <w:noProof/>
        </w:rPr>
        <w:fldChar w:fldCharType="separate"/>
      </w:r>
      <w:r w:rsidR="00AC21CF">
        <w:rPr>
          <w:noProof/>
        </w:rPr>
        <w:t>98</w:t>
      </w:r>
      <w:r w:rsidRPr="00361E30">
        <w:rPr>
          <w:noProof/>
        </w:rPr>
        <w:fldChar w:fldCharType="end"/>
      </w:r>
    </w:p>
    <w:p w14:paraId="0A31A8D1"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5.7: Multivariate logistic model with all potential variables included in the model</w:t>
      </w:r>
      <w:r w:rsidRPr="00361E30">
        <w:rPr>
          <w:noProof/>
        </w:rPr>
        <w:tab/>
      </w:r>
      <w:r w:rsidRPr="00361E30">
        <w:rPr>
          <w:noProof/>
        </w:rPr>
        <w:fldChar w:fldCharType="begin"/>
      </w:r>
      <w:r w:rsidRPr="00361E30">
        <w:rPr>
          <w:noProof/>
        </w:rPr>
        <w:instrText xml:space="preserve"> PAGEREF _Toc528321051 \h </w:instrText>
      </w:r>
      <w:r w:rsidRPr="00361E30">
        <w:rPr>
          <w:noProof/>
        </w:rPr>
      </w:r>
      <w:r w:rsidRPr="00361E30">
        <w:rPr>
          <w:noProof/>
        </w:rPr>
        <w:fldChar w:fldCharType="separate"/>
      </w:r>
      <w:r w:rsidR="00AC21CF">
        <w:rPr>
          <w:noProof/>
        </w:rPr>
        <w:t>99</w:t>
      </w:r>
      <w:r w:rsidRPr="00361E30">
        <w:rPr>
          <w:noProof/>
        </w:rPr>
        <w:fldChar w:fldCharType="end"/>
      </w:r>
    </w:p>
    <w:p w14:paraId="2E261293"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5.8: Performance of multivariate models.</w:t>
      </w:r>
      <w:r w:rsidRPr="00361E30">
        <w:rPr>
          <w:noProof/>
        </w:rPr>
        <w:tab/>
      </w:r>
      <w:r w:rsidRPr="00361E30">
        <w:rPr>
          <w:noProof/>
        </w:rPr>
        <w:fldChar w:fldCharType="begin"/>
      </w:r>
      <w:r w:rsidRPr="00361E30">
        <w:rPr>
          <w:noProof/>
        </w:rPr>
        <w:instrText xml:space="preserve"> PAGEREF _Toc528321052 \h </w:instrText>
      </w:r>
      <w:r w:rsidRPr="00361E30">
        <w:rPr>
          <w:noProof/>
        </w:rPr>
      </w:r>
      <w:r w:rsidRPr="00361E30">
        <w:rPr>
          <w:noProof/>
        </w:rPr>
        <w:fldChar w:fldCharType="separate"/>
      </w:r>
      <w:r w:rsidR="00AC21CF">
        <w:rPr>
          <w:noProof/>
        </w:rPr>
        <w:t>102</w:t>
      </w:r>
      <w:r w:rsidRPr="00361E30">
        <w:rPr>
          <w:noProof/>
        </w:rPr>
        <w:fldChar w:fldCharType="end"/>
      </w:r>
    </w:p>
    <w:p w14:paraId="05A3512C"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5.9: The final derived multivariate model</w:t>
      </w:r>
      <w:r w:rsidRPr="00361E30">
        <w:rPr>
          <w:noProof/>
        </w:rPr>
        <w:tab/>
      </w:r>
      <w:r w:rsidRPr="00361E30">
        <w:rPr>
          <w:noProof/>
        </w:rPr>
        <w:fldChar w:fldCharType="begin"/>
      </w:r>
      <w:r w:rsidRPr="00361E30">
        <w:rPr>
          <w:noProof/>
        </w:rPr>
        <w:instrText xml:space="preserve"> PAGEREF _Toc528321053 \h </w:instrText>
      </w:r>
      <w:r w:rsidRPr="00361E30">
        <w:rPr>
          <w:noProof/>
        </w:rPr>
      </w:r>
      <w:r w:rsidRPr="00361E30">
        <w:rPr>
          <w:noProof/>
        </w:rPr>
        <w:fldChar w:fldCharType="separate"/>
      </w:r>
      <w:r w:rsidR="00AC21CF">
        <w:rPr>
          <w:noProof/>
        </w:rPr>
        <w:t>104</w:t>
      </w:r>
      <w:r w:rsidRPr="00361E30">
        <w:rPr>
          <w:noProof/>
        </w:rPr>
        <w:fldChar w:fldCharType="end"/>
      </w:r>
    </w:p>
    <w:p w14:paraId="656DA833"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5.10: The PS14 model, using coefficients derived from the dataset</w:t>
      </w:r>
      <w:r w:rsidR="005D29CC">
        <w:rPr>
          <w:noProof/>
        </w:rPr>
        <w:t xml:space="preserve"> of older patients</w:t>
      </w:r>
      <w:r w:rsidRPr="00361E30">
        <w:rPr>
          <w:noProof/>
        </w:rPr>
        <w:tab/>
      </w:r>
      <w:r w:rsidRPr="00361E30">
        <w:rPr>
          <w:noProof/>
        </w:rPr>
        <w:fldChar w:fldCharType="begin"/>
      </w:r>
      <w:r w:rsidRPr="00361E30">
        <w:rPr>
          <w:noProof/>
        </w:rPr>
        <w:instrText xml:space="preserve"> PAGEREF _Toc528321054 \h </w:instrText>
      </w:r>
      <w:r w:rsidRPr="00361E30">
        <w:rPr>
          <w:noProof/>
        </w:rPr>
      </w:r>
      <w:r w:rsidRPr="00361E30">
        <w:rPr>
          <w:noProof/>
        </w:rPr>
        <w:fldChar w:fldCharType="separate"/>
      </w:r>
      <w:r w:rsidR="00AC21CF">
        <w:rPr>
          <w:noProof/>
        </w:rPr>
        <w:t>105</w:t>
      </w:r>
      <w:r w:rsidRPr="00361E30">
        <w:rPr>
          <w:noProof/>
        </w:rPr>
        <w:fldChar w:fldCharType="end"/>
      </w:r>
    </w:p>
    <w:p w14:paraId="3ADA949A"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5.11: Multivariate analysis, including only data from ‘good quality’ hospitals.</w:t>
      </w:r>
      <w:r w:rsidRPr="00361E30">
        <w:rPr>
          <w:noProof/>
        </w:rPr>
        <w:tab/>
      </w:r>
      <w:r w:rsidRPr="00361E30">
        <w:rPr>
          <w:noProof/>
        </w:rPr>
        <w:fldChar w:fldCharType="begin"/>
      </w:r>
      <w:r w:rsidRPr="00361E30">
        <w:rPr>
          <w:noProof/>
        </w:rPr>
        <w:instrText xml:space="preserve"> PAGEREF _Toc528321055 \h </w:instrText>
      </w:r>
      <w:r w:rsidRPr="00361E30">
        <w:rPr>
          <w:noProof/>
        </w:rPr>
      </w:r>
      <w:r w:rsidRPr="00361E30">
        <w:rPr>
          <w:noProof/>
        </w:rPr>
        <w:fldChar w:fldCharType="separate"/>
      </w:r>
      <w:r w:rsidR="00AC21CF">
        <w:rPr>
          <w:noProof/>
        </w:rPr>
        <w:t>107</w:t>
      </w:r>
      <w:r w:rsidRPr="00361E30">
        <w:rPr>
          <w:noProof/>
        </w:rPr>
        <w:fldChar w:fldCharType="end"/>
      </w:r>
    </w:p>
    <w:p w14:paraId="6E83BD3F"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6.1: Univariate Analysis of Process Variables and survival</w:t>
      </w:r>
      <w:r w:rsidRPr="00361E30">
        <w:rPr>
          <w:noProof/>
        </w:rPr>
        <w:tab/>
      </w:r>
      <w:r w:rsidRPr="00361E30">
        <w:rPr>
          <w:noProof/>
        </w:rPr>
        <w:fldChar w:fldCharType="begin"/>
      </w:r>
      <w:r w:rsidRPr="00361E30">
        <w:rPr>
          <w:noProof/>
        </w:rPr>
        <w:instrText xml:space="preserve"> PAGEREF _Toc528321056 \h </w:instrText>
      </w:r>
      <w:r w:rsidRPr="00361E30">
        <w:rPr>
          <w:noProof/>
        </w:rPr>
      </w:r>
      <w:r w:rsidRPr="00361E30">
        <w:rPr>
          <w:noProof/>
        </w:rPr>
        <w:fldChar w:fldCharType="separate"/>
      </w:r>
      <w:r w:rsidR="00AC21CF">
        <w:rPr>
          <w:noProof/>
        </w:rPr>
        <w:t>118</w:t>
      </w:r>
      <w:r w:rsidRPr="00361E30">
        <w:rPr>
          <w:noProof/>
        </w:rPr>
        <w:fldChar w:fldCharType="end"/>
      </w:r>
    </w:p>
    <w:p w14:paraId="4F0009E7"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6.2: Performance characteristics of the multivariate models that included process variables.</w:t>
      </w:r>
      <w:r w:rsidRPr="00361E30">
        <w:rPr>
          <w:noProof/>
        </w:rPr>
        <w:tab/>
      </w:r>
      <w:r w:rsidRPr="00361E30">
        <w:rPr>
          <w:noProof/>
        </w:rPr>
        <w:fldChar w:fldCharType="begin"/>
      </w:r>
      <w:r w:rsidRPr="00361E30">
        <w:rPr>
          <w:noProof/>
        </w:rPr>
        <w:instrText xml:space="preserve"> PAGEREF _Toc528321057 \h </w:instrText>
      </w:r>
      <w:r w:rsidRPr="00361E30">
        <w:rPr>
          <w:noProof/>
        </w:rPr>
      </w:r>
      <w:r w:rsidRPr="00361E30">
        <w:rPr>
          <w:noProof/>
        </w:rPr>
        <w:fldChar w:fldCharType="separate"/>
      </w:r>
      <w:r w:rsidR="00AC21CF">
        <w:rPr>
          <w:noProof/>
        </w:rPr>
        <w:t>121</w:t>
      </w:r>
      <w:r w:rsidRPr="00361E30">
        <w:rPr>
          <w:noProof/>
        </w:rPr>
        <w:fldChar w:fldCharType="end"/>
      </w:r>
    </w:p>
    <w:p w14:paraId="4F88D209"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7.1: Themes and sub-themes identified from interviews at outlying hospitals.</w:t>
      </w:r>
      <w:r w:rsidRPr="00361E30">
        <w:rPr>
          <w:noProof/>
        </w:rPr>
        <w:tab/>
      </w:r>
      <w:r w:rsidRPr="00361E30">
        <w:rPr>
          <w:noProof/>
        </w:rPr>
        <w:fldChar w:fldCharType="begin"/>
      </w:r>
      <w:r w:rsidRPr="00361E30">
        <w:rPr>
          <w:noProof/>
        </w:rPr>
        <w:instrText xml:space="preserve"> PAGEREF _Toc528321058 \h </w:instrText>
      </w:r>
      <w:r w:rsidRPr="00361E30">
        <w:rPr>
          <w:noProof/>
        </w:rPr>
      </w:r>
      <w:r w:rsidRPr="00361E30">
        <w:rPr>
          <w:noProof/>
        </w:rPr>
        <w:fldChar w:fldCharType="separate"/>
      </w:r>
      <w:r w:rsidR="00AC21CF">
        <w:rPr>
          <w:noProof/>
        </w:rPr>
        <w:t>125</w:t>
      </w:r>
      <w:r w:rsidRPr="00361E30">
        <w:rPr>
          <w:noProof/>
        </w:rPr>
        <w:fldChar w:fldCharType="end"/>
      </w:r>
    </w:p>
    <w:p w14:paraId="4EEE8B6B"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8.1: Factor identified in the interviews that could potentially be added to the predictive model.</w:t>
      </w:r>
      <w:r w:rsidRPr="00361E30">
        <w:rPr>
          <w:noProof/>
        </w:rPr>
        <w:tab/>
      </w:r>
      <w:r w:rsidRPr="00361E30">
        <w:rPr>
          <w:noProof/>
        </w:rPr>
        <w:fldChar w:fldCharType="begin"/>
      </w:r>
      <w:r w:rsidRPr="00361E30">
        <w:rPr>
          <w:noProof/>
        </w:rPr>
        <w:instrText xml:space="preserve"> PAGEREF _Toc528321059 \h </w:instrText>
      </w:r>
      <w:r w:rsidRPr="00361E30">
        <w:rPr>
          <w:noProof/>
        </w:rPr>
      </w:r>
      <w:r w:rsidRPr="00361E30">
        <w:rPr>
          <w:noProof/>
        </w:rPr>
        <w:fldChar w:fldCharType="separate"/>
      </w:r>
      <w:r w:rsidR="00AC21CF">
        <w:rPr>
          <w:noProof/>
        </w:rPr>
        <w:t>165</w:t>
      </w:r>
      <w:r w:rsidRPr="00361E30">
        <w:rPr>
          <w:noProof/>
        </w:rPr>
        <w:fldChar w:fldCharType="end"/>
      </w:r>
    </w:p>
    <w:p w14:paraId="30677425" w14:textId="77777777" w:rsidR="00CA0EF0" w:rsidRPr="00361E30" w:rsidRDefault="00CA0EF0">
      <w:pPr>
        <w:pStyle w:val="TableofFigures"/>
        <w:tabs>
          <w:tab w:val="right" w:leader="dot" w:pos="9017"/>
        </w:tabs>
        <w:rPr>
          <w:rFonts w:eastAsiaTheme="minorEastAsia" w:cstheme="minorBidi"/>
          <w:bCs w:val="0"/>
          <w:noProof/>
          <w:sz w:val="22"/>
          <w:szCs w:val="22"/>
          <w:lang w:eastAsia="en-GB"/>
        </w:rPr>
      </w:pPr>
      <w:r w:rsidRPr="00361E30">
        <w:rPr>
          <w:noProof/>
        </w:rPr>
        <w:t>Table 8.2: Performance of multilevel models with the variables from the semi-structured interviews.</w:t>
      </w:r>
      <w:r w:rsidRPr="00361E30">
        <w:rPr>
          <w:noProof/>
        </w:rPr>
        <w:tab/>
      </w:r>
      <w:r w:rsidRPr="00361E30">
        <w:rPr>
          <w:noProof/>
        </w:rPr>
        <w:fldChar w:fldCharType="begin"/>
      </w:r>
      <w:r w:rsidRPr="00361E30">
        <w:rPr>
          <w:noProof/>
        </w:rPr>
        <w:instrText xml:space="preserve"> PAGEREF _Toc528321060 \h </w:instrText>
      </w:r>
      <w:r w:rsidRPr="00361E30">
        <w:rPr>
          <w:noProof/>
        </w:rPr>
      </w:r>
      <w:r w:rsidRPr="00361E30">
        <w:rPr>
          <w:noProof/>
        </w:rPr>
        <w:fldChar w:fldCharType="separate"/>
      </w:r>
      <w:r w:rsidR="00AC21CF">
        <w:rPr>
          <w:noProof/>
        </w:rPr>
        <w:t>169</w:t>
      </w:r>
      <w:r w:rsidRPr="00361E30">
        <w:rPr>
          <w:noProof/>
        </w:rPr>
        <w:fldChar w:fldCharType="end"/>
      </w:r>
    </w:p>
    <w:p w14:paraId="0BDF74FA" w14:textId="77777777" w:rsidR="00CA0EF0" w:rsidRPr="00361E30" w:rsidRDefault="00CA0EF0" w:rsidP="003C13F4">
      <w:r w:rsidRPr="00361E30">
        <w:rPr>
          <w:rFonts w:cstheme="minorHAnsi"/>
          <w:bCs/>
          <w:sz w:val="20"/>
          <w:szCs w:val="20"/>
        </w:rPr>
        <w:fldChar w:fldCharType="end"/>
      </w:r>
    </w:p>
    <w:p w14:paraId="169763E1" w14:textId="77777777" w:rsidR="00CA0EF0" w:rsidRPr="00361E30" w:rsidRDefault="00CA0EF0">
      <w:pPr>
        <w:spacing w:line="276" w:lineRule="auto"/>
        <w:jc w:val="left"/>
        <w:rPr>
          <w:rFonts w:eastAsiaTheme="majorEastAsia" w:cstheme="majorBidi"/>
          <w:b/>
          <w:color w:val="4F81BD" w:themeColor="accent1"/>
          <w:szCs w:val="26"/>
        </w:rPr>
      </w:pPr>
      <w:r w:rsidRPr="00361E30">
        <w:br w:type="page"/>
      </w:r>
    </w:p>
    <w:p w14:paraId="48DF6609" w14:textId="77777777" w:rsidR="00CA0EF0" w:rsidRPr="00361E30" w:rsidRDefault="00CA0EF0" w:rsidP="003C13F4">
      <w:pPr>
        <w:pStyle w:val="Heading2"/>
      </w:pPr>
      <w:bookmarkStart w:id="3" w:name="_Toc1902195"/>
      <w:r w:rsidRPr="00361E30">
        <w:lastRenderedPageBreak/>
        <w:t>List of Figures</w:t>
      </w:r>
      <w:bookmarkEnd w:id="3"/>
    </w:p>
    <w:p w14:paraId="3D5A430F" w14:textId="77777777" w:rsidR="00CA0EF0" w:rsidRPr="00361E30" w:rsidRDefault="00CA0EF0">
      <w:pPr>
        <w:pStyle w:val="TableofFigures"/>
        <w:tabs>
          <w:tab w:val="right" w:leader="dot" w:pos="8484"/>
        </w:tabs>
        <w:rPr>
          <w:rFonts w:eastAsiaTheme="minorEastAsia" w:cstheme="minorBidi"/>
          <w:bCs w:val="0"/>
          <w:noProof/>
          <w:sz w:val="22"/>
          <w:szCs w:val="22"/>
          <w:lang w:eastAsia="en-GB"/>
        </w:rPr>
      </w:pPr>
      <w:r w:rsidRPr="00361E30">
        <w:fldChar w:fldCharType="begin"/>
      </w:r>
      <w:r w:rsidRPr="00361E30">
        <w:instrText xml:space="preserve"> TOC \h \z \t "Figure Title" \c </w:instrText>
      </w:r>
      <w:r w:rsidRPr="00361E30">
        <w:fldChar w:fldCharType="separate"/>
      </w:r>
      <w:hyperlink w:anchor="_Toc529090333" w:history="1">
        <w:r w:rsidRPr="00361E30">
          <w:rPr>
            <w:rStyle w:val="Hyperlink"/>
            <w:noProof/>
          </w:rPr>
          <w:t>Figure 2.1: Forest Plot of Adjusted Odds Ratios for studies comparing risk of death between genders.</w:t>
        </w:r>
        <w:r w:rsidRPr="00361E30">
          <w:rPr>
            <w:noProof/>
            <w:webHidden/>
          </w:rPr>
          <w:tab/>
        </w:r>
        <w:r w:rsidRPr="00361E30">
          <w:rPr>
            <w:noProof/>
            <w:webHidden/>
          </w:rPr>
          <w:fldChar w:fldCharType="begin"/>
        </w:r>
        <w:r w:rsidRPr="00361E30">
          <w:rPr>
            <w:noProof/>
            <w:webHidden/>
          </w:rPr>
          <w:instrText xml:space="preserve"> PAGEREF _Toc529090333 \h </w:instrText>
        </w:r>
        <w:r w:rsidRPr="00361E30">
          <w:rPr>
            <w:noProof/>
            <w:webHidden/>
          </w:rPr>
        </w:r>
        <w:r w:rsidRPr="00361E30">
          <w:rPr>
            <w:noProof/>
            <w:webHidden/>
          </w:rPr>
          <w:fldChar w:fldCharType="separate"/>
        </w:r>
        <w:r w:rsidR="00AC21CF">
          <w:rPr>
            <w:noProof/>
            <w:webHidden/>
          </w:rPr>
          <w:t>28</w:t>
        </w:r>
        <w:r w:rsidRPr="00361E30">
          <w:rPr>
            <w:noProof/>
            <w:webHidden/>
          </w:rPr>
          <w:fldChar w:fldCharType="end"/>
        </w:r>
      </w:hyperlink>
    </w:p>
    <w:p w14:paraId="4ACB5D7B" w14:textId="77777777" w:rsidR="00CA0EF0" w:rsidRPr="00361E30" w:rsidRDefault="00993D1E">
      <w:pPr>
        <w:pStyle w:val="TableofFigures"/>
        <w:tabs>
          <w:tab w:val="right" w:leader="dot" w:pos="8484"/>
        </w:tabs>
        <w:rPr>
          <w:rFonts w:eastAsiaTheme="minorEastAsia" w:cstheme="minorBidi"/>
          <w:bCs w:val="0"/>
          <w:noProof/>
          <w:sz w:val="22"/>
          <w:szCs w:val="22"/>
          <w:lang w:eastAsia="en-GB"/>
        </w:rPr>
      </w:pPr>
      <w:hyperlink w:anchor="_Toc529090334" w:history="1">
        <w:r w:rsidR="00CA0EF0" w:rsidRPr="00361E30">
          <w:rPr>
            <w:rStyle w:val="Hyperlink"/>
            <w:noProof/>
          </w:rPr>
          <w:t>Figure 2.2: Forest plot of studies comparing patients sustaining falls versus road traffic collisions.</w:t>
        </w:r>
        <w:r w:rsidR="00CA0EF0" w:rsidRPr="00361E30">
          <w:rPr>
            <w:noProof/>
            <w:webHidden/>
          </w:rPr>
          <w:tab/>
        </w:r>
        <w:r w:rsidR="00CA0EF0" w:rsidRPr="00361E30">
          <w:rPr>
            <w:noProof/>
            <w:webHidden/>
          </w:rPr>
          <w:fldChar w:fldCharType="begin"/>
        </w:r>
        <w:r w:rsidR="00CA0EF0" w:rsidRPr="00361E30">
          <w:rPr>
            <w:noProof/>
            <w:webHidden/>
          </w:rPr>
          <w:instrText xml:space="preserve"> PAGEREF _Toc529090334 \h </w:instrText>
        </w:r>
        <w:r w:rsidR="00CA0EF0" w:rsidRPr="00361E30">
          <w:rPr>
            <w:noProof/>
            <w:webHidden/>
          </w:rPr>
        </w:r>
        <w:r w:rsidR="00CA0EF0" w:rsidRPr="00361E30">
          <w:rPr>
            <w:noProof/>
            <w:webHidden/>
          </w:rPr>
          <w:fldChar w:fldCharType="separate"/>
        </w:r>
        <w:r w:rsidR="00AC21CF">
          <w:rPr>
            <w:noProof/>
            <w:webHidden/>
          </w:rPr>
          <w:t>29</w:t>
        </w:r>
        <w:r w:rsidR="00CA0EF0" w:rsidRPr="00361E30">
          <w:rPr>
            <w:noProof/>
            <w:webHidden/>
          </w:rPr>
          <w:fldChar w:fldCharType="end"/>
        </w:r>
      </w:hyperlink>
    </w:p>
    <w:p w14:paraId="76CE1903" w14:textId="77777777" w:rsidR="00CA0EF0" w:rsidRPr="00361E30" w:rsidRDefault="00993D1E">
      <w:pPr>
        <w:pStyle w:val="TableofFigures"/>
        <w:tabs>
          <w:tab w:val="right" w:leader="dot" w:pos="8484"/>
        </w:tabs>
        <w:rPr>
          <w:rFonts w:eastAsiaTheme="minorEastAsia" w:cstheme="minorBidi"/>
          <w:bCs w:val="0"/>
          <w:noProof/>
          <w:sz w:val="22"/>
          <w:szCs w:val="22"/>
          <w:lang w:eastAsia="en-GB"/>
        </w:rPr>
      </w:pPr>
      <w:hyperlink w:anchor="_Toc529090335" w:history="1">
        <w:r w:rsidR="00CA0EF0" w:rsidRPr="00361E30">
          <w:rPr>
            <w:rStyle w:val="Hyperlink"/>
            <w:noProof/>
          </w:rPr>
          <w:t>Figure 2.3: Forest plot for the increase in mortality with increasing numbers of injuries.</w:t>
        </w:r>
        <w:r w:rsidR="00CA0EF0" w:rsidRPr="00361E30">
          <w:rPr>
            <w:noProof/>
            <w:webHidden/>
          </w:rPr>
          <w:tab/>
        </w:r>
        <w:r w:rsidR="00CA0EF0" w:rsidRPr="00361E30">
          <w:rPr>
            <w:noProof/>
            <w:webHidden/>
          </w:rPr>
          <w:fldChar w:fldCharType="begin"/>
        </w:r>
        <w:r w:rsidR="00CA0EF0" w:rsidRPr="00361E30">
          <w:rPr>
            <w:noProof/>
            <w:webHidden/>
          </w:rPr>
          <w:instrText xml:space="preserve"> PAGEREF _Toc529090335 \h </w:instrText>
        </w:r>
        <w:r w:rsidR="00CA0EF0" w:rsidRPr="00361E30">
          <w:rPr>
            <w:noProof/>
            <w:webHidden/>
          </w:rPr>
        </w:r>
        <w:r w:rsidR="00CA0EF0" w:rsidRPr="00361E30">
          <w:rPr>
            <w:noProof/>
            <w:webHidden/>
          </w:rPr>
          <w:fldChar w:fldCharType="separate"/>
        </w:r>
        <w:r w:rsidR="00AC21CF">
          <w:rPr>
            <w:noProof/>
            <w:webHidden/>
          </w:rPr>
          <w:t>30</w:t>
        </w:r>
        <w:r w:rsidR="00CA0EF0" w:rsidRPr="00361E30">
          <w:rPr>
            <w:noProof/>
            <w:webHidden/>
          </w:rPr>
          <w:fldChar w:fldCharType="end"/>
        </w:r>
      </w:hyperlink>
    </w:p>
    <w:p w14:paraId="5BA2866B" w14:textId="77777777" w:rsidR="00CA0EF0" w:rsidRPr="00361E30" w:rsidRDefault="00993D1E">
      <w:pPr>
        <w:pStyle w:val="TableofFigures"/>
        <w:tabs>
          <w:tab w:val="right" w:leader="dot" w:pos="8484"/>
        </w:tabs>
        <w:rPr>
          <w:rFonts w:eastAsiaTheme="minorEastAsia" w:cstheme="minorBidi"/>
          <w:bCs w:val="0"/>
          <w:noProof/>
          <w:sz w:val="22"/>
          <w:szCs w:val="22"/>
          <w:lang w:eastAsia="en-GB"/>
        </w:rPr>
      </w:pPr>
      <w:hyperlink w:anchor="_Toc529090336" w:history="1">
        <w:r w:rsidR="00CA0EF0" w:rsidRPr="00361E30">
          <w:rPr>
            <w:rStyle w:val="Hyperlink"/>
            <w:noProof/>
          </w:rPr>
          <w:t>Figure 2.4: Adjusted odds ratio (AOR) of death for older trauma patients taking warfarin.</w:t>
        </w:r>
        <w:r w:rsidR="00CA0EF0" w:rsidRPr="00361E30">
          <w:rPr>
            <w:noProof/>
            <w:webHidden/>
          </w:rPr>
          <w:tab/>
        </w:r>
        <w:r w:rsidR="00CA0EF0" w:rsidRPr="00361E30">
          <w:rPr>
            <w:noProof/>
            <w:webHidden/>
          </w:rPr>
          <w:fldChar w:fldCharType="begin"/>
        </w:r>
        <w:r w:rsidR="00CA0EF0" w:rsidRPr="00361E30">
          <w:rPr>
            <w:noProof/>
            <w:webHidden/>
          </w:rPr>
          <w:instrText xml:space="preserve"> PAGEREF _Toc529090336 \h </w:instrText>
        </w:r>
        <w:r w:rsidR="00CA0EF0" w:rsidRPr="00361E30">
          <w:rPr>
            <w:noProof/>
            <w:webHidden/>
          </w:rPr>
        </w:r>
        <w:r w:rsidR="00CA0EF0" w:rsidRPr="00361E30">
          <w:rPr>
            <w:noProof/>
            <w:webHidden/>
          </w:rPr>
          <w:fldChar w:fldCharType="separate"/>
        </w:r>
        <w:r w:rsidR="00AC21CF">
          <w:rPr>
            <w:noProof/>
            <w:webHidden/>
          </w:rPr>
          <w:t>30</w:t>
        </w:r>
        <w:r w:rsidR="00CA0EF0" w:rsidRPr="00361E30">
          <w:rPr>
            <w:noProof/>
            <w:webHidden/>
          </w:rPr>
          <w:fldChar w:fldCharType="end"/>
        </w:r>
      </w:hyperlink>
    </w:p>
    <w:p w14:paraId="050B9A4E" w14:textId="77777777" w:rsidR="00CA0EF0" w:rsidRPr="00361E30" w:rsidRDefault="00993D1E">
      <w:pPr>
        <w:pStyle w:val="TableofFigures"/>
        <w:tabs>
          <w:tab w:val="right" w:leader="dot" w:pos="8484"/>
        </w:tabs>
        <w:rPr>
          <w:rFonts w:eastAsiaTheme="minorEastAsia" w:cstheme="minorBidi"/>
          <w:bCs w:val="0"/>
          <w:noProof/>
          <w:sz w:val="22"/>
          <w:szCs w:val="22"/>
          <w:lang w:eastAsia="en-GB"/>
        </w:rPr>
      </w:pPr>
      <w:hyperlink w:anchor="_Toc529090337" w:history="1">
        <w:r w:rsidR="00CA0EF0" w:rsidRPr="00361E30">
          <w:rPr>
            <w:rStyle w:val="Hyperlink"/>
            <w:noProof/>
          </w:rPr>
          <w:t>Figure 3.1: Funnel Plot of hospitals included in this study, against performance.</w:t>
        </w:r>
        <w:r w:rsidR="00CA0EF0" w:rsidRPr="00361E30">
          <w:rPr>
            <w:noProof/>
            <w:webHidden/>
          </w:rPr>
          <w:tab/>
        </w:r>
        <w:r w:rsidR="00CA0EF0" w:rsidRPr="00361E30">
          <w:rPr>
            <w:noProof/>
            <w:webHidden/>
          </w:rPr>
          <w:fldChar w:fldCharType="begin"/>
        </w:r>
        <w:r w:rsidR="00CA0EF0" w:rsidRPr="00361E30">
          <w:rPr>
            <w:noProof/>
            <w:webHidden/>
          </w:rPr>
          <w:instrText xml:space="preserve"> PAGEREF _Toc529090337 \h </w:instrText>
        </w:r>
        <w:r w:rsidR="00CA0EF0" w:rsidRPr="00361E30">
          <w:rPr>
            <w:noProof/>
            <w:webHidden/>
          </w:rPr>
        </w:r>
        <w:r w:rsidR="00CA0EF0" w:rsidRPr="00361E30">
          <w:rPr>
            <w:noProof/>
            <w:webHidden/>
          </w:rPr>
          <w:fldChar w:fldCharType="separate"/>
        </w:r>
        <w:r w:rsidR="00AC21CF">
          <w:rPr>
            <w:noProof/>
            <w:webHidden/>
          </w:rPr>
          <w:t>61</w:t>
        </w:r>
        <w:r w:rsidR="00CA0EF0" w:rsidRPr="00361E30">
          <w:rPr>
            <w:noProof/>
            <w:webHidden/>
          </w:rPr>
          <w:fldChar w:fldCharType="end"/>
        </w:r>
      </w:hyperlink>
    </w:p>
    <w:p w14:paraId="292B573D" w14:textId="77777777" w:rsidR="00CA0EF0" w:rsidRPr="00361E30" w:rsidRDefault="00993D1E">
      <w:pPr>
        <w:pStyle w:val="TableofFigures"/>
        <w:tabs>
          <w:tab w:val="right" w:leader="dot" w:pos="8484"/>
        </w:tabs>
        <w:rPr>
          <w:rFonts w:eastAsiaTheme="minorEastAsia" w:cstheme="minorBidi"/>
          <w:bCs w:val="0"/>
          <w:noProof/>
          <w:sz w:val="22"/>
          <w:szCs w:val="22"/>
          <w:lang w:eastAsia="en-GB"/>
        </w:rPr>
      </w:pPr>
      <w:hyperlink w:anchor="_Toc529090338" w:history="1">
        <w:r w:rsidR="00CA0EF0" w:rsidRPr="00361E30">
          <w:rPr>
            <w:rStyle w:val="Hyperlink"/>
            <w:noProof/>
          </w:rPr>
          <w:t>Figure 5.1: Plot of Ln(Odds of Death) against age.</w:t>
        </w:r>
        <w:r w:rsidR="00CA0EF0" w:rsidRPr="00361E30">
          <w:rPr>
            <w:noProof/>
            <w:webHidden/>
          </w:rPr>
          <w:tab/>
        </w:r>
        <w:r w:rsidR="00CA0EF0" w:rsidRPr="00361E30">
          <w:rPr>
            <w:noProof/>
            <w:webHidden/>
          </w:rPr>
          <w:fldChar w:fldCharType="begin"/>
        </w:r>
        <w:r w:rsidR="00CA0EF0" w:rsidRPr="00361E30">
          <w:rPr>
            <w:noProof/>
            <w:webHidden/>
          </w:rPr>
          <w:instrText xml:space="preserve"> PAGEREF _Toc529090338 \h </w:instrText>
        </w:r>
        <w:r w:rsidR="00CA0EF0" w:rsidRPr="00361E30">
          <w:rPr>
            <w:noProof/>
            <w:webHidden/>
          </w:rPr>
        </w:r>
        <w:r w:rsidR="00CA0EF0" w:rsidRPr="00361E30">
          <w:rPr>
            <w:noProof/>
            <w:webHidden/>
          </w:rPr>
          <w:fldChar w:fldCharType="separate"/>
        </w:r>
        <w:r w:rsidR="00AC21CF">
          <w:rPr>
            <w:noProof/>
            <w:webHidden/>
          </w:rPr>
          <w:t>87</w:t>
        </w:r>
        <w:r w:rsidR="00CA0EF0" w:rsidRPr="00361E30">
          <w:rPr>
            <w:noProof/>
            <w:webHidden/>
          </w:rPr>
          <w:fldChar w:fldCharType="end"/>
        </w:r>
      </w:hyperlink>
    </w:p>
    <w:p w14:paraId="7EBE7BC6" w14:textId="77777777" w:rsidR="00CA0EF0" w:rsidRPr="00361E30" w:rsidRDefault="00993D1E">
      <w:pPr>
        <w:pStyle w:val="TableofFigures"/>
        <w:tabs>
          <w:tab w:val="right" w:leader="dot" w:pos="8484"/>
        </w:tabs>
        <w:rPr>
          <w:rFonts w:eastAsiaTheme="minorEastAsia" w:cstheme="minorBidi"/>
          <w:bCs w:val="0"/>
          <w:noProof/>
          <w:sz w:val="22"/>
          <w:szCs w:val="22"/>
          <w:lang w:eastAsia="en-GB"/>
        </w:rPr>
      </w:pPr>
      <w:hyperlink w:anchor="_Toc529090339" w:history="1">
        <w:r w:rsidR="00CA0EF0" w:rsidRPr="00361E30">
          <w:rPr>
            <w:rStyle w:val="Hyperlink"/>
            <w:noProof/>
          </w:rPr>
          <w:t>Figure 5.2: Relationship between age, gender and survival, showing interaction</w:t>
        </w:r>
        <w:r w:rsidR="00CA0EF0" w:rsidRPr="00361E30">
          <w:rPr>
            <w:noProof/>
            <w:webHidden/>
          </w:rPr>
          <w:tab/>
        </w:r>
        <w:r w:rsidR="00CA0EF0" w:rsidRPr="00361E30">
          <w:rPr>
            <w:noProof/>
            <w:webHidden/>
          </w:rPr>
          <w:fldChar w:fldCharType="begin"/>
        </w:r>
        <w:r w:rsidR="00CA0EF0" w:rsidRPr="00361E30">
          <w:rPr>
            <w:noProof/>
            <w:webHidden/>
          </w:rPr>
          <w:instrText xml:space="preserve"> PAGEREF _Toc529090339 \h </w:instrText>
        </w:r>
        <w:r w:rsidR="00CA0EF0" w:rsidRPr="00361E30">
          <w:rPr>
            <w:noProof/>
            <w:webHidden/>
          </w:rPr>
        </w:r>
        <w:r w:rsidR="00CA0EF0" w:rsidRPr="00361E30">
          <w:rPr>
            <w:noProof/>
            <w:webHidden/>
          </w:rPr>
          <w:fldChar w:fldCharType="separate"/>
        </w:r>
        <w:r w:rsidR="00AC21CF">
          <w:rPr>
            <w:noProof/>
            <w:webHidden/>
          </w:rPr>
          <w:t>88</w:t>
        </w:r>
        <w:r w:rsidR="00CA0EF0" w:rsidRPr="00361E30">
          <w:rPr>
            <w:noProof/>
            <w:webHidden/>
          </w:rPr>
          <w:fldChar w:fldCharType="end"/>
        </w:r>
      </w:hyperlink>
    </w:p>
    <w:p w14:paraId="6C9F591B" w14:textId="77777777" w:rsidR="00CA0EF0" w:rsidRPr="00361E30" w:rsidRDefault="00993D1E">
      <w:pPr>
        <w:pStyle w:val="TableofFigures"/>
        <w:tabs>
          <w:tab w:val="right" w:leader="dot" w:pos="8484"/>
        </w:tabs>
        <w:rPr>
          <w:rFonts w:eastAsiaTheme="minorEastAsia" w:cstheme="minorBidi"/>
          <w:bCs w:val="0"/>
          <w:noProof/>
          <w:sz w:val="22"/>
          <w:szCs w:val="22"/>
          <w:lang w:eastAsia="en-GB"/>
        </w:rPr>
      </w:pPr>
      <w:hyperlink w:anchor="_Toc529090340" w:history="1">
        <w:r w:rsidR="00CA0EF0" w:rsidRPr="00361E30">
          <w:rPr>
            <w:rStyle w:val="Hyperlink"/>
            <w:noProof/>
          </w:rPr>
          <w:t>Figure 5.3: Plot of Ln(Odds of Death) against ISS, demonstrating non-linear relationship.</w:t>
        </w:r>
        <w:r w:rsidR="00CA0EF0" w:rsidRPr="00361E30">
          <w:rPr>
            <w:noProof/>
            <w:webHidden/>
          </w:rPr>
          <w:tab/>
        </w:r>
        <w:r w:rsidR="00CA0EF0" w:rsidRPr="00361E30">
          <w:rPr>
            <w:noProof/>
            <w:webHidden/>
          </w:rPr>
          <w:fldChar w:fldCharType="begin"/>
        </w:r>
        <w:r w:rsidR="00CA0EF0" w:rsidRPr="00361E30">
          <w:rPr>
            <w:noProof/>
            <w:webHidden/>
          </w:rPr>
          <w:instrText xml:space="preserve"> PAGEREF _Toc529090340 \h </w:instrText>
        </w:r>
        <w:r w:rsidR="00CA0EF0" w:rsidRPr="00361E30">
          <w:rPr>
            <w:noProof/>
            <w:webHidden/>
          </w:rPr>
        </w:r>
        <w:r w:rsidR="00CA0EF0" w:rsidRPr="00361E30">
          <w:rPr>
            <w:noProof/>
            <w:webHidden/>
          </w:rPr>
          <w:fldChar w:fldCharType="separate"/>
        </w:r>
        <w:r w:rsidR="00AC21CF">
          <w:rPr>
            <w:noProof/>
            <w:webHidden/>
          </w:rPr>
          <w:t>90</w:t>
        </w:r>
        <w:r w:rsidR="00CA0EF0" w:rsidRPr="00361E30">
          <w:rPr>
            <w:noProof/>
            <w:webHidden/>
          </w:rPr>
          <w:fldChar w:fldCharType="end"/>
        </w:r>
      </w:hyperlink>
    </w:p>
    <w:p w14:paraId="382A5C84" w14:textId="77777777" w:rsidR="00CA0EF0" w:rsidRPr="00361E30" w:rsidRDefault="00993D1E">
      <w:pPr>
        <w:pStyle w:val="TableofFigures"/>
        <w:tabs>
          <w:tab w:val="right" w:leader="dot" w:pos="8484"/>
        </w:tabs>
        <w:rPr>
          <w:rFonts w:eastAsiaTheme="minorEastAsia" w:cstheme="minorBidi"/>
          <w:bCs w:val="0"/>
          <w:noProof/>
          <w:sz w:val="22"/>
          <w:szCs w:val="22"/>
          <w:lang w:eastAsia="en-GB"/>
        </w:rPr>
      </w:pPr>
      <w:hyperlink w:anchor="_Toc529090341" w:history="1">
        <w:r w:rsidR="00CA0EF0" w:rsidRPr="00361E30">
          <w:rPr>
            <w:rStyle w:val="Hyperlink"/>
            <w:noProof/>
          </w:rPr>
          <w:t>Figure 5.4: Plot of Ln(Odds of Death) against Number of Injuries.</w:t>
        </w:r>
        <w:r w:rsidR="00CA0EF0" w:rsidRPr="00361E30">
          <w:rPr>
            <w:noProof/>
            <w:webHidden/>
          </w:rPr>
          <w:tab/>
        </w:r>
        <w:r w:rsidR="00CA0EF0" w:rsidRPr="00361E30">
          <w:rPr>
            <w:noProof/>
            <w:webHidden/>
          </w:rPr>
          <w:fldChar w:fldCharType="begin"/>
        </w:r>
        <w:r w:rsidR="00CA0EF0" w:rsidRPr="00361E30">
          <w:rPr>
            <w:noProof/>
            <w:webHidden/>
          </w:rPr>
          <w:instrText xml:space="preserve"> PAGEREF _Toc529090341 \h </w:instrText>
        </w:r>
        <w:r w:rsidR="00CA0EF0" w:rsidRPr="00361E30">
          <w:rPr>
            <w:noProof/>
            <w:webHidden/>
          </w:rPr>
        </w:r>
        <w:r w:rsidR="00CA0EF0" w:rsidRPr="00361E30">
          <w:rPr>
            <w:noProof/>
            <w:webHidden/>
          </w:rPr>
          <w:fldChar w:fldCharType="separate"/>
        </w:r>
        <w:r w:rsidR="00AC21CF">
          <w:rPr>
            <w:noProof/>
            <w:webHidden/>
          </w:rPr>
          <w:t>91</w:t>
        </w:r>
        <w:r w:rsidR="00CA0EF0" w:rsidRPr="00361E30">
          <w:rPr>
            <w:noProof/>
            <w:webHidden/>
          </w:rPr>
          <w:fldChar w:fldCharType="end"/>
        </w:r>
      </w:hyperlink>
    </w:p>
    <w:p w14:paraId="4C2C0999" w14:textId="77777777" w:rsidR="00CA0EF0" w:rsidRPr="00361E30" w:rsidRDefault="00993D1E">
      <w:pPr>
        <w:pStyle w:val="TableofFigures"/>
        <w:tabs>
          <w:tab w:val="right" w:leader="dot" w:pos="8484"/>
        </w:tabs>
        <w:rPr>
          <w:rFonts w:eastAsiaTheme="minorEastAsia" w:cstheme="minorBidi"/>
          <w:bCs w:val="0"/>
          <w:noProof/>
          <w:sz w:val="22"/>
          <w:szCs w:val="22"/>
          <w:lang w:eastAsia="en-GB"/>
        </w:rPr>
      </w:pPr>
      <w:hyperlink w:anchor="_Toc529090342" w:history="1">
        <w:r w:rsidR="00CA0EF0" w:rsidRPr="00361E30">
          <w:rPr>
            <w:rStyle w:val="Hyperlink"/>
            <w:noProof/>
          </w:rPr>
          <w:t>Figure 6.1: Funnel plot of Ws of all TARN hospitals, for patients aged ≥65 years.</w:t>
        </w:r>
        <w:r w:rsidR="00CA0EF0" w:rsidRPr="00361E30">
          <w:rPr>
            <w:noProof/>
            <w:webHidden/>
          </w:rPr>
          <w:tab/>
        </w:r>
        <w:r w:rsidR="00CA0EF0" w:rsidRPr="00361E30">
          <w:rPr>
            <w:noProof/>
            <w:webHidden/>
          </w:rPr>
          <w:fldChar w:fldCharType="begin"/>
        </w:r>
        <w:r w:rsidR="00CA0EF0" w:rsidRPr="00361E30">
          <w:rPr>
            <w:noProof/>
            <w:webHidden/>
          </w:rPr>
          <w:instrText xml:space="preserve"> PAGEREF _Toc529090342 \h </w:instrText>
        </w:r>
        <w:r w:rsidR="00CA0EF0" w:rsidRPr="00361E30">
          <w:rPr>
            <w:noProof/>
            <w:webHidden/>
          </w:rPr>
        </w:r>
        <w:r w:rsidR="00CA0EF0" w:rsidRPr="00361E30">
          <w:rPr>
            <w:noProof/>
            <w:webHidden/>
          </w:rPr>
          <w:fldChar w:fldCharType="separate"/>
        </w:r>
        <w:r w:rsidR="00AC21CF">
          <w:rPr>
            <w:noProof/>
            <w:webHidden/>
          </w:rPr>
          <w:t>111</w:t>
        </w:r>
        <w:r w:rsidR="00CA0EF0" w:rsidRPr="00361E30">
          <w:rPr>
            <w:noProof/>
            <w:webHidden/>
          </w:rPr>
          <w:fldChar w:fldCharType="end"/>
        </w:r>
      </w:hyperlink>
    </w:p>
    <w:p w14:paraId="5078FDA9" w14:textId="77777777" w:rsidR="00CA0EF0" w:rsidRPr="00361E30" w:rsidRDefault="00993D1E">
      <w:pPr>
        <w:pStyle w:val="TableofFigures"/>
        <w:tabs>
          <w:tab w:val="right" w:leader="dot" w:pos="8484"/>
        </w:tabs>
        <w:rPr>
          <w:rFonts w:eastAsiaTheme="minorEastAsia" w:cstheme="minorBidi"/>
          <w:bCs w:val="0"/>
          <w:noProof/>
          <w:sz w:val="22"/>
          <w:szCs w:val="22"/>
          <w:lang w:eastAsia="en-GB"/>
        </w:rPr>
      </w:pPr>
      <w:hyperlink w:anchor="_Toc529090343" w:history="1">
        <w:r w:rsidR="00CA0EF0" w:rsidRPr="00361E30">
          <w:rPr>
            <w:rStyle w:val="Hyperlink"/>
            <w:noProof/>
          </w:rPr>
          <w:t>Figure 6.2: Funnel plot of Ws of TARN English hospitals only, for patients aged ≥65 years.</w:t>
        </w:r>
        <w:r w:rsidR="00CA0EF0" w:rsidRPr="00361E30">
          <w:rPr>
            <w:noProof/>
            <w:webHidden/>
          </w:rPr>
          <w:tab/>
        </w:r>
        <w:r w:rsidR="00CA0EF0" w:rsidRPr="00361E30">
          <w:rPr>
            <w:noProof/>
            <w:webHidden/>
          </w:rPr>
          <w:fldChar w:fldCharType="begin"/>
        </w:r>
        <w:r w:rsidR="00CA0EF0" w:rsidRPr="00361E30">
          <w:rPr>
            <w:noProof/>
            <w:webHidden/>
          </w:rPr>
          <w:instrText xml:space="preserve"> PAGEREF _Toc529090343 \h </w:instrText>
        </w:r>
        <w:r w:rsidR="00CA0EF0" w:rsidRPr="00361E30">
          <w:rPr>
            <w:noProof/>
            <w:webHidden/>
          </w:rPr>
        </w:r>
        <w:r w:rsidR="00CA0EF0" w:rsidRPr="00361E30">
          <w:rPr>
            <w:noProof/>
            <w:webHidden/>
          </w:rPr>
          <w:fldChar w:fldCharType="separate"/>
        </w:r>
        <w:r w:rsidR="00AC21CF">
          <w:rPr>
            <w:noProof/>
            <w:webHidden/>
          </w:rPr>
          <w:t>112</w:t>
        </w:r>
        <w:r w:rsidR="00CA0EF0" w:rsidRPr="00361E30">
          <w:rPr>
            <w:noProof/>
            <w:webHidden/>
          </w:rPr>
          <w:fldChar w:fldCharType="end"/>
        </w:r>
      </w:hyperlink>
    </w:p>
    <w:p w14:paraId="4CA81662" w14:textId="77777777" w:rsidR="00CA0EF0" w:rsidRPr="00361E30" w:rsidRDefault="00993D1E">
      <w:pPr>
        <w:pStyle w:val="TableofFigures"/>
        <w:tabs>
          <w:tab w:val="right" w:leader="dot" w:pos="8484"/>
        </w:tabs>
        <w:rPr>
          <w:rFonts w:eastAsiaTheme="minorEastAsia" w:cstheme="minorBidi"/>
          <w:bCs w:val="0"/>
          <w:noProof/>
          <w:sz w:val="22"/>
          <w:szCs w:val="22"/>
          <w:lang w:eastAsia="en-GB"/>
        </w:rPr>
      </w:pPr>
      <w:hyperlink w:anchor="_Toc529090344" w:history="1">
        <w:r w:rsidR="00CA0EF0" w:rsidRPr="00361E30">
          <w:rPr>
            <w:rStyle w:val="Hyperlink"/>
            <w:noProof/>
          </w:rPr>
          <w:t>Figure 6.3: Plot of Ln[mortality] and percentage of older major trauma patients admitted to ICU.</w:t>
        </w:r>
        <w:r w:rsidR="00CA0EF0" w:rsidRPr="00361E30">
          <w:rPr>
            <w:noProof/>
            <w:webHidden/>
          </w:rPr>
          <w:tab/>
        </w:r>
        <w:r w:rsidR="00CA0EF0" w:rsidRPr="00361E30">
          <w:rPr>
            <w:noProof/>
            <w:webHidden/>
          </w:rPr>
          <w:fldChar w:fldCharType="begin"/>
        </w:r>
        <w:r w:rsidR="00CA0EF0" w:rsidRPr="00361E30">
          <w:rPr>
            <w:noProof/>
            <w:webHidden/>
          </w:rPr>
          <w:instrText xml:space="preserve"> PAGEREF _Toc529090344 \h </w:instrText>
        </w:r>
        <w:r w:rsidR="00CA0EF0" w:rsidRPr="00361E30">
          <w:rPr>
            <w:noProof/>
            <w:webHidden/>
          </w:rPr>
        </w:r>
        <w:r w:rsidR="00CA0EF0" w:rsidRPr="00361E30">
          <w:rPr>
            <w:noProof/>
            <w:webHidden/>
          </w:rPr>
          <w:fldChar w:fldCharType="separate"/>
        </w:r>
        <w:r w:rsidR="00AC21CF">
          <w:rPr>
            <w:noProof/>
            <w:webHidden/>
          </w:rPr>
          <w:t>114</w:t>
        </w:r>
        <w:r w:rsidR="00CA0EF0" w:rsidRPr="00361E30">
          <w:rPr>
            <w:noProof/>
            <w:webHidden/>
          </w:rPr>
          <w:fldChar w:fldCharType="end"/>
        </w:r>
      </w:hyperlink>
    </w:p>
    <w:p w14:paraId="676F8D35" w14:textId="77777777" w:rsidR="00CA0EF0" w:rsidRPr="00361E30" w:rsidRDefault="00993D1E">
      <w:pPr>
        <w:pStyle w:val="TableofFigures"/>
        <w:tabs>
          <w:tab w:val="right" w:leader="dot" w:pos="8484"/>
        </w:tabs>
        <w:rPr>
          <w:rFonts w:eastAsiaTheme="minorEastAsia" w:cstheme="minorBidi"/>
          <w:bCs w:val="0"/>
          <w:noProof/>
          <w:sz w:val="22"/>
          <w:szCs w:val="22"/>
          <w:lang w:eastAsia="en-GB"/>
        </w:rPr>
      </w:pPr>
      <w:hyperlink w:anchor="_Toc529090345" w:history="1">
        <w:r w:rsidR="00CA0EF0" w:rsidRPr="00361E30">
          <w:rPr>
            <w:rStyle w:val="Hyperlink"/>
            <w:noProof/>
          </w:rPr>
          <w:t>Figure 6.4: Plot of Ln[survival] and percentage of major trauma patients aged &gt;=65 years.</w:t>
        </w:r>
        <w:r w:rsidR="00CA0EF0" w:rsidRPr="00361E30">
          <w:rPr>
            <w:noProof/>
            <w:webHidden/>
          </w:rPr>
          <w:tab/>
        </w:r>
        <w:r w:rsidR="00CA0EF0" w:rsidRPr="00361E30">
          <w:rPr>
            <w:noProof/>
            <w:webHidden/>
          </w:rPr>
          <w:fldChar w:fldCharType="begin"/>
        </w:r>
        <w:r w:rsidR="00CA0EF0" w:rsidRPr="00361E30">
          <w:rPr>
            <w:noProof/>
            <w:webHidden/>
          </w:rPr>
          <w:instrText xml:space="preserve"> PAGEREF _Toc529090345 \h </w:instrText>
        </w:r>
        <w:r w:rsidR="00CA0EF0" w:rsidRPr="00361E30">
          <w:rPr>
            <w:noProof/>
            <w:webHidden/>
          </w:rPr>
        </w:r>
        <w:r w:rsidR="00CA0EF0" w:rsidRPr="00361E30">
          <w:rPr>
            <w:noProof/>
            <w:webHidden/>
          </w:rPr>
          <w:fldChar w:fldCharType="separate"/>
        </w:r>
        <w:r w:rsidR="00AC21CF">
          <w:rPr>
            <w:noProof/>
            <w:webHidden/>
          </w:rPr>
          <w:t>115</w:t>
        </w:r>
        <w:r w:rsidR="00CA0EF0" w:rsidRPr="00361E30">
          <w:rPr>
            <w:noProof/>
            <w:webHidden/>
          </w:rPr>
          <w:fldChar w:fldCharType="end"/>
        </w:r>
      </w:hyperlink>
    </w:p>
    <w:p w14:paraId="3D8921C4" w14:textId="77777777" w:rsidR="00CA0EF0" w:rsidRPr="00361E30" w:rsidRDefault="00993D1E">
      <w:pPr>
        <w:pStyle w:val="TableofFigures"/>
        <w:tabs>
          <w:tab w:val="right" w:leader="dot" w:pos="8484"/>
        </w:tabs>
        <w:rPr>
          <w:rFonts w:eastAsiaTheme="minorEastAsia" w:cstheme="minorBidi"/>
          <w:bCs w:val="0"/>
          <w:noProof/>
          <w:sz w:val="22"/>
          <w:szCs w:val="22"/>
          <w:lang w:eastAsia="en-GB"/>
        </w:rPr>
      </w:pPr>
      <w:hyperlink w:anchor="_Toc529090346" w:history="1">
        <w:r w:rsidR="00CA0EF0" w:rsidRPr="00361E30">
          <w:rPr>
            <w:rStyle w:val="Hyperlink"/>
            <w:noProof/>
          </w:rPr>
          <w:t>Figure 6.5: Plot of Ln[mortality] and mortality rates for hip fracture patients</w:t>
        </w:r>
        <w:r w:rsidR="00CA0EF0" w:rsidRPr="00361E30">
          <w:rPr>
            <w:noProof/>
            <w:webHidden/>
          </w:rPr>
          <w:tab/>
        </w:r>
        <w:r w:rsidR="00CA0EF0" w:rsidRPr="00361E30">
          <w:rPr>
            <w:noProof/>
            <w:webHidden/>
          </w:rPr>
          <w:fldChar w:fldCharType="begin"/>
        </w:r>
        <w:r w:rsidR="00CA0EF0" w:rsidRPr="00361E30">
          <w:rPr>
            <w:noProof/>
            <w:webHidden/>
          </w:rPr>
          <w:instrText xml:space="preserve"> PAGEREF _Toc529090346 \h </w:instrText>
        </w:r>
        <w:r w:rsidR="00CA0EF0" w:rsidRPr="00361E30">
          <w:rPr>
            <w:noProof/>
            <w:webHidden/>
          </w:rPr>
        </w:r>
        <w:r w:rsidR="00CA0EF0" w:rsidRPr="00361E30">
          <w:rPr>
            <w:noProof/>
            <w:webHidden/>
          </w:rPr>
          <w:fldChar w:fldCharType="separate"/>
        </w:r>
        <w:r w:rsidR="00AC21CF">
          <w:rPr>
            <w:noProof/>
            <w:webHidden/>
          </w:rPr>
          <w:t>117</w:t>
        </w:r>
        <w:r w:rsidR="00CA0EF0" w:rsidRPr="00361E30">
          <w:rPr>
            <w:noProof/>
            <w:webHidden/>
          </w:rPr>
          <w:fldChar w:fldCharType="end"/>
        </w:r>
      </w:hyperlink>
    </w:p>
    <w:p w14:paraId="50E12B2D" w14:textId="77777777" w:rsidR="00CA0EF0" w:rsidRPr="00361E30" w:rsidRDefault="00993D1E">
      <w:pPr>
        <w:pStyle w:val="TableofFigures"/>
        <w:tabs>
          <w:tab w:val="right" w:leader="dot" w:pos="8484"/>
        </w:tabs>
        <w:rPr>
          <w:rFonts w:eastAsiaTheme="minorEastAsia" w:cstheme="minorBidi"/>
          <w:bCs w:val="0"/>
          <w:noProof/>
          <w:sz w:val="22"/>
          <w:szCs w:val="22"/>
          <w:lang w:eastAsia="en-GB"/>
        </w:rPr>
      </w:pPr>
      <w:hyperlink w:anchor="_Toc529090347" w:history="1">
        <w:r w:rsidR="00CA0EF0" w:rsidRPr="00361E30">
          <w:rPr>
            <w:rStyle w:val="Hyperlink"/>
            <w:noProof/>
          </w:rPr>
          <w:t>Figure 6.6: Ws scores for hospitals included in the final analysis, using the new model</w:t>
        </w:r>
        <w:r w:rsidR="00CA0EF0" w:rsidRPr="00361E30">
          <w:rPr>
            <w:noProof/>
            <w:webHidden/>
          </w:rPr>
          <w:tab/>
        </w:r>
        <w:r w:rsidR="00CA0EF0" w:rsidRPr="00361E30">
          <w:rPr>
            <w:noProof/>
            <w:webHidden/>
          </w:rPr>
          <w:fldChar w:fldCharType="begin"/>
        </w:r>
        <w:r w:rsidR="00CA0EF0" w:rsidRPr="00361E30">
          <w:rPr>
            <w:noProof/>
            <w:webHidden/>
          </w:rPr>
          <w:instrText xml:space="preserve"> PAGEREF _Toc529090347 \h </w:instrText>
        </w:r>
        <w:r w:rsidR="00CA0EF0" w:rsidRPr="00361E30">
          <w:rPr>
            <w:noProof/>
            <w:webHidden/>
          </w:rPr>
        </w:r>
        <w:r w:rsidR="00CA0EF0" w:rsidRPr="00361E30">
          <w:rPr>
            <w:noProof/>
            <w:webHidden/>
          </w:rPr>
          <w:fldChar w:fldCharType="separate"/>
        </w:r>
        <w:r w:rsidR="00AC21CF">
          <w:rPr>
            <w:noProof/>
            <w:webHidden/>
          </w:rPr>
          <w:t>122</w:t>
        </w:r>
        <w:r w:rsidR="00CA0EF0" w:rsidRPr="00361E30">
          <w:rPr>
            <w:noProof/>
            <w:webHidden/>
          </w:rPr>
          <w:fldChar w:fldCharType="end"/>
        </w:r>
      </w:hyperlink>
    </w:p>
    <w:p w14:paraId="6942486B" w14:textId="77777777" w:rsidR="00CA0EF0" w:rsidRPr="00361E30" w:rsidRDefault="00993D1E">
      <w:pPr>
        <w:pStyle w:val="TableofFigures"/>
        <w:tabs>
          <w:tab w:val="right" w:leader="dot" w:pos="8484"/>
        </w:tabs>
        <w:rPr>
          <w:rFonts w:eastAsiaTheme="minorEastAsia" w:cstheme="minorBidi"/>
          <w:bCs w:val="0"/>
          <w:noProof/>
          <w:sz w:val="22"/>
          <w:szCs w:val="22"/>
          <w:lang w:eastAsia="en-GB"/>
        </w:rPr>
      </w:pPr>
      <w:hyperlink w:anchor="_Toc529090348" w:history="1">
        <w:r w:rsidR="00CA0EF0" w:rsidRPr="00361E30">
          <w:rPr>
            <w:rStyle w:val="Hyperlink"/>
            <w:noProof/>
          </w:rPr>
          <w:t>Figure 6.7: Ws scores for hospitals included in the final analysis, using the PS14 model</w:t>
        </w:r>
        <w:r w:rsidR="00CA0EF0" w:rsidRPr="00361E30">
          <w:rPr>
            <w:noProof/>
            <w:webHidden/>
          </w:rPr>
          <w:tab/>
        </w:r>
        <w:r w:rsidR="00CA0EF0" w:rsidRPr="00361E30">
          <w:rPr>
            <w:noProof/>
            <w:webHidden/>
          </w:rPr>
          <w:fldChar w:fldCharType="begin"/>
        </w:r>
        <w:r w:rsidR="00CA0EF0" w:rsidRPr="00361E30">
          <w:rPr>
            <w:noProof/>
            <w:webHidden/>
          </w:rPr>
          <w:instrText xml:space="preserve"> PAGEREF _Toc529090348 \h </w:instrText>
        </w:r>
        <w:r w:rsidR="00CA0EF0" w:rsidRPr="00361E30">
          <w:rPr>
            <w:noProof/>
            <w:webHidden/>
          </w:rPr>
        </w:r>
        <w:r w:rsidR="00CA0EF0" w:rsidRPr="00361E30">
          <w:rPr>
            <w:noProof/>
            <w:webHidden/>
          </w:rPr>
          <w:fldChar w:fldCharType="separate"/>
        </w:r>
        <w:r w:rsidR="00AC21CF">
          <w:rPr>
            <w:noProof/>
            <w:webHidden/>
          </w:rPr>
          <w:t>122</w:t>
        </w:r>
        <w:r w:rsidR="00CA0EF0" w:rsidRPr="00361E30">
          <w:rPr>
            <w:noProof/>
            <w:webHidden/>
          </w:rPr>
          <w:fldChar w:fldCharType="end"/>
        </w:r>
      </w:hyperlink>
    </w:p>
    <w:p w14:paraId="2EE1205E" w14:textId="77777777" w:rsidR="00CA0EF0" w:rsidRPr="00361E30" w:rsidRDefault="00993D1E">
      <w:pPr>
        <w:pStyle w:val="TableofFigures"/>
        <w:tabs>
          <w:tab w:val="right" w:leader="dot" w:pos="8484"/>
        </w:tabs>
        <w:rPr>
          <w:rFonts w:eastAsiaTheme="minorEastAsia" w:cstheme="minorBidi"/>
          <w:bCs w:val="0"/>
          <w:noProof/>
          <w:sz w:val="22"/>
          <w:szCs w:val="22"/>
          <w:lang w:eastAsia="en-GB"/>
        </w:rPr>
      </w:pPr>
      <w:hyperlink w:anchor="_Toc529090349" w:history="1">
        <w:r w:rsidR="00CA0EF0" w:rsidRPr="00361E30">
          <w:rPr>
            <w:rStyle w:val="Hyperlink"/>
            <w:noProof/>
          </w:rPr>
          <w:t>Figure 7.1: Word Cloud showing frequency of words use in relation to ‘factors affecting survival’.</w:t>
        </w:r>
        <w:r w:rsidR="00CA0EF0" w:rsidRPr="00361E30">
          <w:rPr>
            <w:noProof/>
            <w:webHidden/>
          </w:rPr>
          <w:tab/>
        </w:r>
        <w:r w:rsidR="00CA0EF0" w:rsidRPr="00361E30">
          <w:rPr>
            <w:noProof/>
            <w:webHidden/>
          </w:rPr>
          <w:fldChar w:fldCharType="begin"/>
        </w:r>
        <w:r w:rsidR="00CA0EF0" w:rsidRPr="00361E30">
          <w:rPr>
            <w:noProof/>
            <w:webHidden/>
          </w:rPr>
          <w:instrText xml:space="preserve"> PAGEREF _Toc529090349 \h </w:instrText>
        </w:r>
        <w:r w:rsidR="00CA0EF0" w:rsidRPr="00361E30">
          <w:rPr>
            <w:noProof/>
            <w:webHidden/>
          </w:rPr>
        </w:r>
        <w:r w:rsidR="00CA0EF0" w:rsidRPr="00361E30">
          <w:rPr>
            <w:noProof/>
            <w:webHidden/>
          </w:rPr>
          <w:fldChar w:fldCharType="separate"/>
        </w:r>
        <w:r w:rsidR="00AC21CF">
          <w:rPr>
            <w:noProof/>
            <w:webHidden/>
          </w:rPr>
          <w:t>125</w:t>
        </w:r>
        <w:r w:rsidR="00CA0EF0" w:rsidRPr="00361E30">
          <w:rPr>
            <w:noProof/>
            <w:webHidden/>
          </w:rPr>
          <w:fldChar w:fldCharType="end"/>
        </w:r>
      </w:hyperlink>
    </w:p>
    <w:p w14:paraId="0DA3746B" w14:textId="77777777" w:rsidR="00CA0EF0" w:rsidRPr="00361E30" w:rsidRDefault="00993D1E">
      <w:pPr>
        <w:pStyle w:val="TableofFigures"/>
        <w:tabs>
          <w:tab w:val="right" w:leader="dot" w:pos="8484"/>
        </w:tabs>
        <w:rPr>
          <w:rFonts w:eastAsiaTheme="minorEastAsia" w:cstheme="minorBidi"/>
          <w:bCs w:val="0"/>
          <w:noProof/>
          <w:sz w:val="22"/>
          <w:szCs w:val="22"/>
          <w:lang w:eastAsia="en-GB"/>
        </w:rPr>
      </w:pPr>
      <w:hyperlink w:anchor="_Toc529090350" w:history="1">
        <w:r w:rsidR="00CA0EF0" w:rsidRPr="00361E30">
          <w:rPr>
            <w:rStyle w:val="Hyperlink"/>
            <w:noProof/>
          </w:rPr>
          <w:t>Figure 7.2: Text tree demonstrating the context of frailty and survival within the interviews.</w:t>
        </w:r>
        <w:r w:rsidR="00CA0EF0" w:rsidRPr="00361E30">
          <w:rPr>
            <w:noProof/>
            <w:webHidden/>
          </w:rPr>
          <w:tab/>
        </w:r>
        <w:r w:rsidR="00CA0EF0" w:rsidRPr="00361E30">
          <w:rPr>
            <w:noProof/>
            <w:webHidden/>
          </w:rPr>
          <w:fldChar w:fldCharType="begin"/>
        </w:r>
        <w:r w:rsidR="00CA0EF0" w:rsidRPr="00361E30">
          <w:rPr>
            <w:noProof/>
            <w:webHidden/>
          </w:rPr>
          <w:instrText xml:space="preserve"> PAGEREF _Toc529090350 \h </w:instrText>
        </w:r>
        <w:r w:rsidR="00CA0EF0" w:rsidRPr="00361E30">
          <w:rPr>
            <w:noProof/>
            <w:webHidden/>
          </w:rPr>
        </w:r>
        <w:r w:rsidR="00CA0EF0" w:rsidRPr="00361E30">
          <w:rPr>
            <w:noProof/>
            <w:webHidden/>
          </w:rPr>
          <w:fldChar w:fldCharType="separate"/>
        </w:r>
        <w:r w:rsidR="00AC21CF">
          <w:rPr>
            <w:noProof/>
            <w:webHidden/>
          </w:rPr>
          <w:t>128</w:t>
        </w:r>
        <w:r w:rsidR="00CA0EF0" w:rsidRPr="00361E30">
          <w:rPr>
            <w:noProof/>
            <w:webHidden/>
          </w:rPr>
          <w:fldChar w:fldCharType="end"/>
        </w:r>
      </w:hyperlink>
    </w:p>
    <w:p w14:paraId="52B5DE2C" w14:textId="77777777" w:rsidR="00CA0EF0" w:rsidRPr="00361E30" w:rsidRDefault="00993D1E">
      <w:pPr>
        <w:pStyle w:val="TableofFigures"/>
        <w:tabs>
          <w:tab w:val="right" w:leader="dot" w:pos="8484"/>
        </w:tabs>
        <w:rPr>
          <w:rFonts w:eastAsiaTheme="minorEastAsia" w:cstheme="minorBidi"/>
          <w:bCs w:val="0"/>
          <w:noProof/>
          <w:sz w:val="22"/>
          <w:szCs w:val="22"/>
          <w:lang w:eastAsia="en-GB"/>
        </w:rPr>
      </w:pPr>
      <w:hyperlink w:anchor="_Toc529090351" w:history="1">
        <w:r w:rsidR="00CA0EF0" w:rsidRPr="00361E30">
          <w:rPr>
            <w:rStyle w:val="Hyperlink"/>
            <w:noProof/>
          </w:rPr>
          <w:t>Figure 7.3: Comparison between discussion of trauma wards and discussion of holistic care</w:t>
        </w:r>
        <w:r w:rsidR="00CA0EF0" w:rsidRPr="00361E30">
          <w:rPr>
            <w:noProof/>
            <w:webHidden/>
          </w:rPr>
          <w:tab/>
        </w:r>
        <w:r w:rsidR="00CA0EF0" w:rsidRPr="00361E30">
          <w:rPr>
            <w:noProof/>
            <w:webHidden/>
          </w:rPr>
          <w:fldChar w:fldCharType="begin"/>
        </w:r>
        <w:r w:rsidR="00CA0EF0" w:rsidRPr="00361E30">
          <w:rPr>
            <w:noProof/>
            <w:webHidden/>
          </w:rPr>
          <w:instrText xml:space="preserve"> PAGEREF _Toc529090351 \h </w:instrText>
        </w:r>
        <w:r w:rsidR="00CA0EF0" w:rsidRPr="00361E30">
          <w:rPr>
            <w:noProof/>
            <w:webHidden/>
          </w:rPr>
        </w:r>
        <w:r w:rsidR="00CA0EF0" w:rsidRPr="00361E30">
          <w:rPr>
            <w:noProof/>
            <w:webHidden/>
          </w:rPr>
          <w:fldChar w:fldCharType="separate"/>
        </w:r>
        <w:r w:rsidR="00AC21CF">
          <w:rPr>
            <w:noProof/>
            <w:webHidden/>
          </w:rPr>
          <w:t>150</w:t>
        </w:r>
        <w:r w:rsidR="00CA0EF0" w:rsidRPr="00361E30">
          <w:rPr>
            <w:noProof/>
            <w:webHidden/>
          </w:rPr>
          <w:fldChar w:fldCharType="end"/>
        </w:r>
      </w:hyperlink>
    </w:p>
    <w:p w14:paraId="26192BC2" w14:textId="77777777" w:rsidR="00CA0EF0" w:rsidRPr="00361E30" w:rsidRDefault="00993D1E">
      <w:pPr>
        <w:pStyle w:val="TableofFigures"/>
        <w:tabs>
          <w:tab w:val="right" w:leader="dot" w:pos="8484"/>
        </w:tabs>
        <w:rPr>
          <w:rFonts w:eastAsiaTheme="minorEastAsia" w:cstheme="minorBidi"/>
          <w:bCs w:val="0"/>
          <w:noProof/>
          <w:sz w:val="22"/>
          <w:szCs w:val="22"/>
          <w:lang w:eastAsia="en-GB"/>
        </w:rPr>
      </w:pPr>
      <w:hyperlink w:anchor="_Toc529090352" w:history="1">
        <w:r w:rsidR="00CA0EF0" w:rsidRPr="00361E30">
          <w:rPr>
            <w:rStyle w:val="Hyperlink"/>
            <w:noProof/>
          </w:rPr>
          <w:t>Figure 8.1: Funnel plot of Ws of TARN hospitals, using the refined model (with rehab prescription)</w:t>
        </w:r>
        <w:r w:rsidR="00CA0EF0" w:rsidRPr="00361E30">
          <w:rPr>
            <w:noProof/>
            <w:webHidden/>
          </w:rPr>
          <w:tab/>
        </w:r>
        <w:r w:rsidR="00CA0EF0" w:rsidRPr="00361E30">
          <w:rPr>
            <w:noProof/>
            <w:webHidden/>
          </w:rPr>
          <w:fldChar w:fldCharType="begin"/>
        </w:r>
        <w:r w:rsidR="00CA0EF0" w:rsidRPr="00361E30">
          <w:rPr>
            <w:noProof/>
            <w:webHidden/>
          </w:rPr>
          <w:instrText xml:space="preserve"> PAGEREF _Toc529090352 \h </w:instrText>
        </w:r>
        <w:r w:rsidR="00CA0EF0" w:rsidRPr="00361E30">
          <w:rPr>
            <w:noProof/>
            <w:webHidden/>
          </w:rPr>
        </w:r>
        <w:r w:rsidR="00CA0EF0" w:rsidRPr="00361E30">
          <w:rPr>
            <w:noProof/>
            <w:webHidden/>
          </w:rPr>
          <w:fldChar w:fldCharType="separate"/>
        </w:r>
        <w:r w:rsidR="00AC21CF">
          <w:rPr>
            <w:noProof/>
            <w:webHidden/>
          </w:rPr>
          <w:t>171</w:t>
        </w:r>
        <w:r w:rsidR="00CA0EF0" w:rsidRPr="00361E30">
          <w:rPr>
            <w:noProof/>
            <w:webHidden/>
          </w:rPr>
          <w:fldChar w:fldCharType="end"/>
        </w:r>
      </w:hyperlink>
    </w:p>
    <w:p w14:paraId="2EB068ED" w14:textId="77777777" w:rsidR="00CA0EF0" w:rsidRPr="00361E30" w:rsidRDefault="00993D1E">
      <w:pPr>
        <w:pStyle w:val="TableofFigures"/>
        <w:tabs>
          <w:tab w:val="right" w:leader="dot" w:pos="8484"/>
        </w:tabs>
        <w:rPr>
          <w:rFonts w:eastAsiaTheme="minorEastAsia" w:cstheme="minorBidi"/>
          <w:bCs w:val="0"/>
          <w:noProof/>
          <w:sz w:val="22"/>
          <w:szCs w:val="22"/>
          <w:lang w:eastAsia="en-GB"/>
        </w:rPr>
      </w:pPr>
      <w:hyperlink w:anchor="_Toc529090353" w:history="1">
        <w:r w:rsidR="00CA0EF0" w:rsidRPr="00361E30">
          <w:rPr>
            <w:rStyle w:val="Hyperlink"/>
            <w:noProof/>
          </w:rPr>
          <w:t>Figure 8.2: Funnel plot of Ws of TARN English hospitals only, using the original model</w:t>
        </w:r>
        <w:r w:rsidR="00CA0EF0" w:rsidRPr="00361E30">
          <w:rPr>
            <w:noProof/>
            <w:webHidden/>
          </w:rPr>
          <w:tab/>
        </w:r>
        <w:r w:rsidR="00CA0EF0" w:rsidRPr="00361E30">
          <w:rPr>
            <w:noProof/>
            <w:webHidden/>
          </w:rPr>
          <w:fldChar w:fldCharType="begin"/>
        </w:r>
        <w:r w:rsidR="00CA0EF0" w:rsidRPr="00361E30">
          <w:rPr>
            <w:noProof/>
            <w:webHidden/>
          </w:rPr>
          <w:instrText xml:space="preserve"> PAGEREF _Toc529090353 \h </w:instrText>
        </w:r>
        <w:r w:rsidR="00CA0EF0" w:rsidRPr="00361E30">
          <w:rPr>
            <w:noProof/>
            <w:webHidden/>
          </w:rPr>
        </w:r>
        <w:r w:rsidR="00CA0EF0" w:rsidRPr="00361E30">
          <w:rPr>
            <w:noProof/>
            <w:webHidden/>
          </w:rPr>
          <w:fldChar w:fldCharType="separate"/>
        </w:r>
        <w:r w:rsidR="00AC21CF">
          <w:rPr>
            <w:noProof/>
            <w:webHidden/>
          </w:rPr>
          <w:t>171</w:t>
        </w:r>
        <w:r w:rsidR="00CA0EF0" w:rsidRPr="00361E30">
          <w:rPr>
            <w:noProof/>
            <w:webHidden/>
          </w:rPr>
          <w:fldChar w:fldCharType="end"/>
        </w:r>
      </w:hyperlink>
    </w:p>
    <w:p w14:paraId="40B60F75" w14:textId="77777777" w:rsidR="00CA0EF0" w:rsidRPr="00361E30" w:rsidRDefault="00993D1E">
      <w:pPr>
        <w:pStyle w:val="TableofFigures"/>
        <w:tabs>
          <w:tab w:val="right" w:leader="dot" w:pos="8484"/>
        </w:tabs>
        <w:rPr>
          <w:rFonts w:eastAsiaTheme="minorEastAsia" w:cstheme="minorBidi"/>
          <w:bCs w:val="0"/>
          <w:noProof/>
          <w:sz w:val="22"/>
          <w:szCs w:val="22"/>
          <w:lang w:eastAsia="en-GB"/>
        </w:rPr>
      </w:pPr>
      <w:hyperlink w:anchor="_Toc529090354" w:history="1">
        <w:r w:rsidR="00CA0EF0" w:rsidRPr="00361E30">
          <w:rPr>
            <w:rStyle w:val="Hyperlink"/>
            <w:noProof/>
          </w:rPr>
          <w:t>Figure 8.3: Funnel Plots of MTCs only.</w:t>
        </w:r>
        <w:r w:rsidR="00CA0EF0" w:rsidRPr="00361E30">
          <w:rPr>
            <w:noProof/>
            <w:webHidden/>
          </w:rPr>
          <w:tab/>
        </w:r>
        <w:r w:rsidR="00CA0EF0" w:rsidRPr="00361E30">
          <w:rPr>
            <w:noProof/>
            <w:webHidden/>
          </w:rPr>
          <w:fldChar w:fldCharType="begin"/>
        </w:r>
        <w:r w:rsidR="00CA0EF0" w:rsidRPr="00361E30">
          <w:rPr>
            <w:noProof/>
            <w:webHidden/>
          </w:rPr>
          <w:instrText xml:space="preserve"> PAGEREF _Toc529090354 \h </w:instrText>
        </w:r>
        <w:r w:rsidR="00CA0EF0" w:rsidRPr="00361E30">
          <w:rPr>
            <w:noProof/>
            <w:webHidden/>
          </w:rPr>
        </w:r>
        <w:r w:rsidR="00CA0EF0" w:rsidRPr="00361E30">
          <w:rPr>
            <w:noProof/>
            <w:webHidden/>
          </w:rPr>
          <w:fldChar w:fldCharType="separate"/>
        </w:r>
        <w:r w:rsidR="00AC21CF">
          <w:rPr>
            <w:noProof/>
            <w:webHidden/>
          </w:rPr>
          <w:t>172</w:t>
        </w:r>
        <w:r w:rsidR="00CA0EF0" w:rsidRPr="00361E30">
          <w:rPr>
            <w:noProof/>
            <w:webHidden/>
          </w:rPr>
          <w:fldChar w:fldCharType="end"/>
        </w:r>
      </w:hyperlink>
    </w:p>
    <w:p w14:paraId="237BE0A9" w14:textId="77777777" w:rsidR="00CA0EF0" w:rsidRPr="00361E30" w:rsidRDefault="00CA0EF0" w:rsidP="003C13F4">
      <w:r w:rsidRPr="00361E30">
        <w:fldChar w:fldCharType="end"/>
      </w:r>
    </w:p>
    <w:p w14:paraId="62666F1C" w14:textId="77777777" w:rsidR="00CA0EF0" w:rsidRPr="00361E30" w:rsidRDefault="00CA0EF0" w:rsidP="003C13F4"/>
    <w:p w14:paraId="0EC17C76" w14:textId="77777777" w:rsidR="00CA0EF0" w:rsidRPr="00361E30" w:rsidRDefault="00CA0EF0">
      <w:pPr>
        <w:spacing w:line="276" w:lineRule="auto"/>
        <w:jc w:val="left"/>
        <w:rPr>
          <w:rFonts w:eastAsiaTheme="majorEastAsia" w:cstheme="majorBidi"/>
          <w:b/>
          <w:color w:val="4F81BD" w:themeColor="accent1"/>
          <w:szCs w:val="26"/>
        </w:rPr>
      </w:pPr>
      <w:r w:rsidRPr="00361E30">
        <w:br w:type="page"/>
      </w:r>
    </w:p>
    <w:p w14:paraId="2FD074F0" w14:textId="77777777" w:rsidR="00CA0EF0" w:rsidRPr="00361E30" w:rsidRDefault="00CA0EF0" w:rsidP="003C13F4">
      <w:pPr>
        <w:pStyle w:val="Heading2"/>
      </w:pPr>
      <w:bookmarkStart w:id="4" w:name="_Toc1902196"/>
      <w:r w:rsidRPr="00361E30">
        <w:lastRenderedPageBreak/>
        <w:t>Glossary</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144" w:type="dxa"/>
          <w:right w:w="115" w:type="dxa"/>
        </w:tblCellMar>
        <w:tblLook w:val="04A0" w:firstRow="1" w:lastRow="0" w:firstColumn="1" w:lastColumn="0" w:noHBand="0" w:noVBand="1"/>
      </w:tblPr>
      <w:tblGrid>
        <w:gridCol w:w="8494"/>
      </w:tblGrid>
      <w:tr w:rsidR="00CA0EF0" w:rsidRPr="00361E30" w14:paraId="35CE8E59" w14:textId="77777777" w:rsidTr="003C13F4">
        <w:tc>
          <w:tcPr>
            <w:tcW w:w="9243" w:type="dxa"/>
          </w:tcPr>
          <w:p w14:paraId="6B22EC42" w14:textId="77777777" w:rsidR="00CA0EF0" w:rsidRPr="00361E30" w:rsidRDefault="00CA0EF0" w:rsidP="003C13F4">
            <w:pPr>
              <w:spacing w:line="276" w:lineRule="auto"/>
              <w:jc w:val="left"/>
              <w:rPr>
                <w:i/>
                <w:sz w:val="20"/>
                <w:szCs w:val="20"/>
                <w:lang w:val="en-GB"/>
              </w:rPr>
            </w:pPr>
            <w:r w:rsidRPr="00361E30">
              <w:rPr>
                <w:b/>
                <w:sz w:val="20"/>
                <w:szCs w:val="20"/>
                <w:lang w:val="en-GB"/>
              </w:rPr>
              <w:t>Abbreviated injury score</w:t>
            </w:r>
            <w:r w:rsidRPr="00361E30">
              <w:rPr>
                <w:sz w:val="20"/>
                <w:szCs w:val="20"/>
                <w:lang w:val="en-GB"/>
              </w:rPr>
              <w:t xml:space="preserve"> – A system of scoring individual injuries based on their severity. The score ranges from 1 (minor) through 6 (incompatible with life) </w:t>
            </w:r>
            <w:r w:rsidRPr="00361E30">
              <w:rPr>
                <w:i/>
                <w:sz w:val="20"/>
                <w:szCs w:val="20"/>
                <w:lang w:val="en-GB"/>
              </w:rPr>
              <w:t>(see also ‘injury severity score’)</w:t>
            </w:r>
          </w:p>
        </w:tc>
      </w:tr>
      <w:tr w:rsidR="00CA0EF0" w:rsidRPr="00361E30" w14:paraId="0430B4E3" w14:textId="77777777" w:rsidTr="003C13F4">
        <w:tc>
          <w:tcPr>
            <w:tcW w:w="9243" w:type="dxa"/>
          </w:tcPr>
          <w:p w14:paraId="5037B53D" w14:textId="77777777" w:rsidR="00CA0EF0" w:rsidRPr="00361E30" w:rsidRDefault="00CA0EF0" w:rsidP="003C13F4">
            <w:pPr>
              <w:spacing w:line="276" w:lineRule="auto"/>
              <w:jc w:val="left"/>
              <w:rPr>
                <w:sz w:val="20"/>
                <w:szCs w:val="20"/>
                <w:lang w:val="en-GB"/>
              </w:rPr>
            </w:pPr>
            <w:r w:rsidRPr="00361E30">
              <w:rPr>
                <w:b/>
                <w:sz w:val="20"/>
                <w:szCs w:val="20"/>
                <w:lang w:val="en-GB"/>
              </w:rPr>
              <w:t xml:space="preserve">Care process factors </w:t>
            </w:r>
            <w:r w:rsidRPr="00361E30">
              <w:rPr>
                <w:sz w:val="20"/>
                <w:szCs w:val="20"/>
                <w:lang w:val="en-GB"/>
              </w:rPr>
              <w:t xml:space="preserve">- In this thesis, ‘care process factors’ were defined as what healthcare providers do for major trauma patients, and how care is organised and delivered (including pre-hospital, emergency department, rehabilitation and definitive care). Variables that influenced survival and were tested in the multivariate model were divided into ‘patient characteristics’ and ‘care process factors’. </w:t>
            </w:r>
            <w:r w:rsidRPr="00361E30">
              <w:rPr>
                <w:i/>
                <w:sz w:val="20"/>
                <w:szCs w:val="20"/>
                <w:lang w:val="en-GB"/>
              </w:rPr>
              <w:t>(see ‘patient characteristics’)</w:t>
            </w:r>
          </w:p>
        </w:tc>
      </w:tr>
      <w:tr w:rsidR="00CA0EF0" w:rsidRPr="00361E30" w14:paraId="76FBACA2" w14:textId="77777777" w:rsidTr="003C13F4">
        <w:tc>
          <w:tcPr>
            <w:tcW w:w="9243" w:type="dxa"/>
          </w:tcPr>
          <w:p w14:paraId="5B982621" w14:textId="77777777" w:rsidR="00CA0EF0" w:rsidRPr="00361E30" w:rsidRDefault="00CA0EF0" w:rsidP="003C13F4">
            <w:pPr>
              <w:spacing w:line="276" w:lineRule="auto"/>
              <w:jc w:val="left"/>
              <w:rPr>
                <w:sz w:val="20"/>
                <w:szCs w:val="20"/>
                <w:lang w:val="en-GB"/>
              </w:rPr>
            </w:pPr>
            <w:r w:rsidRPr="00361E30">
              <w:rPr>
                <w:b/>
                <w:sz w:val="20"/>
                <w:szCs w:val="20"/>
                <w:lang w:val="en-GB"/>
              </w:rPr>
              <w:t xml:space="preserve">Comprehensive geriatric assessment </w:t>
            </w:r>
            <w:r w:rsidRPr="00361E30">
              <w:rPr>
                <w:sz w:val="20"/>
                <w:szCs w:val="20"/>
                <w:lang w:val="en-GB"/>
              </w:rPr>
              <w:t>- multidimensional, interdisciplinary diagnostic process to determine the medical, psychological and functional capabilities of older patients.</w:t>
            </w:r>
          </w:p>
        </w:tc>
      </w:tr>
      <w:tr w:rsidR="00CA0EF0" w:rsidRPr="00361E30" w14:paraId="0A27AAF6" w14:textId="77777777" w:rsidTr="003C13F4">
        <w:tc>
          <w:tcPr>
            <w:tcW w:w="9243" w:type="dxa"/>
          </w:tcPr>
          <w:p w14:paraId="301AAB3A" w14:textId="77777777" w:rsidR="00CA0EF0" w:rsidRPr="00361E30" w:rsidRDefault="00CA0EF0" w:rsidP="003C13F4">
            <w:pPr>
              <w:spacing w:line="276" w:lineRule="auto"/>
              <w:jc w:val="left"/>
              <w:rPr>
                <w:sz w:val="20"/>
                <w:szCs w:val="20"/>
                <w:lang w:val="en-GB"/>
              </w:rPr>
            </w:pPr>
            <w:r w:rsidRPr="00361E30">
              <w:rPr>
                <w:b/>
                <w:sz w:val="20"/>
                <w:szCs w:val="20"/>
                <w:lang w:val="en-GB"/>
              </w:rPr>
              <w:t>Glasgow coma score</w:t>
            </w:r>
            <w:r w:rsidRPr="00361E30">
              <w:rPr>
                <w:sz w:val="20"/>
                <w:szCs w:val="20"/>
                <w:lang w:val="en-GB"/>
              </w:rPr>
              <w:t xml:space="preserve"> – A clinical scoring system that measures a patient’s level of consciousness after a head injury. Patients who are fully awake have a score of 15 and those that are completely unresponsive have a score of 3</w:t>
            </w:r>
          </w:p>
        </w:tc>
      </w:tr>
      <w:tr w:rsidR="00CA0EF0" w:rsidRPr="00361E30" w14:paraId="711AC448" w14:textId="77777777" w:rsidTr="003C13F4">
        <w:tc>
          <w:tcPr>
            <w:tcW w:w="9243" w:type="dxa"/>
          </w:tcPr>
          <w:p w14:paraId="2ED65F82" w14:textId="77777777" w:rsidR="00CA0EF0" w:rsidRPr="00361E30" w:rsidRDefault="00CA0EF0" w:rsidP="003C13F4">
            <w:pPr>
              <w:spacing w:line="276" w:lineRule="auto"/>
              <w:jc w:val="left"/>
              <w:rPr>
                <w:sz w:val="20"/>
                <w:szCs w:val="20"/>
                <w:lang w:val="en-GB"/>
              </w:rPr>
            </w:pPr>
            <w:r w:rsidRPr="00361E30">
              <w:rPr>
                <w:b/>
                <w:sz w:val="20"/>
                <w:szCs w:val="20"/>
                <w:lang w:val="en-GB"/>
              </w:rPr>
              <w:t xml:space="preserve">Glasgow outcome score </w:t>
            </w:r>
            <w:r w:rsidRPr="00361E30">
              <w:rPr>
                <w:sz w:val="20"/>
                <w:szCs w:val="20"/>
                <w:lang w:val="en-GB"/>
              </w:rPr>
              <w:t>– A clinical scoring system that measures a patient’s ability to function (functional capacity). The score was initially designed to be used on patients following head injuries, but is now used in other situations as well.</w:t>
            </w:r>
          </w:p>
        </w:tc>
      </w:tr>
      <w:tr w:rsidR="00CA0EF0" w:rsidRPr="00361E30" w14:paraId="467E8C3C" w14:textId="77777777" w:rsidTr="003C13F4">
        <w:tc>
          <w:tcPr>
            <w:tcW w:w="9243" w:type="dxa"/>
          </w:tcPr>
          <w:p w14:paraId="2AE8F7FE" w14:textId="77777777" w:rsidR="00CA0EF0" w:rsidRPr="00361E30" w:rsidRDefault="00CA0EF0" w:rsidP="003C13F4">
            <w:pPr>
              <w:spacing w:line="276" w:lineRule="auto"/>
              <w:jc w:val="left"/>
              <w:rPr>
                <w:i/>
                <w:sz w:val="20"/>
                <w:szCs w:val="20"/>
                <w:lang w:val="en-GB"/>
              </w:rPr>
            </w:pPr>
            <w:r w:rsidRPr="00361E30">
              <w:rPr>
                <w:b/>
                <w:sz w:val="20"/>
                <w:szCs w:val="20"/>
                <w:lang w:val="en-GB"/>
              </w:rPr>
              <w:t>Injury severity score</w:t>
            </w:r>
            <w:r w:rsidRPr="00361E30">
              <w:rPr>
                <w:sz w:val="20"/>
                <w:szCs w:val="20"/>
                <w:lang w:val="en-GB"/>
              </w:rPr>
              <w:t xml:space="preserve"> – a system of scoring the overall severity of injuries in a multiple trauma patient. The score is calculated by summing the squares of the highest AIS scores from the three most severely body regions affected. </w:t>
            </w:r>
            <w:r w:rsidRPr="00361E30">
              <w:rPr>
                <w:i/>
                <w:sz w:val="20"/>
                <w:szCs w:val="20"/>
                <w:lang w:val="en-GB"/>
              </w:rPr>
              <w:t>(See ‘abbreviated injury score’)</w:t>
            </w:r>
          </w:p>
        </w:tc>
      </w:tr>
      <w:tr w:rsidR="00CA0EF0" w:rsidRPr="00361E30" w14:paraId="6D7C45F1" w14:textId="77777777" w:rsidTr="003C13F4">
        <w:tc>
          <w:tcPr>
            <w:tcW w:w="9243" w:type="dxa"/>
          </w:tcPr>
          <w:p w14:paraId="7FD6C624" w14:textId="77777777" w:rsidR="00CA0EF0" w:rsidRPr="00361E30" w:rsidRDefault="00CA0EF0" w:rsidP="003C13F4">
            <w:pPr>
              <w:spacing w:line="276" w:lineRule="auto"/>
              <w:jc w:val="left"/>
              <w:rPr>
                <w:sz w:val="20"/>
                <w:szCs w:val="20"/>
                <w:lang w:val="en-GB"/>
              </w:rPr>
            </w:pPr>
            <w:r w:rsidRPr="00361E30">
              <w:rPr>
                <w:b/>
                <w:sz w:val="20"/>
                <w:szCs w:val="20"/>
                <w:lang w:val="en-GB"/>
              </w:rPr>
              <w:t xml:space="preserve">Major Trauma Centre </w:t>
            </w:r>
            <w:r w:rsidRPr="00361E30">
              <w:rPr>
                <w:sz w:val="20"/>
                <w:szCs w:val="20"/>
                <w:lang w:val="en-GB"/>
              </w:rPr>
              <w:t xml:space="preserve">– A trauma receiving hospital which acts as a specialist trauma hospital for a region in England. Each region generally has one major trauma centre, which works in conjunction with a number of smaller trauma units. </w:t>
            </w:r>
            <w:r w:rsidRPr="00361E30">
              <w:rPr>
                <w:i/>
                <w:sz w:val="20"/>
                <w:szCs w:val="20"/>
                <w:lang w:val="en-GB"/>
              </w:rPr>
              <w:t>(See ‘trauma unit’)</w:t>
            </w:r>
          </w:p>
        </w:tc>
      </w:tr>
      <w:tr w:rsidR="00CA0EF0" w:rsidRPr="00361E30" w14:paraId="73B357CF" w14:textId="77777777" w:rsidTr="003C13F4">
        <w:tc>
          <w:tcPr>
            <w:tcW w:w="9243" w:type="dxa"/>
          </w:tcPr>
          <w:p w14:paraId="539419EC" w14:textId="77777777" w:rsidR="00CA0EF0" w:rsidRPr="00361E30" w:rsidRDefault="00CA0EF0" w:rsidP="003C13F4">
            <w:pPr>
              <w:spacing w:line="276" w:lineRule="auto"/>
              <w:jc w:val="left"/>
              <w:rPr>
                <w:i/>
                <w:sz w:val="20"/>
                <w:szCs w:val="20"/>
                <w:lang w:val="en-GB"/>
              </w:rPr>
            </w:pPr>
            <w:r w:rsidRPr="00361E30">
              <w:rPr>
                <w:b/>
                <w:sz w:val="20"/>
                <w:szCs w:val="20"/>
                <w:lang w:val="en-GB"/>
              </w:rPr>
              <w:t xml:space="preserve">Patient characteristics </w:t>
            </w:r>
            <w:r w:rsidRPr="00361E30">
              <w:rPr>
                <w:sz w:val="20"/>
                <w:szCs w:val="20"/>
                <w:lang w:val="en-GB"/>
              </w:rPr>
              <w:t xml:space="preserve">– In this thesis, ‘patient characteristics’ were characteristics of trauma patients (including demographic characteristics, pre-injury status, injury characteristics and physiological variables) that influenced survival following major trauma. Variables that influenced survival and were tested in the multivariate model were divided into ‘patient characteristics’ and ‘care process factors’. </w:t>
            </w:r>
            <w:r w:rsidRPr="00361E30">
              <w:rPr>
                <w:i/>
                <w:sz w:val="20"/>
                <w:szCs w:val="20"/>
                <w:lang w:val="en-GB"/>
              </w:rPr>
              <w:t>(see ‘care process factors’)</w:t>
            </w:r>
          </w:p>
        </w:tc>
      </w:tr>
      <w:tr w:rsidR="00CA0EF0" w:rsidRPr="00361E30" w14:paraId="2B133EE5" w14:textId="77777777" w:rsidTr="003C13F4">
        <w:tc>
          <w:tcPr>
            <w:tcW w:w="9243" w:type="dxa"/>
          </w:tcPr>
          <w:p w14:paraId="423CA1AD" w14:textId="77777777" w:rsidR="00CA0EF0" w:rsidRPr="00361E30" w:rsidRDefault="00CA0EF0" w:rsidP="003C13F4">
            <w:pPr>
              <w:spacing w:line="276" w:lineRule="auto"/>
              <w:jc w:val="left"/>
              <w:rPr>
                <w:sz w:val="20"/>
                <w:szCs w:val="20"/>
                <w:lang w:val="en-GB"/>
              </w:rPr>
            </w:pPr>
            <w:r w:rsidRPr="00361E30">
              <w:rPr>
                <w:b/>
                <w:sz w:val="20"/>
                <w:szCs w:val="20"/>
                <w:lang w:val="en-GB"/>
              </w:rPr>
              <w:t xml:space="preserve">Rehabilitation prescription </w:t>
            </w:r>
            <w:r w:rsidRPr="00361E30">
              <w:rPr>
                <w:sz w:val="20"/>
                <w:szCs w:val="20"/>
                <w:lang w:val="en-GB"/>
              </w:rPr>
              <w:t>– “a rehabilitation (disability-focused) clinical record, to run in parallel with or be intertwined with the more traditional medical (disease-focused) clinical record.” (Implementing the Rehabilitation Prescription. British Society of Rehabilitation Medicine, 2013)</w:t>
            </w:r>
          </w:p>
        </w:tc>
      </w:tr>
      <w:tr w:rsidR="00CA0EF0" w:rsidRPr="00361E30" w14:paraId="3FA3290F" w14:textId="77777777" w:rsidTr="003C13F4">
        <w:tc>
          <w:tcPr>
            <w:tcW w:w="9243" w:type="dxa"/>
          </w:tcPr>
          <w:p w14:paraId="1C6090E4" w14:textId="77777777" w:rsidR="00CA0EF0" w:rsidRPr="00361E30" w:rsidRDefault="00CA0EF0" w:rsidP="003C13F4">
            <w:pPr>
              <w:spacing w:line="276" w:lineRule="auto"/>
              <w:jc w:val="left"/>
              <w:rPr>
                <w:sz w:val="20"/>
                <w:szCs w:val="20"/>
                <w:lang w:val="en-GB"/>
              </w:rPr>
            </w:pPr>
            <w:r w:rsidRPr="00361E30">
              <w:rPr>
                <w:b/>
                <w:sz w:val="20"/>
                <w:szCs w:val="20"/>
                <w:lang w:val="en-GB"/>
              </w:rPr>
              <w:t>Revised trauma score</w:t>
            </w:r>
            <w:r w:rsidRPr="00361E30">
              <w:rPr>
                <w:sz w:val="20"/>
                <w:szCs w:val="20"/>
                <w:lang w:val="en-GB"/>
              </w:rPr>
              <w:t xml:space="preserve"> – A clinical scoring system that combines the patient’s systolic blood pressure, respiratory rate and Glasgow coma score to provide in indication of how badly their physiology has been deranged following an injury.</w:t>
            </w:r>
          </w:p>
        </w:tc>
      </w:tr>
      <w:tr w:rsidR="00CA0EF0" w:rsidRPr="00361E30" w14:paraId="311489C5" w14:textId="77777777" w:rsidTr="003C13F4">
        <w:tc>
          <w:tcPr>
            <w:tcW w:w="9243" w:type="dxa"/>
          </w:tcPr>
          <w:p w14:paraId="716B010F" w14:textId="77777777" w:rsidR="00CA0EF0" w:rsidRPr="00361E30" w:rsidRDefault="00CA0EF0" w:rsidP="003C13F4">
            <w:pPr>
              <w:spacing w:line="276" w:lineRule="auto"/>
              <w:jc w:val="left"/>
              <w:rPr>
                <w:i/>
                <w:sz w:val="20"/>
                <w:szCs w:val="20"/>
                <w:lang w:val="en-GB"/>
              </w:rPr>
            </w:pPr>
            <w:r w:rsidRPr="00361E30">
              <w:rPr>
                <w:b/>
                <w:sz w:val="20"/>
                <w:szCs w:val="20"/>
                <w:lang w:val="en-GB"/>
              </w:rPr>
              <w:t xml:space="preserve">Trauma Unit </w:t>
            </w:r>
            <w:r w:rsidRPr="00361E30">
              <w:rPr>
                <w:sz w:val="20"/>
                <w:szCs w:val="20"/>
                <w:lang w:val="en-GB"/>
              </w:rPr>
              <w:t xml:space="preserve">– A smaller hospital that admits and treats injured patients but is not a specialist trauma hospital. More seriously injured patients would be transferred from trauma units to major trauma centres for specialist trauma care. Each region in England is served by a number of trauma units, which will refer more seriously injured patient to the major trauma centre in that region. </w:t>
            </w:r>
            <w:r w:rsidRPr="00361E30">
              <w:rPr>
                <w:i/>
                <w:sz w:val="20"/>
                <w:szCs w:val="20"/>
                <w:lang w:val="en-GB"/>
              </w:rPr>
              <w:t>(See ‘major trauma centre’)</w:t>
            </w:r>
          </w:p>
        </w:tc>
      </w:tr>
      <w:tr w:rsidR="00CA0EF0" w:rsidRPr="00361E30" w14:paraId="2CF67A6C" w14:textId="77777777" w:rsidTr="003C13F4">
        <w:tc>
          <w:tcPr>
            <w:tcW w:w="9243" w:type="dxa"/>
          </w:tcPr>
          <w:p w14:paraId="7BF62500" w14:textId="77777777" w:rsidR="00CA0EF0" w:rsidRPr="00361E30" w:rsidRDefault="00CA0EF0" w:rsidP="003C13F4">
            <w:pPr>
              <w:spacing w:line="276" w:lineRule="auto"/>
              <w:jc w:val="left"/>
              <w:rPr>
                <w:sz w:val="20"/>
                <w:szCs w:val="20"/>
                <w:lang w:val="en-GB"/>
              </w:rPr>
            </w:pPr>
            <w:r w:rsidRPr="00361E30">
              <w:rPr>
                <w:b/>
                <w:sz w:val="20"/>
                <w:szCs w:val="20"/>
                <w:lang w:val="en-GB"/>
              </w:rPr>
              <w:t xml:space="preserve">Trauma Ward </w:t>
            </w:r>
            <w:r w:rsidRPr="00361E30">
              <w:rPr>
                <w:sz w:val="20"/>
                <w:szCs w:val="20"/>
                <w:lang w:val="en-GB"/>
              </w:rPr>
              <w:t>– A ward in a trauma receiving hospital specifically designated to admit seriously injured patients. The admission criteria and standard operation procedures for these wards are not standardised across hospitals</w:t>
            </w:r>
          </w:p>
        </w:tc>
      </w:tr>
      <w:tr w:rsidR="00CA0EF0" w:rsidRPr="00361E30" w14:paraId="0A8D7300" w14:textId="77777777" w:rsidTr="003C13F4">
        <w:tc>
          <w:tcPr>
            <w:tcW w:w="9243" w:type="dxa"/>
          </w:tcPr>
          <w:p w14:paraId="06C339CF" w14:textId="77777777" w:rsidR="00CA0EF0" w:rsidRPr="00361E30" w:rsidRDefault="00CA0EF0" w:rsidP="003C13F4">
            <w:pPr>
              <w:spacing w:line="276" w:lineRule="auto"/>
              <w:jc w:val="left"/>
              <w:rPr>
                <w:sz w:val="20"/>
                <w:szCs w:val="20"/>
                <w:lang w:val="en-GB"/>
              </w:rPr>
            </w:pPr>
            <w:r w:rsidRPr="00361E30">
              <w:rPr>
                <w:b/>
                <w:sz w:val="20"/>
                <w:szCs w:val="20"/>
                <w:lang w:val="en-GB"/>
              </w:rPr>
              <w:t xml:space="preserve">Triage </w:t>
            </w:r>
            <w:r w:rsidRPr="00361E30">
              <w:rPr>
                <w:sz w:val="20"/>
                <w:szCs w:val="20"/>
                <w:lang w:val="en-GB"/>
              </w:rPr>
              <w:t>– A method of rapidly assessing patients on initial presentation to ascertain the severity of their injuries and prioritise care. It is a means of sorting multiple patients according to the severity of their injuries.</w:t>
            </w:r>
          </w:p>
        </w:tc>
      </w:tr>
    </w:tbl>
    <w:p w14:paraId="6F816E56" w14:textId="77777777" w:rsidR="00CA0EF0" w:rsidRPr="00361E30" w:rsidRDefault="00CA0EF0" w:rsidP="003C13F4">
      <w:pPr>
        <w:pStyle w:val="ChapterHeading"/>
      </w:pPr>
      <w:bookmarkStart w:id="5" w:name="_Toc1902197"/>
      <w:r w:rsidRPr="00361E30">
        <w:lastRenderedPageBreak/>
        <w:t>Abstract</w:t>
      </w:r>
      <w:bookmarkEnd w:id="5"/>
    </w:p>
    <w:p w14:paraId="5372C0F1" w14:textId="77777777" w:rsidR="00CA0EF0" w:rsidRPr="00361E30" w:rsidRDefault="00CA0EF0" w:rsidP="003C13F4">
      <w:pPr>
        <w:pStyle w:val="Heading2"/>
        <w:spacing w:line="240" w:lineRule="auto"/>
      </w:pPr>
      <w:bookmarkStart w:id="6" w:name="_Toc1902198"/>
      <w:r w:rsidRPr="00361E30">
        <w:t>Background</w:t>
      </w:r>
      <w:bookmarkEnd w:id="6"/>
    </w:p>
    <w:p w14:paraId="7460C65F" w14:textId="77777777" w:rsidR="00CA0EF0" w:rsidRPr="00361E30" w:rsidRDefault="00CA0EF0" w:rsidP="003C13F4">
      <w:pPr>
        <w:spacing w:line="240" w:lineRule="auto"/>
      </w:pPr>
      <w:r w:rsidRPr="00361E30">
        <w:t>As the global population ages, the presentation of major trauma has changed from healthy young men to older females with comorbidities. This study aimed to identify patient characteristics and care process factors that impact on mortality following major trauma in older patients.</w:t>
      </w:r>
    </w:p>
    <w:p w14:paraId="3FA72F23" w14:textId="77777777" w:rsidR="00CA0EF0" w:rsidRPr="00361E30" w:rsidRDefault="00CA0EF0" w:rsidP="003C13F4">
      <w:pPr>
        <w:pStyle w:val="Heading2"/>
        <w:spacing w:line="240" w:lineRule="auto"/>
      </w:pPr>
      <w:bookmarkStart w:id="7" w:name="_Toc1902199"/>
      <w:r w:rsidRPr="00361E30">
        <w:t>Methods</w:t>
      </w:r>
      <w:bookmarkEnd w:id="7"/>
    </w:p>
    <w:p w14:paraId="0BC818AD" w14:textId="77777777" w:rsidR="00CA0EF0" w:rsidRPr="00361E30" w:rsidRDefault="00CA0EF0" w:rsidP="003C13F4">
      <w:pPr>
        <w:spacing w:line="240" w:lineRule="auto"/>
      </w:pPr>
      <w:r w:rsidRPr="00361E30">
        <w:t xml:space="preserve">This was a sequential mixed methods study, using qualitative residual analysis. A model for predicting risk-adjusted mortality in older trauma patients was developed using data from the Trauma Audit and Research Network (TARN) on 46,000 patients aged </w:t>
      </w:r>
      <w:r w:rsidRPr="00361E30">
        <w:rPr>
          <w:rFonts w:cstheme="minorHAnsi"/>
        </w:rPr>
        <w:t>≥</w:t>
      </w:r>
      <w:r w:rsidRPr="00361E30">
        <w:t>65 years admitted with major trauma between June 2013 and May 2015. Hospitals with significantly better or worse survival rates than predicted by the model (outliers) were identified. Twenty semi-structured interviews were conducted with staff at two outlying hospitals, to identify factors that may have contributed to their outcomes. These were added to the predictive model to determine whether they explained the variance between hospitals.</w:t>
      </w:r>
    </w:p>
    <w:p w14:paraId="166758DA" w14:textId="77777777" w:rsidR="00CA0EF0" w:rsidRPr="00361E30" w:rsidRDefault="00CA0EF0" w:rsidP="003C13F4">
      <w:pPr>
        <w:pStyle w:val="Heading2"/>
        <w:spacing w:line="240" w:lineRule="auto"/>
      </w:pPr>
      <w:bookmarkStart w:id="8" w:name="_Toc1902200"/>
      <w:r w:rsidRPr="00361E30">
        <w:t>Results</w:t>
      </w:r>
      <w:bookmarkEnd w:id="8"/>
    </w:p>
    <w:p w14:paraId="15C858EC" w14:textId="77777777" w:rsidR="00CA0EF0" w:rsidRPr="00361E30" w:rsidRDefault="00CA0EF0" w:rsidP="003C13F4">
      <w:pPr>
        <w:spacing w:line="240" w:lineRule="auto"/>
      </w:pPr>
      <w:r w:rsidRPr="00361E30">
        <w:t>The predictive model created performed better in older people than the current TARN predictive model. It included the covariates used in the current TARN predictive model, but the presentation of these variables differed. Interviews at outlying hospitals revealed three main themes: characteristics of older trauma patients, attitudes towards older trauma patients and management of older trauma patients. Important sub-themes included frailty, attitudes of older patients, attitudes of staff, the benefits of a trauma ward, a holistic approach and decisions to resuscitate. Admission to a trauma ward and ordering a rehabilitation prescription were associated with improved outcomes, but did not improve the accuracy of the model.</w:t>
      </w:r>
    </w:p>
    <w:p w14:paraId="42081247" w14:textId="77777777" w:rsidR="00CA0EF0" w:rsidRPr="00361E30" w:rsidRDefault="00CA0EF0" w:rsidP="003C13F4">
      <w:pPr>
        <w:pStyle w:val="Heading2"/>
        <w:spacing w:line="240" w:lineRule="auto"/>
      </w:pPr>
      <w:bookmarkStart w:id="9" w:name="_Toc1902201"/>
      <w:r w:rsidRPr="00361E30">
        <w:t>Conclusion</w:t>
      </w:r>
      <w:bookmarkEnd w:id="9"/>
    </w:p>
    <w:p w14:paraId="4AB1FEA4" w14:textId="77777777" w:rsidR="00CA0EF0" w:rsidRPr="00361E30" w:rsidRDefault="00CA0EF0" w:rsidP="003C13F4">
      <w:pPr>
        <w:spacing w:line="240" w:lineRule="auto"/>
      </w:pPr>
      <w:r w:rsidRPr="00361E30">
        <w:t>Current models for predicting outcome in major trauma are not as accurate when applied to older patients. Factors identified as potentially important in this population included frailty, early rehabilitation, and the presence of a trauma ward in hospitals caring for these older patients.</w:t>
      </w:r>
    </w:p>
    <w:p w14:paraId="2982B30B" w14:textId="77777777" w:rsidR="00CA0EF0" w:rsidRPr="00361E30" w:rsidRDefault="00CA0EF0">
      <w:pPr>
        <w:spacing w:line="276" w:lineRule="auto"/>
        <w:jc w:val="left"/>
      </w:pPr>
      <w:r w:rsidRPr="00361E30">
        <w:br w:type="page"/>
      </w:r>
    </w:p>
    <w:p w14:paraId="161B8231" w14:textId="77777777" w:rsidR="00CA0EF0" w:rsidRPr="00361E30" w:rsidRDefault="00CA0EF0" w:rsidP="003C13F4">
      <w:pPr>
        <w:pStyle w:val="ChapterHeading"/>
      </w:pPr>
      <w:bookmarkStart w:id="10" w:name="_Toc1902202"/>
      <w:r w:rsidRPr="00361E30">
        <w:lastRenderedPageBreak/>
        <w:t>Acknowledgements</w:t>
      </w:r>
      <w:bookmarkEnd w:id="10"/>
    </w:p>
    <w:p w14:paraId="385E596F" w14:textId="77777777" w:rsidR="00CA0EF0" w:rsidRPr="00361E30" w:rsidRDefault="00CA0EF0" w:rsidP="003C13F4">
      <w:r w:rsidRPr="00361E30">
        <w:t>I would like to express my gratitude to the following people, without whose support and advice this thesis would not have been completed:</w:t>
      </w:r>
    </w:p>
    <w:p w14:paraId="1699C3AE" w14:textId="77777777" w:rsidR="00CA0EF0" w:rsidRPr="00361E30" w:rsidRDefault="00CA0EF0" w:rsidP="003C13F4">
      <w:r w:rsidRPr="00361E30">
        <w:t>My supervisors Fiona Lecky and Alicia O’Cathain, who gave me the opportunity to pursue this work, and provided excellent support and supervision throughout the process. I am truly grateful for your patience, wisdom and encouragement throughout.</w:t>
      </w:r>
    </w:p>
    <w:p w14:paraId="23F4A136" w14:textId="77777777" w:rsidR="00CA0EF0" w:rsidRPr="00361E30" w:rsidRDefault="00CA0EF0" w:rsidP="003C13F4">
      <w:r w:rsidRPr="00361E30">
        <w:t>All the staff at TARN, who worked tirelessly to provide me with the data I needed. Especially to Omar Bouamra, who taught me more statistics than I could ever get from a textbook, and patiently provided his time and expertise to help me with all queries statistical. Also a special thanks to Tom Lawrence, whose ability to find the right data from the mountain that is the TARN database is truly inspiring.</w:t>
      </w:r>
    </w:p>
    <w:p w14:paraId="7AD95487" w14:textId="77777777" w:rsidR="00CA0EF0" w:rsidRPr="00361E30" w:rsidRDefault="00CA0EF0" w:rsidP="003C13F4">
      <w:r w:rsidRPr="00361E30">
        <w:t>The members of the Sheffield Emergency Care Forum for your pragmatic and insightful advice and comments on the early drafts of my project proposal, and your continued support over the past four years.</w:t>
      </w:r>
    </w:p>
    <w:p w14:paraId="7E8CBCEB" w14:textId="77777777" w:rsidR="00CA0EF0" w:rsidRPr="00361E30" w:rsidRDefault="00CA0EF0" w:rsidP="003C13F4">
      <w:r w:rsidRPr="00361E30">
        <w:t xml:space="preserve">My colleagues, Sarah Crede and Fiona Sampson, for putting up with my questions and frustrations, and for providing a stress-free environment in which I could share my ideas and discuss my research. Also, for stepping up to the plate and continuing to lead the MSc in AEC when I had to return to Trinidad!  </w:t>
      </w:r>
    </w:p>
    <w:p w14:paraId="78388991" w14:textId="77777777" w:rsidR="00CA0EF0" w:rsidRPr="00361E30" w:rsidRDefault="00CA0EF0" w:rsidP="003C13F4">
      <w:r w:rsidRPr="00361E30">
        <w:t>My wife, Paula and my children Joshua and Danielle for allowing me to ‘go back to school’ and pursue this PhD. I know that the last few years have been a challenge, and I am grateful for your support.</w:t>
      </w:r>
    </w:p>
    <w:p w14:paraId="2C0265CE" w14:textId="77777777" w:rsidR="00CA0EF0" w:rsidRPr="00361E30" w:rsidRDefault="00CA0EF0">
      <w:pPr>
        <w:spacing w:line="276" w:lineRule="auto"/>
        <w:jc w:val="left"/>
      </w:pPr>
      <w:r w:rsidRPr="00361E30">
        <w:t>Ian Sammy</w:t>
      </w:r>
    </w:p>
    <w:p w14:paraId="7308597D" w14:textId="77777777" w:rsidR="00CA0EF0" w:rsidRPr="00361E30" w:rsidRDefault="00CA0EF0">
      <w:pPr>
        <w:spacing w:line="276" w:lineRule="auto"/>
        <w:jc w:val="left"/>
      </w:pPr>
      <w:r w:rsidRPr="00361E30">
        <w:t>Sheffield</w:t>
      </w:r>
    </w:p>
    <w:p w14:paraId="225DFF75" w14:textId="77777777" w:rsidR="00CA0EF0" w:rsidRPr="00361E30" w:rsidRDefault="00CA0EF0">
      <w:pPr>
        <w:spacing w:line="276" w:lineRule="auto"/>
        <w:jc w:val="left"/>
      </w:pPr>
      <w:r w:rsidRPr="00361E30">
        <w:t>November 2018</w:t>
      </w:r>
      <w:r w:rsidRPr="00361E30">
        <w:br w:type="page"/>
      </w:r>
    </w:p>
    <w:p w14:paraId="0B1DE67A" w14:textId="77777777" w:rsidR="00CA0EF0" w:rsidRPr="00361E30" w:rsidRDefault="00CA0EF0" w:rsidP="003C13F4">
      <w:pPr>
        <w:pStyle w:val="ChapterHeading"/>
      </w:pPr>
      <w:bookmarkStart w:id="11" w:name="_Toc1902203"/>
      <w:r w:rsidRPr="00361E30">
        <w:lastRenderedPageBreak/>
        <w:t>Introduction</w:t>
      </w:r>
      <w:bookmarkEnd w:id="11"/>
    </w:p>
    <w:p w14:paraId="151F87ED" w14:textId="77777777" w:rsidR="00CA0EF0" w:rsidRPr="00361E30" w:rsidRDefault="00CA0EF0" w:rsidP="003C13F4">
      <w:pPr>
        <w:pStyle w:val="Heading2"/>
      </w:pPr>
      <w:bookmarkStart w:id="12" w:name="_Toc1902204"/>
      <w:r w:rsidRPr="00361E30">
        <w:t>Why is this research important?</w:t>
      </w:r>
      <w:bookmarkEnd w:id="12"/>
    </w:p>
    <w:p w14:paraId="75AE4C03" w14:textId="77777777" w:rsidR="00CA0EF0" w:rsidRPr="00361E30" w:rsidRDefault="00CA0EF0" w:rsidP="003C13F4">
      <w:r w:rsidRPr="00361E30">
        <w:t>Ageing is a phenomenon that affects the world. Since the 1950s, the World Health Organisation and other interested scientists have monitored the ageing of the global population, providing compelling evidence of the unprecedented rate of ageing of the population and the impact of this phenomenon on health and social care.</w:t>
      </w:r>
    </w:p>
    <w:p w14:paraId="3AA702C8" w14:textId="77777777" w:rsidR="00CA0EF0" w:rsidRPr="00361E30" w:rsidRDefault="00CA0EF0" w:rsidP="003C13F4">
      <w:pPr>
        <w:ind w:firstLine="720"/>
      </w:pPr>
      <w:r w:rsidRPr="00361E30">
        <w:t xml:space="preserve">As an important presenting condition in Emergency Medicine, major trauma (serious multiple injuries suffered by patients through physical harm) provides an example of the wider changes in patient presentations caused by population ageing. When major trauma was initially investigated in the 1950s to 1980s, it was a disease of young, healthy men. With the ageing of the population, it has gradually transformed into a condition of older, predominantly female patients with multiple illnesses and higher degrees of ill health. Unfortunately, current systems of trauma care have been based on a model catering for the former type of patient and may not have evolved to cater for the latter. Just as the ageing phenomenon has been widely ignored in developing countries such as Trinidad, the response to it has been slow and possibly inadequate in the developed world. </w:t>
      </w:r>
    </w:p>
    <w:p w14:paraId="34227784" w14:textId="77777777" w:rsidR="00CA0EF0" w:rsidRPr="00361E30" w:rsidRDefault="00CA0EF0" w:rsidP="003C13F4">
      <w:pPr>
        <w:ind w:firstLine="720"/>
      </w:pPr>
      <w:r w:rsidRPr="00361E30">
        <w:t xml:space="preserve">My own introduction to the phenomenon of ageing followed my career pathway between Trinidad and the United Kingdom (UK). Having worked in both Trinidad and the United Kingdom, I have been struck by the rapid and relentless rate of ageing in both populations, and the relative lack of preparation for these changes, particularly in the specialty of Emergency Medicine. </w:t>
      </w:r>
    </w:p>
    <w:p w14:paraId="294FDA06" w14:textId="77777777" w:rsidR="00CA0EF0" w:rsidRPr="00361E30" w:rsidRDefault="00CA0EF0" w:rsidP="003C13F4">
      <w:pPr>
        <w:pStyle w:val="Heading2"/>
      </w:pPr>
      <w:bookmarkStart w:id="13" w:name="_Toc1902205"/>
      <w:r w:rsidRPr="00361E30">
        <w:t>The Research Question</w:t>
      </w:r>
      <w:bookmarkEnd w:id="13"/>
    </w:p>
    <w:p w14:paraId="776BCE33" w14:textId="77777777" w:rsidR="00CA0EF0" w:rsidRPr="00361E30" w:rsidRDefault="00CA0EF0" w:rsidP="003C13F4">
      <w:r w:rsidRPr="00361E30">
        <w:t>This thesis seeks to better understand the factors that impact on survival to hospital discharge after major injury (injury that is inherently life threatening or potentially life changing) in older people. The primary research question was:</w:t>
      </w:r>
    </w:p>
    <w:p w14:paraId="7DD2794D" w14:textId="77777777" w:rsidR="00CA0EF0" w:rsidRPr="00361E30" w:rsidRDefault="00CA0EF0" w:rsidP="003C13F4">
      <w:r w:rsidRPr="00361E30">
        <w:t>‘What are the factors (including patient characteristics and care process factors) that affect survival rates in older people suffering major trauma that are treated in trauma receiving hospitals in England and Wales?’</w:t>
      </w:r>
    </w:p>
    <w:p w14:paraId="0E848C11" w14:textId="77777777" w:rsidR="00CA0EF0" w:rsidRPr="00361E30" w:rsidRDefault="00CA0EF0" w:rsidP="003C13F4">
      <w:r w:rsidRPr="00361E30">
        <w:t>When considering the factors affecting outcome in older trauma patients, these were categorised into two groups:</w:t>
      </w:r>
    </w:p>
    <w:p w14:paraId="0DFE1CDB" w14:textId="77777777" w:rsidR="00CA0EF0" w:rsidRPr="00361E30" w:rsidRDefault="00CA0EF0" w:rsidP="003C13F4">
      <w:pPr>
        <w:pStyle w:val="ListParagraph"/>
        <w:numPr>
          <w:ilvl w:val="1"/>
          <w:numId w:val="35"/>
        </w:numPr>
      </w:pPr>
      <w:r w:rsidRPr="00361E30">
        <w:t>Patient characteristics (factors directly attributable to the patients’ demographics, clinical features and injuries)</w:t>
      </w:r>
    </w:p>
    <w:p w14:paraId="68A5A545" w14:textId="77777777" w:rsidR="00CA0EF0" w:rsidRPr="00361E30" w:rsidRDefault="00CA0EF0" w:rsidP="003C13F4">
      <w:pPr>
        <w:pStyle w:val="ListParagraph"/>
        <w:numPr>
          <w:ilvl w:val="1"/>
          <w:numId w:val="35"/>
        </w:numPr>
      </w:pPr>
      <w:r w:rsidRPr="00361E30">
        <w:lastRenderedPageBreak/>
        <w:t>Care process factors, (what healthcare providers do for these patients, and how care is organised and delivered)</w:t>
      </w:r>
    </w:p>
    <w:p w14:paraId="35C22C3F" w14:textId="77777777" w:rsidR="00CA0EF0" w:rsidRPr="00361E30" w:rsidRDefault="00CA0EF0" w:rsidP="003C13F4">
      <w:pPr>
        <w:ind w:firstLine="720"/>
      </w:pPr>
      <w:r w:rsidRPr="00361E30">
        <w:t>The distinction between patient characteristics and care process factors is important, as it helps to distinguish between the impact of older patients’ intrinsic characteristics on their health outcomes, versus how much healthcare providers impact on these outcomes through the type of care provided and the approach to the provision of this care. However, it should also be recognised that the two sets of factors (patient characteristics and care process factors) are inter-dependent. For example, the generally worse outcomes in older people may lead to a less aggressive approach to resuscitation, since care providers may view these poor outcomes as inevitable and irreversible.</w:t>
      </w:r>
    </w:p>
    <w:p w14:paraId="7528411A" w14:textId="77777777" w:rsidR="00CA0EF0" w:rsidRPr="00361E30" w:rsidRDefault="00CA0EF0" w:rsidP="003C13F4">
      <w:pPr>
        <w:ind w:firstLine="720"/>
      </w:pPr>
      <w:r w:rsidRPr="00361E30">
        <w:t>While prediction models may be used to predict the outcome of individual patients based on their particular characteristics, and the care they receive, these models can also be used to predict hospital performance in relation to older trauma patients. This is often represented by overall survival rates for older trauma patients in individual hospitals. In this context, the degree of variation between hospitals can be used as a measure of the accuracy of any model at predicting outcomes in older trauma patients.</w:t>
      </w:r>
    </w:p>
    <w:p w14:paraId="245688F2" w14:textId="77777777" w:rsidR="00CA0EF0" w:rsidRPr="00361E30" w:rsidRDefault="00CA0EF0" w:rsidP="003C13F4">
      <w:pPr>
        <w:pStyle w:val="Heading2"/>
      </w:pPr>
      <w:bookmarkStart w:id="14" w:name="_Toc1902206"/>
      <w:r w:rsidRPr="00361E30">
        <w:t>Study Design and Research Methods</w:t>
      </w:r>
      <w:bookmarkEnd w:id="14"/>
    </w:p>
    <w:p w14:paraId="26D06131" w14:textId="77777777" w:rsidR="00CA0EF0" w:rsidRPr="00361E30" w:rsidRDefault="00CA0EF0" w:rsidP="003C13F4">
      <w:r w:rsidRPr="00361E30">
        <w:t xml:space="preserve">A mixed methods approach was chosen for this study, based on a qualitative residual analysis design. This allowed identification and exploration of the potential patient characteristics and care process factors that might be impacting on major trauma outcomes in older people.  First, prognostic factors were identified utilising a review of the </w:t>
      </w:r>
      <w:r w:rsidR="008C16F5" w:rsidRPr="00361E30">
        <w:t>relevant</w:t>
      </w:r>
      <w:r w:rsidRPr="00361E30">
        <w:t xml:space="preserve"> literature, and prognostic models were optimised in a patient dataset from the Trauma Audit and Research Network (TARN) – the national Major Trauma Registry in England, Wales and Ireland. TARN collects data on all patients admitted to hospitals in England and Wales with major trauma (</w:t>
      </w:r>
      <w:hyperlink r:id="rId10" w:history="1">
        <w:r w:rsidRPr="00361E30">
          <w:rPr>
            <w:rStyle w:val="Hyperlink"/>
          </w:rPr>
          <w:t>www.tarn.ac.uk</w:t>
        </w:r>
      </w:hyperlink>
      <w:r w:rsidRPr="00361E30">
        <w:t xml:space="preserve">). The optimum predictive model was applied to hospitals in England, and hospitals were identified in which there were unexplained variations in rates of survival to hospital discharge when compared to that predicted by the model (‘outliers’). Patient characteristics and care process factors were further examined through a series of staff semi-structured interviews in ‘outlier’ hospitals. This identified further factors that have not traditionally been included in predictive for trauma in </w:t>
      </w:r>
      <w:r w:rsidR="00300688" w:rsidRPr="00361E30">
        <w:t>these patients</w:t>
      </w:r>
      <w:r w:rsidRPr="00361E30">
        <w:t>.  Finally, the additional factors identified through the semi-structured interviews were added to the predictive model (where appropriate and feasible) to determine whether these factors were able to better explain the variance between hospital performance.</w:t>
      </w:r>
    </w:p>
    <w:p w14:paraId="232D4DE6" w14:textId="77777777" w:rsidR="00CA0EF0" w:rsidRPr="00361E30" w:rsidRDefault="00CA0EF0" w:rsidP="003C13F4">
      <w:pPr>
        <w:pStyle w:val="Heading2"/>
      </w:pPr>
      <w:bookmarkStart w:id="15" w:name="_Toc1902207"/>
      <w:r w:rsidRPr="00361E30">
        <w:lastRenderedPageBreak/>
        <w:t>The Structure of the Thesis</w:t>
      </w:r>
      <w:bookmarkEnd w:id="15"/>
    </w:p>
    <w:p w14:paraId="1C1233C5" w14:textId="77777777" w:rsidR="00CA0EF0" w:rsidRPr="00361E30" w:rsidRDefault="00CA0EF0" w:rsidP="003C13F4">
      <w:pPr>
        <w:ind w:firstLine="720"/>
      </w:pPr>
      <w:r w:rsidRPr="00361E30">
        <w:t>This thesis is made up of 9 chapters, divided into four main sections:</w:t>
      </w:r>
    </w:p>
    <w:p w14:paraId="0158BD6C" w14:textId="77777777" w:rsidR="00CA0EF0" w:rsidRPr="00361E30" w:rsidRDefault="00CA0EF0" w:rsidP="003C13F4">
      <w:r w:rsidRPr="00361E30">
        <w:rPr>
          <w:u w:val="single"/>
        </w:rPr>
        <w:t>Background and literature review</w:t>
      </w:r>
      <w:r w:rsidRPr="00361E30">
        <w:t xml:space="preserve"> (Chapters 1 and 2), including general background information on ageing, trauma and the impact of ageing on trauma and trauma care, as well as two systematic reviews of the literature and one narrative review of qualitative research into trauma and emergency care in older people.</w:t>
      </w:r>
    </w:p>
    <w:p w14:paraId="44679C32" w14:textId="77777777" w:rsidR="00CA0EF0" w:rsidRPr="00361E30" w:rsidRDefault="00CA0EF0" w:rsidP="003C13F4">
      <w:r w:rsidRPr="00361E30">
        <w:rPr>
          <w:u w:val="single"/>
        </w:rPr>
        <w:t>Methodology and research methods</w:t>
      </w:r>
      <w:r w:rsidRPr="00361E30">
        <w:t xml:space="preserve"> (Chapter 3), which provides an outline of the qualitative residual analysis approach, as well as details of each of the three phases of the study. </w:t>
      </w:r>
    </w:p>
    <w:p w14:paraId="55DFFA56" w14:textId="77777777" w:rsidR="00CA0EF0" w:rsidRPr="00361E30" w:rsidRDefault="00CA0EF0" w:rsidP="003C13F4">
      <w:r w:rsidRPr="00361E30">
        <w:rPr>
          <w:u w:val="single"/>
        </w:rPr>
        <w:t>Results</w:t>
      </w:r>
      <w:r w:rsidRPr="00361E30">
        <w:t xml:space="preserve"> (Chapters 4 to 8), which are divided into a description of the sample population, Phase 1 quantitative analysis, Phase 2 qualitative semi-structured interviews and Phase 3 testing of further variables, based </w:t>
      </w:r>
      <w:r w:rsidR="000D20CB">
        <w:t>o</w:t>
      </w:r>
      <w:r w:rsidRPr="00361E30">
        <w:t>n the inclusion of additional factors that might affect older trauma patients that were identified during the qualitative phase of the study.</w:t>
      </w:r>
    </w:p>
    <w:p w14:paraId="0C93A830" w14:textId="77777777" w:rsidR="00CA0EF0" w:rsidRPr="00361E30" w:rsidRDefault="00CA0EF0" w:rsidP="003C13F4">
      <w:r w:rsidRPr="00361E30">
        <w:rPr>
          <w:u w:val="single"/>
        </w:rPr>
        <w:t>Discussion</w:t>
      </w:r>
      <w:r w:rsidRPr="00361E30">
        <w:t xml:space="preserve"> (Chapter 9), which outlines the main study findings, compares them to existing published research and discusses the strengths and limitations of the study, in addition to recommendations for further research.</w:t>
      </w:r>
    </w:p>
    <w:p w14:paraId="17A7DEFB" w14:textId="77777777" w:rsidR="00CA0EF0" w:rsidRPr="00361E30" w:rsidRDefault="00CA0EF0">
      <w:pPr>
        <w:spacing w:line="276" w:lineRule="auto"/>
        <w:jc w:val="left"/>
      </w:pPr>
      <w:r w:rsidRPr="00361E30">
        <w:br w:type="page"/>
      </w:r>
    </w:p>
    <w:p w14:paraId="1E21F6BD" w14:textId="77777777" w:rsidR="00CA0EF0" w:rsidRPr="00361E30" w:rsidRDefault="00CA0EF0" w:rsidP="003C13F4">
      <w:pPr>
        <w:sectPr w:rsidR="00CA0EF0" w:rsidRPr="00361E30" w:rsidSect="00FB42B1">
          <w:pgSz w:w="11907" w:h="16839" w:code="9"/>
          <w:pgMar w:top="1138" w:right="1138" w:bottom="1138" w:left="2275" w:header="720" w:footer="720" w:gutter="0"/>
          <w:pgNumType w:fmt="lowerRoman" w:start="1"/>
          <w:cols w:space="720"/>
          <w:docGrid w:linePitch="360"/>
        </w:sectPr>
      </w:pPr>
    </w:p>
    <w:p w14:paraId="180362F1" w14:textId="77777777" w:rsidR="00CA0EF0" w:rsidRPr="00361E30" w:rsidRDefault="00CA0EF0" w:rsidP="003C13F4">
      <w:pPr>
        <w:pStyle w:val="ChapterHeading"/>
      </w:pPr>
      <w:bookmarkStart w:id="16" w:name="_Toc1902208"/>
      <w:r w:rsidRPr="00361E30">
        <w:lastRenderedPageBreak/>
        <w:t>Chapter 1: Trauma and the Ageing Population</w:t>
      </w:r>
      <w:bookmarkEnd w:id="16"/>
    </w:p>
    <w:p w14:paraId="54F76674" w14:textId="77777777" w:rsidR="00CA0EF0" w:rsidRPr="00361E30" w:rsidRDefault="00CA0EF0" w:rsidP="003C13F4">
      <w:pPr>
        <w:pStyle w:val="Heading1"/>
      </w:pPr>
      <w:bookmarkStart w:id="17" w:name="_Toc1902209"/>
      <w:r w:rsidRPr="00361E30">
        <w:t>1.1</w:t>
      </w:r>
      <w:r w:rsidRPr="00361E30">
        <w:tab/>
        <w:t>Introduction</w:t>
      </w:r>
      <w:bookmarkEnd w:id="17"/>
    </w:p>
    <w:p w14:paraId="3222651B" w14:textId="77777777" w:rsidR="00CA0EF0" w:rsidRPr="00361E30" w:rsidRDefault="00CA0EF0" w:rsidP="003C13F4">
      <w:r w:rsidRPr="00361E30">
        <w:t xml:space="preserve">This PhD thesis investigates the impact of patient characteristics, healthcare delivery and organisation of health services on outcomes in older trauma patients. However, to fully understand the context of this investigation it is necessary to first explore the wider issues of age and ageing, and their impact on health. This chapter will discuss the epidemiology of ageing; the physiological response to trauma in older people; the concept of frailty and its relationship to trauma and the role of trauma registries in providing data on trauma and outcome prediction models in trauma, including their role in predicting outcome in older people. </w:t>
      </w:r>
    </w:p>
    <w:p w14:paraId="6C8D8509" w14:textId="77777777" w:rsidR="00CA0EF0" w:rsidRPr="00361E30" w:rsidRDefault="00CA0EF0" w:rsidP="003C13F4">
      <w:pPr>
        <w:pStyle w:val="Heading1"/>
      </w:pPr>
      <w:bookmarkStart w:id="18" w:name="_Toc1902210"/>
      <w:r w:rsidRPr="00361E30">
        <w:t>1.2</w:t>
      </w:r>
      <w:r w:rsidRPr="00361E30">
        <w:tab/>
        <w:t>The Epidemiology of Ageing</w:t>
      </w:r>
      <w:bookmarkEnd w:id="18"/>
    </w:p>
    <w:p w14:paraId="0C35AE5F" w14:textId="77777777" w:rsidR="00CA0EF0" w:rsidRPr="00361E30" w:rsidRDefault="00CA0EF0" w:rsidP="003C13F4">
      <w:pPr>
        <w:pStyle w:val="Heading2"/>
      </w:pPr>
      <w:bookmarkStart w:id="19" w:name="_Toc1902211"/>
      <w:r w:rsidRPr="00361E30">
        <w:t>1.2.1</w:t>
      </w:r>
      <w:r w:rsidRPr="00361E30">
        <w:tab/>
        <w:t>Global Trends in Population Ageing</w:t>
      </w:r>
      <w:bookmarkEnd w:id="19"/>
    </w:p>
    <w:p w14:paraId="026F2EFC" w14:textId="77777777" w:rsidR="00CA0EF0" w:rsidRPr="00361E30" w:rsidRDefault="00CA0EF0" w:rsidP="003C13F4">
      <w:r w:rsidRPr="00361E30">
        <w:t>Over the course of the 20</w:t>
      </w:r>
      <w:r w:rsidRPr="00361E30">
        <w:rPr>
          <w:vertAlign w:val="superscript"/>
        </w:rPr>
        <w:t>th</w:t>
      </w:r>
      <w:r w:rsidRPr="00361E30">
        <w:t xml:space="preserve"> century and into the 21</w:t>
      </w:r>
      <w:r w:rsidRPr="00361E30">
        <w:rPr>
          <w:vertAlign w:val="superscript"/>
        </w:rPr>
        <w:t>st</w:t>
      </w:r>
      <w:r w:rsidRPr="00361E30">
        <w:t xml:space="preserve"> century, the world has seen </w:t>
      </w:r>
      <w:r w:rsidR="00AE6D96">
        <w:t>an important</w:t>
      </w:r>
      <w:r w:rsidRPr="00361E30">
        <w:t xml:space="preserve"> increase in the age of its citizens. The rate and scale of this phenomenon is unprecedented in human history. Globally, the number of older people (aged 65 years and older) has trebled (from approximately 180 million to 600 million) between 1950 and 2000 and this number is set to treble again by 2050, to 2 billion. Despite a slowing of population ageing in developed countries, the current global rate of growth in the older population of 2% per annum is predicted to continue well into the mid-21</w:t>
      </w:r>
      <w:r w:rsidRPr="00361E30">
        <w:rPr>
          <w:vertAlign w:val="superscript"/>
        </w:rPr>
        <w:t>st</w:t>
      </w:r>
      <w:r w:rsidRPr="00361E30">
        <w:t xml:space="preserve"> century </w:t>
      </w:r>
      <w:r w:rsidRPr="00361E30">
        <w:rPr>
          <w:noProof/>
        </w:rPr>
        <w:t>(</w:t>
      </w:r>
      <w:r w:rsidR="009E1016" w:rsidRPr="00361E30">
        <w:rPr>
          <w:noProof/>
        </w:rPr>
        <w:t>World Health Organisation 2013b</w:t>
      </w:r>
      <w:r w:rsidRPr="00361E30">
        <w:rPr>
          <w:noProof/>
        </w:rPr>
        <w:t>)</w:t>
      </w:r>
      <w:r w:rsidRPr="00361E30">
        <w:t>.</w:t>
      </w:r>
    </w:p>
    <w:p w14:paraId="7E6A1D0F" w14:textId="77777777" w:rsidR="00CA0EF0" w:rsidRPr="00361E30" w:rsidRDefault="00CA0EF0" w:rsidP="003C13F4">
      <w:pPr>
        <w:ind w:firstLine="720"/>
      </w:pPr>
      <w:r w:rsidRPr="00361E30">
        <w:t xml:space="preserve">This growth in the older population has wide-reaching social, economic and cultural implications. The increase in the number of older people places an additional burden on working-age adults, on whom older people are likely to be dependent. The ‘potential support ratio’ or PSR (the number of individuals in a population aged 15 – 64, compared to those aged 65 and older) has decreased worldwide from 12:1 in the 1950s to 9:1 by 2000. It is expected to fall to 4:1 by 2050. This global statistic hides an even more severe reduction in this ratio in developed countries, many of whom already have PSRs of 5:1 or less, and some of whom (particularly in Europe and Japan) have ratios of less than 3:1 </w:t>
      </w:r>
      <w:r w:rsidR="00FC3F89" w:rsidRPr="00361E30">
        <w:t xml:space="preserve">(World Health Organisation </w:t>
      </w:r>
      <w:r w:rsidRPr="00361E30">
        <w:rPr>
          <w:noProof/>
        </w:rPr>
        <w:t>2002)</w:t>
      </w:r>
      <w:r w:rsidRPr="00361E30">
        <w:t xml:space="preserve">. </w:t>
      </w:r>
    </w:p>
    <w:p w14:paraId="47E9CC66" w14:textId="77777777" w:rsidR="00CA0EF0" w:rsidRPr="00361E30" w:rsidRDefault="00CA0EF0" w:rsidP="003C13F4">
      <w:pPr>
        <w:ind w:firstLine="720"/>
      </w:pPr>
      <w:r w:rsidRPr="00361E30">
        <w:t xml:space="preserve">In addition to an increase in absolute numbers of older people, this sector of the population is known to utilise healthcare services more than younger adults. Older people are more likely to be affected by multiple chronic non-communicable conditions than younger </w:t>
      </w:r>
      <w:r w:rsidRPr="00361E30">
        <w:lastRenderedPageBreak/>
        <w:t xml:space="preserve">adults and are at higher risk of complications of these chronic conditions </w:t>
      </w:r>
      <w:r w:rsidRPr="00361E30">
        <w:rPr>
          <w:noProof/>
        </w:rPr>
        <w:t>(Lehnert</w:t>
      </w:r>
      <w:r w:rsidR="00B249F5" w:rsidRPr="00361E30">
        <w:rPr>
          <w:noProof/>
        </w:rPr>
        <w:t xml:space="preserve"> et al.</w:t>
      </w:r>
      <w:r w:rsidRPr="00361E30">
        <w:rPr>
          <w:noProof/>
        </w:rPr>
        <w:t xml:space="preserve"> 2011)</w:t>
      </w:r>
      <w:r w:rsidRPr="00361E30">
        <w:t xml:space="preserve">. They are more likely to be on multiple medications and are more likely to suffer from side effects of their medication and drug-drug interactions than younger persons </w:t>
      </w:r>
      <w:r w:rsidR="00457606" w:rsidRPr="00361E30">
        <w:rPr>
          <w:noProof/>
        </w:rPr>
        <w:t xml:space="preserve">(Fulton and Riley </w:t>
      </w:r>
      <w:r w:rsidRPr="00361E30">
        <w:rPr>
          <w:noProof/>
        </w:rPr>
        <w:t>Allen 2005, Hajjar</w:t>
      </w:r>
      <w:r w:rsidR="00103094" w:rsidRPr="00361E30">
        <w:rPr>
          <w:noProof/>
        </w:rPr>
        <w:t xml:space="preserve"> et al.</w:t>
      </w:r>
      <w:r w:rsidRPr="00361E30">
        <w:rPr>
          <w:noProof/>
        </w:rPr>
        <w:t xml:space="preserve"> 2007, Hohl</w:t>
      </w:r>
      <w:r w:rsidR="00E3343D" w:rsidRPr="00361E30">
        <w:rPr>
          <w:noProof/>
        </w:rPr>
        <w:t xml:space="preserve"> et al.</w:t>
      </w:r>
      <w:r w:rsidRPr="00361E30">
        <w:rPr>
          <w:noProof/>
        </w:rPr>
        <w:t xml:space="preserve"> 2001, Obreli-Neto</w:t>
      </w:r>
      <w:r w:rsidR="00C9320A" w:rsidRPr="00361E30">
        <w:rPr>
          <w:noProof/>
        </w:rPr>
        <w:t xml:space="preserve"> et al.</w:t>
      </w:r>
      <w:r w:rsidRPr="00361E30">
        <w:rPr>
          <w:noProof/>
        </w:rPr>
        <w:t xml:space="preserve"> 2012)</w:t>
      </w:r>
      <w:r w:rsidRPr="00361E30">
        <w:t xml:space="preserve">. Older people are also more likely to be admitted to hospital and once admitted their length of stay is greater when compared to younger patients with similar conditions </w:t>
      </w:r>
      <w:r w:rsidRPr="00361E30">
        <w:rPr>
          <w:noProof/>
        </w:rPr>
        <w:t>(Imison et al. 2012)</w:t>
      </w:r>
      <w:r w:rsidRPr="00361E30">
        <w:t xml:space="preserve">. These differences between older and younger adults can have profound effects on the way they respond to serious injuries </w:t>
      </w:r>
      <w:r w:rsidRPr="00361E30">
        <w:rPr>
          <w:noProof/>
        </w:rPr>
        <w:t>(</w:t>
      </w:r>
      <w:r w:rsidR="002F0DC4" w:rsidRPr="00361E30">
        <w:rPr>
          <w:noProof/>
        </w:rPr>
        <w:t>Trauma Audit and Reseearch Network</w:t>
      </w:r>
      <w:r w:rsidRPr="00361E30">
        <w:rPr>
          <w:noProof/>
        </w:rPr>
        <w:t xml:space="preserve"> 2017, Kehoe</w:t>
      </w:r>
      <w:r w:rsidR="00B75D7B" w:rsidRPr="00361E30">
        <w:rPr>
          <w:noProof/>
        </w:rPr>
        <w:t xml:space="preserve"> et al.</w:t>
      </w:r>
      <w:r w:rsidRPr="00361E30">
        <w:rPr>
          <w:noProof/>
        </w:rPr>
        <w:t xml:space="preserve"> 2015</w:t>
      </w:r>
      <w:r w:rsidR="00B75D7B" w:rsidRPr="00361E30">
        <w:rPr>
          <w:noProof/>
        </w:rPr>
        <w:t>b</w:t>
      </w:r>
      <w:r w:rsidRPr="00361E30">
        <w:rPr>
          <w:noProof/>
        </w:rPr>
        <w:t>)</w:t>
      </w:r>
      <w:r w:rsidRPr="00361E30">
        <w:t>.</w:t>
      </w:r>
    </w:p>
    <w:p w14:paraId="6F5350E0" w14:textId="77777777" w:rsidR="00CA0EF0" w:rsidRPr="00361E30" w:rsidRDefault="00CA0EF0" w:rsidP="003C13F4">
      <w:pPr>
        <w:pStyle w:val="Heading2"/>
      </w:pPr>
      <w:bookmarkStart w:id="20" w:name="_Toc1902212"/>
      <w:r w:rsidRPr="00361E30">
        <w:t>1.2.2</w:t>
      </w:r>
      <w:r w:rsidRPr="00361E30">
        <w:tab/>
        <w:t>Definitions of Ageing</w:t>
      </w:r>
      <w:bookmarkEnd w:id="20"/>
      <w:r w:rsidRPr="00361E30">
        <w:t xml:space="preserve"> </w:t>
      </w:r>
    </w:p>
    <w:p w14:paraId="6A5289D3" w14:textId="77777777" w:rsidR="00CA0EF0" w:rsidRPr="00361E30" w:rsidRDefault="00CA0EF0" w:rsidP="003C13F4">
      <w:r w:rsidRPr="00361E30">
        <w:t xml:space="preserve">While the ageing of the population is self-evident to most observers, the definitions used to describe this phenomenon are not universally accepted or agreed </w:t>
      </w:r>
      <w:r w:rsidR="00F13800" w:rsidRPr="00361E30">
        <w:rPr>
          <w:noProof/>
        </w:rPr>
        <w:t>(Kowal and Peachey</w:t>
      </w:r>
      <w:r w:rsidR="0012016C" w:rsidRPr="00361E30">
        <w:rPr>
          <w:noProof/>
        </w:rPr>
        <w:t xml:space="preserve"> 2001, Roebuck</w:t>
      </w:r>
      <w:r w:rsidRPr="00361E30">
        <w:rPr>
          <w:noProof/>
        </w:rPr>
        <w:t xml:space="preserve"> 1979)</w:t>
      </w:r>
      <w:r w:rsidRPr="00361E30">
        <w:t>. The simplest definitions of ageing revolve around chronological age (1). However, even this relatively straightforward concept has not found widespread agreement across different populations and societies. Definitions of ‘old age’ or ‘elderly</w:t>
      </w:r>
      <w:r w:rsidR="00F84EF5">
        <w:t xml:space="preserve"> patients</w:t>
      </w:r>
      <w:r w:rsidRPr="00361E30">
        <w:t xml:space="preserve">’ have varied from as low as 50 years to as high as 90 years in different settings (2-4). </w:t>
      </w:r>
    </w:p>
    <w:p w14:paraId="7B7E4595" w14:textId="77777777" w:rsidR="00CA0EF0" w:rsidRPr="00361E30" w:rsidRDefault="00CA0EF0" w:rsidP="003C13F4">
      <w:pPr>
        <w:ind w:firstLine="720"/>
      </w:pPr>
      <w:r w:rsidRPr="00361E30">
        <w:t xml:space="preserve">While older individuals tend to be viewed as a relatively homogenous group with similar characteristics, limitations and needs, there is in fact a great deal of variability within this age group </w:t>
      </w:r>
      <w:r w:rsidRPr="00361E30">
        <w:rPr>
          <w:noProof/>
        </w:rPr>
        <w:t>(</w:t>
      </w:r>
      <w:r w:rsidR="009E1016" w:rsidRPr="00361E30">
        <w:rPr>
          <w:noProof/>
        </w:rPr>
        <w:t>World Health Organisation 2013b</w:t>
      </w:r>
      <w:r w:rsidRPr="00361E30">
        <w:rPr>
          <w:noProof/>
        </w:rPr>
        <w:t>)</w:t>
      </w:r>
      <w:r w:rsidRPr="00361E30">
        <w:t xml:space="preserve">. In light of this, researchers have advocated a multi-dimensional approach to describing the ageing process, in which chronological age constitutes only one of many </w:t>
      </w:r>
      <w:r w:rsidR="00300688" w:rsidRPr="00361E30">
        <w:t>different parameters</w:t>
      </w:r>
      <w:r w:rsidRPr="00361E30">
        <w:t xml:space="preserve"> to be considered when assessing the age of an individual </w:t>
      </w:r>
      <w:r w:rsidRPr="00361E30">
        <w:rPr>
          <w:noProof/>
        </w:rPr>
        <w:t>(Heigl 2002, Sanderson and Scherbov 2013)</w:t>
      </w:r>
      <w:r w:rsidRPr="00361E30">
        <w:t xml:space="preserve">.  Other characteristics of ageing that might be considered in this definition include biological age (utilising various measures of health and well-being in the calculation of age); social parameters (such as functional independence); psychological factors (for example, cognitive ability); economic factors (for example, the pensionable age) and remaining life expectancy </w:t>
      </w:r>
      <w:r w:rsidRPr="00361E30">
        <w:rPr>
          <w:noProof/>
        </w:rPr>
        <w:t>(Gorman 1999)</w:t>
      </w:r>
      <w:r w:rsidRPr="00361E30">
        <w:t xml:space="preserve">.  Some authorities have quantified this multidimensional approach to age and ageing, but these definitions are not generally used in the medical literature </w:t>
      </w:r>
      <w:r w:rsidR="00AE610D" w:rsidRPr="00361E30">
        <w:rPr>
          <w:noProof/>
        </w:rPr>
        <w:t>(Heigl</w:t>
      </w:r>
      <w:r w:rsidRPr="00361E30">
        <w:rPr>
          <w:noProof/>
        </w:rPr>
        <w:t xml:space="preserve"> 2002, Sanderson and Scherbov</w:t>
      </w:r>
      <w:r w:rsidR="005A481E" w:rsidRPr="00361E30">
        <w:rPr>
          <w:noProof/>
        </w:rPr>
        <w:t xml:space="preserve"> 2013, Shoven</w:t>
      </w:r>
      <w:r w:rsidRPr="00361E30">
        <w:rPr>
          <w:noProof/>
        </w:rPr>
        <w:t xml:space="preserve"> 2009)</w:t>
      </w:r>
      <w:r w:rsidRPr="00361E30">
        <w:t>.</w:t>
      </w:r>
    </w:p>
    <w:p w14:paraId="36404E7B" w14:textId="77777777" w:rsidR="00CA0EF0" w:rsidRPr="00361E30" w:rsidRDefault="00CA0EF0" w:rsidP="003C13F4">
      <w:pPr>
        <w:ind w:firstLine="720"/>
      </w:pPr>
      <w:r w:rsidRPr="00361E30">
        <w:t xml:space="preserve">Variations in the definitions of age and ageing can have profound effects on the investigation of the effects of trauma on older people. Researchers must first decide what type of definition should be used. The choice between using chronological age, versus a more complex multi-dimensional definition of age, creates a tension between ease of use versus relevance of the measure chosen. On the one hand, chronological age is relatively easy to measure, providing an objective criterion which also possesses the numerical characteristics </w:t>
      </w:r>
      <w:r w:rsidRPr="00361E30">
        <w:lastRenderedPageBreak/>
        <w:t xml:space="preserve">required for use in regression analysis (the mainstay of outcome prediction modelling in trauma research). On the other, the complexities of outcome prediction in trauma indicate that such a simple definition of age might overlook many of the characteristics of ageing that are likely to impact on outcome, such as frailty, social support, psychological resilience and underlying medical fitness </w:t>
      </w:r>
      <w:r w:rsidR="00B249F5" w:rsidRPr="00361E30">
        <w:rPr>
          <w:noProof/>
        </w:rPr>
        <w:t>(Sammy</w:t>
      </w:r>
      <w:r w:rsidRPr="00361E30">
        <w:rPr>
          <w:noProof/>
        </w:rPr>
        <w:t xml:space="preserve"> et al. 2016a)</w:t>
      </w:r>
      <w:r w:rsidRPr="00361E30">
        <w:t xml:space="preserve">. However, given that there is no universally accepted multi-dimensional measure of age, researchers into trauma outcomes in older patients have traditionally used chronological age in their calculations </w:t>
      </w:r>
      <w:r w:rsidR="0027792F" w:rsidRPr="00361E30">
        <w:rPr>
          <w:noProof/>
        </w:rPr>
        <w:t xml:space="preserve">(Bouamra </w:t>
      </w:r>
      <w:r w:rsidRPr="00361E30">
        <w:rPr>
          <w:noProof/>
        </w:rPr>
        <w:t>et al. 2006a, Champion et al., 1989</w:t>
      </w:r>
      <w:r w:rsidR="0052214F" w:rsidRPr="00361E30">
        <w:rPr>
          <w:noProof/>
        </w:rPr>
        <w:t>b</w:t>
      </w:r>
      <w:r w:rsidRPr="00361E30">
        <w:rPr>
          <w:noProof/>
        </w:rPr>
        <w:t>, Lecky et al. 2014)</w:t>
      </w:r>
      <w:r w:rsidRPr="00361E30">
        <w:t>.</w:t>
      </w:r>
    </w:p>
    <w:p w14:paraId="5C0F8725" w14:textId="77777777" w:rsidR="00CA0EF0" w:rsidRPr="00361E30" w:rsidRDefault="00CA0EF0" w:rsidP="003C13F4">
      <w:pPr>
        <w:ind w:firstLine="720"/>
      </w:pPr>
      <w:r w:rsidRPr="00361E30">
        <w:t xml:space="preserve">In the current study, an age of 65 years and older was used to define ‘older people’, as this is the most commonly used age in trauma research </w:t>
      </w:r>
      <w:r w:rsidRPr="00361E30">
        <w:rPr>
          <w:noProof/>
        </w:rPr>
        <w:t>(Champion et al., 1989</w:t>
      </w:r>
      <w:r w:rsidR="0052214F" w:rsidRPr="00361E30">
        <w:rPr>
          <w:noProof/>
        </w:rPr>
        <w:t>a</w:t>
      </w:r>
      <w:r w:rsidR="00103094" w:rsidRPr="00361E30">
        <w:rPr>
          <w:noProof/>
        </w:rPr>
        <w:t>, Hashmi</w:t>
      </w:r>
      <w:r w:rsidRPr="00361E30">
        <w:rPr>
          <w:noProof/>
        </w:rPr>
        <w:t xml:space="preserve"> </w:t>
      </w:r>
      <w:r w:rsidR="00103094" w:rsidRPr="00361E30">
        <w:rPr>
          <w:noProof/>
        </w:rPr>
        <w:t>et al.</w:t>
      </w:r>
      <w:r w:rsidRPr="00361E30">
        <w:rPr>
          <w:noProof/>
        </w:rPr>
        <w:t xml:space="preserve"> 2014, Jacoby</w:t>
      </w:r>
      <w:r w:rsidR="00B75D7B" w:rsidRPr="00361E30">
        <w:rPr>
          <w:noProof/>
        </w:rPr>
        <w:t xml:space="preserve"> et al.</w:t>
      </w:r>
      <w:r w:rsidRPr="00361E30">
        <w:rPr>
          <w:noProof/>
        </w:rPr>
        <w:t xml:space="preserve"> 2006)</w:t>
      </w:r>
      <w:r w:rsidRPr="00361E30">
        <w:t>. However, when reviewing the literature (Chapter 2), this age criterion was not strictly applied in order to avoid exclusion of important and methodologically sound research which used a different definition.</w:t>
      </w:r>
    </w:p>
    <w:p w14:paraId="5AC074B3" w14:textId="77777777" w:rsidR="00CA0EF0" w:rsidRPr="00361E30" w:rsidRDefault="00CA0EF0" w:rsidP="003C13F4">
      <w:pPr>
        <w:pStyle w:val="Heading1"/>
      </w:pPr>
      <w:bookmarkStart w:id="21" w:name="_Toc1902213"/>
      <w:r w:rsidRPr="00361E30">
        <w:t>1.3</w:t>
      </w:r>
      <w:r w:rsidRPr="00361E30">
        <w:tab/>
        <w:t>The Epidemiology of Trauma in an Ageing Population</w:t>
      </w:r>
      <w:bookmarkEnd w:id="21"/>
    </w:p>
    <w:p w14:paraId="2449E433" w14:textId="77777777" w:rsidR="00CA0EF0" w:rsidRPr="00361E30" w:rsidRDefault="00CA0EF0" w:rsidP="003C13F4">
      <w:r w:rsidRPr="00361E30">
        <w:t xml:space="preserve">The median age of trauma patients and the proportion of trauma patients aged 65 and older have increased in many developed countries over the past two decades </w:t>
      </w:r>
      <w:r w:rsidRPr="00361E30">
        <w:rPr>
          <w:noProof/>
        </w:rPr>
        <w:t>(Dinh et al. 2013, Dutton et al. 2010)</w:t>
      </w:r>
      <w:r w:rsidRPr="00361E30">
        <w:t xml:space="preserve">. Kehoe et al demonstrated that the median age for major trauma patients on the Trauma Audit and Research Network (TARN) database increased from 36.1 years in 1990 to 53.8 years in 2013. TARN is a database of major trauma patients, collecting data from trauma receiving hospitals in England, Wales and Europe </w:t>
      </w:r>
      <w:r w:rsidRPr="00361E30">
        <w:rPr>
          <w:noProof/>
        </w:rPr>
        <w:t>(Kehoe et al., 2015</w:t>
      </w:r>
      <w:r w:rsidR="00B75D7B" w:rsidRPr="00361E30">
        <w:rPr>
          <w:noProof/>
        </w:rPr>
        <w:t>b</w:t>
      </w:r>
      <w:r w:rsidRPr="00361E30">
        <w:rPr>
          <w:noProof/>
        </w:rPr>
        <w:t>)</w:t>
      </w:r>
      <w:r w:rsidRPr="00361E30">
        <w:t xml:space="preserve">. This section will discuss the epidemiology of trauma and consider the changes in the demographic characteristics of trauma patients, including the factors underlying these changes. </w:t>
      </w:r>
    </w:p>
    <w:p w14:paraId="41C444F4" w14:textId="77777777" w:rsidR="00CA0EF0" w:rsidRPr="00361E30" w:rsidRDefault="00CA0EF0" w:rsidP="003C13F4">
      <w:pPr>
        <w:pStyle w:val="Heading2"/>
      </w:pPr>
      <w:bookmarkStart w:id="22" w:name="_Toc1902214"/>
      <w:r w:rsidRPr="00361E30">
        <w:t>1.3.1</w:t>
      </w:r>
      <w:r w:rsidRPr="00361E30">
        <w:tab/>
        <w:t>Trauma: A Global Pandemic</w:t>
      </w:r>
      <w:bookmarkEnd w:id="22"/>
    </w:p>
    <w:p w14:paraId="219628F9" w14:textId="77777777" w:rsidR="00CA0EF0" w:rsidRPr="00361E30" w:rsidRDefault="00CA0EF0" w:rsidP="003C13F4">
      <w:r w:rsidRPr="00361E30">
        <w:t xml:space="preserve">Morbidity and mortality from trauma </w:t>
      </w:r>
      <w:r w:rsidR="00300688" w:rsidRPr="00361E30">
        <w:t>place</w:t>
      </w:r>
      <w:r w:rsidRPr="00361E30">
        <w:t xml:space="preserve"> a significant burden on the world population. It has been estimated that between 4.8 – 5.8 million persons per year die from injury related causes, and this is predicted to reach 8.4 million by 2050 </w:t>
      </w:r>
      <w:r w:rsidRPr="00361E30">
        <w:rPr>
          <w:noProof/>
        </w:rPr>
        <w:t>(Krug</w:t>
      </w:r>
      <w:r w:rsidR="00F13800" w:rsidRPr="00361E30">
        <w:rPr>
          <w:noProof/>
        </w:rPr>
        <w:t xml:space="preserve"> et al.</w:t>
      </w:r>
      <w:r w:rsidRPr="00361E30">
        <w:rPr>
          <w:noProof/>
        </w:rPr>
        <w:t xml:space="preserve"> 2000, Ärnlöv and Larsson 2014)</w:t>
      </w:r>
      <w:r w:rsidRPr="00361E30">
        <w:t xml:space="preserve">. This represents an age standardised death rate of approximately 70 per 100,000 of the population annually. Globally, death from injury primarily affects younger people, but the average age of major trauma patients is steadily increasing with time, particularly in developed countries </w:t>
      </w:r>
      <w:r w:rsidRPr="00361E30">
        <w:rPr>
          <w:noProof/>
        </w:rPr>
        <w:t>(</w:t>
      </w:r>
      <w:r w:rsidR="00300BAC" w:rsidRPr="00361E30">
        <w:rPr>
          <w:noProof/>
        </w:rPr>
        <w:t xml:space="preserve">World Health Organisation </w:t>
      </w:r>
      <w:r w:rsidRPr="00361E30">
        <w:rPr>
          <w:noProof/>
        </w:rPr>
        <w:t>2013</w:t>
      </w:r>
      <w:r w:rsidR="009E1016" w:rsidRPr="00361E30">
        <w:rPr>
          <w:noProof/>
        </w:rPr>
        <w:t>a</w:t>
      </w:r>
      <w:r w:rsidRPr="00361E30">
        <w:rPr>
          <w:noProof/>
        </w:rPr>
        <w:t>, Kehoe</w:t>
      </w:r>
      <w:r w:rsidR="00300BAC" w:rsidRPr="00361E30">
        <w:rPr>
          <w:noProof/>
        </w:rPr>
        <w:t xml:space="preserve"> et al</w:t>
      </w:r>
      <w:r w:rsidR="00B75D7B" w:rsidRPr="00361E30">
        <w:rPr>
          <w:noProof/>
        </w:rPr>
        <w:t>.</w:t>
      </w:r>
      <w:r w:rsidRPr="00361E30">
        <w:rPr>
          <w:noProof/>
        </w:rPr>
        <w:t xml:space="preserve"> 2015</w:t>
      </w:r>
      <w:r w:rsidR="00B75D7B" w:rsidRPr="00361E30">
        <w:rPr>
          <w:noProof/>
        </w:rPr>
        <w:t>b</w:t>
      </w:r>
      <w:r w:rsidRPr="00361E30">
        <w:rPr>
          <w:noProof/>
        </w:rPr>
        <w:t>)</w:t>
      </w:r>
      <w:r w:rsidRPr="00361E30">
        <w:t>.</w:t>
      </w:r>
    </w:p>
    <w:p w14:paraId="18AE9441" w14:textId="77777777" w:rsidR="00CA0EF0" w:rsidRPr="00361E30" w:rsidRDefault="00CA0EF0" w:rsidP="003C13F4">
      <w:r w:rsidRPr="00361E30">
        <w:tab/>
        <w:t xml:space="preserve">Changes in death rates from injury differ according to the specific types of injury involved. Between 1990 and 2013, there were increases in estimated years of life lost from interpersonal violence, intentional self-harm and falls, while the years lost from drowning and </w:t>
      </w:r>
      <w:r w:rsidRPr="00361E30">
        <w:lastRenderedPageBreak/>
        <w:t xml:space="preserve">fire-related incidents fell </w:t>
      </w:r>
      <w:r w:rsidRPr="00361E30">
        <w:rPr>
          <w:noProof/>
        </w:rPr>
        <w:t>(Ärnlöv and Larsson 2014)</w:t>
      </w:r>
      <w:r w:rsidRPr="00361E30">
        <w:t xml:space="preserve">. The total number of deaths from road traffic collisions also fell, as a result of global public health initiatives aimed at reducing deaths from this cause </w:t>
      </w:r>
      <w:r w:rsidRPr="00361E30">
        <w:rPr>
          <w:noProof/>
        </w:rPr>
        <w:t>(Shakur et al. 2012)</w:t>
      </w:r>
      <w:r w:rsidRPr="00361E30">
        <w:t>. It should be noted, however, that this decline was experienced mainly in developed countries. The changes in injury mechanism can be directly related to changes in population age (see Section 1.3.2). In particular</w:t>
      </w:r>
      <w:r w:rsidR="00300688">
        <w:t>,</w:t>
      </w:r>
      <w:r w:rsidRPr="00361E30">
        <w:t xml:space="preserve"> the increase in deaths from falls is overwhelmingly due to an increase in low level falls in older people </w:t>
      </w:r>
      <w:r w:rsidRPr="00361E30">
        <w:rPr>
          <w:noProof/>
        </w:rPr>
        <w:t>(Haagsma et al. 2016, Kehoe</w:t>
      </w:r>
      <w:r w:rsidR="00B75D7B" w:rsidRPr="00361E30">
        <w:rPr>
          <w:noProof/>
        </w:rPr>
        <w:t xml:space="preserve"> et al.</w:t>
      </w:r>
      <w:r w:rsidRPr="00361E30">
        <w:rPr>
          <w:noProof/>
        </w:rPr>
        <w:t xml:space="preserve"> 2015</w:t>
      </w:r>
      <w:r w:rsidR="00B75D7B" w:rsidRPr="00361E30">
        <w:rPr>
          <w:noProof/>
        </w:rPr>
        <w:t>b</w:t>
      </w:r>
      <w:r w:rsidRPr="00361E30">
        <w:rPr>
          <w:noProof/>
        </w:rPr>
        <w:t>)</w:t>
      </w:r>
      <w:r w:rsidRPr="00361E30">
        <w:t>.</w:t>
      </w:r>
    </w:p>
    <w:p w14:paraId="7C7A3323" w14:textId="77777777" w:rsidR="00CA0EF0" w:rsidRPr="00361E30" w:rsidRDefault="00CA0EF0" w:rsidP="003C13F4">
      <w:pPr>
        <w:ind w:firstLine="720"/>
      </w:pPr>
      <w:r w:rsidRPr="00361E30">
        <w:t xml:space="preserve">Apart from death, injury also causes significant morbidity. Murray et al (2012) estimated that injuries account for a loss of 300 million years of healthy life annually (calculated as disability-adjusted life years or DALYs). Using data from the Global Burden of Disease (2010) study, these authors calculated that road traffic collisions alone accounted for 76 million DALYs in 2010, approximately one third of all injury related DALYs globally. This figure had increased from an estimated 57 million DALYs in 1990 </w:t>
      </w:r>
      <w:r w:rsidRPr="00361E30">
        <w:rPr>
          <w:noProof/>
        </w:rPr>
        <w:t>(Murray et al. 2012)</w:t>
      </w:r>
      <w:r w:rsidRPr="00361E30">
        <w:t xml:space="preserve">. This increase in morbidity is also seen in older trauma patients, particularly in relation to functional independence and quality of life </w:t>
      </w:r>
      <w:r w:rsidRPr="00361E30">
        <w:rPr>
          <w:noProof/>
        </w:rPr>
        <w:t>(Khan et al. 2012)</w:t>
      </w:r>
      <w:r w:rsidRPr="00361E30">
        <w:t>.</w:t>
      </w:r>
    </w:p>
    <w:p w14:paraId="7708C863" w14:textId="77777777" w:rsidR="00CA0EF0" w:rsidRPr="00361E30" w:rsidRDefault="00CA0EF0" w:rsidP="003C13F4">
      <w:pPr>
        <w:pStyle w:val="Heading2"/>
      </w:pPr>
      <w:bookmarkStart w:id="23" w:name="_Toc1902215"/>
      <w:r w:rsidRPr="00361E30">
        <w:t>1.3.2</w:t>
      </w:r>
      <w:r w:rsidRPr="00361E30">
        <w:tab/>
        <w:t>Mechanisms of Injury and the Aging Population</w:t>
      </w:r>
      <w:bookmarkEnd w:id="23"/>
    </w:p>
    <w:p w14:paraId="26FC75C7" w14:textId="77777777" w:rsidR="00CA0EF0" w:rsidRPr="00361E30" w:rsidRDefault="00CA0EF0" w:rsidP="003C13F4">
      <w:r w:rsidRPr="00361E30">
        <w:t xml:space="preserve">Older trauma patients differ significantly from younger patients. Several studies from around the world have demonstrated that older people are most likely to be injured in falls and road traffic collisions, with low level falls being the single most common injury mechanism in this age group </w:t>
      </w:r>
      <w:r w:rsidRPr="00361E30">
        <w:rPr>
          <w:noProof/>
        </w:rPr>
        <w:t>(Aitken et al.</w:t>
      </w:r>
      <w:r w:rsidR="009E1016" w:rsidRPr="00361E30">
        <w:rPr>
          <w:noProof/>
        </w:rPr>
        <w:t xml:space="preserve"> 2010, Dinh et al.</w:t>
      </w:r>
      <w:r w:rsidRPr="00361E30">
        <w:rPr>
          <w:noProof/>
        </w:rPr>
        <w:t xml:space="preserve"> 2013, Richmond et al. 2002, Yeung et al. 2008)</w:t>
      </w:r>
      <w:r w:rsidRPr="00361E30">
        <w:t xml:space="preserve">. While both falls and road traffic collisions are also common in younger adults, the specific injury mechanisms differ in the different age groups. Older people are far more likely to suffer ground level falls (as opposed to falls from a height), and are more likely to be pedestrians, passengers or cyclists in road traffic accidents, while younger people are more likely to be drivers </w:t>
      </w:r>
      <w:r w:rsidRPr="00361E30">
        <w:rPr>
          <w:noProof/>
        </w:rPr>
        <w:t>(Sklar et al. 1989, Sterling et al., 2001)</w:t>
      </w:r>
      <w:r w:rsidRPr="00361E30">
        <w:t>.</w:t>
      </w:r>
    </w:p>
    <w:p w14:paraId="3E3F17DA" w14:textId="77777777" w:rsidR="00CA0EF0" w:rsidRPr="00361E30" w:rsidRDefault="00CA0EF0" w:rsidP="003C13F4">
      <w:pPr>
        <w:ind w:firstLine="720"/>
      </w:pPr>
      <w:r w:rsidRPr="00361E30">
        <w:t xml:space="preserve">The increased risk of falls in older people reflects the lifestyle and health status of this population. Limb and torso weakness and loss of proprioception, as well as the effects of chronic illness and </w:t>
      </w:r>
      <w:r w:rsidR="00300688" w:rsidRPr="00361E30">
        <w:t>long-term</w:t>
      </w:r>
      <w:r w:rsidRPr="00361E30">
        <w:t xml:space="preserve"> medication all contribute to an increased risk of falls </w:t>
      </w:r>
      <w:r w:rsidR="00F13800" w:rsidRPr="00361E30">
        <w:rPr>
          <w:noProof/>
        </w:rPr>
        <w:t>(Koski</w:t>
      </w:r>
      <w:r w:rsidRPr="00361E30">
        <w:rPr>
          <w:noProof/>
        </w:rPr>
        <w:t xml:space="preserve"> et al. 1996)</w:t>
      </w:r>
      <w:r w:rsidRPr="00361E30">
        <w:t xml:space="preserve">. Patients on antihypertensive medications may suffer postural hypotension leading to dizziness and fainting, while many anticholinergic medications used in older people can cause altered mental status, which in turn predisposes to falls </w:t>
      </w:r>
      <w:r w:rsidR="00132576" w:rsidRPr="00361E30">
        <w:rPr>
          <w:noProof/>
        </w:rPr>
        <w:t>(Graafmans</w:t>
      </w:r>
      <w:r w:rsidRPr="00361E30">
        <w:rPr>
          <w:noProof/>
        </w:rPr>
        <w:t xml:space="preserve"> </w:t>
      </w:r>
      <w:r w:rsidR="00132576" w:rsidRPr="00361E30">
        <w:rPr>
          <w:noProof/>
        </w:rPr>
        <w:t>et al.</w:t>
      </w:r>
      <w:r w:rsidRPr="00361E30">
        <w:rPr>
          <w:noProof/>
        </w:rPr>
        <w:t xml:space="preserve"> 1996, Nevitt, Cummings et al., 1991)</w:t>
      </w:r>
      <w:r w:rsidRPr="00361E30">
        <w:t xml:space="preserve">. </w:t>
      </w:r>
    </w:p>
    <w:p w14:paraId="1582E7C1" w14:textId="77777777" w:rsidR="00CA0EF0" w:rsidRPr="00361E30" w:rsidRDefault="00CA0EF0" w:rsidP="003C13F4">
      <w:r w:rsidRPr="00361E30">
        <w:tab/>
        <w:t>Some authors have hypothesi</w:t>
      </w:r>
      <w:r w:rsidR="0020173C">
        <w:t>s</w:t>
      </w:r>
      <w:r w:rsidRPr="00361E30">
        <w:t xml:space="preserve">ed that older trauma patients may consist of two distinct groups: the first are fit and independent older people whose active lifestyle puts them </w:t>
      </w:r>
      <w:r w:rsidRPr="00361E30">
        <w:lastRenderedPageBreak/>
        <w:t xml:space="preserve">at risk of injury as they come into contact with normal hazards in the environment (for example, older pedestrians and cyclists involved in road collisions), while the second group are older people with underlying musculoskeletal, cognitive and cardiorespiratory impairment due to chronic illness, who suffer with poor mobility and are prone to ground level falls </w:t>
      </w:r>
      <w:r w:rsidRPr="00361E30">
        <w:rPr>
          <w:noProof/>
        </w:rPr>
        <w:t>(Meldon, Reilly et al., 2002, Spaniolas et al. 2010)</w:t>
      </w:r>
      <w:r w:rsidRPr="00361E30">
        <w:t>.</w:t>
      </w:r>
    </w:p>
    <w:p w14:paraId="5A019D9F" w14:textId="77777777" w:rsidR="00CA0EF0" w:rsidRPr="00361E30" w:rsidRDefault="00CA0EF0" w:rsidP="003C13F4">
      <w:pPr>
        <w:pStyle w:val="Heading2"/>
      </w:pPr>
      <w:bookmarkStart w:id="24" w:name="_Toc1902216"/>
      <w:r w:rsidRPr="00361E30">
        <w:t>1.3.3</w:t>
      </w:r>
      <w:r w:rsidRPr="00361E30">
        <w:tab/>
        <w:t>Trauma in Older People: Patterns of Injury</w:t>
      </w:r>
      <w:bookmarkEnd w:id="24"/>
    </w:p>
    <w:p w14:paraId="0B08B3AF" w14:textId="77777777" w:rsidR="00CA0EF0" w:rsidRPr="00361E30" w:rsidRDefault="00CA0EF0" w:rsidP="003C13F4">
      <w:r w:rsidRPr="00361E30">
        <w:t>Some injury patterns are more likely in older people, reflecting the injury mechanisms common in this age group as well as the physiological and anatomical changes seen in the human body with aging.</w:t>
      </w:r>
    </w:p>
    <w:p w14:paraId="67E1E8A9" w14:textId="77777777" w:rsidR="00CA0EF0" w:rsidRPr="00361E30" w:rsidRDefault="00CA0EF0" w:rsidP="003C13F4">
      <w:r w:rsidRPr="00361E30">
        <w:tab/>
        <w:t xml:space="preserve">Traumatic brain injuries are the most common serious injuries sustained by older trauma patients </w:t>
      </w:r>
      <w:r w:rsidRPr="00361E30">
        <w:rPr>
          <w:noProof/>
        </w:rPr>
        <w:t>(Patel</w:t>
      </w:r>
      <w:r w:rsidR="0027792F" w:rsidRPr="00361E30">
        <w:rPr>
          <w:noProof/>
        </w:rPr>
        <w:t xml:space="preserve"> et al.</w:t>
      </w:r>
      <w:r w:rsidRPr="00361E30">
        <w:rPr>
          <w:noProof/>
        </w:rPr>
        <w:t xml:space="preserve"> 2010)</w:t>
      </w:r>
      <w:r w:rsidRPr="00361E30">
        <w:t xml:space="preserve">. These injuries are both more common and more serious than in younger </w:t>
      </w:r>
      <w:r w:rsidR="00300688" w:rsidRPr="00361E30">
        <w:t>patients and</w:t>
      </w:r>
      <w:r w:rsidRPr="00361E30">
        <w:t xml:space="preserve"> are the leading cause of death after trauma in patients aged ≥65 years </w:t>
      </w:r>
      <w:r w:rsidRPr="00361E30">
        <w:rPr>
          <w:noProof/>
        </w:rPr>
        <w:t>(Susman et al., 2002)</w:t>
      </w:r>
      <w:r w:rsidRPr="00361E30">
        <w:t xml:space="preserve">. The increased incidence of head injuries in older people is related to their increased risk of ground level falls, which are often accompanied by blunt head trauma </w:t>
      </w:r>
      <w:r w:rsidRPr="00361E30">
        <w:rPr>
          <w:noProof/>
        </w:rPr>
        <w:t>(Spaniolas et al. 2010)</w:t>
      </w:r>
      <w:r w:rsidRPr="00361E30">
        <w:t xml:space="preserve">. These relatively low energy impacts are associated with injuries of surprisingly high severity; the incidence of intracranial haematomas, cerebral contusions and skull fractures are all higher in older fallers. </w:t>
      </w:r>
    </w:p>
    <w:p w14:paraId="60A77C0D" w14:textId="77777777" w:rsidR="00CA0EF0" w:rsidRPr="00361E30" w:rsidRDefault="00CA0EF0" w:rsidP="003C13F4">
      <w:r w:rsidRPr="00361E30">
        <w:tab/>
        <w:t xml:space="preserve">Other injuries seen with increased frequency in older adults include rib fractures, lung contusions, limb fractures, pelvic injuries and spinal injuries </w:t>
      </w:r>
      <w:r w:rsidRPr="00361E30">
        <w:rPr>
          <w:noProof/>
        </w:rPr>
        <w:t>(Bergeron</w:t>
      </w:r>
      <w:r w:rsidR="0027792F" w:rsidRPr="00361E30">
        <w:rPr>
          <w:noProof/>
        </w:rPr>
        <w:t xml:space="preserve"> et al.</w:t>
      </w:r>
      <w:r w:rsidRPr="00361E30">
        <w:rPr>
          <w:noProof/>
        </w:rPr>
        <w:t xml:space="preserve"> 2003, Gabbe</w:t>
      </w:r>
      <w:r w:rsidR="00705591" w:rsidRPr="00361E30">
        <w:rPr>
          <w:noProof/>
        </w:rPr>
        <w:t xml:space="preserve"> et al. </w:t>
      </w:r>
      <w:r w:rsidRPr="00361E30">
        <w:rPr>
          <w:noProof/>
        </w:rPr>
        <w:t>2011</w:t>
      </w:r>
      <w:r w:rsidR="0099091F" w:rsidRPr="00361E30">
        <w:rPr>
          <w:noProof/>
        </w:rPr>
        <w:t>b</w:t>
      </w:r>
      <w:r w:rsidRPr="00361E30">
        <w:rPr>
          <w:noProof/>
        </w:rPr>
        <w:t>, Harrington et al. 2010, Spaniolas et al. 2010)</w:t>
      </w:r>
      <w:r w:rsidRPr="00361E30">
        <w:t xml:space="preserve">. Older people also suffer more severe spinal injuries than younger adults, despite less serious injury mechanisms, and their outcomes are worse than younger adults </w:t>
      </w:r>
      <w:r w:rsidRPr="00361E30">
        <w:rPr>
          <w:noProof/>
        </w:rPr>
        <w:t>(Furlan and Fehlings 2009)</w:t>
      </w:r>
      <w:r w:rsidRPr="00361E30">
        <w:t>.</w:t>
      </w:r>
    </w:p>
    <w:p w14:paraId="144EE4B4" w14:textId="77777777" w:rsidR="00CA0EF0" w:rsidRPr="00361E30" w:rsidRDefault="00CA0EF0" w:rsidP="003C13F4">
      <w:pPr>
        <w:pStyle w:val="Heading2"/>
      </w:pPr>
      <w:bookmarkStart w:id="25" w:name="_Toc1902217"/>
      <w:r w:rsidRPr="00361E30">
        <w:t>1.3.4</w:t>
      </w:r>
      <w:r w:rsidRPr="00361E30">
        <w:tab/>
        <w:t>The Effect of Aging on Mortality in Trauma Patients</w:t>
      </w:r>
      <w:bookmarkEnd w:id="25"/>
    </w:p>
    <w:p w14:paraId="31A88909" w14:textId="77777777" w:rsidR="00CA0EF0" w:rsidRPr="00361E30" w:rsidRDefault="00CA0EF0" w:rsidP="003C13F4">
      <w:r w:rsidRPr="00361E30">
        <w:t>As early as 1989, Champion et al</w:t>
      </w:r>
      <w:r w:rsidR="0052214F" w:rsidRPr="00361E30">
        <w:t xml:space="preserve"> (1989a)</w:t>
      </w:r>
      <w:r w:rsidRPr="00361E30">
        <w:t xml:space="preserve"> showed that mortality was greater in the older age group for all injury severities</w:t>
      </w:r>
      <w:r w:rsidR="0052214F" w:rsidRPr="00361E30">
        <w:t xml:space="preserve">. </w:t>
      </w:r>
      <w:r w:rsidRPr="00361E30">
        <w:t>In this study the greatest disparities in mortality were seen in the least severely injured patients. These results suggested that there is a real difference in mortality between older and younger trauma patients, and that this difference is at least partly due to intrinsic characteristics of the older people rather than just injury-related factors.</w:t>
      </w:r>
    </w:p>
    <w:p w14:paraId="299DE83A" w14:textId="77777777" w:rsidR="00CA0EF0" w:rsidRPr="00361E30" w:rsidRDefault="00CA0EF0" w:rsidP="003C13F4">
      <w:r w:rsidRPr="00361E30">
        <w:tab/>
        <w:t xml:space="preserve">Other researchers have demonstrated differences in mortality in older people with different injury patterns and mechanisms of injury. Older trauma patients have been shown to have high mortality rates following falls, compared to other mechanisms of injury </w:t>
      </w:r>
      <w:r w:rsidR="005A481E" w:rsidRPr="00361E30">
        <w:rPr>
          <w:noProof/>
        </w:rPr>
        <w:t>(Spaniolas</w:t>
      </w:r>
      <w:r w:rsidRPr="00361E30">
        <w:rPr>
          <w:noProof/>
        </w:rPr>
        <w:t xml:space="preserve"> et al. 2010)</w:t>
      </w:r>
      <w:r w:rsidRPr="00361E30">
        <w:t xml:space="preserve">. In addition, mortality from head injuries in older people is significantly higher than mortality from other types of injury </w:t>
      </w:r>
      <w:r w:rsidRPr="00361E30">
        <w:rPr>
          <w:noProof/>
        </w:rPr>
        <w:t>(Richmond et al. 2011)</w:t>
      </w:r>
      <w:r w:rsidRPr="00361E30">
        <w:t>.</w:t>
      </w:r>
    </w:p>
    <w:p w14:paraId="29E2B743" w14:textId="77777777" w:rsidR="00CA0EF0" w:rsidRPr="00361E30" w:rsidRDefault="00CA0EF0" w:rsidP="003C13F4">
      <w:r w:rsidRPr="00361E30">
        <w:lastRenderedPageBreak/>
        <w:tab/>
        <w:t xml:space="preserve">A few authors have reported a difference in the timing of death between older and younger trauma patients with older trauma patients more likely to suffer delayed mortality following injury compared to younger patients. While the peak of deaths after trauma occurs within the first few hours for younger patients, </w:t>
      </w:r>
      <w:r w:rsidR="00300688" w:rsidRPr="00361E30">
        <w:t>most</w:t>
      </w:r>
      <w:r w:rsidRPr="00361E30">
        <w:t xml:space="preserve"> deaths in older people occur more than 24 hours after their initial injury, and higher death rates among older patients have been demonstrated up to 5 years after injury </w:t>
      </w:r>
      <w:r w:rsidRPr="00361E30">
        <w:rPr>
          <w:noProof/>
        </w:rPr>
        <w:t>(Gubler</w:t>
      </w:r>
      <w:r w:rsidR="00103094" w:rsidRPr="00361E30">
        <w:rPr>
          <w:noProof/>
        </w:rPr>
        <w:t xml:space="preserve"> et al.</w:t>
      </w:r>
      <w:r w:rsidRPr="00361E30">
        <w:rPr>
          <w:noProof/>
        </w:rPr>
        <w:t xml:space="preserve"> 1997, Hannan et al., 2004)</w:t>
      </w:r>
      <w:r w:rsidRPr="00361E30">
        <w:t>.</w:t>
      </w:r>
      <w:r w:rsidRPr="00361E30">
        <w:tab/>
        <w:t xml:space="preserve"> </w:t>
      </w:r>
    </w:p>
    <w:p w14:paraId="799D5609" w14:textId="77777777" w:rsidR="00CA0EF0" w:rsidRPr="00361E30" w:rsidRDefault="00CA0EF0" w:rsidP="003C13F4">
      <w:pPr>
        <w:pStyle w:val="Heading2"/>
      </w:pPr>
      <w:bookmarkStart w:id="26" w:name="_Toc1902218"/>
      <w:r w:rsidRPr="00361E30">
        <w:t>1.3.5</w:t>
      </w:r>
      <w:r w:rsidRPr="00361E30">
        <w:tab/>
        <w:t>Other Outcome Measures: Functional Capacity and Quality of Life</w:t>
      </w:r>
      <w:bookmarkEnd w:id="26"/>
    </w:p>
    <w:p w14:paraId="23FA892A" w14:textId="77777777" w:rsidR="00CA0EF0" w:rsidRPr="00361E30" w:rsidRDefault="00CA0EF0" w:rsidP="003C13F4">
      <w:r w:rsidRPr="00361E30">
        <w:t>Apart from mortality, other outcome measures have been examined in relation to trauma in older people. These have included measures of functional capacity (for example, the Glasgow Outcome Score [GOS] and the Functional Independence Measure [FIM]).</w:t>
      </w:r>
    </w:p>
    <w:p w14:paraId="5D6CC754" w14:textId="77777777" w:rsidR="00CA0EF0" w:rsidRPr="00361E30" w:rsidRDefault="00CA0EF0" w:rsidP="003C13F4">
      <w:r w:rsidRPr="00361E30">
        <w:tab/>
        <w:t xml:space="preserve">Functional impairment following injury is an important adverse outcome of trauma, and some researchers have attempted to quantify this in older trauma patients, but their results have not been consistent. While most authors report a decline in functional capacity and an increase in dependency among older trauma patients after discharge from hospital, others have not reported any difference </w:t>
      </w:r>
      <w:r w:rsidRPr="00361E30">
        <w:rPr>
          <w:noProof/>
        </w:rPr>
        <w:t>(McGwin et al., 2000, Mosenthal et al., 2002, Richmond et al. 2002, van der Sluis et al. 1996)</w:t>
      </w:r>
      <w:r w:rsidRPr="00361E30">
        <w:t xml:space="preserve">. Functional recovery continues to improve for some time after hospital discharge, and a patient’s functional capacity at discharge may not reflect their </w:t>
      </w:r>
      <w:r w:rsidR="00300688" w:rsidRPr="00361E30">
        <w:t>longer-term</w:t>
      </w:r>
      <w:r w:rsidRPr="00361E30">
        <w:t xml:space="preserve"> functional capacity. Gabbe et al</w:t>
      </w:r>
      <w:r w:rsidR="0099091F" w:rsidRPr="00361E30">
        <w:t>.</w:t>
      </w:r>
      <w:r w:rsidRPr="00361E30">
        <w:t xml:space="preserve"> (2008) compared functional outcome scores in trauma patients at discharge and at 6 </w:t>
      </w:r>
      <w:r w:rsidR="00300688" w:rsidRPr="00361E30">
        <w:t>months and</w:t>
      </w:r>
      <w:r w:rsidRPr="00361E30">
        <w:t xml:space="preserve"> found that these scores did not</w:t>
      </w:r>
      <w:r w:rsidR="0099091F" w:rsidRPr="00361E30">
        <w:t xml:space="preserve"> correlate well with each other</w:t>
      </w:r>
      <w:r w:rsidRPr="00361E30">
        <w:t xml:space="preserve">. </w:t>
      </w:r>
    </w:p>
    <w:p w14:paraId="3127CEC3" w14:textId="77777777" w:rsidR="00CA0EF0" w:rsidRPr="00361E30" w:rsidRDefault="00CA0EF0" w:rsidP="003C13F4">
      <w:pPr>
        <w:pStyle w:val="Heading1"/>
      </w:pPr>
      <w:bookmarkStart w:id="27" w:name="_Toc1902219"/>
      <w:r w:rsidRPr="00361E30">
        <w:t>1.4</w:t>
      </w:r>
      <w:r w:rsidRPr="00361E30">
        <w:tab/>
        <w:t>The Physiological Response to Trauma in Older people</w:t>
      </w:r>
      <w:bookmarkEnd w:id="27"/>
    </w:p>
    <w:p w14:paraId="5F33E23C" w14:textId="77777777" w:rsidR="00CA0EF0" w:rsidRPr="00361E30" w:rsidRDefault="00CA0EF0" w:rsidP="003C13F4">
      <w:r w:rsidRPr="00361E30">
        <w:t xml:space="preserve">Many of the differences in epidemiology and outcome between older and younger trauma patients can be partly explained by differences in physiology in older people. Changes in the cardiovascular, respiratory, musculoskeletal and neuropsychiatric responses to acute physiological insults mean that clinical signs of serious injury or illness are harder to detect in older people, and their ability to compensate for such challenges is also less effective. </w:t>
      </w:r>
    </w:p>
    <w:p w14:paraId="647AF801" w14:textId="77777777" w:rsidR="00CA0EF0" w:rsidRPr="00361E30" w:rsidRDefault="00CA0EF0" w:rsidP="003C13F4">
      <w:pPr>
        <w:ind w:firstLine="720"/>
      </w:pPr>
      <w:r w:rsidRPr="00361E30">
        <w:t xml:space="preserve">Older patients who have lost blood are less likely to develop signs traditionally associated with shock, such a low blood pressure and tachycardia </w:t>
      </w:r>
      <w:r w:rsidR="00DA16A8" w:rsidRPr="00361E30">
        <w:rPr>
          <w:noProof/>
        </w:rPr>
        <w:t>(Ferrari et al. 2003, Gribbin</w:t>
      </w:r>
      <w:r w:rsidRPr="00361E30">
        <w:rPr>
          <w:noProof/>
        </w:rPr>
        <w:t xml:space="preserve"> </w:t>
      </w:r>
      <w:r w:rsidR="00DA16A8" w:rsidRPr="00361E30">
        <w:rPr>
          <w:noProof/>
        </w:rPr>
        <w:t>et al.</w:t>
      </w:r>
      <w:r w:rsidRPr="00361E30">
        <w:rPr>
          <w:noProof/>
        </w:rPr>
        <w:t xml:space="preserve"> 1971)</w:t>
      </w:r>
      <w:r w:rsidRPr="00361E30">
        <w:t xml:space="preserve">. They also have a reduced cardiac reserve (the heart is less able to respond to any increased demand placed on it). In practical terms, this means that older patients in shock may have higher blood pressures than those seen in younger adults. This can lead to difficulties in the diagnosis of shock in older patients, as low blood pressure is a traditional sign of shock. </w:t>
      </w:r>
    </w:p>
    <w:p w14:paraId="5C8920E4" w14:textId="77777777" w:rsidR="00CA0EF0" w:rsidRPr="00361E30" w:rsidRDefault="00CA0EF0" w:rsidP="003C13F4">
      <w:r w:rsidRPr="00361E30">
        <w:lastRenderedPageBreak/>
        <w:tab/>
        <w:t xml:space="preserve">Following injuries to the chest and lung, older trauma patients have a decreased response to both hypoxia (low oxygen levels in the blood) and hypercarbia (high blood levels of carbon dioxide), putting them at greater risk of respiratory failure following chest trauma. In addition, they are also less able to clear secretions and fluid from their lungs. Combined with prolonged immobilisation this increases the risk of other complications, such as pneumonia, pulmonary embolism and adult respiratory distress syndrome </w:t>
      </w:r>
      <w:r w:rsidRPr="00361E30">
        <w:rPr>
          <w:noProof/>
        </w:rPr>
        <w:t xml:space="preserve">(Giannoudis et al. 2009, Oreskovich et al. </w:t>
      </w:r>
      <w:r w:rsidR="00A62187" w:rsidRPr="00361E30">
        <w:rPr>
          <w:noProof/>
        </w:rPr>
        <w:t>2009</w:t>
      </w:r>
      <w:r w:rsidRPr="00361E30">
        <w:rPr>
          <w:noProof/>
        </w:rPr>
        <w:t>, Richmond et al. 2002, Sharma and Goodwin 2006)</w:t>
      </w:r>
      <w:r w:rsidRPr="00361E30">
        <w:t xml:space="preserve">. </w:t>
      </w:r>
    </w:p>
    <w:p w14:paraId="13BFC590" w14:textId="77777777" w:rsidR="00CA0EF0" w:rsidRPr="00361E30" w:rsidRDefault="00CA0EF0" w:rsidP="003C13F4">
      <w:pPr>
        <w:ind w:firstLine="720"/>
      </w:pPr>
      <w:r w:rsidRPr="00361E30">
        <w:t xml:space="preserve">Brain injuries are the commonest serious injuries seen in older trauma patients, and the commonest cause of death in these patients </w:t>
      </w:r>
      <w:r w:rsidRPr="00361E30">
        <w:rPr>
          <w:noProof/>
        </w:rPr>
        <w:t>(Pentland et al. 1986)</w:t>
      </w:r>
      <w:r w:rsidRPr="00361E30">
        <w:t xml:space="preserve">. Atrophy of the older brain, fragile blood vessels and a higher likelihood of using anticoagulants increase the risk of intracranial bleeding following head trauma </w:t>
      </w:r>
      <w:r w:rsidR="002F446A" w:rsidRPr="00361E30">
        <w:rPr>
          <w:noProof/>
        </w:rPr>
        <w:t>(Batchelor and Grayson</w:t>
      </w:r>
      <w:r w:rsidRPr="00361E30">
        <w:rPr>
          <w:noProof/>
        </w:rPr>
        <w:t xml:space="preserve"> 2012, Lavoie</w:t>
      </w:r>
      <w:r w:rsidR="00F13800" w:rsidRPr="00361E30">
        <w:rPr>
          <w:noProof/>
        </w:rPr>
        <w:t xml:space="preserve"> et al.</w:t>
      </w:r>
      <w:r w:rsidRPr="00361E30">
        <w:rPr>
          <w:noProof/>
        </w:rPr>
        <w:t xml:space="preserve"> 2004, Miller et al. 1981)</w:t>
      </w:r>
      <w:r w:rsidRPr="00361E30">
        <w:t xml:space="preserve">. In addition, older people who develop expanding blood clots around the brain (epidural or subdural haematomas) tend to develop symptoms late, because there is more space around the brain in older patients, and any bleeding can expand into this space without putting pressure on the brain itself. There is therefore often a delay in presentation and diagnosis of intracranial injuries in older trauma patients, leading to poorer outcomes in this age group </w:t>
      </w:r>
      <w:r w:rsidRPr="00361E30">
        <w:rPr>
          <w:noProof/>
        </w:rPr>
        <w:t>(Rose et al. 1977)</w:t>
      </w:r>
      <w:r w:rsidRPr="00361E30">
        <w:t>.</w:t>
      </w:r>
    </w:p>
    <w:p w14:paraId="3F0AED05" w14:textId="77777777" w:rsidR="00CA0EF0" w:rsidRPr="00361E30" w:rsidRDefault="00CA0EF0" w:rsidP="003C13F4">
      <w:pPr>
        <w:ind w:firstLine="720"/>
      </w:pPr>
      <w:r w:rsidRPr="00361E30">
        <w:t xml:space="preserve">Loss of muscle mass and strength with age (sarcopenia) affects mobility and balance, significantly increasing the risk of falls </w:t>
      </w:r>
      <w:r w:rsidRPr="00361E30">
        <w:rPr>
          <w:noProof/>
        </w:rPr>
        <w:t>(Doherty 2003, Janssen et al. 2002, Mitchell et al. 2010, Sterling et al., 2001, Yeung et al. 2008)</w:t>
      </w:r>
      <w:r w:rsidRPr="00361E30">
        <w:t xml:space="preserve">. In addition, </w:t>
      </w:r>
      <w:r w:rsidR="000D20CB">
        <w:t>l</w:t>
      </w:r>
      <w:r w:rsidRPr="00361E30">
        <w:t xml:space="preserve">oss of bone density with age leads to osteoporosis, with an increased risk of fractures </w:t>
      </w:r>
      <w:r w:rsidRPr="00361E30">
        <w:rPr>
          <w:noProof/>
        </w:rPr>
        <w:t>(Kan</w:t>
      </w:r>
      <w:r w:rsidR="00B75D7B" w:rsidRPr="00361E30">
        <w:rPr>
          <w:noProof/>
        </w:rPr>
        <w:t xml:space="preserve"> et al.</w:t>
      </w:r>
      <w:r w:rsidRPr="00361E30">
        <w:rPr>
          <w:noProof/>
        </w:rPr>
        <w:t xml:space="preserve"> 1988)</w:t>
      </w:r>
      <w:r w:rsidRPr="00361E30">
        <w:t xml:space="preserve">. Several studies have reported an increased risk of fractures with relatively low energy injuries (particularly </w:t>
      </w:r>
      <w:r w:rsidR="00300688" w:rsidRPr="00361E30">
        <w:t>low-level</w:t>
      </w:r>
      <w:r w:rsidRPr="00361E30">
        <w:t xml:space="preserve"> falls) in older people </w:t>
      </w:r>
      <w:r w:rsidRPr="00361E30">
        <w:rPr>
          <w:noProof/>
        </w:rPr>
        <w:t>(Naraynsingh et al. 2015)</w:t>
      </w:r>
      <w:r w:rsidRPr="00361E30">
        <w:t xml:space="preserve">. </w:t>
      </w:r>
    </w:p>
    <w:p w14:paraId="2133AC24" w14:textId="77777777" w:rsidR="00CA0EF0" w:rsidRPr="00361E30" w:rsidRDefault="00CA0EF0" w:rsidP="003C13F4">
      <w:pPr>
        <w:ind w:firstLine="720"/>
      </w:pPr>
      <w:r w:rsidRPr="00361E30">
        <w:t xml:space="preserve">With increasing age, the liver and kidneys become less efficient at eliminating medication from the body. The administration of sedatives and analgesics following trauma must therefore be carefully monitored in older trauma patients, as these drugs are more likely to accumulate in older </w:t>
      </w:r>
      <w:r w:rsidR="00300688" w:rsidRPr="00361E30">
        <w:t>people and</w:t>
      </w:r>
      <w:r w:rsidRPr="00361E30">
        <w:t xml:space="preserve"> can potentially cause depression of the respiratory and cardiovascular systems </w:t>
      </w:r>
      <w:r w:rsidRPr="00361E30">
        <w:rPr>
          <w:noProof/>
        </w:rPr>
        <w:t>(Cohen 1986)</w:t>
      </w:r>
      <w:r w:rsidRPr="00361E30">
        <w:t>. These changes have the effect of markedly increasing the risk of drug related adverse events in patients who suffer major trauma.</w:t>
      </w:r>
    </w:p>
    <w:p w14:paraId="565F93F4" w14:textId="77777777" w:rsidR="00FB40C7" w:rsidRPr="00361E30" w:rsidRDefault="00FB40C7" w:rsidP="003C13F4">
      <w:pPr>
        <w:ind w:firstLine="720"/>
      </w:pPr>
      <w:r w:rsidRPr="00361E30">
        <w:t xml:space="preserve">The impact of </w:t>
      </w:r>
      <w:r w:rsidR="008A35DB">
        <w:t>the</w:t>
      </w:r>
      <w:r w:rsidR="003D15FC" w:rsidRPr="00361E30">
        <w:t>se</w:t>
      </w:r>
      <w:r w:rsidRPr="00361E30">
        <w:t xml:space="preserve"> phy</w:t>
      </w:r>
      <w:r w:rsidR="003D15FC" w:rsidRPr="00361E30">
        <w:t>s</w:t>
      </w:r>
      <w:r w:rsidRPr="00361E30">
        <w:t xml:space="preserve">iological </w:t>
      </w:r>
      <w:r w:rsidR="003D15FC" w:rsidRPr="00361E30">
        <w:t>changes</w:t>
      </w:r>
      <w:r w:rsidRPr="00361E30">
        <w:t xml:space="preserve"> </w:t>
      </w:r>
      <w:r w:rsidR="003D15FC" w:rsidRPr="00361E30">
        <w:t xml:space="preserve">on injured older people is twofold. First, older people are less able to compensate for acute injuries and illnesses, and </w:t>
      </w:r>
      <w:r w:rsidR="00300688" w:rsidRPr="00361E30">
        <w:t>second,</w:t>
      </w:r>
      <w:r w:rsidR="003D15FC" w:rsidRPr="00361E30">
        <w:t xml:space="preserve"> they may not produce the same physical signs of physiological decompensation as younger people, making it more difficult to diagnose acute physiological changes, such as shock, respiratory failure and brain injury. As will be explored later in the thesis, this has an impact on the </w:t>
      </w:r>
      <w:r w:rsidR="003D15FC" w:rsidRPr="00361E30">
        <w:lastRenderedPageBreak/>
        <w:t xml:space="preserve">parameters used to assess decompensation in older people. For example, the cut-off for shock is higher in older versus younger trauma patients (90 vs 110mmHg) and older people are likely to have more serious brain injuries for any given level of </w:t>
      </w:r>
      <w:r w:rsidR="00300688" w:rsidRPr="00361E30">
        <w:t>consciousness</w:t>
      </w:r>
      <w:r w:rsidR="003D15FC" w:rsidRPr="00361E30">
        <w:t xml:space="preserve"> (Kehoe et al 2015a, Brown et al 2015)</w:t>
      </w:r>
    </w:p>
    <w:p w14:paraId="2BBBDE4B" w14:textId="77777777" w:rsidR="00CA0EF0" w:rsidRPr="00361E30" w:rsidRDefault="00CA0EF0" w:rsidP="003C13F4">
      <w:pPr>
        <w:pStyle w:val="Heading1"/>
      </w:pPr>
      <w:bookmarkStart w:id="28" w:name="_Toc1902220"/>
      <w:r w:rsidRPr="00361E30">
        <w:t>1.5</w:t>
      </w:r>
      <w:r w:rsidRPr="00361E30">
        <w:tab/>
        <w:t>The Concept of Frailty and It’s Relation to Trauma</w:t>
      </w:r>
      <w:bookmarkEnd w:id="28"/>
    </w:p>
    <w:p w14:paraId="614BB73D" w14:textId="77777777" w:rsidR="00CA0EF0" w:rsidRPr="00361E30" w:rsidRDefault="00CA0EF0" w:rsidP="003C13F4">
      <w:r w:rsidRPr="00361E30">
        <w:t xml:space="preserve">The ageing population has created new and complex challenges for healthcare providers and researchers, particularly in relation to predicting outcome. Part of the problem is the multifaceted interaction between the physiological changes listed above, patients’ psychosocial and functional status and acute injuries and illnesses experienced by older people. Out of this, the concept of frailty has arisen </w:t>
      </w:r>
      <w:r w:rsidRPr="00361E30">
        <w:rPr>
          <w:noProof/>
        </w:rPr>
        <w:t>(Xue 2011)</w:t>
      </w:r>
      <w:r w:rsidRPr="00361E30">
        <w:t>. The British Geriatric Society defines frailty as:</w:t>
      </w:r>
    </w:p>
    <w:p w14:paraId="30C190C1" w14:textId="77777777" w:rsidR="00CA0EF0" w:rsidRPr="00361E30" w:rsidRDefault="00CA0EF0" w:rsidP="003C13F4">
      <w:pPr>
        <w:ind w:left="1440"/>
        <w:rPr>
          <w:i/>
        </w:rPr>
      </w:pPr>
      <w:r w:rsidRPr="00361E30">
        <w:rPr>
          <w:i/>
        </w:rPr>
        <w:t xml:space="preserve">“…a distinctive health state related to the ageing process in which multiple body systems gradually lose their in-built reserves” (Fit for Frailty – British Geriatric </w:t>
      </w:r>
      <w:r w:rsidR="00300688" w:rsidRPr="00361E30">
        <w:rPr>
          <w:i/>
        </w:rPr>
        <w:t>Society)</w:t>
      </w:r>
      <w:r w:rsidR="00300688" w:rsidRPr="00361E30">
        <w:rPr>
          <w:i/>
          <w:noProof/>
        </w:rPr>
        <w:t xml:space="preserve"> (</w:t>
      </w:r>
      <w:r w:rsidR="005A481E" w:rsidRPr="00361E30">
        <w:rPr>
          <w:i/>
          <w:noProof/>
        </w:rPr>
        <w:t>Turner and Clegg</w:t>
      </w:r>
      <w:r w:rsidRPr="00361E30">
        <w:rPr>
          <w:i/>
          <w:noProof/>
        </w:rPr>
        <w:t xml:space="preserve"> 2014)</w:t>
      </w:r>
      <w:r w:rsidRPr="00361E30">
        <w:rPr>
          <w:i/>
        </w:rPr>
        <w:t>.</w:t>
      </w:r>
    </w:p>
    <w:p w14:paraId="0CDAFDAE" w14:textId="77777777" w:rsidR="00CA0EF0" w:rsidRPr="00361E30" w:rsidRDefault="00CA0EF0" w:rsidP="003C13F4">
      <w:r w:rsidRPr="00361E30">
        <w:t xml:space="preserve">While there is lack of consensus on the definition of frailty, the term broadly refers to the phenomenon of an increased risk of injury or illness in older people, with a decreased ability to recover from such acute insults </w:t>
      </w:r>
      <w:r w:rsidRPr="00361E30">
        <w:rPr>
          <w:noProof/>
        </w:rPr>
        <w:t>(Gobbens et al. 2010, Goldstein et al. 2012, Rockwood 2005, Turner and Clegg 2014)</w:t>
      </w:r>
      <w:r w:rsidRPr="00361E30">
        <w:t xml:space="preserve">. In addition, following such an acute event, frail individuals are less likely than others to return to their premorbid baseline. </w:t>
      </w:r>
    </w:p>
    <w:p w14:paraId="4842AD37" w14:textId="77777777" w:rsidR="007A6E4D" w:rsidRPr="00361E30" w:rsidRDefault="007A6E4D" w:rsidP="003C13F4">
      <w:r w:rsidRPr="00361E30">
        <w:tab/>
        <w:t xml:space="preserve">There are two main approaches to the measurement of frailty: the syndromic </w:t>
      </w:r>
      <w:r w:rsidR="00B869AD" w:rsidRPr="00361E30">
        <w:t xml:space="preserve">or phenotypic </w:t>
      </w:r>
      <w:r w:rsidRPr="00361E30">
        <w:t xml:space="preserve">definition of frailty, as used in many frailty scores, such as the Fried </w:t>
      </w:r>
      <w:r w:rsidR="00B869AD" w:rsidRPr="00361E30">
        <w:t xml:space="preserve">Frailty </w:t>
      </w:r>
      <w:r w:rsidR="007A2823">
        <w:t>Phenotype</w:t>
      </w:r>
      <w:r w:rsidR="00B869AD" w:rsidRPr="00361E30">
        <w:t xml:space="preserve"> and the concept of cumulative deficit as described by Rockwood et al. </w:t>
      </w:r>
      <w:r w:rsidR="007A2823">
        <w:t xml:space="preserve">The phenotypic approach is based on the recording of specific features which point to frailty and scoring patients based on the presence of absence of these features. In the case of the Fried </w:t>
      </w:r>
      <w:r w:rsidR="00300688">
        <w:t>Phenotype</w:t>
      </w:r>
      <w:r w:rsidR="007A2823">
        <w:t xml:space="preserve">, </w:t>
      </w:r>
      <w:r w:rsidR="00E41045">
        <w:t>five</w:t>
      </w:r>
      <w:r w:rsidR="007A2823">
        <w:t xml:space="preserve"> domains are assessed (shrinking, physical endurance, low physical activity, weakness and slow walking speed). In contrast, the cumulative deficit model (such as the Rockwood Frailty </w:t>
      </w:r>
      <w:r w:rsidR="00FD66F4">
        <w:t xml:space="preserve">Index) is based on the concept of accumulation of deficits, and scoring is based on the number of deficits identified compared to the number being sought. The original Rockwood </w:t>
      </w:r>
      <w:r w:rsidR="00300688">
        <w:t>Index</w:t>
      </w:r>
      <w:r w:rsidR="00FD66F4">
        <w:t xml:space="preserve"> was based on 40 potential deficits.</w:t>
      </w:r>
      <w:r w:rsidR="007A2823">
        <w:t xml:space="preserve"> </w:t>
      </w:r>
      <w:r w:rsidR="00300688" w:rsidRPr="00361E30">
        <w:t>Both</w:t>
      </w:r>
      <w:r w:rsidR="00B869AD" w:rsidRPr="00361E30">
        <w:t xml:space="preserve"> measures have validity in identifying frail older patients, but both have challenges when applied to older people presenting to the Emergency Department, including the length of time taken to apply them and their sensitivity and specificity in this setting (Fried et al 2001, Rockwood et al 2007, </w:t>
      </w:r>
      <w:r w:rsidR="008A3250" w:rsidRPr="00361E30">
        <w:t>Elliot, Hull and Conroy, 2017</w:t>
      </w:r>
      <w:r w:rsidR="00B869AD" w:rsidRPr="00361E30">
        <w:t>)</w:t>
      </w:r>
      <w:r w:rsidR="008A3250" w:rsidRPr="00361E30">
        <w:t>.</w:t>
      </w:r>
    </w:p>
    <w:p w14:paraId="40FBE8E1" w14:textId="77777777" w:rsidR="00CA0EF0" w:rsidRPr="00361E30" w:rsidRDefault="00CA0EF0" w:rsidP="003C13F4">
      <w:r w:rsidRPr="00361E30">
        <w:lastRenderedPageBreak/>
        <w:tab/>
        <w:t xml:space="preserve">The relationship between frailty and ageing has been well recognised from the inception of the concept. In developed countries such as the United Kingdom, Europe and North America, the prevalence of frailty among patients 65 and older is estimated at 10%, and this rises to 25% (one in four individuals) among patients aged 85 and older </w:t>
      </w:r>
      <w:r w:rsidRPr="00361E30">
        <w:rPr>
          <w:noProof/>
        </w:rPr>
        <w:t xml:space="preserve">(Collard et al. 2012, </w:t>
      </w:r>
      <w:r w:rsidR="005A481E" w:rsidRPr="00361E30">
        <w:rPr>
          <w:noProof/>
        </w:rPr>
        <w:t xml:space="preserve">British Geriatric </w:t>
      </w:r>
      <w:r w:rsidRPr="00361E30">
        <w:rPr>
          <w:noProof/>
        </w:rPr>
        <w:t>Society 2014)</w:t>
      </w:r>
      <w:r w:rsidRPr="00361E30">
        <w:t xml:space="preserve">. The relationship between ageing, trauma and frailty has also been studied by several researchers, particularly in relation to falls in older people </w:t>
      </w:r>
      <w:r w:rsidRPr="00361E30">
        <w:rPr>
          <w:noProof/>
        </w:rPr>
        <w:t>(Ensrud</w:t>
      </w:r>
      <w:r w:rsidR="00FC3457" w:rsidRPr="00361E30">
        <w:rPr>
          <w:noProof/>
        </w:rPr>
        <w:t xml:space="preserve"> et al. 2007, Nowak and Hubbard</w:t>
      </w:r>
      <w:r w:rsidRPr="00361E30">
        <w:rPr>
          <w:noProof/>
        </w:rPr>
        <w:t xml:space="preserve"> 2009)</w:t>
      </w:r>
      <w:r w:rsidRPr="00361E30">
        <w:t xml:space="preserve">. On the one hand frailty is a recognised risk factor for falls in older people </w:t>
      </w:r>
      <w:r w:rsidRPr="00361E30">
        <w:rPr>
          <w:noProof/>
        </w:rPr>
        <w:t>(Ensrud</w:t>
      </w:r>
      <w:r w:rsidR="000E205F" w:rsidRPr="00361E30">
        <w:rPr>
          <w:noProof/>
        </w:rPr>
        <w:t xml:space="preserve"> et al.</w:t>
      </w:r>
      <w:r w:rsidRPr="00361E30">
        <w:rPr>
          <w:noProof/>
        </w:rPr>
        <w:t xml:space="preserve"> 2007)</w:t>
      </w:r>
      <w:r w:rsidRPr="00361E30">
        <w:t xml:space="preserve">. On the other, frequent falls in older people are seen by many clinicians and researchers as a marker for frailty, and a predictor of functional decline, hospitalisation and even death </w:t>
      </w:r>
      <w:r w:rsidRPr="00361E30">
        <w:rPr>
          <w:noProof/>
        </w:rPr>
        <w:t>(Ayoung-Chee</w:t>
      </w:r>
      <w:r w:rsidR="00E84970" w:rsidRPr="00361E30">
        <w:rPr>
          <w:noProof/>
        </w:rPr>
        <w:t xml:space="preserve"> et al. 2014,</w:t>
      </w:r>
      <w:r w:rsidRPr="00361E30">
        <w:rPr>
          <w:noProof/>
        </w:rPr>
        <w:t xml:space="preserve"> Beauchet et al. 2011, Bloch</w:t>
      </w:r>
      <w:r w:rsidR="0027792F" w:rsidRPr="00361E30">
        <w:rPr>
          <w:noProof/>
        </w:rPr>
        <w:t xml:space="preserve"> et al.</w:t>
      </w:r>
      <w:r w:rsidRPr="00361E30">
        <w:rPr>
          <w:noProof/>
        </w:rPr>
        <w:t xml:space="preserve"> 2010, Broos et al. 1988, Yeung et al. 2008)</w:t>
      </w:r>
      <w:r w:rsidRPr="00361E30">
        <w:t>.</w:t>
      </w:r>
    </w:p>
    <w:p w14:paraId="1B21C7AC" w14:textId="77777777" w:rsidR="00CA0EF0" w:rsidRPr="00361E30" w:rsidRDefault="00CA0EF0" w:rsidP="003C13F4">
      <w:r w:rsidRPr="00361E30">
        <w:tab/>
        <w:t xml:space="preserve">Despite a plethora of research on falls, frailty and ageing, major trauma registries have not yet attempted to include frailty as a predictor of outcome in their databases </w:t>
      </w:r>
      <w:r w:rsidRPr="00361E30">
        <w:rPr>
          <w:noProof/>
        </w:rPr>
        <w:t>(Bouamra et al. 2015, Boyd et al. 1987, Champion</w:t>
      </w:r>
      <w:r w:rsidR="0052214F" w:rsidRPr="00361E30">
        <w:rPr>
          <w:noProof/>
        </w:rPr>
        <w:t xml:space="preserve"> et al.</w:t>
      </w:r>
      <w:r w:rsidRPr="00361E30">
        <w:rPr>
          <w:noProof/>
        </w:rPr>
        <w:t xml:space="preserve"> 1996, Edwards et al. 2007)</w:t>
      </w:r>
      <w:r w:rsidRPr="00361E30">
        <w:t xml:space="preserve">. This is partly due to the difficulty in measuring frailty and the lack of consensus as to its definition. It would seem likely, however, that frailty is a significant factor in determining outcome in older trauma patients, and that its relevance to mortality prediction in major trauma will increase with increasing population age. </w:t>
      </w:r>
    </w:p>
    <w:p w14:paraId="79F5D358" w14:textId="77777777" w:rsidR="00CA0EF0" w:rsidRPr="00361E30" w:rsidRDefault="00CA0EF0" w:rsidP="003C13F4">
      <w:pPr>
        <w:pStyle w:val="Heading1"/>
      </w:pPr>
      <w:bookmarkStart w:id="29" w:name="_Toc1902221"/>
      <w:r w:rsidRPr="00361E30">
        <w:t>1.6</w:t>
      </w:r>
      <w:r w:rsidRPr="00361E30">
        <w:tab/>
        <w:t>Trauma Registries and Trauma Systems</w:t>
      </w:r>
      <w:bookmarkEnd w:id="29"/>
      <w:r w:rsidRPr="00361E30">
        <w:t xml:space="preserve"> </w:t>
      </w:r>
    </w:p>
    <w:p w14:paraId="66B9CA35" w14:textId="77777777" w:rsidR="00CA0EF0" w:rsidRPr="00361E30" w:rsidRDefault="00CA0EF0" w:rsidP="003C13F4">
      <w:r w:rsidRPr="00361E30">
        <w:t xml:space="preserve">In the early days of modern trauma care, treatment principles were developed through a combination of consensus and tradition. Trauma systems evolved based on military trauma care with a focus on early life saving surgery in trauma centres </w:t>
      </w:r>
      <w:r w:rsidR="00826D9C" w:rsidRPr="00361E30">
        <w:rPr>
          <w:noProof/>
        </w:rPr>
        <w:t>(Trunkey</w:t>
      </w:r>
      <w:r w:rsidRPr="00361E30">
        <w:rPr>
          <w:noProof/>
        </w:rPr>
        <w:t xml:space="preserve"> 2000, Trunkey and Lim</w:t>
      </w:r>
      <w:r w:rsidR="00826D9C" w:rsidRPr="00361E30">
        <w:rPr>
          <w:noProof/>
        </w:rPr>
        <w:t xml:space="preserve"> 1974, West </w:t>
      </w:r>
      <w:r w:rsidRPr="00361E30">
        <w:rPr>
          <w:noProof/>
        </w:rPr>
        <w:t>et al. 1979)</w:t>
      </w:r>
      <w:r w:rsidRPr="00361E30">
        <w:t xml:space="preserve">. </w:t>
      </w:r>
    </w:p>
    <w:p w14:paraId="008F3B2F" w14:textId="77777777" w:rsidR="00CA0EF0" w:rsidRPr="00361E30" w:rsidRDefault="00CA0EF0" w:rsidP="003C13F4">
      <w:pPr>
        <w:ind w:firstLine="720"/>
      </w:pPr>
      <w:r w:rsidRPr="00361E30">
        <w:t xml:space="preserve">In 2012, following a report by based on TARN data, trauma care in England was organised on a regional basis </w:t>
      </w:r>
      <w:r w:rsidRPr="00361E30">
        <w:rPr>
          <w:noProof/>
        </w:rPr>
        <w:t>(</w:t>
      </w:r>
      <w:r w:rsidR="0099091F" w:rsidRPr="00361E30">
        <w:rPr>
          <w:noProof/>
        </w:rPr>
        <w:t>Cole et al. 2016, Gabbe et al.</w:t>
      </w:r>
      <w:r w:rsidRPr="00361E30">
        <w:rPr>
          <w:noProof/>
        </w:rPr>
        <w:t xml:space="preserve"> 2011</w:t>
      </w:r>
      <w:r w:rsidR="0099091F" w:rsidRPr="00361E30">
        <w:rPr>
          <w:noProof/>
        </w:rPr>
        <w:t>a</w:t>
      </w:r>
      <w:r w:rsidRPr="00361E30">
        <w:rPr>
          <w:noProof/>
        </w:rPr>
        <w:t>)</w:t>
      </w:r>
      <w:r w:rsidRPr="00361E30">
        <w:t xml:space="preserve">. Through this system, England is divided into regions with one central hospital in each region providing specialist care for the most seriously injured patients (these hospitals are designated ‘Major Trauma Centres’). Each Major Trauma Centre is supported by less </w:t>
      </w:r>
      <w:r w:rsidR="00300688" w:rsidRPr="00361E30">
        <w:t>well-equipped</w:t>
      </w:r>
      <w:r w:rsidRPr="00361E30">
        <w:t xml:space="preserve"> trauma receiving hospitals which can manage less seriously injured patients (designated ‘Trauma Units’). Each region usually has a single Major Trauma Centre, with several Trauma Units. The ambulance service has triage guidelines that dictate which patients can be transported to Trauma Units and which require direct transport to Major Trauma Centres. In addition, patients admitted to Trauma Units who are found to have more serious injuries can be transferred to the corresponding Major Trauma Centre. Within each trauma receiving hospital, care is organised </w:t>
      </w:r>
      <w:r w:rsidRPr="00361E30">
        <w:lastRenderedPageBreak/>
        <w:t xml:space="preserve">in different ways. </w:t>
      </w:r>
      <w:r w:rsidR="00300688">
        <w:t>Specifically</w:t>
      </w:r>
      <w:r w:rsidRPr="00361E30">
        <w:t xml:space="preserve">, some trauma receiving hospitals have dedicated wards for admission of their major trauma patients (‘Trauma Wards’), while others admit these patients to general surgical and orthopaedic wards. More recent work by Lecky and collaborators has demonstrated improved outcomes for trauma patients since the introduction of regionalised trauma care in England </w:t>
      </w:r>
      <w:r w:rsidRPr="00361E30">
        <w:rPr>
          <w:noProof/>
        </w:rPr>
        <w:t>(Cole et al.</w:t>
      </w:r>
      <w:r w:rsidR="0027792F" w:rsidRPr="00361E30">
        <w:rPr>
          <w:noProof/>
        </w:rPr>
        <w:t xml:space="preserve"> 2016, Metcalfe et al.</w:t>
      </w:r>
      <w:r w:rsidRPr="00361E30">
        <w:rPr>
          <w:noProof/>
        </w:rPr>
        <w:t xml:space="preserve"> 2014)</w:t>
      </w:r>
      <w:r w:rsidRPr="00361E30">
        <w:t>.</w:t>
      </w:r>
    </w:p>
    <w:p w14:paraId="11DE2B15" w14:textId="77777777" w:rsidR="00CA0EF0" w:rsidRPr="00361E30" w:rsidRDefault="00CA0EF0" w:rsidP="003C13F4">
      <w:pPr>
        <w:ind w:firstLine="720"/>
      </w:pPr>
      <w:r w:rsidRPr="00361E30">
        <w:t xml:space="preserve">In the early days of major trauma management, there was little, if any, data describing civilian trauma management and its outcome, so there was no real opportunity to make decisions on the best approach. Researchers in the field of trauma care recognised the need for more systematic collection and collation of trauma data and better systems for analysing trauma outcomes. These trauma registries recognised that the effectiveness of trauma care could only be assessed if outcomes were adjusted for covariates known to affect outcome, including patient characteristics (such as age and gender) and injury related factors such as injury severity, physiological status and injury mechanism. The data collected were used to predict trauma related mortality for both individual patients and hospitals. By adjusting for the factors mentioned above, researchers were for the first time able to compare trauma outcomes (in terms of mortality) between hospitals </w:t>
      </w:r>
      <w:r w:rsidR="00C10F07">
        <w:t>in which</w:t>
      </w:r>
      <w:r w:rsidRPr="00361E30">
        <w:t xml:space="preserve"> patient populations and casemix were different, using the TRISS (‘Trauma and Injury Severity Score’) methodology (this will be described in greater detail in Section 1.7.2) </w:t>
      </w:r>
      <w:r w:rsidRPr="00361E30">
        <w:rPr>
          <w:noProof/>
        </w:rPr>
        <w:t>(Champion 2002, Champion et al. 1990)</w:t>
      </w:r>
      <w:r w:rsidRPr="00361E30">
        <w:t>.</w:t>
      </w:r>
    </w:p>
    <w:p w14:paraId="1327702B" w14:textId="77777777" w:rsidR="00CA0EF0" w:rsidRPr="00361E30" w:rsidRDefault="00CA0EF0" w:rsidP="003C13F4">
      <w:pPr>
        <w:pStyle w:val="Heading2"/>
      </w:pPr>
      <w:bookmarkStart w:id="30" w:name="_Toc1902222"/>
      <w:r w:rsidRPr="00361E30">
        <w:t>1.6.1</w:t>
      </w:r>
      <w:r w:rsidRPr="00361E30">
        <w:tab/>
        <w:t>Trauma Registries in the UK: The Trauma Audit and Research Network (TARN)</w:t>
      </w:r>
      <w:bookmarkEnd w:id="30"/>
    </w:p>
    <w:p w14:paraId="6B06CEB0" w14:textId="77777777" w:rsidR="00CA0EF0" w:rsidRPr="00361E30" w:rsidRDefault="00CA0EF0" w:rsidP="003C13F4">
      <w:r w:rsidRPr="00361E30">
        <w:t xml:space="preserve">Following the publication of Anderson and Irving’s seminal paper on major trauma deaths in the United Kingdom in 1988, the Royal College of Surgeons recognised that a prospective analysis of trauma data utilising injury severity to predict outcome would be required to scientifically test the validity of those authors’ retrospective analysis </w:t>
      </w:r>
      <w:r w:rsidRPr="00361E30">
        <w:rPr>
          <w:noProof/>
        </w:rPr>
        <w:t>(Yates</w:t>
      </w:r>
      <w:r w:rsidR="00826D9C" w:rsidRPr="00361E30">
        <w:rPr>
          <w:noProof/>
        </w:rPr>
        <w:t xml:space="preserve"> et al.</w:t>
      </w:r>
      <w:r w:rsidRPr="00361E30">
        <w:rPr>
          <w:noProof/>
        </w:rPr>
        <w:t xml:space="preserve"> 1992)</w:t>
      </w:r>
      <w:r w:rsidRPr="00361E30">
        <w:t xml:space="preserve">. Thus, in 1988, the Major Trauma Outcome Study, United Kingdom (MTOS-UK) was developed, which is now the longest running trauma registry in the world </w:t>
      </w:r>
      <w:r w:rsidRPr="00361E30">
        <w:rPr>
          <w:noProof/>
        </w:rPr>
        <w:t>(Yates et al. 1992)</w:t>
      </w:r>
      <w:r w:rsidRPr="00361E30">
        <w:t xml:space="preserve">. By 1989, the United States Major Trauma Outcome Study (from which MTOS-UK was developed) had stopped collecting data on patients and in 1993, it was decided that UK trauma outcomes should no longer be compared to MTOS norms from the United States, as these data were by then several years out of date, and the casemix in the American MTOS study was sufficiently different from that in the UK to make the comparisons less useful. MTOS (UK) thus established its own formula for calculating predicted survival, based on local data (see Section 1.7.2 on TRISS methodology and probability of survival below). In 1996, MTOS (UK) was renamed the UK Trauma Audit and Research Network (TARN) to better reflect the makeup of its participants and stakeholders </w:t>
      </w:r>
      <w:r w:rsidRPr="00361E30">
        <w:rPr>
          <w:noProof/>
        </w:rPr>
        <w:t>(Lecky et al. 2000, Yates et al. 1994)</w:t>
      </w:r>
      <w:r w:rsidRPr="00361E30">
        <w:t xml:space="preserve">. TARN has since expanded to include all trauma receiving hospitals in England, Wales and has member hospitals in Europe. It has </w:t>
      </w:r>
      <w:r w:rsidRPr="00361E30">
        <w:lastRenderedPageBreak/>
        <w:t xml:space="preserve">reported on various aspects of trauma care, including the development of trauma care and improvements in outcomes in the United Kingdom, the management of head injuries and the benefits of trauma centres in the UK </w:t>
      </w:r>
      <w:r w:rsidRPr="00361E30">
        <w:rPr>
          <w:noProof/>
        </w:rPr>
        <w:t>(Lecky et al. 2000, Patel et al. 2005)</w:t>
      </w:r>
      <w:r w:rsidRPr="00361E30">
        <w:t>.</w:t>
      </w:r>
    </w:p>
    <w:p w14:paraId="7F342CCF" w14:textId="77777777" w:rsidR="00CA0EF0" w:rsidRPr="00361E30" w:rsidRDefault="00CA0EF0" w:rsidP="003C13F4">
      <w:pPr>
        <w:pStyle w:val="Heading1"/>
      </w:pPr>
      <w:bookmarkStart w:id="31" w:name="_Toc1902223"/>
      <w:r w:rsidRPr="00361E30">
        <w:t>1.7</w:t>
      </w:r>
      <w:r w:rsidRPr="00361E30">
        <w:tab/>
        <w:t>Outcome Prediction Models in Trauma Care</w:t>
      </w:r>
      <w:bookmarkEnd w:id="31"/>
    </w:p>
    <w:p w14:paraId="0FA7F4F7" w14:textId="77777777" w:rsidR="00CA0EF0" w:rsidRPr="00361E30" w:rsidRDefault="00CA0EF0" w:rsidP="003C13F4">
      <w:pPr>
        <w:pStyle w:val="Heading2"/>
      </w:pPr>
      <w:bookmarkStart w:id="32" w:name="_Toc1902224"/>
      <w:r w:rsidRPr="00361E30">
        <w:t>1.7.1</w:t>
      </w:r>
      <w:r w:rsidRPr="00361E30">
        <w:tab/>
        <w:t>The Use of Prediction Models in Trauma Care</w:t>
      </w:r>
      <w:bookmarkEnd w:id="32"/>
    </w:p>
    <w:p w14:paraId="396D73A2" w14:textId="77777777" w:rsidR="00CA0EF0" w:rsidRPr="00361E30" w:rsidRDefault="00CA0EF0" w:rsidP="003C13F4">
      <w:r w:rsidRPr="00361E30">
        <w:t xml:space="preserve">The objective assessment of trauma and trauma care requires the comparison of different trauma systems and trauma hospitals, using </w:t>
      </w:r>
      <w:r w:rsidR="00300688" w:rsidRPr="00361E30">
        <w:t>measurable</w:t>
      </w:r>
      <w:r w:rsidRPr="00361E30">
        <w:t xml:space="preserve"> outcomes. However, as alluded to earlier, the legitimate comparison of outcomes between trauma systems poses its own challenges. First, trauma patients display a wide degree of variability in their injury and demographic characteristics. Any comparison of different populations of trauma patients must seek to control for these variations. Second, outcome measures must be well defined, easily </w:t>
      </w:r>
      <w:r w:rsidR="00300688" w:rsidRPr="00361E30">
        <w:t>measurable</w:t>
      </w:r>
      <w:r w:rsidRPr="00361E30">
        <w:t xml:space="preserve"> and reproducible.</w:t>
      </w:r>
    </w:p>
    <w:p w14:paraId="36F9E7C4" w14:textId="77777777" w:rsidR="00CA0EF0" w:rsidRPr="00361E30" w:rsidRDefault="00CA0EF0" w:rsidP="003C13F4">
      <w:r w:rsidRPr="00361E30">
        <w:tab/>
      </w:r>
      <w:r w:rsidR="00300688" w:rsidRPr="00361E30">
        <w:t>Regarding</w:t>
      </w:r>
      <w:r w:rsidRPr="00361E30">
        <w:t xml:space="preserve"> the choice of outcome measure, researchers into trauma have relied on mortality as an objective end point that is easily verifiable and definable. Thus, most trauma registries use mortality as their primary outcome, though definitions of what constitutes a death ‘due to trauma’ may vary from one registry to another. Some registries include all in-hospital deaths following admission for major trauma, while others include only those deaths occurring within the first 30 days of admission </w:t>
      </w:r>
      <w:r w:rsidRPr="00361E30">
        <w:rPr>
          <w:noProof/>
        </w:rPr>
        <w:t>(Lecky et al. 2014)</w:t>
      </w:r>
      <w:r w:rsidRPr="00361E30">
        <w:t>.</w:t>
      </w:r>
    </w:p>
    <w:p w14:paraId="2C3D22D8" w14:textId="77777777" w:rsidR="00CA0EF0" w:rsidRPr="00361E30" w:rsidRDefault="00CA0EF0" w:rsidP="003C13F4">
      <w:pPr>
        <w:pStyle w:val="Heading3"/>
      </w:pPr>
      <w:r w:rsidRPr="00361E30">
        <w:t xml:space="preserve">1.7.1.1 </w:t>
      </w:r>
      <w:r w:rsidRPr="00361E30">
        <w:tab/>
        <w:t>Predicting Mortality for Individual Patients</w:t>
      </w:r>
    </w:p>
    <w:p w14:paraId="406E8DBD" w14:textId="77777777" w:rsidR="00CA0EF0" w:rsidRPr="00361E30" w:rsidRDefault="00CA0EF0" w:rsidP="003C13F4">
      <w:r w:rsidRPr="00361E30">
        <w:t xml:space="preserve">Covariates that must be adjusted for when estimating probability of survival from trauma include demographic characteristics of the patient (most notably age and gender), physiological variables (Glasgow coma score, systolic blood pressure and respiratory rate) and injury characteristics (including mechanism of injury and injury severity). The two approaches to the elimination of variability in populations of patients with trauma are either to select only patients with similar demographic and injury characteristics for comparison, or to cater for the variations in the population through statistical modelling. The first approach is generally less useful, as this leaves researchers with such highly selected patients that results of any analysis are difficult to generalise to the wider population. Thus, most trauma registries use statistical modelling to control for known covariates within a population when calculating probability of survival </w:t>
      </w:r>
      <w:r w:rsidRPr="00361E30">
        <w:rPr>
          <w:noProof/>
        </w:rPr>
        <w:t>(Lecky</w:t>
      </w:r>
      <w:r w:rsidR="00B249F5" w:rsidRPr="00361E30">
        <w:rPr>
          <w:noProof/>
        </w:rPr>
        <w:t xml:space="preserve"> et al.</w:t>
      </w:r>
      <w:r w:rsidRPr="00361E30">
        <w:rPr>
          <w:noProof/>
        </w:rPr>
        <w:t xml:space="preserve"> 2014)</w:t>
      </w:r>
      <w:r w:rsidRPr="00361E30">
        <w:t>.</w:t>
      </w:r>
    </w:p>
    <w:p w14:paraId="6C405A42" w14:textId="77777777" w:rsidR="00CA0EF0" w:rsidRPr="00361E30" w:rsidRDefault="00CA0EF0" w:rsidP="003C13F4">
      <w:r w:rsidRPr="00361E30">
        <w:tab/>
        <w:t>As mortality is a dichotomous variable, multivariate logistic regression is used to determine the degree to which different factors influence the probability of survival of any given patient. The general statistical model used to predict probability of survival is as follows:</w:t>
      </w:r>
    </w:p>
    <w:p w14:paraId="7BD38491" w14:textId="77777777" w:rsidR="00CA0EF0" w:rsidRPr="00361E30" w:rsidRDefault="00CA0EF0" w:rsidP="003C13F4">
      <w:pPr>
        <w:pStyle w:val="ListParagraph"/>
        <w:rPr>
          <w:i/>
        </w:rPr>
      </w:pPr>
      <w:r w:rsidRPr="00361E30">
        <w:lastRenderedPageBreak/>
        <w:tab/>
      </w:r>
      <w:r w:rsidRPr="00361E30">
        <w:rPr>
          <w:i/>
        </w:rPr>
        <w:t>Ps = (1/1 + e</w:t>
      </w:r>
      <w:r w:rsidRPr="00361E30">
        <w:rPr>
          <w:i/>
          <w:vertAlign w:val="superscript"/>
        </w:rPr>
        <w:t>-b</w:t>
      </w:r>
      <w:r w:rsidRPr="00361E30">
        <w:rPr>
          <w:i/>
        </w:rPr>
        <w:t>)</w:t>
      </w:r>
    </w:p>
    <w:p w14:paraId="7C91B2C5" w14:textId="77777777" w:rsidR="00CA0EF0" w:rsidRPr="00361E30" w:rsidRDefault="00CA0EF0" w:rsidP="003C13F4">
      <w:r w:rsidRPr="00361E30">
        <w:t>Ps represents the probability of survival and b is calculated from the following equation:</w:t>
      </w:r>
    </w:p>
    <w:p w14:paraId="7C8438C2" w14:textId="77777777" w:rsidR="00CA0EF0" w:rsidRPr="00361E30" w:rsidRDefault="00CA0EF0" w:rsidP="003C13F4">
      <w:pPr>
        <w:pStyle w:val="ListParagraph"/>
        <w:rPr>
          <w:i/>
        </w:rPr>
      </w:pPr>
      <w:r w:rsidRPr="00361E30">
        <w:tab/>
      </w:r>
      <w:r w:rsidRPr="00361E30">
        <w:rPr>
          <w:i/>
        </w:rPr>
        <w:t>b = b</w:t>
      </w:r>
      <w:r w:rsidRPr="00361E30">
        <w:rPr>
          <w:i/>
          <w:vertAlign w:val="subscript"/>
        </w:rPr>
        <w:t>0</w:t>
      </w:r>
      <w:r w:rsidRPr="00361E30">
        <w:rPr>
          <w:i/>
        </w:rPr>
        <w:t xml:space="preserve"> + b</w:t>
      </w:r>
      <w:r w:rsidRPr="00361E30">
        <w:rPr>
          <w:i/>
          <w:vertAlign w:val="subscript"/>
        </w:rPr>
        <w:t>1</w:t>
      </w:r>
      <w:r w:rsidRPr="00361E30">
        <w:rPr>
          <w:i/>
        </w:rPr>
        <w:t>(A) + b</w:t>
      </w:r>
      <w:r w:rsidRPr="00361E30">
        <w:rPr>
          <w:i/>
          <w:vertAlign w:val="subscript"/>
        </w:rPr>
        <w:t>2</w:t>
      </w:r>
      <w:r w:rsidRPr="00361E30">
        <w:rPr>
          <w:i/>
        </w:rPr>
        <w:t>(B)..b</w:t>
      </w:r>
      <w:r w:rsidRPr="00361E30">
        <w:rPr>
          <w:i/>
          <w:vertAlign w:val="subscript"/>
        </w:rPr>
        <w:t>n</w:t>
      </w:r>
      <w:r w:rsidRPr="00361E30">
        <w:rPr>
          <w:i/>
        </w:rPr>
        <w:t>(N)</w:t>
      </w:r>
    </w:p>
    <w:p w14:paraId="77825ACA" w14:textId="77777777" w:rsidR="00CA0EF0" w:rsidRPr="00361E30" w:rsidRDefault="00CA0EF0" w:rsidP="003C13F4">
      <w:r w:rsidRPr="00361E30">
        <w:t>Where A, B ..N represent covariates known to influence probability of survival, and b</w:t>
      </w:r>
      <w:r w:rsidRPr="00361E30">
        <w:rPr>
          <w:vertAlign w:val="subscript"/>
        </w:rPr>
        <w:t>0</w:t>
      </w:r>
      <w:r w:rsidRPr="00361E30">
        <w:t>, b</w:t>
      </w:r>
      <w:r w:rsidRPr="00361E30">
        <w:rPr>
          <w:vertAlign w:val="subscript"/>
        </w:rPr>
        <w:t>1</w:t>
      </w:r>
      <w:r w:rsidRPr="00361E30">
        <w:t>..b</w:t>
      </w:r>
      <w:r w:rsidRPr="00361E30">
        <w:rPr>
          <w:vertAlign w:val="subscript"/>
        </w:rPr>
        <w:t>n</w:t>
      </w:r>
      <w:r w:rsidRPr="00361E30">
        <w:t xml:space="preserve"> are regression coefficients calculated for each covariate using the entire population of trauma patients in the dataset. The actual covariates included in the equation are determined by regression analysis. Different prediction models use different covariates, while different trauma registries use different regression coefficients, based on their local data. Examples of coefficients and covariates used in different models are described below. Once the regression equation has been formulated, the probability of survival of any given patient can be estimated by inputting that patient’s values for each covariate into the equation. </w:t>
      </w:r>
    </w:p>
    <w:p w14:paraId="5EE20260" w14:textId="77777777" w:rsidR="00CA0EF0" w:rsidRPr="00361E30" w:rsidRDefault="00CA0EF0" w:rsidP="003C13F4">
      <w:pPr>
        <w:pStyle w:val="Heading3"/>
      </w:pPr>
      <w:r w:rsidRPr="00361E30">
        <w:t xml:space="preserve">1.7.1.2 </w:t>
      </w:r>
      <w:r w:rsidRPr="00361E30">
        <w:tab/>
        <w:t>Assessing Overall Hospital Performance Based on Casemix</w:t>
      </w:r>
    </w:p>
    <w:p w14:paraId="1F81F49E" w14:textId="77777777" w:rsidR="00CA0EF0" w:rsidRPr="00361E30" w:rsidRDefault="00CA0EF0" w:rsidP="003C13F4">
      <w:r w:rsidRPr="00361E30">
        <w:t xml:space="preserve">While outcome prediction models can be used to determine the risk of death for any individual patient, overall predicted survival rates for major trauma patients can also be calculated for individual trauma receiving hospitals, based on their patient population and casemix. These predicted survival rates can then be compared to the hospital’s actual survival rate, as a measure of how well that hospital is performing in relation to the average for the entire trauma dataset. </w:t>
      </w:r>
    </w:p>
    <w:p w14:paraId="57921FC6" w14:textId="77777777" w:rsidR="00CA0EF0" w:rsidRPr="00361E30" w:rsidRDefault="00CA0EF0" w:rsidP="003C13F4">
      <w:pPr>
        <w:ind w:firstLine="720"/>
      </w:pPr>
      <w:r w:rsidRPr="00361E30">
        <w:t>Two statistics are used to determine the performance of a trauma hospital in relation to its predicted performance. The ‘Z’ statistic gives an estimate of the significance of any variation of the hospital’s actual survival rate from its predicted survival rate. A ‘Z’ statistic of more than ±1.96 indicates a statistically significant deviation from predicted mortality rates. The standardised ‘Z’ can also be used to present the variance between predicted and actual survival rates as a function of the standard deviation of the variance for that hospital. Any hospital whose actual survival rate is more than 2 standard deviations from its predicted survival rate would be considered as having a statistically significant difference in survival to that predicted.</w:t>
      </w:r>
    </w:p>
    <w:p w14:paraId="1BD9C89F" w14:textId="77777777" w:rsidR="00CA0EF0" w:rsidRPr="00361E30" w:rsidRDefault="00CA0EF0" w:rsidP="003C13F4">
      <w:pPr>
        <w:ind w:firstLine="720"/>
      </w:pPr>
      <w:r w:rsidRPr="00361E30">
        <w:t xml:space="preserve">The ‘W’ statistic is a measure of the actual difference between observed (actual) and expected (predicted) deaths for a hospital. This is presented as survivors per hundred patients treated. A positive value indicates that there are more survivors than expected from the prediction model (the hospital is doing better than predicted for its casemix), while a negative value indicates the converse </w:t>
      </w:r>
      <w:r w:rsidRPr="00361E30">
        <w:rPr>
          <w:noProof/>
        </w:rPr>
        <w:t>(Boyd</w:t>
      </w:r>
      <w:r w:rsidR="00C908AC" w:rsidRPr="00361E30">
        <w:rPr>
          <w:noProof/>
        </w:rPr>
        <w:t xml:space="preserve"> et al.</w:t>
      </w:r>
      <w:r w:rsidRPr="00361E30">
        <w:rPr>
          <w:noProof/>
        </w:rPr>
        <w:t xml:space="preserve"> 1987, Lecky</w:t>
      </w:r>
      <w:r w:rsidR="00B249F5" w:rsidRPr="00361E30">
        <w:rPr>
          <w:noProof/>
        </w:rPr>
        <w:t xml:space="preserve"> et al.</w:t>
      </w:r>
      <w:r w:rsidRPr="00361E30">
        <w:rPr>
          <w:noProof/>
        </w:rPr>
        <w:t xml:space="preserve"> 2014)</w:t>
      </w:r>
      <w:r w:rsidRPr="00361E30">
        <w:t>.</w:t>
      </w:r>
    </w:p>
    <w:p w14:paraId="0CF23F80" w14:textId="77777777" w:rsidR="00CA0EF0" w:rsidRPr="00361E30" w:rsidRDefault="00CA0EF0" w:rsidP="003C13F4">
      <w:pPr>
        <w:pStyle w:val="Heading2"/>
      </w:pPr>
      <w:bookmarkStart w:id="33" w:name="_Toc1902225"/>
      <w:r w:rsidRPr="00361E30">
        <w:lastRenderedPageBreak/>
        <w:t>1.7.2</w:t>
      </w:r>
      <w:r w:rsidRPr="00361E30">
        <w:tab/>
        <w:t>TRISS Methodology and the Major Trauma Outcome Study</w:t>
      </w:r>
      <w:bookmarkEnd w:id="33"/>
    </w:p>
    <w:p w14:paraId="447ACCC5" w14:textId="77777777" w:rsidR="00CA0EF0" w:rsidRPr="00361E30" w:rsidRDefault="00CA0EF0" w:rsidP="003C13F4">
      <w:r w:rsidRPr="00361E30">
        <w:t xml:space="preserve">The TRISS methodology is the precursor of the current model used at TARN to predict mortality in major trauma patients. It was first developed and used in the Major Trauma Outcome Study in the United States of America </w:t>
      </w:r>
      <w:r w:rsidRPr="00361E30">
        <w:rPr>
          <w:noProof/>
        </w:rPr>
        <w:t>(Boyd</w:t>
      </w:r>
      <w:r w:rsidR="00C908AC" w:rsidRPr="00361E30">
        <w:rPr>
          <w:noProof/>
        </w:rPr>
        <w:t xml:space="preserve"> et al.</w:t>
      </w:r>
      <w:r w:rsidRPr="00361E30">
        <w:rPr>
          <w:noProof/>
        </w:rPr>
        <w:t xml:space="preserve"> 1987)</w:t>
      </w:r>
      <w:r w:rsidRPr="00361E30">
        <w:t>. The TRISS methodology utilises the Revised Trauma Score, Injury Severity Score and Age to calculate probability of survival. The regression equation is represented below:</w:t>
      </w:r>
    </w:p>
    <w:p w14:paraId="360E6F0B" w14:textId="77777777" w:rsidR="00CA0EF0" w:rsidRPr="00361E30" w:rsidRDefault="00CA0EF0" w:rsidP="003C13F4">
      <w:pPr>
        <w:rPr>
          <w:i/>
        </w:rPr>
      </w:pPr>
      <w:r w:rsidRPr="00361E30">
        <w:tab/>
      </w:r>
      <w:r w:rsidRPr="00361E30">
        <w:rPr>
          <w:i/>
        </w:rPr>
        <w:t>Ps = (1/1 + e</w:t>
      </w:r>
      <w:r w:rsidRPr="00361E30">
        <w:rPr>
          <w:i/>
          <w:vertAlign w:val="superscript"/>
        </w:rPr>
        <w:t>-b</w:t>
      </w:r>
      <w:r w:rsidRPr="00361E30">
        <w:rPr>
          <w:i/>
        </w:rPr>
        <w:t>)</w:t>
      </w:r>
    </w:p>
    <w:p w14:paraId="62C6CBCA" w14:textId="77777777" w:rsidR="00CA0EF0" w:rsidRPr="00361E30" w:rsidRDefault="00CA0EF0" w:rsidP="003C13F4">
      <w:r w:rsidRPr="00361E30">
        <w:t>Ps represents the probability of survival and b is calculated from the following equation:</w:t>
      </w:r>
    </w:p>
    <w:p w14:paraId="7F84F991" w14:textId="77777777" w:rsidR="00CA0EF0" w:rsidRPr="00361E30" w:rsidRDefault="00CA0EF0" w:rsidP="003C13F4">
      <w:pPr>
        <w:rPr>
          <w:i/>
        </w:rPr>
      </w:pPr>
      <w:r w:rsidRPr="00361E30">
        <w:tab/>
      </w:r>
      <w:r w:rsidRPr="00361E30">
        <w:rPr>
          <w:i/>
        </w:rPr>
        <w:t>b = b</w:t>
      </w:r>
      <w:r w:rsidRPr="00361E30">
        <w:rPr>
          <w:i/>
          <w:vertAlign w:val="subscript"/>
        </w:rPr>
        <w:t>0</w:t>
      </w:r>
      <w:r w:rsidRPr="00361E30">
        <w:rPr>
          <w:i/>
        </w:rPr>
        <w:t xml:space="preserve"> + b</w:t>
      </w:r>
      <w:r w:rsidRPr="00361E30">
        <w:rPr>
          <w:i/>
          <w:vertAlign w:val="subscript"/>
        </w:rPr>
        <w:t>1</w:t>
      </w:r>
      <w:r w:rsidRPr="00361E30">
        <w:rPr>
          <w:i/>
        </w:rPr>
        <w:t>(RTS) + b</w:t>
      </w:r>
      <w:r w:rsidRPr="00361E30">
        <w:rPr>
          <w:i/>
          <w:vertAlign w:val="subscript"/>
        </w:rPr>
        <w:t>2</w:t>
      </w:r>
      <w:r w:rsidRPr="00361E30">
        <w:rPr>
          <w:i/>
        </w:rPr>
        <w:t>(ISS) + b</w:t>
      </w:r>
      <w:r w:rsidRPr="00361E30">
        <w:rPr>
          <w:i/>
          <w:vertAlign w:val="subscript"/>
        </w:rPr>
        <w:t>3</w:t>
      </w:r>
      <w:r w:rsidRPr="00361E30">
        <w:rPr>
          <w:i/>
        </w:rPr>
        <w:t>(Age)</w:t>
      </w:r>
    </w:p>
    <w:p w14:paraId="2B67332D" w14:textId="77777777" w:rsidR="00CA0EF0" w:rsidRPr="00361E30" w:rsidRDefault="00CA0EF0" w:rsidP="003C13F4">
      <w:r w:rsidRPr="00361E30">
        <w:t>where age is categorised as a dichotomous variable (Age &lt;55 years = 0; age ≥55 years = 1), the revised trauma score (RTS) is a weighted score calculated from the respiratory rate, systolic blood pressure and Glasgow coma score, and the injury severity score (ISS) is an anatomical score of injury severity based on the diagnosed injuries suffered by a patient (the ISS is calculated in retrospect after the discharge or death of the patient). The actual values for the coefficients b</w:t>
      </w:r>
      <w:r w:rsidRPr="00361E30">
        <w:rPr>
          <w:vertAlign w:val="subscript"/>
        </w:rPr>
        <w:t>0</w:t>
      </w:r>
      <w:r w:rsidRPr="00361E30">
        <w:t>..b</w:t>
      </w:r>
      <w:r w:rsidRPr="00361E30">
        <w:rPr>
          <w:vertAlign w:val="subscript"/>
        </w:rPr>
        <w:t>3</w:t>
      </w:r>
      <w:r w:rsidRPr="00361E30">
        <w:t xml:space="preserve"> are different for blunt and penetrating trauma, and many trauma registries using TRISS have calculated their own coefficients for each variable, based on their local datasets.</w:t>
      </w:r>
    </w:p>
    <w:p w14:paraId="312316CC" w14:textId="77777777" w:rsidR="00CA0EF0" w:rsidRPr="00361E30" w:rsidRDefault="00CA0EF0" w:rsidP="003C13F4">
      <w:r w:rsidRPr="00361E30">
        <w:tab/>
        <w:t xml:space="preserve">While the development of TRISS represented a significant advance in the assessment of trauma care, it was recognised to have some deficiencies. The predictive model worked better for blunt trauma; it was less good at predicting outcomes in older patients and there were high proportions of missing entries for some of the data required, such as respiratory rate </w:t>
      </w:r>
      <w:r w:rsidRPr="00361E30">
        <w:rPr>
          <w:noProof/>
        </w:rPr>
        <w:t>(Bouamra et al., 2006a, Demetriades, Chan et al., 1998)</w:t>
      </w:r>
      <w:r w:rsidRPr="00361E30">
        <w:t>.</w:t>
      </w:r>
    </w:p>
    <w:p w14:paraId="2A2E5498" w14:textId="77777777" w:rsidR="00CA0EF0" w:rsidRPr="00361E30" w:rsidRDefault="00CA0EF0" w:rsidP="003C13F4">
      <w:pPr>
        <w:pStyle w:val="Heading2"/>
      </w:pPr>
      <w:bookmarkStart w:id="34" w:name="_Toc1902226"/>
      <w:r w:rsidRPr="00361E30">
        <w:t>1.7.3</w:t>
      </w:r>
      <w:r w:rsidRPr="00361E30">
        <w:tab/>
        <w:t>TARN and the Probability of Survival (PS) model</w:t>
      </w:r>
      <w:bookmarkEnd w:id="34"/>
    </w:p>
    <w:p w14:paraId="4E7025CE" w14:textId="77777777" w:rsidR="00CA0EF0" w:rsidRPr="00361E30" w:rsidRDefault="00CA0EF0" w:rsidP="003C13F4">
      <w:r w:rsidRPr="00361E30">
        <w:t>In 2006, Bouamra et al reviewed the TARN dataset, and devised a new predictive model for trauma survival in the United Kingdom. TARN had previously applied UK coefficients to the TRISS model to produce a better predictive model for the UK trauma population. This addressed the fact that the UK trauma population was significantly older than the US population and the UK coefficient for age was significantly higher than in the US TRISS model.</w:t>
      </w:r>
    </w:p>
    <w:p w14:paraId="3F6740D4" w14:textId="77777777" w:rsidR="00CA0EF0" w:rsidRPr="00361E30" w:rsidRDefault="00CA0EF0" w:rsidP="003C13F4">
      <w:r w:rsidRPr="00361E30">
        <w:tab/>
        <w:t xml:space="preserve">The new model (termed the ‘PS’ for probability of survival) was markedly different from the old TRISS model. It included gender as a covariate, both independently and as a function of the interaction between gender and age. In addition, it utilised fractional polynomial transformations in estimating the effect of the injury severity score (ISS) on </w:t>
      </w:r>
      <w:r w:rsidRPr="00361E30">
        <w:lastRenderedPageBreak/>
        <w:t xml:space="preserve">survival. This was in recognition of the non-linear nature of ISS as a score of injury severity, since the ISS is calculated as the sum of the squares of the abbreviated injury scores (AIS) from the three most seriously injured areas in a trauma patient. Finally, the new model replaced the Revised Trauma Score with the Glasgow Coma Score alone as a measure of physiological derangement </w:t>
      </w:r>
      <w:r w:rsidRPr="00361E30">
        <w:rPr>
          <w:noProof/>
        </w:rPr>
        <w:t>(Bouamra et al., 2006a)</w:t>
      </w:r>
      <w:r w:rsidRPr="00361E30">
        <w:t>.</w:t>
      </w:r>
    </w:p>
    <w:p w14:paraId="772EDB8E" w14:textId="77777777" w:rsidR="00CA0EF0" w:rsidRPr="00361E30" w:rsidRDefault="00CA0EF0" w:rsidP="003C13F4">
      <w:r w:rsidRPr="00361E30">
        <w:tab/>
        <w:t xml:space="preserve">The new model had several advantages over the TRISS methodology. It outperformed TRISS as a predictive model when applied to the UK trauma dataset. In addition, the elimination of the revised trauma score (RTS) from the calculation of survival probability drastically reduced the proportion of patients excluded from analysis due to missing data (respiratory rate was the parameter most likely not to be recorded). Finally, the new model performed well in predicting outcome in patients in whom the TRISS methodology was inadequate. These </w:t>
      </w:r>
      <w:r w:rsidR="00300688" w:rsidRPr="00361E30">
        <w:t>included patients</w:t>
      </w:r>
      <w:r w:rsidRPr="00361E30">
        <w:t xml:space="preserve"> suffering penetrating trauma (the UK database does not have sufficient numbers of these patients to develop separate coefficients for them); children; patients who were intubated on arrival to hospital and burns patients </w:t>
      </w:r>
      <w:r w:rsidRPr="00361E30">
        <w:rPr>
          <w:noProof/>
        </w:rPr>
        <w:t>(Bouamra et al., 2006a)</w:t>
      </w:r>
      <w:r w:rsidRPr="00361E30">
        <w:t>.</w:t>
      </w:r>
    </w:p>
    <w:p w14:paraId="5BA9CEEB" w14:textId="77777777" w:rsidR="00CA0EF0" w:rsidRPr="00361E30" w:rsidRDefault="00CA0EF0" w:rsidP="003C13F4">
      <w:r w:rsidRPr="00361E30">
        <w:tab/>
        <w:t>The most recent iteration of the PS model (PS14) includes age, gender, injury severity, Glasgow Com</w:t>
      </w:r>
      <w:r w:rsidR="006426CE">
        <w:t>a</w:t>
      </w:r>
      <w:r w:rsidRPr="00361E30">
        <w:t xml:space="preserve"> Score and modified Charlson Comorbidity Index (mCCI; a measure of a patient’s pre-injury status in relation to the presence of chronic illnesses). The PS14 model has a greater accuracy for predicting mortality than its predecessors, and the inclusion of the mCCI has improved prediction in older patients </w:t>
      </w:r>
      <w:r w:rsidRPr="00361E30">
        <w:rPr>
          <w:noProof/>
        </w:rPr>
        <w:t>(Bouamra et al., 2015)</w:t>
      </w:r>
      <w:r w:rsidRPr="00361E30">
        <w:t>. However, even the PS14 model performs significantly less well when applied to solely to older trauma patients, as discussed in Section 1.8 (Trauma in Older People: Predicting Outcome).</w:t>
      </w:r>
    </w:p>
    <w:p w14:paraId="1C7402C9" w14:textId="77777777" w:rsidR="00CA0EF0" w:rsidRPr="00361E30" w:rsidRDefault="00CA0EF0" w:rsidP="003C13F4">
      <w:pPr>
        <w:pStyle w:val="Heading1"/>
      </w:pPr>
      <w:bookmarkStart w:id="35" w:name="_Toc1902227"/>
      <w:r w:rsidRPr="00361E30">
        <w:t>1.8</w:t>
      </w:r>
      <w:r w:rsidRPr="00361E30">
        <w:tab/>
        <w:t>Trauma in Older people: Predicting Outcome</w:t>
      </w:r>
      <w:bookmarkEnd w:id="35"/>
    </w:p>
    <w:p w14:paraId="299BA4B3" w14:textId="77777777" w:rsidR="00CA0EF0" w:rsidRPr="00361E30" w:rsidRDefault="00CA0EF0" w:rsidP="003C13F4">
      <w:pPr>
        <w:pStyle w:val="Heading2"/>
      </w:pPr>
      <w:bookmarkStart w:id="36" w:name="_Toc1902228"/>
      <w:r w:rsidRPr="00361E30">
        <w:t>1.8.1</w:t>
      </w:r>
      <w:r w:rsidRPr="00361E30">
        <w:tab/>
        <w:t>The Utility of Current Predictive Models in Trauma in Older People</w:t>
      </w:r>
      <w:bookmarkEnd w:id="36"/>
    </w:p>
    <w:p w14:paraId="530A2C09" w14:textId="77777777" w:rsidR="00CA0EF0" w:rsidRPr="00361E30" w:rsidRDefault="00CA0EF0" w:rsidP="003C13F4">
      <w:pPr>
        <w:autoSpaceDE w:val="0"/>
        <w:autoSpaceDN w:val="0"/>
        <w:adjustRightInd w:val="0"/>
        <w:spacing w:after="0"/>
        <w:rPr>
          <w:szCs w:val="24"/>
        </w:rPr>
      </w:pPr>
      <w:r w:rsidRPr="00361E30">
        <w:rPr>
          <w:szCs w:val="24"/>
        </w:rPr>
        <w:t xml:space="preserve">While the predictive models currently used in major trauma represent an important advance in the understanding of trauma and trauma outcomes, these models do not necessarily perform as well when applied to older people. Demetriades (1998) calculated the ‘misclassification rate’ of the TRISS methodology when applied to different cohorts of patients </w:t>
      </w:r>
      <w:r w:rsidRPr="00361E30">
        <w:rPr>
          <w:rFonts w:cs="Dutch801BT-Roman"/>
          <w:szCs w:val="24"/>
        </w:rPr>
        <w:t xml:space="preserve">and </w:t>
      </w:r>
      <w:r w:rsidRPr="00361E30">
        <w:rPr>
          <w:szCs w:val="24"/>
        </w:rPr>
        <w:t xml:space="preserve">found that the misclassification rate for TRISS was as high as 34% when applied to patients 65 years and older, compared to a rate of only 4.3% for all patients (‘misclassification rates’ were defined </w:t>
      </w:r>
      <w:r w:rsidRPr="00361E30">
        <w:rPr>
          <w:rFonts w:cs="Dutch801BT-Roman"/>
          <w:szCs w:val="24"/>
        </w:rPr>
        <w:t>as the sum of the number of patients who died but were predicted to live and the number of patients who lived but were predicted to die divided by the total number of patients)</w:t>
      </w:r>
      <w:r w:rsidRPr="00361E30">
        <w:rPr>
          <w:szCs w:val="24"/>
        </w:rPr>
        <w:t xml:space="preserve"> </w:t>
      </w:r>
      <w:r w:rsidRPr="00361E30">
        <w:rPr>
          <w:noProof/>
          <w:szCs w:val="24"/>
        </w:rPr>
        <w:t>(Demetriades, Chan et al., 1998)</w:t>
      </w:r>
      <w:r w:rsidRPr="00361E30">
        <w:rPr>
          <w:rFonts w:cs="Dutch801BT-Roman"/>
          <w:szCs w:val="24"/>
        </w:rPr>
        <w:t>.</w:t>
      </w:r>
      <w:r w:rsidRPr="00361E30">
        <w:rPr>
          <w:szCs w:val="24"/>
        </w:rPr>
        <w:t xml:space="preserve"> In </w:t>
      </w:r>
      <w:r w:rsidR="00300688" w:rsidRPr="00361E30">
        <w:rPr>
          <w:szCs w:val="24"/>
        </w:rPr>
        <w:t>addition,</w:t>
      </w:r>
      <w:r w:rsidRPr="00361E30">
        <w:rPr>
          <w:szCs w:val="24"/>
        </w:rPr>
        <w:t xml:space="preserve"> the misclassification rate was 29% for falls patients, an injury mechanism in which older people are disproportionately represented. </w:t>
      </w:r>
      <w:r w:rsidRPr="00361E30">
        <w:rPr>
          <w:szCs w:val="24"/>
        </w:rPr>
        <w:lastRenderedPageBreak/>
        <w:t>Bergeron et al</w:t>
      </w:r>
      <w:r w:rsidR="0027792F" w:rsidRPr="00361E30">
        <w:rPr>
          <w:szCs w:val="24"/>
        </w:rPr>
        <w:t>.</w:t>
      </w:r>
      <w:r w:rsidRPr="00361E30">
        <w:rPr>
          <w:szCs w:val="24"/>
        </w:rPr>
        <w:t xml:space="preserve"> (2004) showed that the age cut–off of 55 years used in the original TRISS model did not adequately predict changes in mortality with age, and suggested that treating age as a categorical variable, with more categories in the 55 and older age group would lead to a</w:t>
      </w:r>
      <w:r w:rsidR="0027792F" w:rsidRPr="00361E30">
        <w:rPr>
          <w:szCs w:val="24"/>
        </w:rPr>
        <w:t xml:space="preserve"> better model</w:t>
      </w:r>
      <w:r w:rsidRPr="00361E30">
        <w:rPr>
          <w:szCs w:val="24"/>
        </w:rPr>
        <w:t>. Several authors, including Hannan</w:t>
      </w:r>
      <w:r w:rsidR="0027792F" w:rsidRPr="00361E30">
        <w:rPr>
          <w:szCs w:val="24"/>
        </w:rPr>
        <w:t xml:space="preserve"> et al.</w:t>
      </w:r>
      <w:r w:rsidRPr="00361E30">
        <w:rPr>
          <w:szCs w:val="24"/>
        </w:rPr>
        <w:t xml:space="preserve"> (1995</w:t>
      </w:r>
      <w:r w:rsidR="0027792F" w:rsidRPr="00361E30">
        <w:rPr>
          <w:szCs w:val="24"/>
        </w:rPr>
        <w:t>a</w:t>
      </w:r>
      <w:r w:rsidRPr="00361E30">
        <w:rPr>
          <w:szCs w:val="24"/>
        </w:rPr>
        <w:t>), Bergeron</w:t>
      </w:r>
      <w:r w:rsidR="0027792F" w:rsidRPr="00361E30">
        <w:rPr>
          <w:szCs w:val="24"/>
        </w:rPr>
        <w:t xml:space="preserve"> et al.</w:t>
      </w:r>
      <w:r w:rsidRPr="00361E30">
        <w:rPr>
          <w:szCs w:val="24"/>
        </w:rPr>
        <w:t xml:space="preserve"> (2004) and Bouamra</w:t>
      </w:r>
      <w:r w:rsidR="0027792F" w:rsidRPr="00361E30">
        <w:rPr>
          <w:szCs w:val="24"/>
        </w:rPr>
        <w:t xml:space="preserve"> et al.</w:t>
      </w:r>
      <w:r w:rsidRPr="00361E30">
        <w:rPr>
          <w:szCs w:val="24"/>
        </w:rPr>
        <w:t xml:space="preserve"> (2006</w:t>
      </w:r>
      <w:r w:rsidR="0027792F" w:rsidRPr="00361E30">
        <w:rPr>
          <w:szCs w:val="24"/>
        </w:rPr>
        <w:t>a</w:t>
      </w:r>
      <w:r w:rsidRPr="00361E30">
        <w:rPr>
          <w:szCs w:val="24"/>
        </w:rPr>
        <w:t>) have argued for the inclusion of comorbidities and gender in predictive modelling of trauma outcomes</w:t>
      </w:r>
      <w:r w:rsidR="0027792F" w:rsidRPr="00361E30">
        <w:rPr>
          <w:szCs w:val="24"/>
        </w:rPr>
        <w:t>.</w:t>
      </w:r>
      <w:r w:rsidRPr="00361E30">
        <w:rPr>
          <w:szCs w:val="24"/>
        </w:rPr>
        <w:t xml:space="preserve"> The current model used at TARN (the PS14 model) includes both gender and the Charlson comorbidity </w:t>
      </w:r>
      <w:r w:rsidR="00300688" w:rsidRPr="00361E30">
        <w:rPr>
          <w:szCs w:val="24"/>
        </w:rPr>
        <w:t>index and</w:t>
      </w:r>
      <w:r w:rsidRPr="00361E30">
        <w:rPr>
          <w:szCs w:val="24"/>
        </w:rPr>
        <w:t xml:space="preserve"> has been shown to predict outcomes better than the original TRISS model. However, there has been no direct assessment of the predictive accuracy of the PS14 model when applied exclusively to older trauma patients </w:t>
      </w:r>
      <w:r w:rsidRPr="00361E30">
        <w:rPr>
          <w:noProof/>
          <w:szCs w:val="24"/>
        </w:rPr>
        <w:t>(Bouamra</w:t>
      </w:r>
      <w:r w:rsidR="0027792F" w:rsidRPr="00361E30">
        <w:rPr>
          <w:noProof/>
          <w:szCs w:val="24"/>
        </w:rPr>
        <w:t xml:space="preserve"> et al.</w:t>
      </w:r>
      <w:r w:rsidRPr="00361E30">
        <w:rPr>
          <w:noProof/>
          <w:szCs w:val="24"/>
        </w:rPr>
        <w:t xml:space="preserve"> 2015)</w:t>
      </w:r>
      <w:r w:rsidRPr="00361E30">
        <w:rPr>
          <w:szCs w:val="24"/>
        </w:rPr>
        <w:t xml:space="preserve">. </w:t>
      </w:r>
    </w:p>
    <w:p w14:paraId="48483A46" w14:textId="77777777" w:rsidR="00CA0EF0" w:rsidRPr="00361E30" w:rsidRDefault="00CA0EF0" w:rsidP="003C13F4">
      <w:pPr>
        <w:pStyle w:val="Heading2"/>
      </w:pPr>
      <w:bookmarkStart w:id="37" w:name="_Toc1902229"/>
      <w:r w:rsidRPr="00361E30">
        <w:t>1.8.2</w:t>
      </w:r>
      <w:r w:rsidRPr="00361E30">
        <w:tab/>
        <w:t>The Need for a Better Predictive Model</w:t>
      </w:r>
      <w:bookmarkEnd w:id="37"/>
    </w:p>
    <w:p w14:paraId="15F06394" w14:textId="77777777" w:rsidR="00CA0EF0" w:rsidRPr="00361E30" w:rsidRDefault="00CA0EF0" w:rsidP="003C13F4">
      <w:r w:rsidRPr="00361E30">
        <w:t xml:space="preserve">Given the poor performance of traditional models in predicting outcome in older people, it would seem reasonable to develop a better model for this age group. As described above, some authors have assessed the predictive accuracy of traditional and modified models on specific groups of patients (such as those suffering low level falls) and with the addition or modification of selected risk factors (such as co-morbidities, gender and age). However most of these researchers tested their new models on populations that include both older and younger patients, and few have applied them exclusively to older people </w:t>
      </w:r>
      <w:r w:rsidRPr="00361E30">
        <w:rPr>
          <w:noProof/>
        </w:rPr>
        <w:t>(Bergeron</w:t>
      </w:r>
      <w:r w:rsidR="0027792F" w:rsidRPr="00361E30">
        <w:rPr>
          <w:noProof/>
        </w:rPr>
        <w:t xml:space="preserve"> et al.</w:t>
      </w:r>
      <w:r w:rsidRPr="00361E30">
        <w:rPr>
          <w:noProof/>
        </w:rPr>
        <w:t xml:space="preserve"> 2004, Demetriades, Chan et al., 1998, Hannan et al., 1995a)</w:t>
      </w:r>
      <w:r w:rsidRPr="00361E30">
        <w:t>.</w:t>
      </w:r>
    </w:p>
    <w:p w14:paraId="4228D791" w14:textId="77777777" w:rsidR="00CA0EF0" w:rsidRPr="00361E30" w:rsidRDefault="00CA0EF0" w:rsidP="003C13F4">
      <w:r w:rsidRPr="00361E30">
        <w:tab/>
        <w:t>The increasing proportion of older people in most trauma systems and the significant socio-economic impact of injury in this age group require an assessment of the accuracy of current predictive models in older trauma patients. In addition, there may be a need to modify these models to improve their predictive performance in older trauma patients.</w:t>
      </w:r>
    </w:p>
    <w:p w14:paraId="33E2B55C" w14:textId="77777777" w:rsidR="00CA0EF0" w:rsidRPr="00361E30" w:rsidRDefault="00CA0EF0" w:rsidP="003C13F4">
      <w:pPr>
        <w:pStyle w:val="Heading2"/>
      </w:pPr>
      <w:bookmarkStart w:id="38" w:name="_Toc1902230"/>
      <w:r w:rsidRPr="00361E30">
        <w:t>1.8.3</w:t>
      </w:r>
      <w:r w:rsidRPr="00361E30">
        <w:tab/>
        <w:t>The Impact of Care Process Factors on Outcome</w:t>
      </w:r>
      <w:bookmarkEnd w:id="38"/>
    </w:p>
    <w:p w14:paraId="1B54628A" w14:textId="77777777" w:rsidR="00CA0EF0" w:rsidRPr="00361E30" w:rsidRDefault="00CA0EF0" w:rsidP="003C13F4">
      <w:r w:rsidRPr="00361E30">
        <w:t>Before completing this discussion on trauma and aging, the impact of care process factors on outcome will be considered. A small but significant body of literature has been produced over the past two decades questioning whether the approach to providing health care to older trauma patients may contribute to their higher mortality and morbidity from major trauma. In 1987, DeMaria et al</w:t>
      </w:r>
      <w:r w:rsidR="006E3532" w:rsidRPr="00361E30">
        <w:t>. (1987)</w:t>
      </w:r>
      <w:r w:rsidRPr="00361E30">
        <w:t xml:space="preserve"> were the first to argue for a more aggressive approach to the management of older trauma patients, citing data that showed good recovery from serious injury </w:t>
      </w:r>
      <w:r w:rsidR="006E3532" w:rsidRPr="00361E30">
        <w:t xml:space="preserve">in </w:t>
      </w:r>
      <w:r w:rsidR="00300688" w:rsidRPr="00361E30">
        <w:t>most</w:t>
      </w:r>
      <w:r w:rsidR="006E3532" w:rsidRPr="00361E30">
        <w:t xml:space="preserve"> older people</w:t>
      </w:r>
      <w:r w:rsidRPr="00361E30">
        <w:t xml:space="preserve">. </w:t>
      </w:r>
    </w:p>
    <w:p w14:paraId="0F5512FD" w14:textId="77777777" w:rsidR="00CA0EF0" w:rsidRPr="00361E30" w:rsidRDefault="00CA0EF0" w:rsidP="003C13F4">
      <w:pPr>
        <w:ind w:firstLine="720"/>
      </w:pPr>
      <w:r w:rsidRPr="00361E30">
        <w:t xml:space="preserve">Subsequent studies have identified an apparent bias against aggressive care in older trauma patients. Giannoudis et al, in their study of </w:t>
      </w:r>
      <w:r w:rsidR="00F84EF5">
        <w:t>older</w:t>
      </w:r>
      <w:r w:rsidRPr="00361E30">
        <w:t xml:space="preserve"> trauma patients in the United Kingdom, noted that older patients were less likely to be operated on and less likely to be admitted to the intensive care unit (ICU). The authors suggested that this may have been due </w:t>
      </w:r>
      <w:r w:rsidRPr="00361E30">
        <w:lastRenderedPageBreak/>
        <w:t xml:space="preserve">to bias on the part of healthcare providers, particularly as the study showed no significant difference in length of ICU stay or late ICU deaths between older and younger patients </w:t>
      </w:r>
      <w:r w:rsidRPr="00361E30">
        <w:rPr>
          <w:noProof/>
        </w:rPr>
        <w:t>(Giannoudis</w:t>
      </w:r>
      <w:r w:rsidR="004F1C52" w:rsidRPr="00361E30">
        <w:rPr>
          <w:noProof/>
        </w:rPr>
        <w:t xml:space="preserve"> et al.</w:t>
      </w:r>
      <w:r w:rsidRPr="00361E30">
        <w:rPr>
          <w:noProof/>
        </w:rPr>
        <w:t xml:space="preserve"> 2009)</w:t>
      </w:r>
      <w:r w:rsidRPr="00361E30">
        <w:t>. Hannan</w:t>
      </w:r>
      <w:r w:rsidR="00103094" w:rsidRPr="00361E30">
        <w:t xml:space="preserve"> et al.</w:t>
      </w:r>
      <w:r w:rsidRPr="00361E30">
        <w:t xml:space="preserve"> (2004) in New York State, showed that older patients were significantly less likely to be admitted to regional trauma centres compared to younger patients. Kirkman et al</w:t>
      </w:r>
      <w:r w:rsidR="00F13800" w:rsidRPr="00361E30">
        <w:t>.</w:t>
      </w:r>
      <w:r w:rsidRPr="00361E30">
        <w:t xml:space="preserve"> (2013) reviewed head trauma in older patients in the United Kingdom and found that there was a bias against neurosurgical referral, surgical intervention and intensive care admission for these patients. The authors posed the question whether the poor outcomes in these patients were due to intrinsic patient factors or substandard care, stemming from bias on the part of providers.</w:t>
      </w:r>
    </w:p>
    <w:p w14:paraId="4DC638FE" w14:textId="77777777" w:rsidR="00CA0EF0" w:rsidRPr="00361E30" w:rsidRDefault="00CA0EF0" w:rsidP="003C13F4">
      <w:pPr>
        <w:ind w:firstLine="720"/>
      </w:pPr>
      <w:r w:rsidRPr="00361E30">
        <w:t>Improving care to older trauma patients has also been shown to improve outcomes. Demetriades et al</w:t>
      </w:r>
      <w:r w:rsidR="006E3532" w:rsidRPr="00361E30">
        <w:t xml:space="preserve"> (2002)</w:t>
      </w:r>
      <w:r w:rsidRPr="00361E30">
        <w:t xml:space="preserve"> investigated the impact of early intensive care management on the outcomes of </w:t>
      </w:r>
      <w:r w:rsidR="00F84EF5">
        <w:t>older</w:t>
      </w:r>
      <w:r w:rsidRPr="00361E30">
        <w:t xml:space="preserve"> trauma patients and found that older trauma patients who received early intensive care were more likely to survive than those who did not. Mangram et al</w:t>
      </w:r>
      <w:r w:rsidR="0085688E" w:rsidRPr="00361E30">
        <w:t>.</w:t>
      </w:r>
      <w:r w:rsidRPr="00361E30">
        <w:t xml:space="preserve"> (2012) also demonstrated the positive effects of a dedicated ‘geriatric trauma unit’ on patient outcome. Although the evidence is limited, it would appear that a more proactive approach to the management of older trauma patients is likely to improve their outcome.</w:t>
      </w:r>
    </w:p>
    <w:p w14:paraId="4885543F" w14:textId="77777777" w:rsidR="00CA0EF0" w:rsidRPr="00361E30" w:rsidRDefault="00CA0EF0" w:rsidP="003C13F4">
      <w:pPr>
        <w:pStyle w:val="Heading1"/>
      </w:pPr>
      <w:bookmarkStart w:id="39" w:name="_Toc1902231"/>
      <w:r w:rsidRPr="00361E30">
        <w:t>1.9</w:t>
      </w:r>
      <w:r w:rsidRPr="00361E30">
        <w:tab/>
        <w:t>Conclusion</w:t>
      </w:r>
      <w:bookmarkEnd w:id="39"/>
    </w:p>
    <w:p w14:paraId="3DFDC4E9" w14:textId="77777777" w:rsidR="00CA0EF0" w:rsidRPr="00361E30" w:rsidRDefault="00CA0EF0" w:rsidP="003C13F4">
      <w:pPr>
        <w:pStyle w:val="Heading2"/>
      </w:pPr>
      <w:bookmarkStart w:id="40" w:name="_Toc1902232"/>
      <w:r w:rsidRPr="00361E30">
        <w:t>1.9.1</w:t>
      </w:r>
      <w:r w:rsidRPr="00361E30">
        <w:tab/>
        <w:t>Rationale for this PhD Thesis – the Need for Further Research</w:t>
      </w:r>
      <w:bookmarkEnd w:id="40"/>
    </w:p>
    <w:p w14:paraId="4B77F82F" w14:textId="77777777" w:rsidR="00CA0EF0" w:rsidRPr="00361E30" w:rsidRDefault="00CA0EF0" w:rsidP="003C13F4">
      <w:r w:rsidRPr="00361E30">
        <w:t xml:space="preserve">This chapter has integrated current knowledge of trauma and aging in the population, to highlight some of the more important aspects of this topic. The interplay between physiology and epidemiology in older trauma patients creates a unique clinical situation, which deserves its own focus of research and enquiry. However current outcome prediction models in trauma - although taking account of increasing age – assume that the factors affecting outcome in older and younger trauma patients are the same. This assumption needs to be tested. While there has been much research on the impact of major trauma on older people, there has been no systematic attempt to develop a predictive model for major trauma in older people specifically. This study will initially assess the ability of the current model used at TARN (PS14, see Section 1.7.3) to predict hospital mortality rates for older trauma patients, and then identify additional factors (including patient characteristic and care process factors) that may be able to improve the ability of the model to predict patient outcomes as well as hospital survival rates for older trauma patients. </w:t>
      </w:r>
    </w:p>
    <w:p w14:paraId="5478FF3C" w14:textId="77777777" w:rsidR="00CA0EF0" w:rsidRPr="00361E30" w:rsidRDefault="00CA0EF0" w:rsidP="003C13F4">
      <w:pPr>
        <w:ind w:firstLine="720"/>
      </w:pPr>
      <w:r w:rsidRPr="00361E30">
        <w:t xml:space="preserve">While a better understanding of functional outcomes after trauma is clearly important in assessing the impact of age on outcome in trauma, this PhD thesis focused on mortality as </w:t>
      </w:r>
      <w:r w:rsidRPr="00361E30">
        <w:lastRenderedPageBreak/>
        <w:t xml:space="preserve">the main outcome, as it allowed comparisons with other similar studies and with younger trauma </w:t>
      </w:r>
      <w:r w:rsidR="00BA5BB6" w:rsidRPr="00361E30">
        <w:t>patients and</w:t>
      </w:r>
      <w:r w:rsidRPr="00361E30">
        <w:t xml:space="preserve"> allowed for the development of a model that could be used in current trauma registries.</w:t>
      </w:r>
    </w:p>
    <w:p w14:paraId="40E48AAC" w14:textId="77777777" w:rsidR="00CA0EF0" w:rsidRPr="00361E30" w:rsidRDefault="00CA0EF0" w:rsidP="003C13F4">
      <w:pPr>
        <w:pStyle w:val="Heading2"/>
      </w:pPr>
      <w:bookmarkStart w:id="41" w:name="_Toc1902233"/>
      <w:r w:rsidRPr="00361E30">
        <w:t>1.9.2</w:t>
      </w:r>
      <w:r w:rsidRPr="00361E30">
        <w:tab/>
        <w:t>The Research Question, Aims and Objectives of this PhD Thesis</w:t>
      </w:r>
      <w:bookmarkEnd w:id="41"/>
    </w:p>
    <w:p w14:paraId="1AA8B537" w14:textId="77777777" w:rsidR="00CA0EF0" w:rsidRPr="00361E30" w:rsidRDefault="00CA0EF0" w:rsidP="003C13F4">
      <w:r w:rsidRPr="00361E30">
        <w:t>The main research question for this study was:</w:t>
      </w:r>
    </w:p>
    <w:p w14:paraId="553CB275" w14:textId="77777777" w:rsidR="00CA0EF0" w:rsidRPr="00361E30" w:rsidRDefault="00CA0EF0" w:rsidP="003C13F4">
      <w:r w:rsidRPr="00361E30">
        <w:t>‘What are the factors (including patient characteristics and care process factors) that affect survival rates in older people suffering major trauma that are treated in trauma receiving hospitals in England and Wales?’</w:t>
      </w:r>
    </w:p>
    <w:p w14:paraId="1497042E" w14:textId="77777777" w:rsidR="00CA0EF0" w:rsidRPr="00361E30" w:rsidRDefault="00CA0EF0" w:rsidP="003C13F4">
      <w:pPr>
        <w:ind w:firstLine="720"/>
      </w:pPr>
      <w:r w:rsidRPr="00361E30">
        <w:t xml:space="preserve">The aim of this study was to identify the patient characteristics and care process factors that contribute to differences in survival rates at trauma receiving hospitals for older trauma </w:t>
      </w:r>
      <w:r w:rsidR="00BA5BB6" w:rsidRPr="00361E30">
        <w:t>patients and</w:t>
      </w:r>
      <w:r w:rsidRPr="00361E30">
        <w:t xml:space="preserve"> develop a model that most accurately predicts these survival rates.</w:t>
      </w:r>
    </w:p>
    <w:p w14:paraId="00880BBE" w14:textId="77777777" w:rsidR="00CA0EF0" w:rsidRPr="00361E30" w:rsidRDefault="00CA0EF0" w:rsidP="003C13F4">
      <w:pPr>
        <w:pStyle w:val="Heading2"/>
      </w:pPr>
      <w:bookmarkStart w:id="42" w:name="_Toc1902234"/>
      <w:r w:rsidRPr="00361E30">
        <w:t>1.9.3</w:t>
      </w:r>
      <w:r w:rsidRPr="00361E30">
        <w:tab/>
        <w:t>The Need for a Systematic Review of the Literature</w:t>
      </w:r>
      <w:bookmarkEnd w:id="42"/>
    </w:p>
    <w:p w14:paraId="7E371FE2" w14:textId="77777777" w:rsidR="00CA0EF0" w:rsidRPr="00361E30" w:rsidRDefault="00CA0EF0" w:rsidP="003C13F4">
      <w:pPr>
        <w:ind w:firstLine="720"/>
      </w:pPr>
      <w:r w:rsidRPr="00361E30">
        <w:t xml:space="preserve">As discussed in Section 1.7, any valid comparison of trauma outcomes between different hospitals or systems requires adjustment for other variables that may affect these outcomes, such as patient characteristics and care process factors. The factors affecting older trauma patients needed to be identified and tested in any new predictive model, but these have not been comprehensively or systematically studied in the research literature. The first stage of this study was therefore to systematically review the literature to identify which patient characteristics and care process factors have already been shown to impact on outcome in older trauma patients so that they could then be tested in any new model developed. </w:t>
      </w:r>
    </w:p>
    <w:p w14:paraId="23CF1338" w14:textId="77777777" w:rsidR="00CA0EF0" w:rsidRPr="00361E30" w:rsidRDefault="00CA0EF0" w:rsidP="003C13F4">
      <w:pPr>
        <w:ind w:firstLine="720"/>
      </w:pPr>
      <w:r w:rsidRPr="00361E30">
        <w:t xml:space="preserve">In addition, a literature review of any qualitative research into outcomes in older trauma patients was also undertaken, as this PhD thesis also sought to use qualitative methods to explore the importance of other variables not traditionally included in trauma outcome models, using quantitative research methods (see Chapter 3, Research Methods). In this regard a review of the current qualitative research literature on older trauma patients was therefore also important. </w:t>
      </w:r>
    </w:p>
    <w:p w14:paraId="5A2122EF" w14:textId="77777777" w:rsidR="00CA0EF0" w:rsidRPr="00361E30" w:rsidRDefault="00CA0EF0" w:rsidP="003C13F4">
      <w:pPr>
        <w:ind w:firstLine="720"/>
      </w:pPr>
      <w:r w:rsidRPr="00361E30">
        <w:t xml:space="preserve">Chapter 2 will review the current literature on the risk factors that influence mortality in trauma patients. Patient characteristic and care process factors are reviewed separately in the chapter, although </w:t>
      </w:r>
      <w:r w:rsidR="00BA5BB6" w:rsidRPr="00361E30">
        <w:t>the</w:t>
      </w:r>
      <w:r w:rsidRPr="00361E30">
        <w:t xml:space="preserve"> outcome of older trauma patients ultimately depends on the interaction between these risk factors. The chapter then ends with a brief narrative review of the qualitative literature related to older trauma patients in the Emergency Department.</w:t>
      </w:r>
    </w:p>
    <w:p w14:paraId="444611A0" w14:textId="77777777" w:rsidR="00CA0EF0" w:rsidRPr="00A5132A" w:rsidRDefault="00CA0EF0" w:rsidP="00EC0353">
      <w:pPr>
        <w:pStyle w:val="Heading1"/>
        <w:jc w:val="center"/>
        <w:rPr>
          <w:sz w:val="28"/>
          <w:szCs w:val="28"/>
        </w:rPr>
      </w:pPr>
      <w:r w:rsidRPr="00A5132A">
        <w:rPr>
          <w:sz w:val="28"/>
          <w:szCs w:val="28"/>
        </w:rPr>
        <w:br w:type="page"/>
      </w:r>
      <w:bookmarkStart w:id="43" w:name="_Toc1902235"/>
      <w:r w:rsidRPr="00A5132A">
        <w:rPr>
          <w:sz w:val="28"/>
          <w:szCs w:val="28"/>
        </w:rPr>
        <w:lastRenderedPageBreak/>
        <w:t>Chapter 2: Major Trauma in Older People – A Review of the Literature</w:t>
      </w:r>
      <w:bookmarkEnd w:id="43"/>
    </w:p>
    <w:p w14:paraId="4F1F090E" w14:textId="77777777" w:rsidR="00CA0EF0" w:rsidRPr="00361E30" w:rsidRDefault="00CA0EF0" w:rsidP="003C13F4">
      <w:pPr>
        <w:pStyle w:val="Heading1"/>
      </w:pPr>
      <w:bookmarkStart w:id="44" w:name="_Toc1902236"/>
      <w:r w:rsidRPr="00361E30">
        <w:t>2.1</w:t>
      </w:r>
      <w:r w:rsidRPr="00361E30">
        <w:tab/>
        <w:t>Introduction</w:t>
      </w:r>
      <w:bookmarkEnd w:id="44"/>
    </w:p>
    <w:p w14:paraId="74AB476F" w14:textId="77777777" w:rsidR="00CA0EF0" w:rsidRPr="00361E30" w:rsidRDefault="00CA0EF0" w:rsidP="003C13F4">
      <w:r w:rsidRPr="00361E30">
        <w:t>This chapter reviews the current literature on major trauma in older people. The chapter has been divided into three distinct topic reviews:</w:t>
      </w:r>
    </w:p>
    <w:p w14:paraId="69E055FF" w14:textId="77777777" w:rsidR="00CA0EF0" w:rsidRPr="00361E30" w:rsidRDefault="00CA0EF0" w:rsidP="003C13F4">
      <w:pPr>
        <w:pStyle w:val="ListParagraph"/>
        <w:numPr>
          <w:ilvl w:val="0"/>
          <w:numId w:val="43"/>
        </w:numPr>
      </w:pPr>
      <w:r w:rsidRPr="00361E30">
        <w:t>A systematic review of patient characteristics that impact on outcomes in older trauma patients. This included patient characteristics (including demographic variables, injury characteristics, pre-injury medical status and physiological variables)</w:t>
      </w:r>
    </w:p>
    <w:p w14:paraId="5E500E66" w14:textId="77777777" w:rsidR="00CA0EF0" w:rsidRPr="00361E30" w:rsidRDefault="00CA0EF0" w:rsidP="003C13F4">
      <w:pPr>
        <w:pStyle w:val="ListParagraph"/>
        <w:numPr>
          <w:ilvl w:val="0"/>
          <w:numId w:val="43"/>
        </w:numPr>
      </w:pPr>
      <w:r w:rsidRPr="00361E30">
        <w:t>A systematic review of care process factors that impact on outcomes in older trauma patients. This included pre-hospital factors, Emergency Department care and definitive care.</w:t>
      </w:r>
    </w:p>
    <w:p w14:paraId="40453513" w14:textId="77777777" w:rsidR="00CA0EF0" w:rsidRPr="00361E30" w:rsidRDefault="00CA0EF0" w:rsidP="003C13F4">
      <w:pPr>
        <w:pStyle w:val="ListParagraph"/>
        <w:numPr>
          <w:ilvl w:val="0"/>
          <w:numId w:val="43"/>
        </w:numPr>
      </w:pPr>
      <w:r w:rsidRPr="00361E30">
        <w:t>A narrative review of qualitative studies investigating the impact of major trauma on older patients.</w:t>
      </w:r>
    </w:p>
    <w:p w14:paraId="3A11E176" w14:textId="77777777" w:rsidR="00CA0EF0" w:rsidRPr="00361E30" w:rsidRDefault="00CA0EF0" w:rsidP="003C13F4">
      <w:pPr>
        <w:pStyle w:val="Heading2"/>
      </w:pPr>
      <w:bookmarkStart w:id="45" w:name="_Toc1902237"/>
      <w:r w:rsidRPr="00361E30">
        <w:t>2.1.1</w:t>
      </w:r>
      <w:r w:rsidRPr="00361E30">
        <w:tab/>
        <w:t>The Need for Systematic Reviews of Patient Characteristics and Care Process Factors</w:t>
      </w:r>
      <w:bookmarkEnd w:id="45"/>
    </w:p>
    <w:p w14:paraId="5B033140" w14:textId="77777777" w:rsidR="00CA0EF0" w:rsidRPr="00361E30" w:rsidRDefault="00CA0EF0" w:rsidP="003C13F4">
      <w:pPr>
        <w:pStyle w:val="Heading3"/>
      </w:pPr>
      <w:r w:rsidRPr="00361E30">
        <w:t xml:space="preserve">2.1.1.1 </w:t>
      </w:r>
      <w:r w:rsidRPr="00361E30">
        <w:tab/>
        <w:t>Patient Characteristics</w:t>
      </w:r>
    </w:p>
    <w:p w14:paraId="248545BC" w14:textId="77777777" w:rsidR="00CA0EF0" w:rsidRPr="00361E30" w:rsidRDefault="00CA0EF0" w:rsidP="003C13F4">
      <w:r w:rsidRPr="00361E30">
        <w:t xml:space="preserve">While much is written on the impact of patient characteristics on outcome in trauma in </w:t>
      </w:r>
      <w:r w:rsidR="00F84EF5">
        <w:t>older patients</w:t>
      </w:r>
      <w:r w:rsidRPr="00361E30">
        <w:t>, there have been few systematic attempts to synthesise these studies, or to quantify the contributions of each of the many patient characteristics to overall mortality in this group of patients. A search of the literature, for systematic reviews on trauma</w:t>
      </w:r>
      <w:r w:rsidR="00F84EF5">
        <w:t xml:space="preserve"> in older people</w:t>
      </w:r>
      <w:r w:rsidRPr="00361E30">
        <w:t xml:space="preserve"> using the terms [“Elderly” OR “Aged(MeSH)” OR “older” OR “old”] AND [“Trauma” OR “Multiple AND Trauma” OR “Multiple AND Injury” OR “Major AND Trauma” OR “Major and Injury”] produced one systematic review performed in 2013 by Hashmi et al</w:t>
      </w:r>
      <w:r w:rsidR="00103094" w:rsidRPr="00361E30">
        <w:t>. (2014)</w:t>
      </w:r>
      <w:r w:rsidRPr="00361E30">
        <w:t>, and one narrative review by Hildebrand</w:t>
      </w:r>
      <w:r w:rsidR="00103094" w:rsidRPr="00361E30">
        <w:t xml:space="preserve"> et al.</w:t>
      </w:r>
      <w:r w:rsidRPr="00361E30">
        <w:t xml:space="preserve"> </w:t>
      </w:r>
      <w:r w:rsidR="00103094" w:rsidRPr="00361E30">
        <w:t>(</w:t>
      </w:r>
      <w:r w:rsidRPr="00361E30">
        <w:t>2016</w:t>
      </w:r>
      <w:r w:rsidRPr="00361E30">
        <w:rPr>
          <w:noProof/>
        </w:rPr>
        <w:t>)</w:t>
      </w:r>
      <w:r w:rsidRPr="00361E30">
        <w:t xml:space="preserve">. Hashmi’s review compared the differences in mortality rates and odds ratios of death in </w:t>
      </w:r>
      <w:r w:rsidR="00F84EF5">
        <w:t>older</w:t>
      </w:r>
      <w:r w:rsidRPr="00361E30">
        <w:t xml:space="preserve"> patients related to age, injury severity and a limited number of specific physiological factors. However, in its broadest sense, ‘patient factors’ include demographic variables, pre-existing clinical conditions and injury characteristics; this review did not attempt to identify from the literature any of these additional factors which may have contributed to increased mortality risk in these patients. As such, while this study provided an important contribution to the understanding of the physiological factors affecting mortality in older trauma patients, questions related to these more diverse contributory factors remain unanswered. In particular, Hashmi’s review did not address issues related to pre-existing patient conditions, such as co-morbidities and chronic drug therapy.</w:t>
      </w:r>
    </w:p>
    <w:p w14:paraId="27D0FCD6" w14:textId="77777777" w:rsidR="00CA0EF0" w:rsidRPr="00361E30" w:rsidRDefault="00CA0EF0" w:rsidP="003C13F4">
      <w:r w:rsidRPr="00361E30">
        <w:lastRenderedPageBreak/>
        <w:tab/>
        <w:t>A more recent narrative review by Hildebrand et al (2016) aimed to summarise the characteristics of older trauma patients. The authors reviewed publications that investigated the mortality patterns in older trauma patients, the mechanism of injury seen in this age group, patients’ clinical course and the premorbid characteristics of older trauma patients. They also reviewed the research comparing outcomes for different injury mechanisms. However, this was a narrative review, and there was no attempt to quantify the relationship between any of these variables and mortality.</w:t>
      </w:r>
    </w:p>
    <w:p w14:paraId="178078C8" w14:textId="77777777" w:rsidR="00CA0EF0" w:rsidRPr="00361E30" w:rsidRDefault="00CA0EF0" w:rsidP="003C13F4">
      <w:pPr>
        <w:pStyle w:val="Heading3"/>
      </w:pPr>
      <w:r w:rsidRPr="00361E30">
        <w:t xml:space="preserve">2.1.1.2 </w:t>
      </w:r>
      <w:r w:rsidRPr="00361E30">
        <w:tab/>
        <w:t>Care Process Factors</w:t>
      </w:r>
    </w:p>
    <w:p w14:paraId="36A65EBC" w14:textId="77777777" w:rsidR="00CA0EF0" w:rsidRPr="00361E30" w:rsidRDefault="00CA0EF0" w:rsidP="003C13F4">
      <w:r w:rsidRPr="00361E30">
        <w:t>A search of the current literature on care process factors affecting trauma outcomes in older people undertaken in 2017 identified two systematic reviews. Celso et al</w:t>
      </w:r>
      <w:r w:rsidR="00F80C71" w:rsidRPr="00361E30">
        <w:t xml:space="preserve"> (2006)</w:t>
      </w:r>
      <w:r w:rsidRPr="00361E30">
        <w:t xml:space="preserve"> reviewed the effect on mortality of introducing organised trauma systems for the care of major trauma patients. These authors concluded that there was, overall, a reduction of as much as 15% in adjusted mortality following the introduction of organised trauma systems. However, this review did not specifically report on older trauma patients. Liberman et al</w:t>
      </w:r>
      <w:r w:rsidR="00B249F5" w:rsidRPr="00361E30">
        <w:t xml:space="preserve"> (2000)</w:t>
      </w:r>
      <w:r w:rsidRPr="00361E30">
        <w:t xml:space="preserve"> reviewed the use of advanced versus basic life support techniques in pre-hospital trauma </w:t>
      </w:r>
      <w:r w:rsidR="00E25676" w:rsidRPr="00361E30">
        <w:t>care and</w:t>
      </w:r>
      <w:r w:rsidRPr="00361E30">
        <w:t xml:space="preserve"> found no difference in outcomes. However, as with Celso’s review, the authors did not report specifically on older patients.</w:t>
      </w:r>
    </w:p>
    <w:p w14:paraId="278D101D" w14:textId="77777777" w:rsidR="00CA0EF0" w:rsidRPr="00361E30" w:rsidRDefault="00CA0EF0" w:rsidP="003C13F4">
      <w:pPr>
        <w:ind w:firstLine="720"/>
      </w:pPr>
      <w:r w:rsidRPr="00361E30">
        <w:t>A review of the literature on care process factors affecting older trauma patients was therefore an important initial step in the further investigation of this phenomenon. The results of this review (along with the results of the review of patient factors, Section 2.3) informed the design and conduct of the empirical research that formed the basis of this PhD thesis.</w:t>
      </w:r>
    </w:p>
    <w:p w14:paraId="69AFFCC1" w14:textId="77777777" w:rsidR="00CA0EF0" w:rsidRPr="00361E30" w:rsidRDefault="00CA0EF0" w:rsidP="003C13F4">
      <w:pPr>
        <w:pStyle w:val="Heading2"/>
      </w:pPr>
      <w:bookmarkStart w:id="46" w:name="_Toc1902238"/>
      <w:r w:rsidRPr="00361E30">
        <w:t>2.1.2</w:t>
      </w:r>
      <w:r w:rsidRPr="00361E30">
        <w:tab/>
        <w:t>Patient Characteristics Versus Care Process Factors</w:t>
      </w:r>
      <w:bookmarkEnd w:id="46"/>
    </w:p>
    <w:p w14:paraId="1F805840" w14:textId="77777777" w:rsidR="00CA0EF0" w:rsidRPr="00361E30" w:rsidRDefault="00CA0EF0" w:rsidP="003C13F4">
      <w:pPr>
        <w:rPr>
          <w:bCs/>
        </w:rPr>
      </w:pPr>
      <w:r w:rsidRPr="00361E30">
        <w:rPr>
          <w:bCs/>
        </w:rPr>
        <w:t xml:space="preserve">As discussed in Chapter 1, there is some evidence that the approach to the management of older trauma patients may also reduce their chances of a positive outcome. For example, the Trauma Audit and Research Network, TARN, in the United Kingdom reported in 2013 that poorer outcomes in older head injured patients may be at least partly due to a less aggressive approach to their management </w:t>
      </w:r>
      <w:r w:rsidRPr="00361E30">
        <w:rPr>
          <w:bCs/>
          <w:noProof/>
        </w:rPr>
        <w:t>(Kirkman et al. 2013)</w:t>
      </w:r>
      <w:r w:rsidRPr="00361E30">
        <w:rPr>
          <w:bCs/>
        </w:rPr>
        <w:t xml:space="preserve">. Other authors have also noted that older patients are less likely to be admitted to </w:t>
      </w:r>
      <w:r w:rsidR="00E25676" w:rsidRPr="00361E30">
        <w:rPr>
          <w:bCs/>
        </w:rPr>
        <w:t>ICU or</w:t>
      </w:r>
      <w:r w:rsidRPr="00361E30">
        <w:rPr>
          <w:bCs/>
        </w:rPr>
        <w:t xml:space="preserve"> be operated on following major trauma </w:t>
      </w:r>
      <w:r w:rsidRPr="00361E30">
        <w:rPr>
          <w:bCs/>
          <w:noProof/>
        </w:rPr>
        <w:t>(Demetriades et al. 2002, Giannoudis et al. 2009)</w:t>
      </w:r>
      <w:r w:rsidRPr="00361E30">
        <w:rPr>
          <w:bCs/>
        </w:rPr>
        <w:t>. Ultimately, it is important to understand the effect of these care process factors on mortality in older trauma patients, as they are likely to have a significant impact on trauma mortality in older patients and hospital performance in this regard. Once the initial systematic review on patient factors was completed, a second systematic review was undertaken to determine the current evidence for the impact of care process factors on outcome in older trauma patients.</w:t>
      </w:r>
    </w:p>
    <w:p w14:paraId="19C64474" w14:textId="77777777" w:rsidR="00CA0EF0" w:rsidRPr="00361E30" w:rsidRDefault="00CA0EF0" w:rsidP="003C13F4">
      <w:pPr>
        <w:pStyle w:val="Heading2"/>
      </w:pPr>
      <w:bookmarkStart w:id="47" w:name="_Toc1902239"/>
      <w:r w:rsidRPr="00361E30">
        <w:lastRenderedPageBreak/>
        <w:t>2.1.3</w:t>
      </w:r>
      <w:r w:rsidRPr="00361E30">
        <w:tab/>
        <w:t>Major Trauma in Older People: Evidence from the Qualitative Literature</w:t>
      </w:r>
      <w:bookmarkEnd w:id="47"/>
    </w:p>
    <w:p w14:paraId="663CC844" w14:textId="77777777" w:rsidR="00CA0EF0" w:rsidRPr="00361E30" w:rsidRDefault="00CA0EF0" w:rsidP="003C13F4">
      <w:r w:rsidRPr="00361E30">
        <w:t>The overwhelming weight of evidence informing the approach to older patients with major trauma has come from quantitative research. However, as discussed in Chapter 3 (Research Methods), this approach has led to a narrow view of factors impacting on outcome in these patients. The purpose of the qualitative phase of this research was to explore other potential factors thought important by healthcare providers involved in the resuscitation of older major trauma patients and ultimately to assess the impact of these factors in predicting outcomes in older trauma patients and the performance of individual hospitals in managing older major trauma patients. A review of the literature was undertaken to determine whether there was any relevant qualitative research in this area. A full systematic review was not undertaken due to the resources required to undertake three systematic reviews.</w:t>
      </w:r>
    </w:p>
    <w:p w14:paraId="44DBC666" w14:textId="77777777" w:rsidR="00CA0EF0" w:rsidRPr="00361E30" w:rsidRDefault="00CA0EF0" w:rsidP="003C13F4">
      <w:pPr>
        <w:pStyle w:val="Heading1"/>
      </w:pPr>
      <w:bookmarkStart w:id="48" w:name="_Toc1902240"/>
      <w:r w:rsidRPr="00361E30">
        <w:t>2.2</w:t>
      </w:r>
      <w:r w:rsidRPr="00361E30">
        <w:tab/>
        <w:t>Methods</w:t>
      </w:r>
      <w:bookmarkEnd w:id="48"/>
    </w:p>
    <w:p w14:paraId="3E570DE6" w14:textId="77777777" w:rsidR="00CA0EF0" w:rsidRPr="00361E30" w:rsidRDefault="00CA0EF0" w:rsidP="003C13F4">
      <w:r w:rsidRPr="00361E30">
        <w:t xml:space="preserve">Systematic reviews on patient characteristics and care process factors were conducted. These broadly followed the principles set out in the Cochrane Handbook for Systematic Reviews of Interventions </w:t>
      </w:r>
      <w:r w:rsidRPr="00361E30">
        <w:rPr>
          <w:noProof/>
        </w:rPr>
        <w:t>(Higgins and Green 2008)</w:t>
      </w:r>
      <w:r w:rsidRPr="00361E30">
        <w:t xml:space="preserve">. However, the Cochrane Handbook was developed specifically to address the needs of reviewers of interventional studies. </w:t>
      </w:r>
      <w:r w:rsidR="00E25676" w:rsidRPr="00361E30">
        <w:t>Thus,</w:t>
      </w:r>
      <w:r w:rsidRPr="00361E30">
        <w:t xml:space="preserve"> some of the quality scoring systems and assessment tools specific to observational studies were taken from other sources, including the STROBE guidelines for assessing observational studies, the CASP checklist for critical appraisal of studies and the NICE guidelines for grading studies </w:t>
      </w:r>
      <w:r w:rsidRPr="00361E30">
        <w:rPr>
          <w:noProof/>
        </w:rPr>
        <w:t>(2006, Burls 2009, Von Elm et al. 2007)</w:t>
      </w:r>
      <w:r w:rsidRPr="00361E30">
        <w:t xml:space="preserve">. </w:t>
      </w:r>
    </w:p>
    <w:p w14:paraId="2CBCF80A" w14:textId="77777777" w:rsidR="00CA0EF0" w:rsidRPr="00361E30" w:rsidRDefault="00CA0EF0" w:rsidP="003C13F4">
      <w:pPr>
        <w:ind w:firstLine="720"/>
      </w:pPr>
      <w:r w:rsidRPr="00361E30">
        <w:t xml:space="preserve">All three literature reviews were conducted using the following electronic databases: </w:t>
      </w:r>
      <w:r w:rsidRPr="00361E30">
        <w:rPr>
          <w:color w:val="000000"/>
        </w:rPr>
        <w:t>Medline; The Cochrane Library; and Cinah</w:t>
      </w:r>
      <w:r w:rsidRPr="00361E30">
        <w:t xml:space="preserve">l. The range of healthcare literature covered by the three chosen databases was thought to adequately cover the clinical and academic specialties with an interest in major trauma. This electronic search was supplemented by manual searches of </w:t>
      </w:r>
      <w:r w:rsidRPr="00361E30">
        <w:rPr>
          <w:color w:val="000000"/>
        </w:rPr>
        <w:t xml:space="preserve">reference lists of articles identified using the electronic search strategy described. </w:t>
      </w:r>
      <w:r w:rsidRPr="00361E30">
        <w:t>Snowball searches were also conducted using specific articles known to the reviewer and identifying related articles from their reference lists, then widening the search until saturation was achieved.</w:t>
      </w:r>
      <w:r w:rsidR="006D2F63" w:rsidRPr="00361E30">
        <w:t xml:space="preserve"> The searches were initially conducted in </w:t>
      </w:r>
      <w:r w:rsidR="00B62F3A" w:rsidRPr="00361E30">
        <w:t>June 2014 and</w:t>
      </w:r>
      <w:r w:rsidR="006D2F63" w:rsidRPr="00361E30">
        <w:t xml:space="preserve"> updated in March 2015 and again in June 2018. The most up to date studies relevant to these reviews were from 2017.</w:t>
      </w:r>
    </w:p>
    <w:p w14:paraId="6884560C" w14:textId="77777777" w:rsidR="00CA0EF0" w:rsidRPr="00361E30" w:rsidRDefault="00CA0EF0" w:rsidP="003C13F4">
      <w:pPr>
        <w:ind w:firstLine="720"/>
      </w:pPr>
      <w:r w:rsidRPr="00361E30">
        <w:t>For the review of qualitative research into outcomes in older trauma patients, a narrative review was conducted, using the same search strategy as the other two reviews (see Section 2.2.1 below).</w:t>
      </w:r>
      <w:r w:rsidR="00FB40C7" w:rsidRPr="00361E30">
        <w:t xml:space="preserve"> In keeping with the theme of the PhD thesis, this search was restricted to qualitative studies exploring the outcomes and experiences of older people suffering major </w:t>
      </w:r>
      <w:r w:rsidR="00FB40C7" w:rsidRPr="00361E30">
        <w:lastRenderedPageBreak/>
        <w:t>trauma, so some papers on related topics (such as the experience of patients with falls specifically, or patients suffering hip fractures) would have been excluded from the review.</w:t>
      </w:r>
    </w:p>
    <w:p w14:paraId="37E5EFF7" w14:textId="77777777" w:rsidR="00CA0EF0" w:rsidRPr="00361E30" w:rsidRDefault="00CA0EF0" w:rsidP="003C13F4">
      <w:pPr>
        <w:pStyle w:val="Heading2"/>
      </w:pPr>
      <w:bookmarkStart w:id="49" w:name="_Toc1902241"/>
      <w:r w:rsidRPr="00361E30">
        <w:t>2.2.1</w:t>
      </w:r>
      <w:r w:rsidRPr="00361E30">
        <w:tab/>
        <w:t>Search Strategy</w:t>
      </w:r>
      <w:bookmarkEnd w:id="49"/>
    </w:p>
    <w:p w14:paraId="0B3395E6" w14:textId="77777777" w:rsidR="00CA0EF0" w:rsidRPr="00361E30" w:rsidRDefault="00CA0EF0" w:rsidP="003C13F4">
      <w:r w:rsidRPr="00361E30">
        <w:t>In formulating a search strategy, the following PICO questions were developed for each review:</w:t>
      </w:r>
    </w:p>
    <w:p w14:paraId="550A50C0" w14:textId="77777777" w:rsidR="00CA0EF0" w:rsidRPr="00361E30" w:rsidRDefault="00CA0EF0" w:rsidP="003C13F4">
      <w:r w:rsidRPr="00361E30">
        <w:t>For the systematic review of patient factors affecting outcome in older trauma patients, the PICO question was:</w:t>
      </w:r>
    </w:p>
    <w:p w14:paraId="07C8B86F" w14:textId="77777777" w:rsidR="00CA0EF0" w:rsidRPr="00361E30" w:rsidRDefault="00CA0EF0" w:rsidP="003C13F4">
      <w:pPr>
        <w:pStyle w:val="NormalWeb"/>
        <w:spacing w:before="0" w:beforeAutospacing="0" w:after="0" w:afterAutospacing="0" w:line="360" w:lineRule="auto"/>
        <w:ind w:left="1440"/>
        <w:jc w:val="both"/>
        <w:rPr>
          <w:rFonts w:asciiTheme="minorHAnsi" w:hAnsiTheme="minorHAnsi" w:cs="Arial"/>
          <w:i/>
          <w:color w:val="000000"/>
          <w:sz w:val="22"/>
          <w:szCs w:val="22"/>
          <w:lang w:val="en-GB"/>
        </w:rPr>
      </w:pPr>
      <w:r w:rsidRPr="00361E30">
        <w:rPr>
          <w:rFonts w:asciiTheme="minorHAnsi" w:hAnsiTheme="minorHAnsi" w:cs="Arial"/>
          <w:i/>
          <w:sz w:val="22"/>
          <w:szCs w:val="22"/>
          <w:lang w:val="en-GB"/>
        </w:rPr>
        <w:t>‘</w:t>
      </w:r>
      <w:r w:rsidRPr="00361E30">
        <w:rPr>
          <w:rFonts w:asciiTheme="minorHAnsi" w:hAnsiTheme="minorHAnsi" w:cs="Arial"/>
          <w:i/>
          <w:color w:val="000000"/>
          <w:sz w:val="22"/>
          <w:szCs w:val="22"/>
          <w:lang w:val="en-GB"/>
        </w:rPr>
        <w:t>Do differences in demographic, clinical and injury characteristics,</w:t>
      </w:r>
      <w:r w:rsidR="00FC296F">
        <w:rPr>
          <w:rFonts w:asciiTheme="minorHAnsi" w:hAnsiTheme="minorHAnsi" w:cs="Arial"/>
          <w:i/>
          <w:color w:val="000000"/>
          <w:sz w:val="22"/>
          <w:szCs w:val="22"/>
          <w:lang w:val="en-GB"/>
        </w:rPr>
        <w:t xml:space="preserve"> in patients</w:t>
      </w:r>
      <w:r w:rsidRPr="00361E30">
        <w:rPr>
          <w:rFonts w:asciiTheme="minorHAnsi" w:hAnsiTheme="minorHAnsi" w:cs="Arial"/>
          <w:i/>
          <w:color w:val="000000"/>
          <w:sz w:val="22"/>
          <w:szCs w:val="22"/>
          <w:lang w:val="en-GB"/>
        </w:rPr>
        <w:t xml:space="preserve"> 65 years and above, alter the risk of mortality in older patients who have presented to the Emergency Department or the Emergency Services with major trauma?’</w:t>
      </w:r>
    </w:p>
    <w:p w14:paraId="3A583644" w14:textId="77777777" w:rsidR="00CA0EF0" w:rsidRPr="00361E30" w:rsidRDefault="00CA0EF0" w:rsidP="003C13F4">
      <w:r w:rsidRPr="00361E30">
        <w:t>For the review of process factors affecting outcome, the primary research question was:</w:t>
      </w:r>
    </w:p>
    <w:p w14:paraId="6526B487" w14:textId="77777777" w:rsidR="00CA0EF0" w:rsidRPr="00361E30" w:rsidRDefault="00CA0EF0" w:rsidP="003C13F4">
      <w:pPr>
        <w:pStyle w:val="NormalWeb"/>
        <w:spacing w:before="0" w:beforeAutospacing="0" w:after="0" w:afterAutospacing="0" w:line="360" w:lineRule="auto"/>
        <w:ind w:left="1440"/>
        <w:rPr>
          <w:rFonts w:asciiTheme="minorHAnsi" w:hAnsiTheme="minorHAnsi" w:cs="Arial"/>
          <w:i/>
          <w:color w:val="000000"/>
          <w:sz w:val="22"/>
          <w:szCs w:val="22"/>
          <w:lang w:val="en-GB"/>
        </w:rPr>
      </w:pPr>
      <w:r w:rsidRPr="00361E30">
        <w:rPr>
          <w:rFonts w:asciiTheme="minorHAnsi" w:hAnsiTheme="minorHAnsi"/>
          <w:i/>
          <w:sz w:val="22"/>
          <w:szCs w:val="22"/>
          <w:lang w:val="en-GB"/>
        </w:rPr>
        <w:t>‘In older patients</w:t>
      </w:r>
      <w:r w:rsidRPr="00361E30">
        <w:rPr>
          <w:rFonts w:asciiTheme="minorHAnsi" w:hAnsiTheme="minorHAnsi" w:cs="Arial"/>
          <w:i/>
          <w:color w:val="000000"/>
          <w:sz w:val="22"/>
          <w:szCs w:val="22"/>
          <w:lang w:val="en-GB"/>
        </w:rPr>
        <w:t>, 65 years and above, who have presented to the Emergency Department or the Emergency Services with major trauma, do differences in the process of care affect risk adjusted mortality?’</w:t>
      </w:r>
    </w:p>
    <w:p w14:paraId="18E8997A" w14:textId="77777777" w:rsidR="00CA0EF0" w:rsidRPr="00361E30" w:rsidRDefault="00CA0EF0" w:rsidP="003C13F4">
      <w:r w:rsidRPr="00361E30">
        <w:t>A secondary research question was also entertained when assessing the impact of process factors on outcome:</w:t>
      </w:r>
    </w:p>
    <w:p w14:paraId="2E54AF85" w14:textId="77777777" w:rsidR="00CA0EF0" w:rsidRPr="00361E30" w:rsidRDefault="00CA0EF0" w:rsidP="003C13F4">
      <w:pPr>
        <w:pStyle w:val="NormalWeb"/>
        <w:spacing w:before="0" w:beforeAutospacing="0" w:after="0" w:afterAutospacing="0" w:line="360" w:lineRule="auto"/>
        <w:ind w:left="1440"/>
        <w:rPr>
          <w:rFonts w:asciiTheme="minorHAnsi" w:hAnsiTheme="minorHAnsi" w:cs="Arial"/>
          <w:i/>
          <w:color w:val="000000"/>
          <w:sz w:val="22"/>
          <w:szCs w:val="22"/>
          <w:lang w:val="en-GB"/>
        </w:rPr>
      </w:pPr>
      <w:r w:rsidRPr="00361E30">
        <w:rPr>
          <w:rFonts w:asciiTheme="minorHAnsi" w:hAnsiTheme="minorHAnsi"/>
          <w:i/>
          <w:sz w:val="22"/>
          <w:szCs w:val="22"/>
          <w:lang w:val="en-GB"/>
        </w:rPr>
        <w:t>‘Are there differences in the care provided to older patients</w:t>
      </w:r>
      <w:r w:rsidRPr="00361E30">
        <w:rPr>
          <w:rFonts w:asciiTheme="minorHAnsi" w:hAnsiTheme="minorHAnsi" w:cs="Arial"/>
          <w:i/>
          <w:color w:val="000000"/>
          <w:sz w:val="22"/>
          <w:szCs w:val="22"/>
          <w:lang w:val="en-GB"/>
        </w:rPr>
        <w:t>, 65 years and above, who have presented to the Emergency Department with major trauma, compared to younger major trauma patients?’</w:t>
      </w:r>
    </w:p>
    <w:p w14:paraId="01DE3EC3" w14:textId="77777777" w:rsidR="00CA0EF0" w:rsidRPr="00361E30" w:rsidRDefault="00CA0EF0" w:rsidP="003C13F4">
      <w:r w:rsidRPr="00361E30">
        <w:t>For the review of qualitative studies, the following research question was used:</w:t>
      </w:r>
    </w:p>
    <w:p w14:paraId="461A7038" w14:textId="77777777" w:rsidR="00CA0EF0" w:rsidRPr="00361E30" w:rsidRDefault="00CA0EF0" w:rsidP="003C13F4">
      <w:pPr>
        <w:pStyle w:val="NormalWeb"/>
        <w:spacing w:before="0" w:beforeAutospacing="0" w:after="0" w:afterAutospacing="0" w:line="360" w:lineRule="auto"/>
        <w:ind w:left="1440"/>
        <w:jc w:val="both"/>
        <w:rPr>
          <w:rFonts w:asciiTheme="minorHAnsi" w:hAnsiTheme="minorHAnsi" w:cs="Arial"/>
          <w:i/>
          <w:sz w:val="22"/>
          <w:szCs w:val="22"/>
          <w:lang w:val="en-GB"/>
        </w:rPr>
      </w:pPr>
      <w:r w:rsidRPr="00361E30">
        <w:rPr>
          <w:rFonts w:asciiTheme="minorHAnsi" w:hAnsiTheme="minorHAnsi" w:cs="Arial"/>
          <w:i/>
          <w:sz w:val="22"/>
          <w:szCs w:val="22"/>
          <w:lang w:val="en-GB"/>
        </w:rPr>
        <w:t>‘What are the experiences of older people presenting to the Emergency Department following major trauma?’</w:t>
      </w:r>
    </w:p>
    <w:p w14:paraId="7F4FE2B8" w14:textId="77777777" w:rsidR="00CA0EF0" w:rsidRPr="00361E30" w:rsidRDefault="00CA0EF0" w:rsidP="003C13F4">
      <w:r w:rsidRPr="00361E30">
        <w:t>The following search strategy was used for all electronic databases:</w:t>
      </w:r>
    </w:p>
    <w:p w14:paraId="36B99D89" w14:textId="77777777" w:rsidR="00CA0EF0" w:rsidRPr="00361E30" w:rsidRDefault="00CA0EF0" w:rsidP="003C13F4">
      <w:pPr>
        <w:pStyle w:val="NormalWeb"/>
        <w:spacing w:before="0" w:beforeAutospacing="0" w:after="0" w:afterAutospacing="0" w:line="360" w:lineRule="auto"/>
        <w:ind w:left="1440"/>
        <w:jc w:val="both"/>
        <w:rPr>
          <w:rFonts w:asciiTheme="minorHAnsi" w:hAnsiTheme="minorHAnsi" w:cs="Arial"/>
          <w:i/>
          <w:color w:val="000000"/>
          <w:sz w:val="22"/>
          <w:szCs w:val="22"/>
          <w:lang w:val="en-GB"/>
        </w:rPr>
      </w:pPr>
      <w:r w:rsidRPr="00361E30">
        <w:rPr>
          <w:rFonts w:asciiTheme="minorHAnsi" w:hAnsiTheme="minorHAnsi" w:cs="Arial"/>
          <w:i/>
          <w:color w:val="000000"/>
          <w:sz w:val="22"/>
          <w:szCs w:val="22"/>
          <w:lang w:val="en-GB"/>
        </w:rPr>
        <w:t>(((((major injuries[Title/Abstract] OR major injury[Title/Abstract]) OR (multiple injured[Title/Abstract] OR multiple injures[Title/Abstract] OR multiple injuries[Title/Abstract] OR multiple injury[Title/Abstract])) OR Major Trauma[Title/Abstract]) OR Multiple Trauma[Title/Abstract]) AND (Elderly[Title/Abstract] OR "aged"[MeSH Terms])) NOT Hip Fracture$[Title/Abstract] AND (("1980/01/01"[PDAT] : "2014/12/31"[PDAT]) AND "humans"[MeSH Terms])</w:t>
      </w:r>
    </w:p>
    <w:p w14:paraId="09DD71CE" w14:textId="77777777" w:rsidR="00CA0EF0" w:rsidRPr="00361E30" w:rsidRDefault="00CA0EF0" w:rsidP="003C13F4">
      <w:pPr>
        <w:pStyle w:val="Heading2"/>
      </w:pPr>
      <w:bookmarkStart w:id="50" w:name="_Toc1902242"/>
      <w:r w:rsidRPr="00361E30">
        <w:lastRenderedPageBreak/>
        <w:t>2.2.2</w:t>
      </w:r>
      <w:r w:rsidRPr="00361E30">
        <w:tab/>
        <w:t>Inclusion and Exclusion Criteria</w:t>
      </w:r>
      <w:bookmarkEnd w:id="50"/>
    </w:p>
    <w:p w14:paraId="0F63A7EF" w14:textId="77777777" w:rsidR="00CA0EF0" w:rsidRPr="00361E30" w:rsidRDefault="00CA0EF0" w:rsidP="003C13F4">
      <w:pPr>
        <w:pStyle w:val="Heading3"/>
      </w:pPr>
      <w:r w:rsidRPr="00361E30">
        <w:t xml:space="preserve">2.2.2.1 </w:t>
      </w:r>
      <w:r w:rsidRPr="00361E30">
        <w:tab/>
        <w:t>The Systematic Review of Patient Characteristics</w:t>
      </w:r>
    </w:p>
    <w:p w14:paraId="7D2E22DC" w14:textId="77777777" w:rsidR="00CA0EF0" w:rsidRPr="00361E30" w:rsidRDefault="00CA0EF0" w:rsidP="003C13F4">
      <w:r w:rsidRPr="00361E30">
        <w:t>For the systematic review of patient characteristics, multicentre cohort studies of trauma patients 65 years and older, with prospectively collected data that reported risk adjusted mortality were included. Only studies published in the English language or translated into English were included in the review, as the primary investigator did not have access to a translation service.</w:t>
      </w:r>
    </w:p>
    <w:p w14:paraId="6DFC441C" w14:textId="77777777" w:rsidR="00CA0EF0" w:rsidRPr="00361E30" w:rsidRDefault="00CA0EF0" w:rsidP="003C13F4">
      <w:pPr>
        <w:ind w:firstLine="720"/>
      </w:pPr>
      <w:r w:rsidRPr="00361E30">
        <w:t>Studies were excluded if older patients were not reported separately in the analysis. The age cut-off of 65 years was chosen as this is the most common defining age for ‘</w:t>
      </w:r>
      <w:r w:rsidR="00F84EF5">
        <w:t>older’</w:t>
      </w:r>
      <w:r w:rsidRPr="00361E30">
        <w:t xml:space="preserve"> patients in most trauma research. However, studies with the appropriate methodology that used age cut-offs between 60 and 85 years were also included, once the other inclusion criteria were met, as there is no absolute consensus on the definition of ‘old age’ and different countries use different definitions in their research. </w:t>
      </w:r>
    </w:p>
    <w:p w14:paraId="01CDDF7C" w14:textId="77777777" w:rsidR="00CA0EF0" w:rsidRPr="00361E30" w:rsidRDefault="00CA0EF0" w:rsidP="003C13F4">
      <w:pPr>
        <w:ind w:firstLine="720"/>
      </w:pPr>
      <w:r w:rsidRPr="00361E30">
        <w:t xml:space="preserve">Single centre studies were excluded as they had a high potential for provider </w:t>
      </w:r>
      <w:r w:rsidR="00B62F3A" w:rsidRPr="00361E30">
        <w:t>bias and</w:t>
      </w:r>
      <w:r w:rsidRPr="00361E30">
        <w:t xml:space="preserve"> tended to be trials set in more sophisticated trauma hospitals, such as level 1 trauma centres, not reflecting the general experience in all trauma receiving hospitals. Studies that used prospectively collected data from established trauma registries were included, but studies that collected only historical data in a retrospective fashion were excluded. Studies of patients with hip fractures as the main study population were excluded from this review, as patients with hip fractures are excluded from most trauma registry databases </w:t>
      </w:r>
      <w:r w:rsidRPr="00361E30">
        <w:rPr>
          <w:noProof/>
        </w:rPr>
        <w:t>(Lecky</w:t>
      </w:r>
      <w:r w:rsidR="00B249F5" w:rsidRPr="00361E30">
        <w:rPr>
          <w:noProof/>
        </w:rPr>
        <w:t xml:space="preserve"> et al.</w:t>
      </w:r>
      <w:r w:rsidRPr="00361E30">
        <w:rPr>
          <w:noProof/>
        </w:rPr>
        <w:t xml:space="preserve"> 2014)</w:t>
      </w:r>
      <w:r w:rsidRPr="00361E30">
        <w:t>.</w:t>
      </w:r>
    </w:p>
    <w:p w14:paraId="52034E85" w14:textId="77777777" w:rsidR="00CA0EF0" w:rsidRPr="00361E30" w:rsidRDefault="00CA0EF0" w:rsidP="003C13F4">
      <w:pPr>
        <w:pStyle w:val="Heading3"/>
      </w:pPr>
      <w:r w:rsidRPr="00361E30">
        <w:t xml:space="preserve">2.2.2.2 </w:t>
      </w:r>
      <w:r w:rsidRPr="00361E30">
        <w:tab/>
        <w:t xml:space="preserve">The Systematic Review of Care Process Factors </w:t>
      </w:r>
    </w:p>
    <w:p w14:paraId="63E8202E" w14:textId="77777777" w:rsidR="00CA0EF0" w:rsidRPr="00361E30" w:rsidRDefault="00CA0EF0" w:rsidP="003C13F4">
      <w:r w:rsidRPr="00361E30">
        <w:t xml:space="preserve">Inclusion criteria for the systematic review on care process factors included studies investigating the impact of care process factors on outcome in older trauma patients (aged 65 and older), which reported findings on older patients separately from those of younger patients. Given the paucity of research output into care process factors affecting outcome in older trauma patients, inclusion criteria for the review were less stringent than for the review of patient characteristics. All study methodologies were included, though each was assessed for quality using the NICE (National Institute for Clinical Excellence) grading scheme for research studies </w:t>
      </w:r>
      <w:r w:rsidRPr="00361E30">
        <w:rPr>
          <w:noProof/>
        </w:rPr>
        <w:t>(</w:t>
      </w:r>
      <w:r w:rsidR="004172BF" w:rsidRPr="00361E30">
        <w:rPr>
          <w:noProof/>
        </w:rPr>
        <w:t xml:space="preserve">NICE </w:t>
      </w:r>
      <w:r w:rsidRPr="00361E30">
        <w:rPr>
          <w:noProof/>
        </w:rPr>
        <w:t>2006)</w:t>
      </w:r>
      <w:r w:rsidRPr="00361E30">
        <w:t>.</w:t>
      </w:r>
    </w:p>
    <w:p w14:paraId="5B2769B7" w14:textId="77777777" w:rsidR="00CA0EF0" w:rsidRPr="00361E30" w:rsidRDefault="00CA0EF0" w:rsidP="003C13F4">
      <w:pPr>
        <w:ind w:firstLine="720"/>
      </w:pPr>
      <w:r w:rsidRPr="00361E30">
        <w:t xml:space="preserve">A secondary aim of the review of care process factors was to investigate the difference between treatment received by older and younger trauma patients. For this aspect of the review, studies which compared the likelihood of receiving specific treatment related to </w:t>
      </w:r>
      <w:r w:rsidRPr="00361E30">
        <w:lastRenderedPageBreak/>
        <w:t xml:space="preserve">trauma care between older and younger patients were included. The other inclusion criteria were as listed above. </w:t>
      </w:r>
    </w:p>
    <w:p w14:paraId="120F65A1" w14:textId="77777777" w:rsidR="00CA0EF0" w:rsidRPr="00361E30" w:rsidRDefault="00CA0EF0" w:rsidP="003C13F4">
      <w:pPr>
        <w:pStyle w:val="Heading3"/>
      </w:pPr>
      <w:r w:rsidRPr="00361E30">
        <w:t xml:space="preserve">2.2.2.3 </w:t>
      </w:r>
      <w:r w:rsidRPr="00361E30">
        <w:tab/>
        <w:t>Narrative Review of Qualitative Research on Older Trauma Patients</w:t>
      </w:r>
    </w:p>
    <w:p w14:paraId="73BA8449" w14:textId="77777777" w:rsidR="00CA0EF0" w:rsidRPr="00361E30" w:rsidRDefault="00CA0EF0" w:rsidP="003C13F4">
      <w:r w:rsidRPr="00361E30">
        <w:t>The narrative review of qualitative studies investigating older trauma patients included all qualitative studies that explored the impact of major trauma on older patients, and the factors that influence their outcomes. However, no studies fulfilled the inclusion criteria for this review.</w:t>
      </w:r>
    </w:p>
    <w:p w14:paraId="5571EA91" w14:textId="77777777" w:rsidR="00CA0EF0" w:rsidRPr="00361E30" w:rsidRDefault="00CA0EF0" w:rsidP="003C13F4">
      <w:pPr>
        <w:pStyle w:val="Heading2"/>
      </w:pPr>
      <w:bookmarkStart w:id="51" w:name="_Toc1902243"/>
      <w:r w:rsidRPr="00361E30">
        <w:t>2.2.3</w:t>
      </w:r>
      <w:r w:rsidRPr="00361E30">
        <w:tab/>
        <w:t>Reported Outcomes</w:t>
      </w:r>
      <w:bookmarkEnd w:id="51"/>
    </w:p>
    <w:p w14:paraId="0E4094DF" w14:textId="77777777" w:rsidR="00CA0EF0" w:rsidRPr="00361E30" w:rsidRDefault="00CA0EF0" w:rsidP="003C13F4">
      <w:r w:rsidRPr="00361E30">
        <w:t xml:space="preserve">Outcomes included in this review were in-hospital mortality and, where available, 30-day mortality. </w:t>
      </w:r>
      <w:r w:rsidR="00B62F3A" w:rsidRPr="00361E30">
        <w:t>Most</w:t>
      </w:r>
      <w:r w:rsidRPr="00361E30">
        <w:t xml:space="preserve"> trauma registries included in-hospital mortality or 30-day mortality and the use of these outcome measures allowed comparisons of mortality rates and odds ratios between studies. Studies were only included if there was some measure of casemix adjustment when mortality was reported. As described in Chapter 1 (Section 1.7), adjustment for casemix is important, as injury severity has a marked effect on outcome in trauma patients. </w:t>
      </w:r>
    </w:p>
    <w:p w14:paraId="5E9BDA78" w14:textId="77777777" w:rsidR="00CA0EF0" w:rsidRPr="00361E30" w:rsidRDefault="00CA0EF0" w:rsidP="003C13F4">
      <w:pPr>
        <w:ind w:firstLine="720"/>
      </w:pPr>
      <w:r w:rsidRPr="00361E30">
        <w:t>For the second part of the systematic review of care process factors, the main outcome was the likelihood of receiving specific care for trauma in older compared to younger patients. For the review of qualitative studies, the main outcome was the experiences of patients and healthcare providers in relation to major trauma care.</w:t>
      </w:r>
    </w:p>
    <w:p w14:paraId="1C1914EC" w14:textId="77777777" w:rsidR="00CA0EF0" w:rsidRPr="00361E30" w:rsidRDefault="00CA0EF0" w:rsidP="003C13F4">
      <w:pPr>
        <w:pStyle w:val="Heading2"/>
      </w:pPr>
      <w:bookmarkStart w:id="52" w:name="_Toc1902244"/>
      <w:r w:rsidRPr="00361E30">
        <w:t>2.2.4</w:t>
      </w:r>
      <w:r w:rsidRPr="00361E30">
        <w:tab/>
        <w:t>Quality Assessment</w:t>
      </w:r>
      <w:bookmarkEnd w:id="52"/>
    </w:p>
    <w:p w14:paraId="094467B9" w14:textId="77777777" w:rsidR="00CA0EF0" w:rsidRPr="00361E30" w:rsidRDefault="00CA0EF0" w:rsidP="003C13F4">
      <w:pPr>
        <w:pStyle w:val="Heading3"/>
      </w:pPr>
      <w:r w:rsidRPr="00361E30">
        <w:t xml:space="preserve">2.2.4.1 </w:t>
      </w:r>
      <w:r w:rsidRPr="00361E30">
        <w:tab/>
        <w:t>The Systematic Review of Patient Characteristics</w:t>
      </w:r>
    </w:p>
    <w:p w14:paraId="204BCA59" w14:textId="77777777" w:rsidR="00CA0EF0" w:rsidRPr="00361E30" w:rsidRDefault="00CA0EF0" w:rsidP="003C13F4">
      <w:r w:rsidRPr="00361E30">
        <w:t xml:space="preserve">The quality of selected papers was assessed using the STROBE (“strengthening the reporting of observational studies in epidemiology”) guidelines for assessing cohort studies </w:t>
      </w:r>
      <w:r w:rsidRPr="00361E30">
        <w:rPr>
          <w:noProof/>
        </w:rPr>
        <w:t>(</w:t>
      </w:r>
      <w:r w:rsidR="00FC296F">
        <w:rPr>
          <w:noProof/>
        </w:rPr>
        <w:t>Von Elm et al. 2007</w:t>
      </w:r>
      <w:r w:rsidRPr="00361E30">
        <w:rPr>
          <w:noProof/>
        </w:rPr>
        <w:t>)</w:t>
      </w:r>
      <w:r w:rsidRPr="00361E30">
        <w:t>. A modified scoring system for assessing observational studies on trauma, developed by Celso et al</w:t>
      </w:r>
      <w:r w:rsidR="00F80C71" w:rsidRPr="00361E30">
        <w:t xml:space="preserve"> (2006)</w:t>
      </w:r>
      <w:r w:rsidRPr="00361E30">
        <w:t>, was used to grade the quality of each study. An a priori decision was made to include only studies with a CELSO score of 32 or above (an average of 4/5 per item). However, all eligible studies met this quality criterion and were included in the final review.</w:t>
      </w:r>
    </w:p>
    <w:p w14:paraId="169E7D45" w14:textId="77777777" w:rsidR="00CA0EF0" w:rsidRPr="00361E30" w:rsidRDefault="00CA0EF0" w:rsidP="003C13F4">
      <w:pPr>
        <w:pStyle w:val="Heading3"/>
      </w:pPr>
      <w:r w:rsidRPr="00361E30">
        <w:t xml:space="preserve">2.2.4.2 </w:t>
      </w:r>
      <w:r w:rsidRPr="00361E30">
        <w:tab/>
        <w:t>The Systematic Review of Care Process Factors</w:t>
      </w:r>
    </w:p>
    <w:p w14:paraId="593877BD" w14:textId="77777777" w:rsidR="00CA0EF0" w:rsidRPr="00361E30" w:rsidRDefault="00CA0EF0" w:rsidP="003C13F4">
      <w:r w:rsidRPr="00361E30">
        <w:t xml:space="preserve">Studies were classified according to design, using the NICE guidelines </w:t>
      </w:r>
      <w:r w:rsidRPr="00361E30">
        <w:rPr>
          <w:noProof/>
        </w:rPr>
        <w:t>(2006)</w:t>
      </w:r>
      <w:r w:rsidRPr="00361E30">
        <w:t xml:space="preserve">. The majority of relevant studies were observational studies. The quality of individual observational studies was assessed using the STROBE (‘strengthening the reporting of observational studies in epidemiology’) criteria for assessment of research quality for observational studies </w:t>
      </w:r>
      <w:r w:rsidRPr="00361E30">
        <w:rPr>
          <w:noProof/>
        </w:rPr>
        <w:t>(</w:t>
      </w:r>
      <w:r w:rsidR="00103094" w:rsidRPr="00361E30">
        <w:rPr>
          <w:noProof/>
        </w:rPr>
        <w:t>Von Elm et al. 2007</w:t>
      </w:r>
      <w:r w:rsidRPr="00361E30">
        <w:rPr>
          <w:noProof/>
        </w:rPr>
        <w:t>)</w:t>
      </w:r>
      <w:r w:rsidRPr="00361E30">
        <w:t>.</w:t>
      </w:r>
    </w:p>
    <w:p w14:paraId="665665EC" w14:textId="77777777" w:rsidR="00CA0EF0" w:rsidRPr="00361E30" w:rsidRDefault="00CA0EF0" w:rsidP="003C13F4">
      <w:pPr>
        <w:pStyle w:val="Heading3"/>
      </w:pPr>
      <w:r w:rsidRPr="00361E30">
        <w:lastRenderedPageBreak/>
        <w:t>2.2.4.3</w:t>
      </w:r>
      <w:r w:rsidRPr="00361E30">
        <w:tab/>
        <w:t>Narrative Review of Qualitative Research on Older Trauma Patients</w:t>
      </w:r>
    </w:p>
    <w:p w14:paraId="1B910DE4" w14:textId="77777777" w:rsidR="00CA0EF0" w:rsidRPr="00361E30" w:rsidRDefault="00CA0EF0" w:rsidP="003C13F4">
      <w:r w:rsidRPr="00361E30">
        <w:t xml:space="preserve">The CASP checklist for assessing quality in qualitative research was used to assess the quality of the papers found </w:t>
      </w:r>
      <w:r w:rsidRPr="00361E30">
        <w:rPr>
          <w:noProof/>
        </w:rPr>
        <w:t>(Hill et al.</w:t>
      </w:r>
      <w:r w:rsidR="00502452" w:rsidRPr="00361E30">
        <w:rPr>
          <w:noProof/>
        </w:rPr>
        <w:t xml:space="preserve"> 2009</w:t>
      </w:r>
      <w:r w:rsidRPr="00361E30">
        <w:rPr>
          <w:noProof/>
        </w:rPr>
        <w:t>)</w:t>
      </w:r>
      <w:r w:rsidRPr="00361E30">
        <w:t>. However, no studies fulfilled the inclusion criteria for this review.</w:t>
      </w:r>
    </w:p>
    <w:p w14:paraId="26CEA0AC" w14:textId="77777777" w:rsidR="00CA0EF0" w:rsidRPr="00361E30" w:rsidRDefault="00CA0EF0" w:rsidP="003C13F4">
      <w:pPr>
        <w:pStyle w:val="Heading2"/>
      </w:pPr>
      <w:bookmarkStart w:id="53" w:name="_Toc1902245"/>
      <w:r w:rsidRPr="00361E30">
        <w:t>2.2.5</w:t>
      </w:r>
      <w:r w:rsidRPr="00361E30">
        <w:tab/>
        <w:t>Data Extraction</w:t>
      </w:r>
      <w:bookmarkEnd w:id="53"/>
    </w:p>
    <w:p w14:paraId="5FF6ACD7" w14:textId="77777777" w:rsidR="00CA0EF0" w:rsidRPr="00361E30" w:rsidRDefault="00CA0EF0" w:rsidP="003C13F4">
      <w:r w:rsidRPr="00361E30">
        <w:t>A structured data extraction sheet was used to extract relevant data from each selected paper for the systematic reviews. Key elements in data extraction included data on the study characteristics, the population being studied and the methodological quality of the study (including outcomes, analysis and results). For the review of qualitative studies, each relevant paper was described in terms of research method, focus of the research, main findings and relevance to this PhD thesis.</w:t>
      </w:r>
    </w:p>
    <w:p w14:paraId="1551A374" w14:textId="77777777" w:rsidR="00CA0EF0" w:rsidRPr="00361E30" w:rsidRDefault="00CA0EF0" w:rsidP="003C13F4">
      <w:pPr>
        <w:pStyle w:val="Heading2"/>
      </w:pPr>
      <w:bookmarkStart w:id="54" w:name="_Toc1902246"/>
      <w:r w:rsidRPr="00361E30">
        <w:t>2.2.6</w:t>
      </w:r>
      <w:r w:rsidRPr="00361E30">
        <w:tab/>
        <w:t>Data Synthesis</w:t>
      </w:r>
      <w:bookmarkEnd w:id="54"/>
    </w:p>
    <w:p w14:paraId="77F84977" w14:textId="77777777" w:rsidR="00CA0EF0" w:rsidRPr="00361E30" w:rsidRDefault="00CA0EF0" w:rsidP="003C13F4">
      <w:pPr>
        <w:pStyle w:val="Heading3"/>
      </w:pPr>
      <w:r w:rsidRPr="00361E30">
        <w:t xml:space="preserve">2.2.6.1 </w:t>
      </w:r>
      <w:r w:rsidRPr="00361E30">
        <w:tab/>
        <w:t>The Systematic Review of Patient Characteristics</w:t>
      </w:r>
    </w:p>
    <w:p w14:paraId="0B276081" w14:textId="77777777" w:rsidR="00CA0EF0" w:rsidRPr="00361E30" w:rsidRDefault="00CA0EF0" w:rsidP="003C13F4">
      <w:pPr>
        <w:rPr>
          <w:rFonts w:eastAsia="Times New Roman"/>
        </w:rPr>
      </w:pPr>
      <w:r w:rsidRPr="00361E30">
        <w:rPr>
          <w:rFonts w:eastAsia="Times New Roman"/>
        </w:rPr>
        <w:t xml:space="preserve">For patient characteristics in which there were sufficient studies with broadly similar outcome measures and comparable populations, meta-analysis was used to quantify the relationship between these and odds of death in older patients. </w:t>
      </w:r>
      <w:r w:rsidRPr="00361E30">
        <w:t>Meta-analysis was performed on studies comparing gender, number of injuries sustained, mechanism of injury and pre-injury use of warfarin. For these risk factors, o</w:t>
      </w:r>
      <w:r w:rsidRPr="00361E30">
        <w:rPr>
          <w:rFonts w:eastAsia="Times New Roman"/>
        </w:rPr>
        <w:t>nly those papers that use adjusted odds ratios of mortality as an outcome were included in any meta-analysis. Meta-analysis was not performed if the statistical heterogeneity between studies was high (</w:t>
      </w:r>
      <w:r w:rsidR="00CE038B">
        <w:rPr>
          <w:rFonts w:eastAsia="Times New Roman"/>
        </w:rPr>
        <w:t>p</w:t>
      </w:r>
      <w:r w:rsidRPr="00361E30">
        <w:rPr>
          <w:rFonts w:eastAsia="Times New Roman"/>
        </w:rPr>
        <w:t xml:space="preserve"> value for Cochran Q &lt;0.10; I2 &gt;60%). For meta-analyses of more than 2 studies, where significant heterogeneity was found, stepwise exclusion of studies was performed to pool the effects of the studies with the least heterogeneity. This meta-analysis was directly applicable to the development of a predictive model of mortality in </w:t>
      </w:r>
      <w:r w:rsidR="00F84EF5">
        <w:rPr>
          <w:rFonts w:eastAsia="Times New Roman"/>
        </w:rPr>
        <w:t>older</w:t>
      </w:r>
      <w:r w:rsidRPr="00361E30">
        <w:rPr>
          <w:rFonts w:eastAsia="Times New Roman"/>
        </w:rPr>
        <w:t xml:space="preserve"> trauma patients, as it provided summated estimates of the size of the relationship between individual patient characteristics and mortality.</w:t>
      </w:r>
    </w:p>
    <w:p w14:paraId="00ADFB86" w14:textId="77777777" w:rsidR="00CA0EF0" w:rsidRPr="00361E30" w:rsidRDefault="00CA0EF0" w:rsidP="003C13F4">
      <w:pPr>
        <w:ind w:firstLine="720"/>
        <w:rPr>
          <w:rFonts w:eastAsia="Times New Roman"/>
        </w:rPr>
      </w:pPr>
      <w:r w:rsidRPr="00361E30">
        <w:rPr>
          <w:rFonts w:eastAsia="Times New Roman"/>
        </w:rPr>
        <w:t xml:space="preserve">For those factors with high levels of statistical and methodological heterogeneity a narrative synthesis of results was used to report their relationship with mortality. </w:t>
      </w:r>
    </w:p>
    <w:p w14:paraId="2D97022C" w14:textId="77777777" w:rsidR="00CA0EF0" w:rsidRPr="00361E30" w:rsidRDefault="00CA0EF0" w:rsidP="003C13F4">
      <w:pPr>
        <w:pStyle w:val="Heading3"/>
      </w:pPr>
      <w:r w:rsidRPr="00361E30">
        <w:rPr>
          <w:rFonts w:eastAsia="Times New Roman"/>
        </w:rPr>
        <w:t xml:space="preserve">2.2.6.2 </w:t>
      </w:r>
      <w:r w:rsidRPr="00361E30">
        <w:rPr>
          <w:rFonts w:eastAsia="Times New Roman"/>
        </w:rPr>
        <w:tab/>
      </w:r>
      <w:r w:rsidRPr="00361E30">
        <w:t>The Systematic Review of Care Process Factors</w:t>
      </w:r>
    </w:p>
    <w:p w14:paraId="153B1832" w14:textId="77777777" w:rsidR="00CA0EF0" w:rsidRPr="00361E30" w:rsidRDefault="00CA0EF0" w:rsidP="003C13F4">
      <w:r w:rsidRPr="00361E30">
        <w:t xml:space="preserve">Given the limited number of studies eligible for inclusion and the wide variation in outcomes used in different studies, meta-analysis was not possible in this review. In addition, the care process factors identified as influencing outcomes were quite </w:t>
      </w:r>
      <w:r w:rsidR="00B62F3A" w:rsidRPr="00361E30">
        <w:t>disparate and</w:t>
      </w:r>
      <w:r w:rsidRPr="00361E30">
        <w:t xml:space="preserve"> did not lend themselves to direct comparison. </w:t>
      </w:r>
      <w:r w:rsidR="00B62F3A" w:rsidRPr="00361E30">
        <w:t>Considering</w:t>
      </w:r>
      <w:r w:rsidRPr="00361E30">
        <w:t xml:space="preserve"> the above limitations, a narrative synthesis was </w:t>
      </w:r>
      <w:r w:rsidRPr="00361E30">
        <w:lastRenderedPageBreak/>
        <w:t>undertaken, to describe the current evidence and identify specific areas in need of further research.</w:t>
      </w:r>
    </w:p>
    <w:p w14:paraId="171BFCB6" w14:textId="77777777" w:rsidR="00CA0EF0" w:rsidRPr="00361E30" w:rsidRDefault="00CA0EF0" w:rsidP="003C13F4">
      <w:pPr>
        <w:pStyle w:val="Heading3"/>
      </w:pPr>
      <w:r w:rsidRPr="00361E30">
        <w:t xml:space="preserve">2.2.6.3 </w:t>
      </w:r>
      <w:r w:rsidRPr="00361E30">
        <w:tab/>
        <w:t>Narrative Review of Qualitative Research on Older Trauma Patients</w:t>
      </w:r>
    </w:p>
    <w:p w14:paraId="27BA9957" w14:textId="77777777" w:rsidR="00CA0EF0" w:rsidRPr="00361E30" w:rsidRDefault="00CA0EF0" w:rsidP="003C13F4">
      <w:r w:rsidRPr="00361E30">
        <w:t>For the review of qualitative research on older trauma patients, a narrative synthesis of relevant papers was undertaken, focusing on a description of the main findings and their relevance to this PhD thesis. However, no studies fulfilled the inclusion criteria for this review.</w:t>
      </w:r>
    </w:p>
    <w:p w14:paraId="3C9957D0" w14:textId="77777777" w:rsidR="00CA0EF0" w:rsidRPr="00361E30" w:rsidRDefault="00CA0EF0" w:rsidP="003C13F4">
      <w:pPr>
        <w:pStyle w:val="Heading1"/>
      </w:pPr>
      <w:bookmarkStart w:id="55" w:name="_Toc1902247"/>
      <w:r w:rsidRPr="00361E30">
        <w:t>2.3</w:t>
      </w:r>
      <w:r w:rsidRPr="00361E30">
        <w:tab/>
        <w:t>Patient Factors Affecting Outcome in Older Major Trauma Patients</w:t>
      </w:r>
      <w:bookmarkEnd w:id="55"/>
    </w:p>
    <w:p w14:paraId="61CAA768" w14:textId="77777777" w:rsidR="00CA0EF0" w:rsidRPr="00361E30" w:rsidRDefault="00CA0EF0" w:rsidP="003C13F4">
      <w:pPr>
        <w:rPr>
          <w:rFonts w:eastAsia="Times New Roman"/>
        </w:rPr>
      </w:pPr>
      <w:r w:rsidRPr="00361E30">
        <w:rPr>
          <w:rFonts w:eastAsia="Times New Roman"/>
        </w:rPr>
        <w:t>Fifteen (15) studies met the inclusion criteria for the literature search. Several studies investigated more than one relevant factor (Table 2.1). Appendix 1 provides details of each study included in the systematic review.</w:t>
      </w:r>
    </w:p>
    <w:tbl>
      <w:tblPr>
        <w:tblW w:w="8460" w:type="dxa"/>
        <w:tblLayout w:type="fixed"/>
        <w:tblLook w:val="04A0" w:firstRow="1" w:lastRow="0" w:firstColumn="1" w:lastColumn="0" w:noHBand="0" w:noVBand="1"/>
      </w:tblPr>
      <w:tblGrid>
        <w:gridCol w:w="1402"/>
        <w:gridCol w:w="742"/>
        <w:gridCol w:w="1208"/>
        <w:gridCol w:w="474"/>
        <w:gridCol w:w="474"/>
        <w:gridCol w:w="475"/>
        <w:gridCol w:w="389"/>
        <w:gridCol w:w="390"/>
        <w:gridCol w:w="390"/>
        <w:gridCol w:w="390"/>
        <w:gridCol w:w="425"/>
        <w:gridCol w:w="425"/>
        <w:gridCol w:w="425"/>
        <w:gridCol w:w="426"/>
        <w:gridCol w:w="425"/>
      </w:tblGrid>
      <w:tr w:rsidR="00CA0EF0" w:rsidRPr="00361E30" w14:paraId="5CBAB233" w14:textId="77777777" w:rsidTr="003C13F4">
        <w:tc>
          <w:tcPr>
            <w:tcW w:w="1402" w:type="dxa"/>
            <w:tcBorders>
              <w:top w:val="single" w:sz="4" w:space="0" w:color="auto"/>
              <w:bottom w:val="single" w:sz="4" w:space="0" w:color="auto"/>
            </w:tcBorders>
          </w:tcPr>
          <w:p w14:paraId="36852509" w14:textId="77777777" w:rsidR="00CA0EF0" w:rsidRPr="00361E30" w:rsidRDefault="00CA0EF0" w:rsidP="003C13F4">
            <w:pPr>
              <w:spacing w:after="0"/>
              <w:rPr>
                <w:rFonts w:eastAsia="Times New Roman"/>
                <w:b/>
              </w:rPr>
            </w:pPr>
            <w:r w:rsidRPr="00361E30">
              <w:rPr>
                <w:rFonts w:eastAsia="Times New Roman"/>
                <w:b/>
              </w:rPr>
              <w:t>Author</w:t>
            </w:r>
          </w:p>
        </w:tc>
        <w:tc>
          <w:tcPr>
            <w:tcW w:w="742" w:type="dxa"/>
            <w:tcBorders>
              <w:top w:val="single" w:sz="4" w:space="0" w:color="auto"/>
              <w:bottom w:val="single" w:sz="4" w:space="0" w:color="auto"/>
            </w:tcBorders>
          </w:tcPr>
          <w:p w14:paraId="2CEAA575" w14:textId="77777777" w:rsidR="00CA0EF0" w:rsidRPr="00361E30" w:rsidRDefault="00CA0EF0" w:rsidP="003C13F4">
            <w:pPr>
              <w:spacing w:after="0"/>
              <w:rPr>
                <w:rFonts w:eastAsia="Times New Roman"/>
                <w:b/>
              </w:rPr>
            </w:pPr>
            <w:r w:rsidRPr="00361E30">
              <w:rPr>
                <w:rFonts w:eastAsia="Times New Roman"/>
                <w:b/>
              </w:rPr>
              <w:t>Year</w:t>
            </w:r>
          </w:p>
        </w:tc>
        <w:tc>
          <w:tcPr>
            <w:tcW w:w="1208" w:type="dxa"/>
            <w:tcBorders>
              <w:top w:val="single" w:sz="4" w:space="0" w:color="auto"/>
              <w:bottom w:val="single" w:sz="4" w:space="0" w:color="auto"/>
            </w:tcBorders>
          </w:tcPr>
          <w:p w14:paraId="40DA5584" w14:textId="77777777" w:rsidR="00CA0EF0" w:rsidRPr="00361E30" w:rsidRDefault="00CA0EF0" w:rsidP="003C13F4">
            <w:pPr>
              <w:spacing w:after="0"/>
              <w:rPr>
                <w:rFonts w:eastAsia="Times New Roman"/>
                <w:b/>
              </w:rPr>
            </w:pPr>
            <w:r w:rsidRPr="00361E30">
              <w:rPr>
                <w:rFonts w:eastAsia="Times New Roman"/>
                <w:b/>
              </w:rPr>
              <w:t>Country</w:t>
            </w:r>
          </w:p>
        </w:tc>
        <w:tc>
          <w:tcPr>
            <w:tcW w:w="4683" w:type="dxa"/>
            <w:gridSpan w:val="11"/>
            <w:tcBorders>
              <w:top w:val="single" w:sz="4" w:space="0" w:color="auto"/>
              <w:bottom w:val="single" w:sz="4" w:space="0" w:color="auto"/>
            </w:tcBorders>
          </w:tcPr>
          <w:p w14:paraId="130F84E5" w14:textId="77777777" w:rsidR="00CA0EF0" w:rsidRPr="00361E30" w:rsidRDefault="00CA0EF0" w:rsidP="003C13F4">
            <w:pPr>
              <w:spacing w:after="0"/>
              <w:rPr>
                <w:rFonts w:eastAsia="Times New Roman"/>
                <w:b/>
              </w:rPr>
            </w:pPr>
            <w:r w:rsidRPr="00361E30">
              <w:rPr>
                <w:rFonts w:eastAsia="Times New Roman"/>
                <w:b/>
              </w:rPr>
              <w:t xml:space="preserve">Risk Factors Investigated </w:t>
            </w:r>
          </w:p>
        </w:tc>
        <w:tc>
          <w:tcPr>
            <w:tcW w:w="425" w:type="dxa"/>
            <w:tcBorders>
              <w:top w:val="single" w:sz="4" w:space="0" w:color="auto"/>
              <w:bottom w:val="single" w:sz="4" w:space="0" w:color="auto"/>
            </w:tcBorders>
            <w:textDirection w:val="btLr"/>
          </w:tcPr>
          <w:p w14:paraId="5569F3CC" w14:textId="77777777" w:rsidR="00CA0EF0" w:rsidRPr="00361E30" w:rsidRDefault="00CA0EF0" w:rsidP="003C13F4">
            <w:pPr>
              <w:spacing w:after="0"/>
              <w:ind w:left="113" w:right="113"/>
              <w:rPr>
                <w:rFonts w:eastAsia="Times New Roman"/>
                <w:b/>
                <w:sz w:val="18"/>
              </w:rPr>
            </w:pPr>
          </w:p>
        </w:tc>
      </w:tr>
      <w:tr w:rsidR="00CA0EF0" w:rsidRPr="00361E30" w14:paraId="0F3F2399" w14:textId="77777777" w:rsidTr="003C13F4">
        <w:tc>
          <w:tcPr>
            <w:tcW w:w="3352" w:type="dxa"/>
            <w:gridSpan w:val="3"/>
            <w:vMerge w:val="restart"/>
            <w:tcBorders>
              <w:top w:val="single" w:sz="4" w:space="0" w:color="auto"/>
            </w:tcBorders>
          </w:tcPr>
          <w:p w14:paraId="0153273F" w14:textId="77777777" w:rsidR="00CA0EF0" w:rsidRPr="00361E30" w:rsidRDefault="00CA0EF0" w:rsidP="003C13F4">
            <w:pPr>
              <w:spacing w:after="0"/>
              <w:rPr>
                <w:rFonts w:eastAsia="Times New Roman"/>
                <w:b/>
              </w:rPr>
            </w:pPr>
          </w:p>
        </w:tc>
        <w:tc>
          <w:tcPr>
            <w:tcW w:w="1423" w:type="dxa"/>
            <w:gridSpan w:val="3"/>
            <w:tcBorders>
              <w:top w:val="single" w:sz="4" w:space="0" w:color="auto"/>
              <w:bottom w:val="single" w:sz="4" w:space="0" w:color="auto"/>
            </w:tcBorders>
          </w:tcPr>
          <w:p w14:paraId="6E1551C2" w14:textId="77777777" w:rsidR="00CA0EF0" w:rsidRPr="00361E30" w:rsidRDefault="00CA0EF0" w:rsidP="003C13F4">
            <w:pPr>
              <w:spacing w:after="0"/>
              <w:rPr>
                <w:rFonts w:eastAsia="Times New Roman"/>
                <w:b/>
              </w:rPr>
            </w:pPr>
            <w:r w:rsidRPr="00361E30">
              <w:rPr>
                <w:rFonts w:eastAsia="Times New Roman"/>
                <w:b/>
                <w:sz w:val="20"/>
              </w:rPr>
              <w:t>Demographics</w:t>
            </w:r>
          </w:p>
        </w:tc>
        <w:tc>
          <w:tcPr>
            <w:tcW w:w="1559" w:type="dxa"/>
            <w:gridSpan w:val="4"/>
            <w:tcBorders>
              <w:top w:val="single" w:sz="4" w:space="0" w:color="auto"/>
              <w:bottom w:val="single" w:sz="4" w:space="0" w:color="auto"/>
            </w:tcBorders>
          </w:tcPr>
          <w:p w14:paraId="42EE7052" w14:textId="77777777" w:rsidR="00CA0EF0" w:rsidRPr="00361E30" w:rsidRDefault="00CA0EF0" w:rsidP="003C13F4">
            <w:pPr>
              <w:spacing w:after="0"/>
              <w:rPr>
                <w:rFonts w:eastAsia="Times New Roman"/>
                <w:b/>
              </w:rPr>
            </w:pPr>
            <w:r w:rsidRPr="00361E30">
              <w:rPr>
                <w:rFonts w:eastAsia="Times New Roman"/>
                <w:b/>
              </w:rPr>
              <w:t>Injury Factors</w:t>
            </w:r>
          </w:p>
        </w:tc>
        <w:tc>
          <w:tcPr>
            <w:tcW w:w="1701" w:type="dxa"/>
            <w:gridSpan w:val="4"/>
            <w:tcBorders>
              <w:top w:val="single" w:sz="4" w:space="0" w:color="auto"/>
              <w:bottom w:val="single" w:sz="4" w:space="0" w:color="auto"/>
            </w:tcBorders>
          </w:tcPr>
          <w:p w14:paraId="5057CDEF" w14:textId="77777777" w:rsidR="00CA0EF0" w:rsidRPr="00361E30" w:rsidRDefault="00CA0EF0" w:rsidP="003C13F4">
            <w:pPr>
              <w:spacing w:after="0"/>
              <w:rPr>
                <w:rFonts w:eastAsia="Times New Roman"/>
                <w:b/>
              </w:rPr>
            </w:pPr>
            <w:r w:rsidRPr="00361E30">
              <w:rPr>
                <w:rFonts w:eastAsia="Times New Roman"/>
                <w:b/>
              </w:rPr>
              <w:t>Patient Factors</w:t>
            </w:r>
          </w:p>
        </w:tc>
        <w:tc>
          <w:tcPr>
            <w:tcW w:w="425" w:type="dxa"/>
            <w:vMerge w:val="restart"/>
            <w:tcBorders>
              <w:top w:val="single" w:sz="4" w:space="0" w:color="auto"/>
            </w:tcBorders>
            <w:textDirection w:val="btLr"/>
          </w:tcPr>
          <w:p w14:paraId="538422FD" w14:textId="77777777" w:rsidR="00CA0EF0" w:rsidRPr="00361E30" w:rsidRDefault="00CA0EF0" w:rsidP="003C13F4">
            <w:pPr>
              <w:spacing w:after="0"/>
              <w:ind w:left="113" w:right="113"/>
              <w:rPr>
                <w:rFonts w:eastAsia="Times New Roman"/>
                <w:b/>
              </w:rPr>
            </w:pPr>
            <w:r w:rsidRPr="00361E30">
              <w:rPr>
                <w:rFonts w:eastAsia="Times New Roman"/>
                <w:b/>
                <w:sz w:val="18"/>
              </w:rPr>
              <w:t>Studies in meta-analyses</w:t>
            </w:r>
          </w:p>
        </w:tc>
      </w:tr>
      <w:tr w:rsidR="00CA0EF0" w:rsidRPr="00361E30" w14:paraId="64637F36" w14:textId="77777777" w:rsidTr="003C13F4">
        <w:trPr>
          <w:cantSplit/>
          <w:trHeight w:val="1983"/>
        </w:trPr>
        <w:tc>
          <w:tcPr>
            <w:tcW w:w="3352" w:type="dxa"/>
            <w:gridSpan w:val="3"/>
            <w:vMerge/>
            <w:tcBorders>
              <w:bottom w:val="single" w:sz="4" w:space="0" w:color="auto"/>
            </w:tcBorders>
          </w:tcPr>
          <w:p w14:paraId="04455657" w14:textId="77777777" w:rsidR="00CA0EF0" w:rsidRPr="00361E30" w:rsidRDefault="00CA0EF0" w:rsidP="003C13F4">
            <w:pPr>
              <w:spacing w:after="0"/>
              <w:rPr>
                <w:rFonts w:eastAsia="Times New Roman"/>
                <w:b/>
              </w:rPr>
            </w:pPr>
          </w:p>
        </w:tc>
        <w:tc>
          <w:tcPr>
            <w:tcW w:w="474" w:type="dxa"/>
            <w:tcBorders>
              <w:bottom w:val="single" w:sz="4" w:space="0" w:color="auto"/>
            </w:tcBorders>
            <w:textDirection w:val="btLr"/>
          </w:tcPr>
          <w:p w14:paraId="730DEC18" w14:textId="77777777" w:rsidR="00CA0EF0" w:rsidRPr="00361E30" w:rsidRDefault="00CA0EF0" w:rsidP="003C13F4">
            <w:pPr>
              <w:spacing w:after="0"/>
              <w:ind w:left="113" w:right="113"/>
              <w:rPr>
                <w:rFonts w:eastAsia="Times New Roman"/>
                <w:b/>
                <w:sz w:val="18"/>
              </w:rPr>
            </w:pPr>
            <w:r w:rsidRPr="00361E30">
              <w:rPr>
                <w:rFonts w:eastAsia="Times New Roman"/>
                <w:b/>
                <w:sz w:val="18"/>
              </w:rPr>
              <w:t>Age cut-off</w:t>
            </w:r>
          </w:p>
        </w:tc>
        <w:tc>
          <w:tcPr>
            <w:tcW w:w="474" w:type="dxa"/>
            <w:tcBorders>
              <w:bottom w:val="single" w:sz="4" w:space="0" w:color="auto"/>
            </w:tcBorders>
            <w:textDirection w:val="btLr"/>
          </w:tcPr>
          <w:p w14:paraId="7827402A" w14:textId="77777777" w:rsidR="00CA0EF0" w:rsidRPr="00361E30" w:rsidRDefault="00CA0EF0" w:rsidP="003C13F4">
            <w:pPr>
              <w:spacing w:after="0"/>
              <w:ind w:left="113" w:right="113"/>
              <w:rPr>
                <w:rFonts w:eastAsia="Times New Roman"/>
                <w:b/>
                <w:sz w:val="18"/>
              </w:rPr>
            </w:pPr>
            <w:r w:rsidRPr="00361E30">
              <w:rPr>
                <w:rFonts w:eastAsia="Times New Roman"/>
                <w:b/>
                <w:sz w:val="18"/>
              </w:rPr>
              <w:t>Age groups</w:t>
            </w:r>
          </w:p>
        </w:tc>
        <w:tc>
          <w:tcPr>
            <w:tcW w:w="475" w:type="dxa"/>
            <w:tcBorders>
              <w:bottom w:val="single" w:sz="4" w:space="0" w:color="auto"/>
            </w:tcBorders>
            <w:textDirection w:val="btLr"/>
          </w:tcPr>
          <w:p w14:paraId="14D57762" w14:textId="77777777" w:rsidR="00CA0EF0" w:rsidRPr="00361E30" w:rsidRDefault="00CA0EF0" w:rsidP="003C13F4">
            <w:pPr>
              <w:spacing w:after="0"/>
              <w:ind w:left="113" w:right="113"/>
              <w:rPr>
                <w:rFonts w:eastAsia="Times New Roman"/>
                <w:b/>
                <w:sz w:val="18"/>
              </w:rPr>
            </w:pPr>
            <w:r w:rsidRPr="00361E30">
              <w:rPr>
                <w:rFonts w:eastAsia="Times New Roman"/>
                <w:b/>
                <w:sz w:val="18"/>
              </w:rPr>
              <w:t>Gender</w:t>
            </w:r>
          </w:p>
        </w:tc>
        <w:tc>
          <w:tcPr>
            <w:tcW w:w="389" w:type="dxa"/>
            <w:tcBorders>
              <w:bottom w:val="single" w:sz="4" w:space="0" w:color="auto"/>
            </w:tcBorders>
            <w:textDirection w:val="btLr"/>
          </w:tcPr>
          <w:p w14:paraId="5C51A246" w14:textId="77777777" w:rsidR="00CA0EF0" w:rsidRPr="00361E30" w:rsidRDefault="00CA0EF0" w:rsidP="003C13F4">
            <w:pPr>
              <w:spacing w:after="0"/>
              <w:ind w:left="113" w:right="113"/>
              <w:rPr>
                <w:rFonts w:eastAsia="Times New Roman"/>
                <w:b/>
                <w:sz w:val="18"/>
              </w:rPr>
            </w:pPr>
            <w:r w:rsidRPr="00361E30">
              <w:rPr>
                <w:rFonts w:eastAsia="Times New Roman"/>
                <w:b/>
                <w:sz w:val="18"/>
              </w:rPr>
              <w:t>Injury patterns</w:t>
            </w:r>
          </w:p>
        </w:tc>
        <w:tc>
          <w:tcPr>
            <w:tcW w:w="390" w:type="dxa"/>
            <w:tcBorders>
              <w:bottom w:val="single" w:sz="4" w:space="0" w:color="auto"/>
            </w:tcBorders>
            <w:textDirection w:val="btLr"/>
          </w:tcPr>
          <w:p w14:paraId="42CB2FB2" w14:textId="77777777" w:rsidR="00CA0EF0" w:rsidRPr="00361E30" w:rsidRDefault="00CA0EF0" w:rsidP="003C13F4">
            <w:pPr>
              <w:spacing w:after="0"/>
              <w:ind w:left="113" w:right="113"/>
              <w:rPr>
                <w:rFonts w:eastAsia="Times New Roman"/>
                <w:b/>
                <w:sz w:val="18"/>
              </w:rPr>
            </w:pPr>
            <w:r w:rsidRPr="00361E30">
              <w:rPr>
                <w:rFonts w:eastAsia="Times New Roman"/>
                <w:b/>
                <w:sz w:val="18"/>
              </w:rPr>
              <w:t>Number of injuries</w:t>
            </w:r>
          </w:p>
        </w:tc>
        <w:tc>
          <w:tcPr>
            <w:tcW w:w="390" w:type="dxa"/>
            <w:tcBorders>
              <w:bottom w:val="single" w:sz="4" w:space="0" w:color="auto"/>
            </w:tcBorders>
            <w:textDirection w:val="btLr"/>
          </w:tcPr>
          <w:p w14:paraId="07F19875" w14:textId="77777777" w:rsidR="00CA0EF0" w:rsidRPr="00361E30" w:rsidRDefault="00CA0EF0" w:rsidP="003C13F4">
            <w:pPr>
              <w:spacing w:after="0"/>
              <w:ind w:left="113" w:right="113"/>
              <w:rPr>
                <w:rFonts w:eastAsia="Times New Roman"/>
                <w:b/>
                <w:sz w:val="18"/>
              </w:rPr>
            </w:pPr>
            <w:r w:rsidRPr="00361E30">
              <w:rPr>
                <w:rFonts w:eastAsia="Times New Roman"/>
                <w:b/>
                <w:sz w:val="18"/>
              </w:rPr>
              <w:t>Injury severity</w:t>
            </w:r>
          </w:p>
        </w:tc>
        <w:tc>
          <w:tcPr>
            <w:tcW w:w="390" w:type="dxa"/>
            <w:tcBorders>
              <w:bottom w:val="single" w:sz="4" w:space="0" w:color="auto"/>
            </w:tcBorders>
            <w:textDirection w:val="btLr"/>
          </w:tcPr>
          <w:p w14:paraId="5A727D58" w14:textId="77777777" w:rsidR="00CA0EF0" w:rsidRPr="00361E30" w:rsidRDefault="00CA0EF0" w:rsidP="003C13F4">
            <w:pPr>
              <w:spacing w:after="0"/>
              <w:ind w:left="113" w:right="113"/>
              <w:rPr>
                <w:rFonts w:eastAsia="Times New Roman"/>
                <w:b/>
                <w:sz w:val="18"/>
              </w:rPr>
            </w:pPr>
            <w:r w:rsidRPr="00361E30">
              <w:rPr>
                <w:rFonts w:eastAsia="Times New Roman"/>
                <w:b/>
                <w:sz w:val="18"/>
              </w:rPr>
              <w:t>Injury mechanism</w:t>
            </w:r>
          </w:p>
        </w:tc>
        <w:tc>
          <w:tcPr>
            <w:tcW w:w="425" w:type="dxa"/>
            <w:tcBorders>
              <w:top w:val="single" w:sz="4" w:space="0" w:color="auto"/>
              <w:bottom w:val="single" w:sz="4" w:space="0" w:color="auto"/>
            </w:tcBorders>
            <w:textDirection w:val="btLr"/>
          </w:tcPr>
          <w:p w14:paraId="753F85B0" w14:textId="77777777" w:rsidR="00CA0EF0" w:rsidRPr="00361E30" w:rsidRDefault="00CA0EF0" w:rsidP="003C13F4">
            <w:pPr>
              <w:spacing w:after="0"/>
              <w:ind w:left="113" w:right="113"/>
              <w:rPr>
                <w:rFonts w:eastAsia="Times New Roman"/>
                <w:b/>
                <w:sz w:val="18"/>
              </w:rPr>
            </w:pPr>
            <w:r w:rsidRPr="00361E30">
              <w:rPr>
                <w:rFonts w:eastAsia="Times New Roman"/>
                <w:b/>
                <w:sz w:val="18"/>
              </w:rPr>
              <w:t>Pre-existing conditions</w:t>
            </w:r>
          </w:p>
        </w:tc>
        <w:tc>
          <w:tcPr>
            <w:tcW w:w="425" w:type="dxa"/>
            <w:tcBorders>
              <w:top w:val="single" w:sz="4" w:space="0" w:color="auto"/>
              <w:bottom w:val="single" w:sz="4" w:space="0" w:color="auto"/>
            </w:tcBorders>
            <w:textDirection w:val="btLr"/>
          </w:tcPr>
          <w:p w14:paraId="20F8A048" w14:textId="77777777" w:rsidR="00CA0EF0" w:rsidRPr="00361E30" w:rsidRDefault="00CA0EF0" w:rsidP="003C13F4">
            <w:pPr>
              <w:spacing w:after="0"/>
              <w:ind w:left="113" w:right="113"/>
              <w:rPr>
                <w:rFonts w:eastAsia="Times New Roman"/>
                <w:b/>
                <w:sz w:val="18"/>
              </w:rPr>
            </w:pPr>
            <w:r w:rsidRPr="00361E30">
              <w:rPr>
                <w:rFonts w:eastAsia="Times New Roman"/>
                <w:b/>
                <w:sz w:val="18"/>
              </w:rPr>
              <w:t>Pre-injury medication</w:t>
            </w:r>
          </w:p>
        </w:tc>
        <w:tc>
          <w:tcPr>
            <w:tcW w:w="425" w:type="dxa"/>
            <w:tcBorders>
              <w:top w:val="single" w:sz="4" w:space="0" w:color="auto"/>
              <w:bottom w:val="single" w:sz="4" w:space="0" w:color="auto"/>
            </w:tcBorders>
            <w:textDirection w:val="btLr"/>
          </w:tcPr>
          <w:p w14:paraId="7D29C0FF" w14:textId="77777777" w:rsidR="00CA0EF0" w:rsidRPr="00361E30" w:rsidRDefault="00CA0EF0" w:rsidP="003C13F4">
            <w:pPr>
              <w:spacing w:after="0"/>
              <w:ind w:left="113" w:right="113"/>
              <w:rPr>
                <w:rFonts w:eastAsia="Times New Roman"/>
                <w:b/>
                <w:sz w:val="18"/>
              </w:rPr>
            </w:pPr>
            <w:r w:rsidRPr="00361E30">
              <w:rPr>
                <w:rFonts w:eastAsia="Times New Roman"/>
                <w:b/>
                <w:sz w:val="18"/>
              </w:rPr>
              <w:t>Glasgow coma score</w:t>
            </w:r>
          </w:p>
        </w:tc>
        <w:tc>
          <w:tcPr>
            <w:tcW w:w="426" w:type="dxa"/>
            <w:tcBorders>
              <w:top w:val="single" w:sz="4" w:space="0" w:color="auto"/>
              <w:bottom w:val="single" w:sz="4" w:space="0" w:color="auto"/>
            </w:tcBorders>
            <w:textDirection w:val="btLr"/>
          </w:tcPr>
          <w:p w14:paraId="45DDE47B" w14:textId="77777777" w:rsidR="00CA0EF0" w:rsidRPr="00361E30" w:rsidRDefault="00CA0EF0" w:rsidP="003C13F4">
            <w:pPr>
              <w:spacing w:after="0"/>
              <w:ind w:left="113" w:right="113"/>
              <w:rPr>
                <w:rFonts w:eastAsia="Times New Roman"/>
                <w:b/>
                <w:sz w:val="18"/>
              </w:rPr>
            </w:pPr>
            <w:r w:rsidRPr="00361E30">
              <w:rPr>
                <w:rFonts w:eastAsia="Times New Roman"/>
                <w:b/>
                <w:sz w:val="18"/>
              </w:rPr>
              <w:t>Blood pressure</w:t>
            </w:r>
          </w:p>
        </w:tc>
        <w:tc>
          <w:tcPr>
            <w:tcW w:w="425" w:type="dxa"/>
            <w:vMerge/>
            <w:tcBorders>
              <w:bottom w:val="single" w:sz="4" w:space="0" w:color="auto"/>
            </w:tcBorders>
            <w:textDirection w:val="btLr"/>
          </w:tcPr>
          <w:p w14:paraId="6C93279C" w14:textId="77777777" w:rsidR="00CA0EF0" w:rsidRPr="00361E30" w:rsidRDefault="00CA0EF0" w:rsidP="003C13F4">
            <w:pPr>
              <w:spacing w:after="0"/>
              <w:ind w:left="113" w:right="113"/>
              <w:rPr>
                <w:rFonts w:eastAsia="Times New Roman"/>
                <w:b/>
                <w:sz w:val="18"/>
              </w:rPr>
            </w:pPr>
          </w:p>
        </w:tc>
      </w:tr>
      <w:tr w:rsidR="00CA0EF0" w:rsidRPr="00361E30" w14:paraId="525711B6" w14:textId="77777777" w:rsidTr="003C13F4">
        <w:tc>
          <w:tcPr>
            <w:tcW w:w="1402" w:type="dxa"/>
            <w:tcBorders>
              <w:top w:val="single" w:sz="4" w:space="0" w:color="auto"/>
            </w:tcBorders>
            <w:vAlign w:val="bottom"/>
          </w:tcPr>
          <w:p w14:paraId="5814180D" w14:textId="77777777" w:rsidR="00CA0EF0" w:rsidRPr="00361E30" w:rsidRDefault="00CA0EF0" w:rsidP="003C13F4">
            <w:pPr>
              <w:spacing w:after="0"/>
              <w:rPr>
                <w:rFonts w:ascii="Calibri" w:hAnsi="Calibri"/>
              </w:rPr>
            </w:pPr>
            <w:r w:rsidRPr="00361E30">
              <w:rPr>
                <w:rFonts w:ascii="Calibri" w:hAnsi="Calibri"/>
              </w:rPr>
              <w:t>Aitken</w:t>
            </w:r>
          </w:p>
        </w:tc>
        <w:tc>
          <w:tcPr>
            <w:tcW w:w="742" w:type="dxa"/>
            <w:tcBorders>
              <w:top w:val="single" w:sz="4" w:space="0" w:color="auto"/>
            </w:tcBorders>
            <w:vAlign w:val="bottom"/>
          </w:tcPr>
          <w:p w14:paraId="15EB97F9" w14:textId="77777777" w:rsidR="00CA0EF0" w:rsidRPr="00361E30" w:rsidRDefault="00CA0EF0" w:rsidP="003C13F4">
            <w:pPr>
              <w:spacing w:after="0"/>
              <w:jc w:val="right"/>
              <w:rPr>
                <w:rFonts w:ascii="Calibri" w:hAnsi="Calibri"/>
              </w:rPr>
            </w:pPr>
            <w:r w:rsidRPr="00361E30">
              <w:rPr>
                <w:rFonts w:ascii="Calibri" w:hAnsi="Calibri"/>
              </w:rPr>
              <w:t>2010</w:t>
            </w:r>
          </w:p>
        </w:tc>
        <w:tc>
          <w:tcPr>
            <w:tcW w:w="1208" w:type="dxa"/>
            <w:tcBorders>
              <w:top w:val="single" w:sz="4" w:space="0" w:color="auto"/>
            </w:tcBorders>
            <w:vAlign w:val="bottom"/>
          </w:tcPr>
          <w:p w14:paraId="0A31D87E" w14:textId="77777777" w:rsidR="00CA0EF0" w:rsidRPr="00361E30" w:rsidRDefault="00CA0EF0" w:rsidP="003C13F4">
            <w:pPr>
              <w:spacing w:after="0"/>
              <w:rPr>
                <w:rFonts w:ascii="Calibri" w:hAnsi="Calibri"/>
              </w:rPr>
            </w:pPr>
            <w:r w:rsidRPr="00361E30">
              <w:rPr>
                <w:rFonts w:ascii="Calibri" w:hAnsi="Calibri"/>
              </w:rPr>
              <w:t>Australia</w:t>
            </w:r>
          </w:p>
        </w:tc>
        <w:tc>
          <w:tcPr>
            <w:tcW w:w="474" w:type="dxa"/>
            <w:tcBorders>
              <w:top w:val="single" w:sz="4" w:space="0" w:color="auto"/>
            </w:tcBorders>
          </w:tcPr>
          <w:p w14:paraId="354B139E" w14:textId="77777777" w:rsidR="00CA0EF0" w:rsidRPr="00361E30" w:rsidRDefault="00CA0EF0" w:rsidP="003C13F4">
            <w:pPr>
              <w:spacing w:after="0"/>
              <w:rPr>
                <w:rFonts w:eastAsia="Times New Roman"/>
              </w:rPr>
            </w:pPr>
          </w:p>
        </w:tc>
        <w:tc>
          <w:tcPr>
            <w:tcW w:w="474" w:type="dxa"/>
            <w:tcBorders>
              <w:top w:val="single" w:sz="4" w:space="0" w:color="auto"/>
            </w:tcBorders>
          </w:tcPr>
          <w:p w14:paraId="1C3C76EF" w14:textId="77777777" w:rsidR="00CA0EF0" w:rsidRPr="00361E30" w:rsidRDefault="00CA0EF0" w:rsidP="003C13F4">
            <w:pPr>
              <w:spacing w:after="0"/>
              <w:rPr>
                <w:rFonts w:eastAsia="Times New Roman"/>
              </w:rPr>
            </w:pPr>
            <w:r w:rsidRPr="00361E30">
              <w:rPr>
                <w:rFonts w:eastAsia="Times New Roman"/>
              </w:rPr>
              <w:t>√</w:t>
            </w:r>
          </w:p>
        </w:tc>
        <w:tc>
          <w:tcPr>
            <w:tcW w:w="475" w:type="dxa"/>
            <w:tcBorders>
              <w:top w:val="single" w:sz="4" w:space="0" w:color="auto"/>
            </w:tcBorders>
          </w:tcPr>
          <w:p w14:paraId="56AB5CD4" w14:textId="77777777" w:rsidR="00CA0EF0" w:rsidRPr="00361E30" w:rsidRDefault="00CA0EF0" w:rsidP="003C13F4">
            <w:pPr>
              <w:spacing w:after="0"/>
              <w:rPr>
                <w:rFonts w:eastAsia="Times New Roman"/>
              </w:rPr>
            </w:pPr>
            <w:r w:rsidRPr="00361E30">
              <w:rPr>
                <w:rFonts w:eastAsia="Times New Roman"/>
              </w:rPr>
              <w:t>√</w:t>
            </w:r>
          </w:p>
        </w:tc>
        <w:tc>
          <w:tcPr>
            <w:tcW w:w="389" w:type="dxa"/>
            <w:tcBorders>
              <w:top w:val="single" w:sz="4" w:space="0" w:color="auto"/>
            </w:tcBorders>
          </w:tcPr>
          <w:p w14:paraId="07151F17" w14:textId="77777777" w:rsidR="00CA0EF0" w:rsidRPr="00361E30" w:rsidRDefault="00CA0EF0" w:rsidP="003C13F4">
            <w:pPr>
              <w:spacing w:after="0"/>
              <w:rPr>
                <w:rFonts w:eastAsia="Times New Roman"/>
              </w:rPr>
            </w:pPr>
            <w:r w:rsidRPr="00361E30">
              <w:rPr>
                <w:rFonts w:eastAsia="Times New Roman"/>
              </w:rPr>
              <w:t>√</w:t>
            </w:r>
          </w:p>
        </w:tc>
        <w:tc>
          <w:tcPr>
            <w:tcW w:w="390" w:type="dxa"/>
            <w:tcBorders>
              <w:top w:val="single" w:sz="4" w:space="0" w:color="auto"/>
            </w:tcBorders>
          </w:tcPr>
          <w:p w14:paraId="50566250" w14:textId="77777777" w:rsidR="00CA0EF0" w:rsidRPr="00361E30" w:rsidRDefault="00CA0EF0" w:rsidP="003C13F4">
            <w:pPr>
              <w:spacing w:after="0"/>
              <w:rPr>
                <w:rFonts w:eastAsia="Times New Roman"/>
              </w:rPr>
            </w:pPr>
            <w:r w:rsidRPr="00361E30">
              <w:rPr>
                <w:rFonts w:eastAsia="Times New Roman"/>
              </w:rPr>
              <w:t>√</w:t>
            </w:r>
          </w:p>
        </w:tc>
        <w:tc>
          <w:tcPr>
            <w:tcW w:w="390" w:type="dxa"/>
            <w:tcBorders>
              <w:top w:val="single" w:sz="4" w:space="0" w:color="auto"/>
            </w:tcBorders>
          </w:tcPr>
          <w:p w14:paraId="1D06704E" w14:textId="77777777" w:rsidR="00CA0EF0" w:rsidRPr="00361E30" w:rsidRDefault="00CA0EF0" w:rsidP="003C13F4">
            <w:pPr>
              <w:spacing w:after="0"/>
              <w:rPr>
                <w:rFonts w:eastAsia="Times New Roman"/>
              </w:rPr>
            </w:pPr>
            <w:r w:rsidRPr="00361E30">
              <w:rPr>
                <w:rFonts w:eastAsia="Times New Roman"/>
              </w:rPr>
              <w:t>√</w:t>
            </w:r>
          </w:p>
        </w:tc>
        <w:tc>
          <w:tcPr>
            <w:tcW w:w="390" w:type="dxa"/>
            <w:tcBorders>
              <w:top w:val="single" w:sz="4" w:space="0" w:color="auto"/>
            </w:tcBorders>
          </w:tcPr>
          <w:p w14:paraId="1B0F20A1" w14:textId="77777777" w:rsidR="00CA0EF0" w:rsidRPr="00361E30" w:rsidRDefault="00CA0EF0" w:rsidP="003C13F4">
            <w:pPr>
              <w:spacing w:after="0"/>
              <w:rPr>
                <w:rFonts w:eastAsia="Times New Roman"/>
              </w:rPr>
            </w:pPr>
            <w:r w:rsidRPr="00361E30">
              <w:rPr>
                <w:rFonts w:eastAsia="Times New Roman"/>
              </w:rPr>
              <w:t>√</w:t>
            </w:r>
          </w:p>
        </w:tc>
        <w:tc>
          <w:tcPr>
            <w:tcW w:w="425" w:type="dxa"/>
            <w:tcBorders>
              <w:top w:val="single" w:sz="4" w:space="0" w:color="auto"/>
            </w:tcBorders>
          </w:tcPr>
          <w:p w14:paraId="2E636E1F" w14:textId="77777777" w:rsidR="00CA0EF0" w:rsidRPr="00361E30" w:rsidRDefault="00CA0EF0" w:rsidP="003C13F4">
            <w:pPr>
              <w:spacing w:after="0"/>
              <w:rPr>
                <w:rFonts w:eastAsia="Times New Roman"/>
              </w:rPr>
            </w:pPr>
          </w:p>
        </w:tc>
        <w:tc>
          <w:tcPr>
            <w:tcW w:w="425" w:type="dxa"/>
            <w:tcBorders>
              <w:top w:val="single" w:sz="4" w:space="0" w:color="auto"/>
            </w:tcBorders>
          </w:tcPr>
          <w:p w14:paraId="3784667E" w14:textId="77777777" w:rsidR="00CA0EF0" w:rsidRPr="00361E30" w:rsidRDefault="00CA0EF0" w:rsidP="003C13F4">
            <w:pPr>
              <w:spacing w:after="0"/>
              <w:rPr>
                <w:rFonts w:eastAsia="Times New Roman"/>
              </w:rPr>
            </w:pPr>
          </w:p>
        </w:tc>
        <w:tc>
          <w:tcPr>
            <w:tcW w:w="425" w:type="dxa"/>
            <w:tcBorders>
              <w:top w:val="single" w:sz="4" w:space="0" w:color="auto"/>
            </w:tcBorders>
          </w:tcPr>
          <w:p w14:paraId="6D5CB155" w14:textId="77777777" w:rsidR="00CA0EF0" w:rsidRPr="00361E30" w:rsidRDefault="00CA0EF0" w:rsidP="003C13F4">
            <w:pPr>
              <w:spacing w:after="0"/>
              <w:rPr>
                <w:rFonts w:eastAsia="Times New Roman"/>
              </w:rPr>
            </w:pPr>
          </w:p>
        </w:tc>
        <w:tc>
          <w:tcPr>
            <w:tcW w:w="426" w:type="dxa"/>
            <w:tcBorders>
              <w:top w:val="single" w:sz="4" w:space="0" w:color="auto"/>
            </w:tcBorders>
          </w:tcPr>
          <w:p w14:paraId="180C079D" w14:textId="77777777" w:rsidR="00CA0EF0" w:rsidRPr="00361E30" w:rsidRDefault="00CA0EF0" w:rsidP="003C13F4">
            <w:pPr>
              <w:spacing w:after="0"/>
              <w:rPr>
                <w:rFonts w:eastAsia="Times New Roman"/>
              </w:rPr>
            </w:pPr>
          </w:p>
        </w:tc>
        <w:tc>
          <w:tcPr>
            <w:tcW w:w="425" w:type="dxa"/>
            <w:tcBorders>
              <w:top w:val="single" w:sz="4" w:space="0" w:color="auto"/>
            </w:tcBorders>
          </w:tcPr>
          <w:p w14:paraId="208CBDB8" w14:textId="77777777" w:rsidR="00CA0EF0" w:rsidRPr="00361E30" w:rsidRDefault="00CA0EF0" w:rsidP="003C13F4">
            <w:pPr>
              <w:spacing w:after="0"/>
              <w:rPr>
                <w:rFonts w:eastAsia="Times New Roman"/>
              </w:rPr>
            </w:pPr>
            <w:r w:rsidRPr="00361E30">
              <w:rPr>
                <w:rFonts w:eastAsia="Times New Roman"/>
              </w:rPr>
              <w:t>√</w:t>
            </w:r>
          </w:p>
        </w:tc>
      </w:tr>
      <w:tr w:rsidR="00CA0EF0" w:rsidRPr="00361E30" w14:paraId="050AC0E4" w14:textId="77777777" w:rsidTr="003C13F4">
        <w:tc>
          <w:tcPr>
            <w:tcW w:w="1402" w:type="dxa"/>
            <w:vAlign w:val="bottom"/>
          </w:tcPr>
          <w:p w14:paraId="714F5319" w14:textId="77777777" w:rsidR="00CA0EF0" w:rsidRPr="00361E30" w:rsidRDefault="00CA0EF0" w:rsidP="003C13F4">
            <w:pPr>
              <w:spacing w:after="0"/>
              <w:rPr>
                <w:rFonts w:ascii="Calibri" w:hAnsi="Calibri"/>
              </w:rPr>
            </w:pPr>
            <w:r w:rsidRPr="00361E30">
              <w:rPr>
                <w:rFonts w:ascii="Calibri" w:hAnsi="Calibri"/>
              </w:rPr>
              <w:t>Belzunegui</w:t>
            </w:r>
          </w:p>
        </w:tc>
        <w:tc>
          <w:tcPr>
            <w:tcW w:w="742" w:type="dxa"/>
            <w:vAlign w:val="bottom"/>
          </w:tcPr>
          <w:p w14:paraId="0B33DA13" w14:textId="77777777" w:rsidR="00CA0EF0" w:rsidRPr="00361E30" w:rsidRDefault="00CA0EF0" w:rsidP="003C13F4">
            <w:pPr>
              <w:spacing w:after="0"/>
              <w:jc w:val="right"/>
              <w:rPr>
                <w:rFonts w:ascii="Calibri" w:hAnsi="Calibri"/>
              </w:rPr>
            </w:pPr>
            <w:r w:rsidRPr="00361E30">
              <w:rPr>
                <w:rFonts w:ascii="Calibri" w:hAnsi="Calibri"/>
              </w:rPr>
              <w:t>2013</w:t>
            </w:r>
          </w:p>
        </w:tc>
        <w:tc>
          <w:tcPr>
            <w:tcW w:w="1208" w:type="dxa"/>
            <w:vAlign w:val="bottom"/>
          </w:tcPr>
          <w:p w14:paraId="5F41C545" w14:textId="77777777" w:rsidR="00CA0EF0" w:rsidRPr="00361E30" w:rsidRDefault="00CA0EF0" w:rsidP="003C13F4">
            <w:pPr>
              <w:spacing w:after="0"/>
              <w:rPr>
                <w:rFonts w:ascii="Calibri" w:hAnsi="Calibri"/>
              </w:rPr>
            </w:pPr>
            <w:r w:rsidRPr="00361E30">
              <w:rPr>
                <w:rFonts w:ascii="Calibri" w:hAnsi="Calibri"/>
              </w:rPr>
              <w:t>Spain</w:t>
            </w:r>
          </w:p>
        </w:tc>
        <w:tc>
          <w:tcPr>
            <w:tcW w:w="474" w:type="dxa"/>
          </w:tcPr>
          <w:p w14:paraId="7939D502" w14:textId="77777777" w:rsidR="00CA0EF0" w:rsidRPr="00361E30" w:rsidRDefault="00CA0EF0" w:rsidP="003C13F4">
            <w:pPr>
              <w:spacing w:after="0"/>
              <w:rPr>
                <w:rFonts w:eastAsia="Times New Roman"/>
              </w:rPr>
            </w:pPr>
            <w:r w:rsidRPr="00361E30">
              <w:rPr>
                <w:rFonts w:eastAsia="Times New Roman"/>
              </w:rPr>
              <w:t>√</w:t>
            </w:r>
          </w:p>
        </w:tc>
        <w:tc>
          <w:tcPr>
            <w:tcW w:w="474" w:type="dxa"/>
          </w:tcPr>
          <w:p w14:paraId="3AADB1FA" w14:textId="77777777" w:rsidR="00CA0EF0" w:rsidRPr="00361E30" w:rsidRDefault="00CA0EF0" w:rsidP="003C13F4">
            <w:pPr>
              <w:spacing w:after="0"/>
              <w:rPr>
                <w:rFonts w:eastAsia="Times New Roman"/>
              </w:rPr>
            </w:pPr>
          </w:p>
        </w:tc>
        <w:tc>
          <w:tcPr>
            <w:tcW w:w="475" w:type="dxa"/>
          </w:tcPr>
          <w:p w14:paraId="34918E3A" w14:textId="77777777" w:rsidR="00CA0EF0" w:rsidRPr="00361E30" w:rsidRDefault="00CA0EF0" w:rsidP="003C13F4">
            <w:pPr>
              <w:spacing w:after="0"/>
              <w:rPr>
                <w:rFonts w:eastAsia="Times New Roman"/>
              </w:rPr>
            </w:pPr>
          </w:p>
        </w:tc>
        <w:tc>
          <w:tcPr>
            <w:tcW w:w="389" w:type="dxa"/>
          </w:tcPr>
          <w:p w14:paraId="4F0A08B5" w14:textId="77777777" w:rsidR="00CA0EF0" w:rsidRPr="00361E30" w:rsidRDefault="00CA0EF0" w:rsidP="003C13F4">
            <w:pPr>
              <w:spacing w:after="0"/>
              <w:rPr>
                <w:rFonts w:eastAsia="Times New Roman"/>
              </w:rPr>
            </w:pPr>
          </w:p>
        </w:tc>
        <w:tc>
          <w:tcPr>
            <w:tcW w:w="390" w:type="dxa"/>
          </w:tcPr>
          <w:p w14:paraId="4EFCE617" w14:textId="77777777" w:rsidR="00CA0EF0" w:rsidRPr="00361E30" w:rsidRDefault="00CA0EF0" w:rsidP="003C13F4">
            <w:pPr>
              <w:spacing w:after="0"/>
              <w:rPr>
                <w:rFonts w:eastAsia="Times New Roman"/>
              </w:rPr>
            </w:pPr>
          </w:p>
        </w:tc>
        <w:tc>
          <w:tcPr>
            <w:tcW w:w="390" w:type="dxa"/>
          </w:tcPr>
          <w:p w14:paraId="5713CE21" w14:textId="77777777" w:rsidR="00CA0EF0" w:rsidRPr="00361E30" w:rsidRDefault="00CA0EF0" w:rsidP="003C13F4">
            <w:pPr>
              <w:spacing w:after="0"/>
              <w:rPr>
                <w:rFonts w:eastAsia="Times New Roman"/>
              </w:rPr>
            </w:pPr>
          </w:p>
        </w:tc>
        <w:tc>
          <w:tcPr>
            <w:tcW w:w="390" w:type="dxa"/>
          </w:tcPr>
          <w:p w14:paraId="2DD7B6A9" w14:textId="77777777" w:rsidR="00CA0EF0" w:rsidRPr="00361E30" w:rsidRDefault="00CA0EF0" w:rsidP="003C13F4">
            <w:pPr>
              <w:spacing w:after="0"/>
              <w:rPr>
                <w:rFonts w:eastAsia="Times New Roman"/>
              </w:rPr>
            </w:pPr>
          </w:p>
        </w:tc>
        <w:tc>
          <w:tcPr>
            <w:tcW w:w="425" w:type="dxa"/>
          </w:tcPr>
          <w:p w14:paraId="47872FBC" w14:textId="77777777" w:rsidR="00CA0EF0" w:rsidRPr="00361E30" w:rsidRDefault="00CA0EF0" w:rsidP="003C13F4">
            <w:pPr>
              <w:spacing w:after="0"/>
              <w:rPr>
                <w:rFonts w:eastAsia="Times New Roman"/>
              </w:rPr>
            </w:pPr>
          </w:p>
        </w:tc>
        <w:tc>
          <w:tcPr>
            <w:tcW w:w="425" w:type="dxa"/>
          </w:tcPr>
          <w:p w14:paraId="283F1DEF" w14:textId="77777777" w:rsidR="00CA0EF0" w:rsidRPr="00361E30" w:rsidRDefault="00CA0EF0" w:rsidP="003C13F4">
            <w:pPr>
              <w:spacing w:after="0"/>
              <w:rPr>
                <w:rFonts w:eastAsia="Times New Roman"/>
              </w:rPr>
            </w:pPr>
          </w:p>
        </w:tc>
        <w:tc>
          <w:tcPr>
            <w:tcW w:w="425" w:type="dxa"/>
          </w:tcPr>
          <w:p w14:paraId="186C1D1D" w14:textId="77777777" w:rsidR="00CA0EF0" w:rsidRPr="00361E30" w:rsidRDefault="00CA0EF0" w:rsidP="003C13F4">
            <w:pPr>
              <w:spacing w:after="0"/>
              <w:rPr>
                <w:rFonts w:eastAsia="Times New Roman"/>
              </w:rPr>
            </w:pPr>
          </w:p>
        </w:tc>
        <w:tc>
          <w:tcPr>
            <w:tcW w:w="426" w:type="dxa"/>
          </w:tcPr>
          <w:p w14:paraId="06A5995C" w14:textId="77777777" w:rsidR="00CA0EF0" w:rsidRPr="00361E30" w:rsidRDefault="00CA0EF0" w:rsidP="003C13F4">
            <w:pPr>
              <w:spacing w:after="0"/>
              <w:rPr>
                <w:rFonts w:eastAsia="Times New Roman"/>
              </w:rPr>
            </w:pPr>
          </w:p>
        </w:tc>
        <w:tc>
          <w:tcPr>
            <w:tcW w:w="425" w:type="dxa"/>
          </w:tcPr>
          <w:p w14:paraId="19F91E43" w14:textId="77777777" w:rsidR="00CA0EF0" w:rsidRPr="00361E30" w:rsidRDefault="00CA0EF0" w:rsidP="003C13F4">
            <w:pPr>
              <w:spacing w:after="0"/>
              <w:rPr>
                <w:rFonts w:eastAsia="Times New Roman"/>
              </w:rPr>
            </w:pPr>
          </w:p>
        </w:tc>
      </w:tr>
      <w:tr w:rsidR="00CA0EF0" w:rsidRPr="00361E30" w14:paraId="796B165F" w14:textId="77777777" w:rsidTr="003C13F4">
        <w:tc>
          <w:tcPr>
            <w:tcW w:w="1402" w:type="dxa"/>
            <w:vAlign w:val="bottom"/>
          </w:tcPr>
          <w:p w14:paraId="0896A86C" w14:textId="77777777" w:rsidR="00CA0EF0" w:rsidRPr="00361E30" w:rsidRDefault="00CA0EF0" w:rsidP="003C13F4">
            <w:pPr>
              <w:spacing w:after="0"/>
              <w:rPr>
                <w:rFonts w:ascii="Calibri" w:hAnsi="Calibri"/>
              </w:rPr>
            </w:pPr>
            <w:r w:rsidRPr="00361E30">
              <w:rPr>
                <w:rFonts w:ascii="Calibri" w:hAnsi="Calibri"/>
              </w:rPr>
              <w:t>Berry</w:t>
            </w:r>
          </w:p>
        </w:tc>
        <w:tc>
          <w:tcPr>
            <w:tcW w:w="742" w:type="dxa"/>
            <w:vAlign w:val="bottom"/>
          </w:tcPr>
          <w:p w14:paraId="16C7F68D" w14:textId="77777777" w:rsidR="00CA0EF0" w:rsidRPr="00361E30" w:rsidRDefault="00CA0EF0" w:rsidP="003C13F4">
            <w:pPr>
              <w:spacing w:after="0"/>
              <w:jc w:val="right"/>
              <w:rPr>
                <w:rFonts w:ascii="Calibri" w:hAnsi="Calibri"/>
              </w:rPr>
            </w:pPr>
            <w:r w:rsidRPr="00361E30">
              <w:rPr>
                <w:rFonts w:ascii="Calibri" w:hAnsi="Calibri"/>
              </w:rPr>
              <w:t>2010</w:t>
            </w:r>
          </w:p>
        </w:tc>
        <w:tc>
          <w:tcPr>
            <w:tcW w:w="1208" w:type="dxa"/>
            <w:vAlign w:val="bottom"/>
          </w:tcPr>
          <w:p w14:paraId="104A455C" w14:textId="77777777" w:rsidR="00CA0EF0" w:rsidRPr="00361E30" w:rsidRDefault="00CA0EF0" w:rsidP="003C13F4">
            <w:pPr>
              <w:spacing w:after="0"/>
              <w:rPr>
                <w:rFonts w:ascii="Calibri" w:hAnsi="Calibri"/>
              </w:rPr>
            </w:pPr>
            <w:r w:rsidRPr="00361E30">
              <w:rPr>
                <w:rFonts w:ascii="Calibri" w:hAnsi="Calibri"/>
              </w:rPr>
              <w:t>USA</w:t>
            </w:r>
          </w:p>
        </w:tc>
        <w:tc>
          <w:tcPr>
            <w:tcW w:w="474" w:type="dxa"/>
          </w:tcPr>
          <w:p w14:paraId="0C538E80" w14:textId="77777777" w:rsidR="00CA0EF0" w:rsidRPr="00361E30" w:rsidRDefault="00CA0EF0" w:rsidP="003C13F4">
            <w:pPr>
              <w:spacing w:after="0"/>
              <w:rPr>
                <w:rFonts w:eastAsia="Times New Roman"/>
              </w:rPr>
            </w:pPr>
          </w:p>
        </w:tc>
        <w:tc>
          <w:tcPr>
            <w:tcW w:w="474" w:type="dxa"/>
          </w:tcPr>
          <w:p w14:paraId="7C8E8130" w14:textId="77777777" w:rsidR="00CA0EF0" w:rsidRPr="00361E30" w:rsidRDefault="00CA0EF0" w:rsidP="003C13F4">
            <w:pPr>
              <w:spacing w:after="0"/>
              <w:rPr>
                <w:rFonts w:eastAsia="Times New Roman"/>
              </w:rPr>
            </w:pPr>
          </w:p>
        </w:tc>
        <w:tc>
          <w:tcPr>
            <w:tcW w:w="475" w:type="dxa"/>
          </w:tcPr>
          <w:p w14:paraId="01FF1397" w14:textId="77777777" w:rsidR="00CA0EF0" w:rsidRPr="00361E30" w:rsidRDefault="00CA0EF0" w:rsidP="003C13F4">
            <w:pPr>
              <w:spacing w:after="0"/>
              <w:rPr>
                <w:rFonts w:eastAsia="Times New Roman"/>
              </w:rPr>
            </w:pPr>
          </w:p>
        </w:tc>
        <w:tc>
          <w:tcPr>
            <w:tcW w:w="389" w:type="dxa"/>
          </w:tcPr>
          <w:p w14:paraId="319F32CA" w14:textId="77777777" w:rsidR="00CA0EF0" w:rsidRPr="00361E30" w:rsidRDefault="00CA0EF0" w:rsidP="003C13F4">
            <w:pPr>
              <w:spacing w:after="0"/>
              <w:rPr>
                <w:rFonts w:eastAsia="Times New Roman"/>
              </w:rPr>
            </w:pPr>
          </w:p>
        </w:tc>
        <w:tc>
          <w:tcPr>
            <w:tcW w:w="390" w:type="dxa"/>
          </w:tcPr>
          <w:p w14:paraId="436C4C4C" w14:textId="77777777" w:rsidR="00CA0EF0" w:rsidRPr="00361E30" w:rsidRDefault="00CA0EF0" w:rsidP="003C13F4">
            <w:pPr>
              <w:spacing w:after="0"/>
              <w:rPr>
                <w:rFonts w:eastAsia="Times New Roman"/>
              </w:rPr>
            </w:pPr>
          </w:p>
        </w:tc>
        <w:tc>
          <w:tcPr>
            <w:tcW w:w="390" w:type="dxa"/>
          </w:tcPr>
          <w:p w14:paraId="2CB7D315" w14:textId="77777777" w:rsidR="00CA0EF0" w:rsidRPr="00361E30" w:rsidRDefault="00CA0EF0" w:rsidP="003C13F4">
            <w:pPr>
              <w:spacing w:after="0"/>
              <w:rPr>
                <w:rFonts w:eastAsia="Times New Roman"/>
              </w:rPr>
            </w:pPr>
          </w:p>
        </w:tc>
        <w:tc>
          <w:tcPr>
            <w:tcW w:w="390" w:type="dxa"/>
          </w:tcPr>
          <w:p w14:paraId="23298D72" w14:textId="77777777" w:rsidR="00CA0EF0" w:rsidRPr="00361E30" w:rsidRDefault="00CA0EF0" w:rsidP="003C13F4">
            <w:pPr>
              <w:spacing w:after="0"/>
              <w:rPr>
                <w:rFonts w:eastAsia="Times New Roman"/>
              </w:rPr>
            </w:pPr>
          </w:p>
        </w:tc>
        <w:tc>
          <w:tcPr>
            <w:tcW w:w="425" w:type="dxa"/>
          </w:tcPr>
          <w:p w14:paraId="0C240677" w14:textId="77777777" w:rsidR="00CA0EF0" w:rsidRPr="00361E30" w:rsidRDefault="00CA0EF0" w:rsidP="003C13F4">
            <w:pPr>
              <w:spacing w:after="0"/>
              <w:rPr>
                <w:rFonts w:eastAsia="Times New Roman"/>
              </w:rPr>
            </w:pPr>
          </w:p>
        </w:tc>
        <w:tc>
          <w:tcPr>
            <w:tcW w:w="425" w:type="dxa"/>
          </w:tcPr>
          <w:p w14:paraId="5D18B19C" w14:textId="77777777" w:rsidR="00CA0EF0" w:rsidRPr="00361E30" w:rsidRDefault="00CA0EF0" w:rsidP="003C13F4">
            <w:pPr>
              <w:spacing w:after="0"/>
              <w:rPr>
                <w:rFonts w:eastAsia="Times New Roman"/>
              </w:rPr>
            </w:pPr>
          </w:p>
        </w:tc>
        <w:tc>
          <w:tcPr>
            <w:tcW w:w="425" w:type="dxa"/>
          </w:tcPr>
          <w:p w14:paraId="17629839" w14:textId="77777777" w:rsidR="00CA0EF0" w:rsidRPr="00361E30" w:rsidRDefault="00CA0EF0" w:rsidP="003C13F4">
            <w:pPr>
              <w:spacing w:after="0"/>
              <w:rPr>
                <w:rFonts w:eastAsia="Times New Roman"/>
              </w:rPr>
            </w:pPr>
          </w:p>
        </w:tc>
        <w:tc>
          <w:tcPr>
            <w:tcW w:w="426" w:type="dxa"/>
          </w:tcPr>
          <w:p w14:paraId="3C76816C" w14:textId="77777777" w:rsidR="00CA0EF0" w:rsidRPr="00361E30" w:rsidRDefault="00CA0EF0" w:rsidP="003C13F4">
            <w:pPr>
              <w:spacing w:after="0"/>
              <w:rPr>
                <w:rFonts w:eastAsia="Times New Roman"/>
              </w:rPr>
            </w:pPr>
            <w:r w:rsidRPr="00361E30">
              <w:rPr>
                <w:rFonts w:eastAsia="Times New Roman"/>
              </w:rPr>
              <w:t>√</w:t>
            </w:r>
          </w:p>
        </w:tc>
        <w:tc>
          <w:tcPr>
            <w:tcW w:w="425" w:type="dxa"/>
          </w:tcPr>
          <w:p w14:paraId="294FE759" w14:textId="77777777" w:rsidR="00CA0EF0" w:rsidRPr="00361E30" w:rsidRDefault="00CA0EF0" w:rsidP="003C13F4">
            <w:pPr>
              <w:spacing w:after="0"/>
              <w:rPr>
                <w:rFonts w:eastAsia="Times New Roman"/>
              </w:rPr>
            </w:pPr>
          </w:p>
        </w:tc>
      </w:tr>
      <w:tr w:rsidR="00CA0EF0" w:rsidRPr="00361E30" w14:paraId="2B415151" w14:textId="77777777" w:rsidTr="003C13F4">
        <w:tc>
          <w:tcPr>
            <w:tcW w:w="1402" w:type="dxa"/>
            <w:vAlign w:val="bottom"/>
          </w:tcPr>
          <w:p w14:paraId="1C4640F0" w14:textId="77777777" w:rsidR="00CA0EF0" w:rsidRPr="00361E30" w:rsidRDefault="00CA0EF0" w:rsidP="003C13F4">
            <w:pPr>
              <w:spacing w:after="0"/>
              <w:rPr>
                <w:rFonts w:ascii="Calibri" w:hAnsi="Calibri"/>
              </w:rPr>
            </w:pPr>
            <w:r w:rsidRPr="00361E30">
              <w:rPr>
                <w:rFonts w:ascii="Calibri" w:hAnsi="Calibri"/>
              </w:rPr>
              <w:t>Bouamra</w:t>
            </w:r>
          </w:p>
        </w:tc>
        <w:tc>
          <w:tcPr>
            <w:tcW w:w="742" w:type="dxa"/>
            <w:vAlign w:val="bottom"/>
          </w:tcPr>
          <w:p w14:paraId="4E35E591" w14:textId="77777777" w:rsidR="00CA0EF0" w:rsidRPr="00361E30" w:rsidRDefault="00CA0EF0" w:rsidP="003C13F4">
            <w:pPr>
              <w:spacing w:after="0"/>
              <w:jc w:val="right"/>
              <w:rPr>
                <w:rFonts w:ascii="Calibri" w:hAnsi="Calibri"/>
              </w:rPr>
            </w:pPr>
            <w:r w:rsidRPr="00361E30">
              <w:rPr>
                <w:rFonts w:ascii="Calibri" w:hAnsi="Calibri"/>
              </w:rPr>
              <w:t>2006</w:t>
            </w:r>
          </w:p>
        </w:tc>
        <w:tc>
          <w:tcPr>
            <w:tcW w:w="1208" w:type="dxa"/>
            <w:vAlign w:val="bottom"/>
          </w:tcPr>
          <w:p w14:paraId="04B4D63A" w14:textId="77777777" w:rsidR="00CA0EF0" w:rsidRPr="00361E30" w:rsidRDefault="00CA0EF0" w:rsidP="003C13F4">
            <w:pPr>
              <w:spacing w:after="0"/>
              <w:rPr>
                <w:rFonts w:ascii="Calibri" w:hAnsi="Calibri"/>
              </w:rPr>
            </w:pPr>
            <w:r w:rsidRPr="00361E30">
              <w:rPr>
                <w:rFonts w:ascii="Calibri" w:hAnsi="Calibri"/>
              </w:rPr>
              <w:t>UK</w:t>
            </w:r>
          </w:p>
        </w:tc>
        <w:tc>
          <w:tcPr>
            <w:tcW w:w="474" w:type="dxa"/>
          </w:tcPr>
          <w:p w14:paraId="288B2DC9" w14:textId="77777777" w:rsidR="00CA0EF0" w:rsidRPr="00361E30" w:rsidRDefault="00CA0EF0" w:rsidP="003C13F4">
            <w:pPr>
              <w:spacing w:after="0"/>
              <w:rPr>
                <w:rFonts w:eastAsia="Times New Roman"/>
              </w:rPr>
            </w:pPr>
          </w:p>
        </w:tc>
        <w:tc>
          <w:tcPr>
            <w:tcW w:w="474" w:type="dxa"/>
          </w:tcPr>
          <w:p w14:paraId="7E685321" w14:textId="77777777" w:rsidR="00CA0EF0" w:rsidRPr="00361E30" w:rsidRDefault="00CA0EF0" w:rsidP="003C13F4">
            <w:pPr>
              <w:spacing w:after="0"/>
              <w:rPr>
                <w:rFonts w:eastAsia="Times New Roman"/>
              </w:rPr>
            </w:pPr>
            <w:r w:rsidRPr="00361E30">
              <w:rPr>
                <w:rFonts w:eastAsia="Times New Roman"/>
              </w:rPr>
              <w:t>√</w:t>
            </w:r>
          </w:p>
        </w:tc>
        <w:tc>
          <w:tcPr>
            <w:tcW w:w="475" w:type="dxa"/>
          </w:tcPr>
          <w:p w14:paraId="034A1466" w14:textId="77777777" w:rsidR="00CA0EF0" w:rsidRPr="00361E30" w:rsidRDefault="00CA0EF0" w:rsidP="003C13F4">
            <w:pPr>
              <w:spacing w:after="0"/>
              <w:rPr>
                <w:rFonts w:eastAsia="Times New Roman"/>
              </w:rPr>
            </w:pPr>
            <w:r w:rsidRPr="00361E30">
              <w:rPr>
                <w:rFonts w:eastAsia="Times New Roman"/>
              </w:rPr>
              <w:t>√</w:t>
            </w:r>
          </w:p>
        </w:tc>
        <w:tc>
          <w:tcPr>
            <w:tcW w:w="389" w:type="dxa"/>
          </w:tcPr>
          <w:p w14:paraId="4BFD46D3" w14:textId="77777777" w:rsidR="00CA0EF0" w:rsidRPr="00361E30" w:rsidRDefault="00CA0EF0" w:rsidP="003C13F4">
            <w:pPr>
              <w:spacing w:after="0"/>
              <w:rPr>
                <w:rFonts w:eastAsia="Times New Roman"/>
              </w:rPr>
            </w:pPr>
          </w:p>
        </w:tc>
        <w:tc>
          <w:tcPr>
            <w:tcW w:w="390" w:type="dxa"/>
          </w:tcPr>
          <w:p w14:paraId="4E92E837" w14:textId="77777777" w:rsidR="00CA0EF0" w:rsidRPr="00361E30" w:rsidRDefault="00CA0EF0" w:rsidP="003C13F4">
            <w:pPr>
              <w:spacing w:after="0"/>
              <w:rPr>
                <w:rFonts w:eastAsia="Times New Roman"/>
              </w:rPr>
            </w:pPr>
          </w:p>
        </w:tc>
        <w:tc>
          <w:tcPr>
            <w:tcW w:w="390" w:type="dxa"/>
          </w:tcPr>
          <w:p w14:paraId="74E37579" w14:textId="77777777" w:rsidR="00CA0EF0" w:rsidRPr="00361E30" w:rsidRDefault="00CA0EF0" w:rsidP="003C13F4">
            <w:pPr>
              <w:spacing w:after="0"/>
              <w:rPr>
                <w:rFonts w:eastAsia="Times New Roman"/>
              </w:rPr>
            </w:pPr>
          </w:p>
        </w:tc>
        <w:tc>
          <w:tcPr>
            <w:tcW w:w="390" w:type="dxa"/>
          </w:tcPr>
          <w:p w14:paraId="551E8796" w14:textId="77777777" w:rsidR="00CA0EF0" w:rsidRPr="00361E30" w:rsidRDefault="00CA0EF0" w:rsidP="003C13F4">
            <w:pPr>
              <w:spacing w:after="0"/>
              <w:rPr>
                <w:rFonts w:eastAsia="Times New Roman"/>
              </w:rPr>
            </w:pPr>
          </w:p>
        </w:tc>
        <w:tc>
          <w:tcPr>
            <w:tcW w:w="425" w:type="dxa"/>
          </w:tcPr>
          <w:p w14:paraId="0F445D3D" w14:textId="77777777" w:rsidR="00CA0EF0" w:rsidRPr="00361E30" w:rsidRDefault="00CA0EF0" w:rsidP="003C13F4">
            <w:pPr>
              <w:spacing w:after="0"/>
              <w:rPr>
                <w:rFonts w:eastAsia="Times New Roman"/>
              </w:rPr>
            </w:pPr>
          </w:p>
        </w:tc>
        <w:tc>
          <w:tcPr>
            <w:tcW w:w="425" w:type="dxa"/>
          </w:tcPr>
          <w:p w14:paraId="4CB9952C" w14:textId="77777777" w:rsidR="00CA0EF0" w:rsidRPr="00361E30" w:rsidRDefault="00CA0EF0" w:rsidP="003C13F4">
            <w:pPr>
              <w:spacing w:after="0"/>
              <w:rPr>
                <w:rFonts w:eastAsia="Times New Roman"/>
              </w:rPr>
            </w:pPr>
          </w:p>
        </w:tc>
        <w:tc>
          <w:tcPr>
            <w:tcW w:w="425" w:type="dxa"/>
          </w:tcPr>
          <w:p w14:paraId="069C92AD" w14:textId="77777777" w:rsidR="00CA0EF0" w:rsidRPr="00361E30" w:rsidRDefault="00CA0EF0" w:rsidP="003C13F4">
            <w:pPr>
              <w:spacing w:after="0"/>
              <w:rPr>
                <w:rFonts w:eastAsia="Times New Roman"/>
              </w:rPr>
            </w:pPr>
          </w:p>
        </w:tc>
        <w:tc>
          <w:tcPr>
            <w:tcW w:w="426" w:type="dxa"/>
          </w:tcPr>
          <w:p w14:paraId="3FB3BA95" w14:textId="77777777" w:rsidR="00CA0EF0" w:rsidRPr="00361E30" w:rsidRDefault="00CA0EF0" w:rsidP="003C13F4">
            <w:pPr>
              <w:spacing w:after="0"/>
              <w:rPr>
                <w:rFonts w:eastAsia="Times New Roman"/>
              </w:rPr>
            </w:pPr>
          </w:p>
        </w:tc>
        <w:tc>
          <w:tcPr>
            <w:tcW w:w="425" w:type="dxa"/>
          </w:tcPr>
          <w:p w14:paraId="6D09C7C2" w14:textId="77777777" w:rsidR="00CA0EF0" w:rsidRPr="00361E30" w:rsidRDefault="00CA0EF0" w:rsidP="003C13F4">
            <w:pPr>
              <w:spacing w:after="0"/>
              <w:rPr>
                <w:rFonts w:eastAsia="Times New Roman"/>
              </w:rPr>
            </w:pPr>
          </w:p>
        </w:tc>
      </w:tr>
      <w:tr w:rsidR="00CA0EF0" w:rsidRPr="00361E30" w14:paraId="4B85D004" w14:textId="77777777" w:rsidTr="003C13F4">
        <w:tc>
          <w:tcPr>
            <w:tcW w:w="1402" w:type="dxa"/>
            <w:vAlign w:val="bottom"/>
          </w:tcPr>
          <w:p w14:paraId="03D96360" w14:textId="77777777" w:rsidR="00CA0EF0" w:rsidRPr="00361E30" w:rsidRDefault="00CA0EF0" w:rsidP="003C13F4">
            <w:pPr>
              <w:spacing w:after="0"/>
              <w:rPr>
                <w:rFonts w:ascii="Calibri" w:hAnsi="Calibri"/>
              </w:rPr>
            </w:pPr>
            <w:r w:rsidRPr="00361E30">
              <w:rPr>
                <w:rFonts w:ascii="Calibri" w:hAnsi="Calibri"/>
              </w:rPr>
              <w:t xml:space="preserve">Caterino </w:t>
            </w:r>
          </w:p>
        </w:tc>
        <w:tc>
          <w:tcPr>
            <w:tcW w:w="742" w:type="dxa"/>
            <w:vAlign w:val="bottom"/>
          </w:tcPr>
          <w:p w14:paraId="45C61046" w14:textId="77777777" w:rsidR="00CA0EF0" w:rsidRPr="00361E30" w:rsidRDefault="00CA0EF0" w:rsidP="003C13F4">
            <w:pPr>
              <w:spacing w:after="0"/>
              <w:jc w:val="right"/>
              <w:rPr>
                <w:rFonts w:ascii="Calibri" w:hAnsi="Calibri"/>
              </w:rPr>
            </w:pPr>
            <w:r w:rsidRPr="00361E30">
              <w:rPr>
                <w:rFonts w:ascii="Calibri" w:hAnsi="Calibri"/>
              </w:rPr>
              <w:t>2008</w:t>
            </w:r>
          </w:p>
        </w:tc>
        <w:tc>
          <w:tcPr>
            <w:tcW w:w="1208" w:type="dxa"/>
            <w:vAlign w:val="bottom"/>
          </w:tcPr>
          <w:p w14:paraId="5A6B2252" w14:textId="77777777" w:rsidR="00CA0EF0" w:rsidRPr="00361E30" w:rsidRDefault="00CA0EF0" w:rsidP="003C13F4">
            <w:pPr>
              <w:spacing w:after="0"/>
              <w:rPr>
                <w:rFonts w:ascii="Calibri" w:hAnsi="Calibri"/>
              </w:rPr>
            </w:pPr>
            <w:r w:rsidRPr="00361E30">
              <w:rPr>
                <w:rFonts w:ascii="Calibri" w:hAnsi="Calibri"/>
              </w:rPr>
              <w:t>USA</w:t>
            </w:r>
          </w:p>
        </w:tc>
        <w:tc>
          <w:tcPr>
            <w:tcW w:w="474" w:type="dxa"/>
          </w:tcPr>
          <w:p w14:paraId="5B109C46" w14:textId="77777777" w:rsidR="00CA0EF0" w:rsidRPr="00361E30" w:rsidRDefault="00CA0EF0" w:rsidP="003C13F4">
            <w:pPr>
              <w:spacing w:after="0"/>
              <w:rPr>
                <w:rFonts w:eastAsia="Times New Roman"/>
              </w:rPr>
            </w:pPr>
            <w:r w:rsidRPr="00361E30">
              <w:rPr>
                <w:rFonts w:eastAsia="Times New Roman"/>
              </w:rPr>
              <w:t>√</w:t>
            </w:r>
          </w:p>
        </w:tc>
        <w:tc>
          <w:tcPr>
            <w:tcW w:w="474" w:type="dxa"/>
          </w:tcPr>
          <w:p w14:paraId="27480645" w14:textId="77777777" w:rsidR="00CA0EF0" w:rsidRPr="00361E30" w:rsidRDefault="00CA0EF0" w:rsidP="003C13F4">
            <w:pPr>
              <w:spacing w:after="0"/>
              <w:rPr>
                <w:rFonts w:eastAsia="Times New Roman"/>
              </w:rPr>
            </w:pPr>
            <w:r w:rsidRPr="00361E30">
              <w:rPr>
                <w:rFonts w:eastAsia="Times New Roman"/>
              </w:rPr>
              <w:t>√</w:t>
            </w:r>
          </w:p>
        </w:tc>
        <w:tc>
          <w:tcPr>
            <w:tcW w:w="475" w:type="dxa"/>
          </w:tcPr>
          <w:p w14:paraId="11253A92" w14:textId="77777777" w:rsidR="00CA0EF0" w:rsidRPr="00361E30" w:rsidRDefault="00CA0EF0" w:rsidP="003C13F4">
            <w:pPr>
              <w:spacing w:after="0"/>
              <w:rPr>
                <w:rFonts w:eastAsia="Times New Roman"/>
              </w:rPr>
            </w:pPr>
          </w:p>
        </w:tc>
        <w:tc>
          <w:tcPr>
            <w:tcW w:w="389" w:type="dxa"/>
          </w:tcPr>
          <w:p w14:paraId="5C449AAD" w14:textId="77777777" w:rsidR="00CA0EF0" w:rsidRPr="00361E30" w:rsidRDefault="00CA0EF0" w:rsidP="003C13F4">
            <w:pPr>
              <w:spacing w:after="0"/>
              <w:rPr>
                <w:rFonts w:eastAsia="Times New Roman"/>
              </w:rPr>
            </w:pPr>
          </w:p>
        </w:tc>
        <w:tc>
          <w:tcPr>
            <w:tcW w:w="390" w:type="dxa"/>
          </w:tcPr>
          <w:p w14:paraId="4EEEBC0F" w14:textId="77777777" w:rsidR="00CA0EF0" w:rsidRPr="00361E30" w:rsidRDefault="00CA0EF0" w:rsidP="003C13F4">
            <w:pPr>
              <w:spacing w:after="0"/>
              <w:rPr>
                <w:rFonts w:eastAsia="Times New Roman"/>
              </w:rPr>
            </w:pPr>
          </w:p>
        </w:tc>
        <w:tc>
          <w:tcPr>
            <w:tcW w:w="390" w:type="dxa"/>
          </w:tcPr>
          <w:p w14:paraId="37B163CA" w14:textId="77777777" w:rsidR="00CA0EF0" w:rsidRPr="00361E30" w:rsidRDefault="00CA0EF0" w:rsidP="003C13F4">
            <w:pPr>
              <w:spacing w:after="0"/>
              <w:rPr>
                <w:rFonts w:eastAsia="Times New Roman"/>
              </w:rPr>
            </w:pPr>
          </w:p>
        </w:tc>
        <w:tc>
          <w:tcPr>
            <w:tcW w:w="390" w:type="dxa"/>
          </w:tcPr>
          <w:p w14:paraId="2B4E1C25" w14:textId="77777777" w:rsidR="00CA0EF0" w:rsidRPr="00361E30" w:rsidRDefault="00CA0EF0" w:rsidP="003C13F4">
            <w:pPr>
              <w:spacing w:after="0"/>
              <w:rPr>
                <w:rFonts w:eastAsia="Times New Roman"/>
              </w:rPr>
            </w:pPr>
          </w:p>
        </w:tc>
        <w:tc>
          <w:tcPr>
            <w:tcW w:w="425" w:type="dxa"/>
          </w:tcPr>
          <w:p w14:paraId="6E9A7029" w14:textId="77777777" w:rsidR="00CA0EF0" w:rsidRPr="00361E30" w:rsidRDefault="00CA0EF0" w:rsidP="003C13F4">
            <w:pPr>
              <w:spacing w:after="0"/>
              <w:rPr>
                <w:rFonts w:eastAsia="Times New Roman"/>
              </w:rPr>
            </w:pPr>
          </w:p>
        </w:tc>
        <w:tc>
          <w:tcPr>
            <w:tcW w:w="425" w:type="dxa"/>
          </w:tcPr>
          <w:p w14:paraId="35CDC1FE" w14:textId="77777777" w:rsidR="00CA0EF0" w:rsidRPr="00361E30" w:rsidRDefault="00CA0EF0" w:rsidP="003C13F4">
            <w:pPr>
              <w:spacing w:after="0"/>
              <w:rPr>
                <w:rFonts w:eastAsia="Times New Roman"/>
              </w:rPr>
            </w:pPr>
          </w:p>
        </w:tc>
        <w:tc>
          <w:tcPr>
            <w:tcW w:w="425" w:type="dxa"/>
          </w:tcPr>
          <w:p w14:paraId="3197F2BC" w14:textId="77777777" w:rsidR="00CA0EF0" w:rsidRPr="00361E30" w:rsidRDefault="00CA0EF0" w:rsidP="003C13F4">
            <w:pPr>
              <w:spacing w:after="0"/>
              <w:rPr>
                <w:rFonts w:eastAsia="Times New Roman"/>
              </w:rPr>
            </w:pPr>
          </w:p>
        </w:tc>
        <w:tc>
          <w:tcPr>
            <w:tcW w:w="426" w:type="dxa"/>
          </w:tcPr>
          <w:p w14:paraId="2D47D863" w14:textId="77777777" w:rsidR="00CA0EF0" w:rsidRPr="00361E30" w:rsidRDefault="00CA0EF0" w:rsidP="003C13F4">
            <w:pPr>
              <w:spacing w:after="0"/>
              <w:rPr>
                <w:rFonts w:eastAsia="Times New Roman"/>
              </w:rPr>
            </w:pPr>
          </w:p>
        </w:tc>
        <w:tc>
          <w:tcPr>
            <w:tcW w:w="425" w:type="dxa"/>
          </w:tcPr>
          <w:p w14:paraId="38450962" w14:textId="77777777" w:rsidR="00CA0EF0" w:rsidRPr="00361E30" w:rsidRDefault="00CA0EF0" w:rsidP="003C13F4">
            <w:pPr>
              <w:spacing w:after="0"/>
              <w:rPr>
                <w:rFonts w:eastAsia="Times New Roman"/>
              </w:rPr>
            </w:pPr>
          </w:p>
        </w:tc>
      </w:tr>
      <w:tr w:rsidR="00CA0EF0" w:rsidRPr="00361E30" w14:paraId="0826A623" w14:textId="77777777" w:rsidTr="003C13F4">
        <w:tc>
          <w:tcPr>
            <w:tcW w:w="1402" w:type="dxa"/>
            <w:vAlign w:val="bottom"/>
          </w:tcPr>
          <w:p w14:paraId="6789F401" w14:textId="77777777" w:rsidR="00CA0EF0" w:rsidRPr="00361E30" w:rsidRDefault="00CA0EF0" w:rsidP="003C13F4">
            <w:pPr>
              <w:spacing w:after="0"/>
              <w:rPr>
                <w:rFonts w:ascii="Calibri" w:hAnsi="Calibri"/>
              </w:rPr>
            </w:pPr>
            <w:r w:rsidRPr="00361E30">
              <w:rPr>
                <w:rFonts w:ascii="Calibri" w:hAnsi="Calibri"/>
              </w:rPr>
              <w:t>Curtis</w:t>
            </w:r>
          </w:p>
        </w:tc>
        <w:tc>
          <w:tcPr>
            <w:tcW w:w="742" w:type="dxa"/>
            <w:vAlign w:val="bottom"/>
          </w:tcPr>
          <w:p w14:paraId="3262C04D" w14:textId="77777777" w:rsidR="00CA0EF0" w:rsidRPr="00361E30" w:rsidRDefault="00CA0EF0" w:rsidP="003C13F4">
            <w:pPr>
              <w:spacing w:after="0"/>
              <w:jc w:val="right"/>
              <w:rPr>
                <w:rFonts w:ascii="Calibri" w:hAnsi="Calibri"/>
              </w:rPr>
            </w:pPr>
            <w:r w:rsidRPr="00361E30">
              <w:rPr>
                <w:rFonts w:ascii="Calibri" w:hAnsi="Calibri"/>
              </w:rPr>
              <w:t>2012</w:t>
            </w:r>
          </w:p>
        </w:tc>
        <w:tc>
          <w:tcPr>
            <w:tcW w:w="1208" w:type="dxa"/>
            <w:vAlign w:val="bottom"/>
          </w:tcPr>
          <w:p w14:paraId="11782012" w14:textId="77777777" w:rsidR="00CA0EF0" w:rsidRPr="00361E30" w:rsidRDefault="00CA0EF0" w:rsidP="003C13F4">
            <w:pPr>
              <w:spacing w:after="0"/>
              <w:rPr>
                <w:rFonts w:ascii="Calibri" w:hAnsi="Calibri"/>
              </w:rPr>
            </w:pPr>
            <w:r w:rsidRPr="00361E30">
              <w:rPr>
                <w:rFonts w:ascii="Calibri" w:hAnsi="Calibri"/>
              </w:rPr>
              <w:t>Australia</w:t>
            </w:r>
          </w:p>
        </w:tc>
        <w:tc>
          <w:tcPr>
            <w:tcW w:w="474" w:type="dxa"/>
          </w:tcPr>
          <w:p w14:paraId="4872FAB3" w14:textId="77777777" w:rsidR="00CA0EF0" w:rsidRPr="00361E30" w:rsidRDefault="00CA0EF0" w:rsidP="003C13F4">
            <w:pPr>
              <w:spacing w:after="0"/>
              <w:rPr>
                <w:rFonts w:eastAsia="Times New Roman"/>
              </w:rPr>
            </w:pPr>
            <w:r w:rsidRPr="00361E30">
              <w:rPr>
                <w:rFonts w:eastAsia="Times New Roman"/>
              </w:rPr>
              <w:t>√</w:t>
            </w:r>
          </w:p>
        </w:tc>
        <w:tc>
          <w:tcPr>
            <w:tcW w:w="474" w:type="dxa"/>
          </w:tcPr>
          <w:p w14:paraId="7E088CA6" w14:textId="77777777" w:rsidR="00CA0EF0" w:rsidRPr="00361E30" w:rsidRDefault="00CA0EF0" w:rsidP="003C13F4">
            <w:pPr>
              <w:spacing w:after="0"/>
              <w:rPr>
                <w:rFonts w:eastAsia="Times New Roman"/>
              </w:rPr>
            </w:pPr>
            <w:r w:rsidRPr="00361E30">
              <w:rPr>
                <w:rFonts w:eastAsia="Times New Roman"/>
              </w:rPr>
              <w:t>√</w:t>
            </w:r>
          </w:p>
        </w:tc>
        <w:tc>
          <w:tcPr>
            <w:tcW w:w="475" w:type="dxa"/>
          </w:tcPr>
          <w:p w14:paraId="2908C487" w14:textId="77777777" w:rsidR="00CA0EF0" w:rsidRPr="00361E30" w:rsidRDefault="00CA0EF0" w:rsidP="003C13F4">
            <w:pPr>
              <w:spacing w:after="0"/>
              <w:rPr>
                <w:rFonts w:eastAsia="Times New Roman"/>
              </w:rPr>
            </w:pPr>
          </w:p>
        </w:tc>
        <w:tc>
          <w:tcPr>
            <w:tcW w:w="389" w:type="dxa"/>
          </w:tcPr>
          <w:p w14:paraId="50682B36" w14:textId="77777777" w:rsidR="00CA0EF0" w:rsidRPr="00361E30" w:rsidRDefault="00CA0EF0" w:rsidP="003C13F4">
            <w:pPr>
              <w:spacing w:after="0"/>
              <w:rPr>
                <w:rFonts w:eastAsia="Times New Roman"/>
              </w:rPr>
            </w:pPr>
          </w:p>
        </w:tc>
        <w:tc>
          <w:tcPr>
            <w:tcW w:w="390" w:type="dxa"/>
          </w:tcPr>
          <w:p w14:paraId="474E8AFC" w14:textId="77777777" w:rsidR="00CA0EF0" w:rsidRPr="00361E30" w:rsidRDefault="00CA0EF0" w:rsidP="003C13F4">
            <w:pPr>
              <w:spacing w:after="0"/>
              <w:rPr>
                <w:rFonts w:eastAsia="Times New Roman"/>
              </w:rPr>
            </w:pPr>
          </w:p>
        </w:tc>
        <w:tc>
          <w:tcPr>
            <w:tcW w:w="390" w:type="dxa"/>
          </w:tcPr>
          <w:p w14:paraId="2B36D39E" w14:textId="77777777" w:rsidR="00CA0EF0" w:rsidRPr="00361E30" w:rsidRDefault="00CA0EF0" w:rsidP="003C13F4">
            <w:pPr>
              <w:spacing w:after="0"/>
              <w:rPr>
                <w:rFonts w:eastAsia="Times New Roman"/>
              </w:rPr>
            </w:pPr>
          </w:p>
        </w:tc>
        <w:tc>
          <w:tcPr>
            <w:tcW w:w="390" w:type="dxa"/>
          </w:tcPr>
          <w:p w14:paraId="716127B7" w14:textId="77777777" w:rsidR="00CA0EF0" w:rsidRPr="00361E30" w:rsidRDefault="00CA0EF0" w:rsidP="003C13F4">
            <w:pPr>
              <w:spacing w:after="0"/>
              <w:rPr>
                <w:rFonts w:eastAsia="Times New Roman"/>
              </w:rPr>
            </w:pPr>
          </w:p>
        </w:tc>
        <w:tc>
          <w:tcPr>
            <w:tcW w:w="425" w:type="dxa"/>
          </w:tcPr>
          <w:p w14:paraId="373D9716" w14:textId="77777777" w:rsidR="00CA0EF0" w:rsidRPr="00361E30" w:rsidRDefault="00CA0EF0" w:rsidP="003C13F4">
            <w:pPr>
              <w:spacing w:after="0"/>
              <w:rPr>
                <w:rFonts w:eastAsia="Times New Roman"/>
              </w:rPr>
            </w:pPr>
          </w:p>
        </w:tc>
        <w:tc>
          <w:tcPr>
            <w:tcW w:w="425" w:type="dxa"/>
          </w:tcPr>
          <w:p w14:paraId="50D9E75B" w14:textId="77777777" w:rsidR="00CA0EF0" w:rsidRPr="00361E30" w:rsidRDefault="00CA0EF0" w:rsidP="003C13F4">
            <w:pPr>
              <w:spacing w:after="0"/>
              <w:rPr>
                <w:rFonts w:eastAsia="Times New Roman"/>
              </w:rPr>
            </w:pPr>
          </w:p>
        </w:tc>
        <w:tc>
          <w:tcPr>
            <w:tcW w:w="425" w:type="dxa"/>
          </w:tcPr>
          <w:p w14:paraId="528D6905" w14:textId="77777777" w:rsidR="00CA0EF0" w:rsidRPr="00361E30" w:rsidRDefault="00CA0EF0" w:rsidP="003C13F4">
            <w:pPr>
              <w:spacing w:after="0"/>
              <w:rPr>
                <w:rFonts w:eastAsia="Times New Roman"/>
              </w:rPr>
            </w:pPr>
          </w:p>
        </w:tc>
        <w:tc>
          <w:tcPr>
            <w:tcW w:w="426" w:type="dxa"/>
          </w:tcPr>
          <w:p w14:paraId="1602D24A" w14:textId="77777777" w:rsidR="00CA0EF0" w:rsidRPr="00361E30" w:rsidRDefault="00CA0EF0" w:rsidP="003C13F4">
            <w:pPr>
              <w:spacing w:after="0"/>
              <w:rPr>
                <w:rFonts w:eastAsia="Times New Roman"/>
              </w:rPr>
            </w:pPr>
          </w:p>
        </w:tc>
        <w:tc>
          <w:tcPr>
            <w:tcW w:w="425" w:type="dxa"/>
          </w:tcPr>
          <w:p w14:paraId="054A22D3" w14:textId="77777777" w:rsidR="00CA0EF0" w:rsidRPr="00361E30" w:rsidRDefault="00CA0EF0" w:rsidP="003C13F4">
            <w:pPr>
              <w:spacing w:after="0"/>
              <w:rPr>
                <w:rFonts w:eastAsia="Times New Roman"/>
              </w:rPr>
            </w:pPr>
          </w:p>
        </w:tc>
      </w:tr>
      <w:tr w:rsidR="00CA0EF0" w:rsidRPr="00361E30" w14:paraId="3B0E7F66" w14:textId="77777777" w:rsidTr="003C13F4">
        <w:tc>
          <w:tcPr>
            <w:tcW w:w="1402" w:type="dxa"/>
            <w:vAlign w:val="bottom"/>
          </w:tcPr>
          <w:p w14:paraId="4DC04A01" w14:textId="77777777" w:rsidR="00CA0EF0" w:rsidRPr="00361E30" w:rsidRDefault="00CA0EF0" w:rsidP="003C13F4">
            <w:pPr>
              <w:spacing w:after="0"/>
              <w:rPr>
                <w:rFonts w:ascii="Calibri" w:hAnsi="Calibri"/>
              </w:rPr>
            </w:pPr>
            <w:r w:rsidRPr="00361E30">
              <w:rPr>
                <w:rFonts w:ascii="Calibri" w:hAnsi="Calibri"/>
              </w:rPr>
              <w:t>Efron</w:t>
            </w:r>
          </w:p>
        </w:tc>
        <w:tc>
          <w:tcPr>
            <w:tcW w:w="742" w:type="dxa"/>
            <w:vAlign w:val="bottom"/>
          </w:tcPr>
          <w:p w14:paraId="64E3F887" w14:textId="77777777" w:rsidR="00CA0EF0" w:rsidRPr="00361E30" w:rsidRDefault="00CA0EF0" w:rsidP="003C13F4">
            <w:pPr>
              <w:spacing w:after="0"/>
              <w:jc w:val="right"/>
              <w:rPr>
                <w:rFonts w:ascii="Calibri" w:hAnsi="Calibri"/>
              </w:rPr>
            </w:pPr>
            <w:r w:rsidRPr="00361E30">
              <w:rPr>
                <w:rFonts w:ascii="Calibri" w:hAnsi="Calibri"/>
              </w:rPr>
              <w:t>2008</w:t>
            </w:r>
          </w:p>
        </w:tc>
        <w:tc>
          <w:tcPr>
            <w:tcW w:w="1208" w:type="dxa"/>
            <w:vAlign w:val="bottom"/>
          </w:tcPr>
          <w:p w14:paraId="18C25007" w14:textId="77777777" w:rsidR="00CA0EF0" w:rsidRPr="00361E30" w:rsidRDefault="00CA0EF0" w:rsidP="003C13F4">
            <w:pPr>
              <w:spacing w:after="0"/>
              <w:rPr>
                <w:rFonts w:ascii="Calibri" w:hAnsi="Calibri"/>
              </w:rPr>
            </w:pPr>
            <w:r w:rsidRPr="00361E30">
              <w:rPr>
                <w:rFonts w:ascii="Calibri" w:hAnsi="Calibri"/>
              </w:rPr>
              <w:t>USA</w:t>
            </w:r>
          </w:p>
        </w:tc>
        <w:tc>
          <w:tcPr>
            <w:tcW w:w="474" w:type="dxa"/>
          </w:tcPr>
          <w:p w14:paraId="7184CF1E" w14:textId="77777777" w:rsidR="00CA0EF0" w:rsidRPr="00361E30" w:rsidRDefault="00CA0EF0" w:rsidP="003C13F4">
            <w:pPr>
              <w:spacing w:after="0"/>
              <w:rPr>
                <w:rFonts w:eastAsia="Times New Roman"/>
              </w:rPr>
            </w:pPr>
          </w:p>
        </w:tc>
        <w:tc>
          <w:tcPr>
            <w:tcW w:w="474" w:type="dxa"/>
          </w:tcPr>
          <w:p w14:paraId="0F0AA30B" w14:textId="77777777" w:rsidR="00CA0EF0" w:rsidRPr="00361E30" w:rsidRDefault="00CA0EF0" w:rsidP="003C13F4">
            <w:pPr>
              <w:spacing w:after="0"/>
              <w:rPr>
                <w:rFonts w:eastAsia="Times New Roman"/>
              </w:rPr>
            </w:pPr>
            <w:r w:rsidRPr="00361E30">
              <w:rPr>
                <w:rFonts w:eastAsia="Times New Roman"/>
              </w:rPr>
              <w:t>√</w:t>
            </w:r>
          </w:p>
        </w:tc>
        <w:tc>
          <w:tcPr>
            <w:tcW w:w="475" w:type="dxa"/>
          </w:tcPr>
          <w:p w14:paraId="261D9B43" w14:textId="77777777" w:rsidR="00CA0EF0" w:rsidRPr="00361E30" w:rsidRDefault="00CA0EF0" w:rsidP="003C13F4">
            <w:pPr>
              <w:spacing w:after="0"/>
              <w:rPr>
                <w:rFonts w:eastAsia="Times New Roman"/>
              </w:rPr>
            </w:pPr>
          </w:p>
        </w:tc>
        <w:tc>
          <w:tcPr>
            <w:tcW w:w="389" w:type="dxa"/>
          </w:tcPr>
          <w:p w14:paraId="58DA3101" w14:textId="77777777" w:rsidR="00CA0EF0" w:rsidRPr="00361E30" w:rsidRDefault="00CA0EF0" w:rsidP="003C13F4">
            <w:pPr>
              <w:spacing w:after="0"/>
              <w:rPr>
                <w:rFonts w:eastAsia="Times New Roman"/>
              </w:rPr>
            </w:pPr>
          </w:p>
        </w:tc>
        <w:tc>
          <w:tcPr>
            <w:tcW w:w="390" w:type="dxa"/>
          </w:tcPr>
          <w:p w14:paraId="4596E122" w14:textId="77777777" w:rsidR="00CA0EF0" w:rsidRPr="00361E30" w:rsidRDefault="00CA0EF0" w:rsidP="003C13F4">
            <w:pPr>
              <w:spacing w:after="0"/>
              <w:rPr>
                <w:rFonts w:eastAsia="Times New Roman"/>
              </w:rPr>
            </w:pPr>
          </w:p>
        </w:tc>
        <w:tc>
          <w:tcPr>
            <w:tcW w:w="390" w:type="dxa"/>
          </w:tcPr>
          <w:p w14:paraId="4847B329" w14:textId="77777777" w:rsidR="00CA0EF0" w:rsidRPr="00361E30" w:rsidRDefault="00CA0EF0" w:rsidP="003C13F4">
            <w:pPr>
              <w:spacing w:after="0"/>
              <w:rPr>
                <w:rFonts w:eastAsia="Times New Roman"/>
              </w:rPr>
            </w:pPr>
            <w:r w:rsidRPr="00361E30">
              <w:rPr>
                <w:rFonts w:eastAsia="Times New Roman"/>
              </w:rPr>
              <w:t>√</w:t>
            </w:r>
          </w:p>
        </w:tc>
        <w:tc>
          <w:tcPr>
            <w:tcW w:w="390" w:type="dxa"/>
          </w:tcPr>
          <w:p w14:paraId="01B1159F" w14:textId="77777777" w:rsidR="00CA0EF0" w:rsidRPr="00361E30" w:rsidRDefault="00CA0EF0" w:rsidP="003C13F4">
            <w:pPr>
              <w:spacing w:after="0"/>
              <w:rPr>
                <w:rFonts w:eastAsia="Times New Roman"/>
              </w:rPr>
            </w:pPr>
          </w:p>
        </w:tc>
        <w:tc>
          <w:tcPr>
            <w:tcW w:w="425" w:type="dxa"/>
          </w:tcPr>
          <w:p w14:paraId="0197338E" w14:textId="77777777" w:rsidR="00CA0EF0" w:rsidRPr="00361E30" w:rsidRDefault="00CA0EF0" w:rsidP="003C13F4">
            <w:pPr>
              <w:spacing w:after="0"/>
              <w:rPr>
                <w:rFonts w:eastAsia="Times New Roman"/>
              </w:rPr>
            </w:pPr>
          </w:p>
        </w:tc>
        <w:tc>
          <w:tcPr>
            <w:tcW w:w="425" w:type="dxa"/>
          </w:tcPr>
          <w:p w14:paraId="20A18A4F" w14:textId="77777777" w:rsidR="00CA0EF0" w:rsidRPr="00361E30" w:rsidRDefault="00CA0EF0" w:rsidP="003C13F4">
            <w:pPr>
              <w:spacing w:after="0"/>
              <w:rPr>
                <w:rFonts w:eastAsia="Times New Roman"/>
              </w:rPr>
            </w:pPr>
            <w:r w:rsidRPr="00361E30">
              <w:rPr>
                <w:rFonts w:eastAsia="Times New Roman"/>
              </w:rPr>
              <w:t>√</w:t>
            </w:r>
          </w:p>
        </w:tc>
        <w:tc>
          <w:tcPr>
            <w:tcW w:w="425" w:type="dxa"/>
          </w:tcPr>
          <w:p w14:paraId="7043BA41" w14:textId="77777777" w:rsidR="00CA0EF0" w:rsidRPr="00361E30" w:rsidRDefault="00CA0EF0" w:rsidP="003C13F4">
            <w:pPr>
              <w:spacing w:after="0"/>
              <w:rPr>
                <w:rFonts w:eastAsia="Times New Roman"/>
              </w:rPr>
            </w:pPr>
            <w:r w:rsidRPr="00361E30">
              <w:rPr>
                <w:rFonts w:eastAsia="Times New Roman"/>
              </w:rPr>
              <w:t>√</w:t>
            </w:r>
          </w:p>
        </w:tc>
        <w:tc>
          <w:tcPr>
            <w:tcW w:w="426" w:type="dxa"/>
          </w:tcPr>
          <w:p w14:paraId="714D3A32" w14:textId="77777777" w:rsidR="00CA0EF0" w:rsidRPr="00361E30" w:rsidRDefault="00CA0EF0" w:rsidP="003C13F4">
            <w:pPr>
              <w:spacing w:after="0"/>
              <w:rPr>
                <w:rFonts w:eastAsia="Times New Roman"/>
              </w:rPr>
            </w:pPr>
          </w:p>
        </w:tc>
        <w:tc>
          <w:tcPr>
            <w:tcW w:w="425" w:type="dxa"/>
          </w:tcPr>
          <w:p w14:paraId="3ABE8C05" w14:textId="77777777" w:rsidR="00CA0EF0" w:rsidRPr="00361E30" w:rsidRDefault="00CA0EF0" w:rsidP="003C13F4">
            <w:pPr>
              <w:spacing w:after="0"/>
              <w:rPr>
                <w:rFonts w:eastAsia="Times New Roman"/>
              </w:rPr>
            </w:pPr>
          </w:p>
        </w:tc>
      </w:tr>
      <w:tr w:rsidR="00CA0EF0" w:rsidRPr="00361E30" w14:paraId="41CC2E84" w14:textId="77777777" w:rsidTr="003C13F4">
        <w:tc>
          <w:tcPr>
            <w:tcW w:w="1402" w:type="dxa"/>
            <w:vAlign w:val="bottom"/>
          </w:tcPr>
          <w:p w14:paraId="363A2EE4" w14:textId="77777777" w:rsidR="00CA0EF0" w:rsidRPr="00361E30" w:rsidRDefault="00CA0EF0" w:rsidP="003C13F4">
            <w:pPr>
              <w:spacing w:after="0"/>
              <w:rPr>
                <w:rFonts w:ascii="Calibri" w:hAnsi="Calibri"/>
              </w:rPr>
            </w:pPr>
            <w:r w:rsidRPr="00361E30">
              <w:rPr>
                <w:rFonts w:ascii="Calibri" w:hAnsi="Calibri"/>
              </w:rPr>
              <w:t>Fatovich</w:t>
            </w:r>
          </w:p>
        </w:tc>
        <w:tc>
          <w:tcPr>
            <w:tcW w:w="742" w:type="dxa"/>
            <w:vAlign w:val="bottom"/>
          </w:tcPr>
          <w:p w14:paraId="7125BB90" w14:textId="77777777" w:rsidR="00CA0EF0" w:rsidRPr="00361E30" w:rsidRDefault="00CA0EF0" w:rsidP="003C13F4">
            <w:pPr>
              <w:spacing w:after="0"/>
              <w:jc w:val="right"/>
              <w:rPr>
                <w:rFonts w:ascii="Calibri" w:hAnsi="Calibri"/>
              </w:rPr>
            </w:pPr>
            <w:r w:rsidRPr="00361E30">
              <w:rPr>
                <w:rFonts w:ascii="Calibri" w:hAnsi="Calibri"/>
              </w:rPr>
              <w:t>2012</w:t>
            </w:r>
          </w:p>
        </w:tc>
        <w:tc>
          <w:tcPr>
            <w:tcW w:w="1208" w:type="dxa"/>
            <w:vAlign w:val="bottom"/>
          </w:tcPr>
          <w:p w14:paraId="4F99823E" w14:textId="77777777" w:rsidR="00CA0EF0" w:rsidRPr="00361E30" w:rsidRDefault="00CA0EF0" w:rsidP="003C13F4">
            <w:pPr>
              <w:spacing w:after="0"/>
              <w:rPr>
                <w:rFonts w:ascii="Calibri" w:hAnsi="Calibri"/>
              </w:rPr>
            </w:pPr>
            <w:r w:rsidRPr="00361E30">
              <w:rPr>
                <w:rFonts w:ascii="Calibri" w:hAnsi="Calibri"/>
              </w:rPr>
              <w:t>Australia</w:t>
            </w:r>
          </w:p>
        </w:tc>
        <w:tc>
          <w:tcPr>
            <w:tcW w:w="474" w:type="dxa"/>
          </w:tcPr>
          <w:p w14:paraId="4F2652F9" w14:textId="77777777" w:rsidR="00CA0EF0" w:rsidRPr="00361E30" w:rsidRDefault="00CA0EF0" w:rsidP="003C13F4">
            <w:pPr>
              <w:spacing w:after="0"/>
              <w:rPr>
                <w:rFonts w:eastAsia="Times New Roman"/>
              </w:rPr>
            </w:pPr>
            <w:r w:rsidRPr="00361E30">
              <w:rPr>
                <w:rFonts w:eastAsia="Times New Roman"/>
              </w:rPr>
              <w:t>√</w:t>
            </w:r>
          </w:p>
        </w:tc>
        <w:tc>
          <w:tcPr>
            <w:tcW w:w="474" w:type="dxa"/>
          </w:tcPr>
          <w:p w14:paraId="0C49FB1E" w14:textId="77777777" w:rsidR="00CA0EF0" w:rsidRPr="00361E30" w:rsidRDefault="00CA0EF0" w:rsidP="003C13F4">
            <w:pPr>
              <w:spacing w:after="0"/>
              <w:rPr>
                <w:rFonts w:eastAsia="Times New Roman"/>
              </w:rPr>
            </w:pPr>
          </w:p>
        </w:tc>
        <w:tc>
          <w:tcPr>
            <w:tcW w:w="475" w:type="dxa"/>
          </w:tcPr>
          <w:p w14:paraId="0D336D84" w14:textId="77777777" w:rsidR="00CA0EF0" w:rsidRPr="00361E30" w:rsidRDefault="00CA0EF0" w:rsidP="003C13F4">
            <w:pPr>
              <w:spacing w:after="0"/>
              <w:rPr>
                <w:rFonts w:eastAsia="Times New Roman"/>
              </w:rPr>
            </w:pPr>
          </w:p>
        </w:tc>
        <w:tc>
          <w:tcPr>
            <w:tcW w:w="389" w:type="dxa"/>
          </w:tcPr>
          <w:p w14:paraId="08FD1C9A" w14:textId="77777777" w:rsidR="00CA0EF0" w:rsidRPr="00361E30" w:rsidRDefault="00CA0EF0" w:rsidP="003C13F4">
            <w:pPr>
              <w:spacing w:after="0"/>
              <w:rPr>
                <w:rFonts w:eastAsia="Times New Roman"/>
              </w:rPr>
            </w:pPr>
          </w:p>
        </w:tc>
        <w:tc>
          <w:tcPr>
            <w:tcW w:w="390" w:type="dxa"/>
          </w:tcPr>
          <w:p w14:paraId="713EE389" w14:textId="77777777" w:rsidR="00CA0EF0" w:rsidRPr="00361E30" w:rsidRDefault="00CA0EF0" w:rsidP="003C13F4">
            <w:pPr>
              <w:spacing w:after="0"/>
              <w:rPr>
                <w:rFonts w:eastAsia="Times New Roman"/>
              </w:rPr>
            </w:pPr>
          </w:p>
        </w:tc>
        <w:tc>
          <w:tcPr>
            <w:tcW w:w="390" w:type="dxa"/>
          </w:tcPr>
          <w:p w14:paraId="14ABE354" w14:textId="77777777" w:rsidR="00CA0EF0" w:rsidRPr="00361E30" w:rsidRDefault="00CA0EF0" w:rsidP="003C13F4">
            <w:pPr>
              <w:spacing w:after="0"/>
              <w:rPr>
                <w:rFonts w:eastAsia="Times New Roman"/>
              </w:rPr>
            </w:pPr>
          </w:p>
        </w:tc>
        <w:tc>
          <w:tcPr>
            <w:tcW w:w="390" w:type="dxa"/>
          </w:tcPr>
          <w:p w14:paraId="213CB801" w14:textId="77777777" w:rsidR="00CA0EF0" w:rsidRPr="00361E30" w:rsidRDefault="00CA0EF0" w:rsidP="003C13F4">
            <w:pPr>
              <w:spacing w:after="0"/>
              <w:rPr>
                <w:rFonts w:eastAsia="Times New Roman"/>
              </w:rPr>
            </w:pPr>
          </w:p>
        </w:tc>
        <w:tc>
          <w:tcPr>
            <w:tcW w:w="425" w:type="dxa"/>
          </w:tcPr>
          <w:p w14:paraId="316BB177" w14:textId="77777777" w:rsidR="00CA0EF0" w:rsidRPr="00361E30" w:rsidRDefault="00CA0EF0" w:rsidP="003C13F4">
            <w:pPr>
              <w:spacing w:after="0"/>
              <w:rPr>
                <w:rFonts w:eastAsia="Times New Roman"/>
              </w:rPr>
            </w:pPr>
          </w:p>
        </w:tc>
        <w:tc>
          <w:tcPr>
            <w:tcW w:w="425" w:type="dxa"/>
          </w:tcPr>
          <w:p w14:paraId="0B83F76D" w14:textId="77777777" w:rsidR="00CA0EF0" w:rsidRPr="00361E30" w:rsidRDefault="00CA0EF0" w:rsidP="003C13F4">
            <w:pPr>
              <w:spacing w:after="0"/>
              <w:rPr>
                <w:rFonts w:eastAsia="Times New Roman"/>
              </w:rPr>
            </w:pPr>
          </w:p>
        </w:tc>
        <w:tc>
          <w:tcPr>
            <w:tcW w:w="425" w:type="dxa"/>
          </w:tcPr>
          <w:p w14:paraId="60B7D83A" w14:textId="77777777" w:rsidR="00CA0EF0" w:rsidRPr="00361E30" w:rsidRDefault="00CA0EF0" w:rsidP="003C13F4">
            <w:pPr>
              <w:spacing w:after="0"/>
              <w:rPr>
                <w:rFonts w:eastAsia="Times New Roman"/>
              </w:rPr>
            </w:pPr>
          </w:p>
        </w:tc>
        <w:tc>
          <w:tcPr>
            <w:tcW w:w="426" w:type="dxa"/>
          </w:tcPr>
          <w:p w14:paraId="07EF1BCA" w14:textId="77777777" w:rsidR="00CA0EF0" w:rsidRPr="00361E30" w:rsidRDefault="00CA0EF0" w:rsidP="003C13F4">
            <w:pPr>
              <w:spacing w:after="0"/>
              <w:rPr>
                <w:rFonts w:eastAsia="Times New Roman"/>
              </w:rPr>
            </w:pPr>
          </w:p>
        </w:tc>
        <w:tc>
          <w:tcPr>
            <w:tcW w:w="425" w:type="dxa"/>
          </w:tcPr>
          <w:p w14:paraId="7B09CB60" w14:textId="77777777" w:rsidR="00CA0EF0" w:rsidRPr="00361E30" w:rsidRDefault="00CA0EF0" w:rsidP="003C13F4">
            <w:pPr>
              <w:spacing w:after="0"/>
              <w:rPr>
                <w:rFonts w:eastAsia="Times New Roman"/>
              </w:rPr>
            </w:pPr>
          </w:p>
        </w:tc>
      </w:tr>
      <w:tr w:rsidR="00CA0EF0" w:rsidRPr="00361E30" w14:paraId="4599828B" w14:textId="77777777" w:rsidTr="003C13F4">
        <w:tc>
          <w:tcPr>
            <w:tcW w:w="1402" w:type="dxa"/>
            <w:vAlign w:val="bottom"/>
          </w:tcPr>
          <w:p w14:paraId="5121558B" w14:textId="77777777" w:rsidR="00CA0EF0" w:rsidRPr="00361E30" w:rsidRDefault="00CA0EF0" w:rsidP="003C13F4">
            <w:pPr>
              <w:spacing w:after="0"/>
              <w:rPr>
                <w:rFonts w:ascii="Calibri" w:hAnsi="Calibri"/>
              </w:rPr>
            </w:pPr>
            <w:r w:rsidRPr="00361E30">
              <w:rPr>
                <w:rFonts w:ascii="Calibri" w:hAnsi="Calibri"/>
              </w:rPr>
              <w:t>Grossman</w:t>
            </w:r>
          </w:p>
        </w:tc>
        <w:tc>
          <w:tcPr>
            <w:tcW w:w="742" w:type="dxa"/>
            <w:vAlign w:val="bottom"/>
          </w:tcPr>
          <w:p w14:paraId="06DB9C4D" w14:textId="77777777" w:rsidR="00CA0EF0" w:rsidRPr="00361E30" w:rsidRDefault="00CA0EF0" w:rsidP="003C13F4">
            <w:pPr>
              <w:spacing w:after="0"/>
              <w:jc w:val="right"/>
              <w:rPr>
                <w:rFonts w:ascii="Calibri" w:hAnsi="Calibri"/>
              </w:rPr>
            </w:pPr>
            <w:r w:rsidRPr="00361E30">
              <w:rPr>
                <w:rFonts w:ascii="Calibri" w:hAnsi="Calibri"/>
              </w:rPr>
              <w:t>2002</w:t>
            </w:r>
          </w:p>
        </w:tc>
        <w:tc>
          <w:tcPr>
            <w:tcW w:w="1208" w:type="dxa"/>
            <w:vAlign w:val="bottom"/>
          </w:tcPr>
          <w:p w14:paraId="3207F18B" w14:textId="77777777" w:rsidR="00CA0EF0" w:rsidRPr="00361E30" w:rsidRDefault="00CA0EF0" w:rsidP="003C13F4">
            <w:pPr>
              <w:spacing w:after="0"/>
              <w:rPr>
                <w:rFonts w:ascii="Calibri" w:hAnsi="Calibri"/>
              </w:rPr>
            </w:pPr>
            <w:r w:rsidRPr="00361E30">
              <w:rPr>
                <w:rFonts w:ascii="Calibri" w:hAnsi="Calibri"/>
              </w:rPr>
              <w:t>USA</w:t>
            </w:r>
          </w:p>
        </w:tc>
        <w:tc>
          <w:tcPr>
            <w:tcW w:w="474" w:type="dxa"/>
          </w:tcPr>
          <w:p w14:paraId="75CA247B" w14:textId="77777777" w:rsidR="00CA0EF0" w:rsidRPr="00361E30" w:rsidRDefault="00CA0EF0" w:rsidP="003C13F4">
            <w:pPr>
              <w:spacing w:after="0"/>
              <w:rPr>
                <w:rFonts w:eastAsia="Times New Roman"/>
              </w:rPr>
            </w:pPr>
          </w:p>
        </w:tc>
        <w:tc>
          <w:tcPr>
            <w:tcW w:w="474" w:type="dxa"/>
          </w:tcPr>
          <w:p w14:paraId="66E66B5B" w14:textId="77777777" w:rsidR="00CA0EF0" w:rsidRPr="00361E30" w:rsidRDefault="00CA0EF0" w:rsidP="003C13F4">
            <w:pPr>
              <w:spacing w:after="0"/>
              <w:rPr>
                <w:rFonts w:eastAsia="Times New Roman"/>
              </w:rPr>
            </w:pPr>
            <w:r w:rsidRPr="00361E30">
              <w:rPr>
                <w:rFonts w:eastAsia="Times New Roman"/>
              </w:rPr>
              <w:t>√</w:t>
            </w:r>
          </w:p>
        </w:tc>
        <w:tc>
          <w:tcPr>
            <w:tcW w:w="475" w:type="dxa"/>
          </w:tcPr>
          <w:p w14:paraId="30B178D2" w14:textId="77777777" w:rsidR="00CA0EF0" w:rsidRPr="00361E30" w:rsidRDefault="00CA0EF0" w:rsidP="003C13F4">
            <w:pPr>
              <w:spacing w:after="0"/>
              <w:rPr>
                <w:rFonts w:eastAsia="Times New Roman"/>
              </w:rPr>
            </w:pPr>
            <w:r w:rsidRPr="00361E30">
              <w:rPr>
                <w:rFonts w:eastAsia="Times New Roman"/>
              </w:rPr>
              <w:t>√</w:t>
            </w:r>
          </w:p>
        </w:tc>
        <w:tc>
          <w:tcPr>
            <w:tcW w:w="389" w:type="dxa"/>
          </w:tcPr>
          <w:p w14:paraId="2374E64F" w14:textId="77777777" w:rsidR="00CA0EF0" w:rsidRPr="00361E30" w:rsidRDefault="00CA0EF0" w:rsidP="003C13F4">
            <w:pPr>
              <w:spacing w:after="0"/>
              <w:rPr>
                <w:rFonts w:eastAsia="Times New Roman"/>
              </w:rPr>
            </w:pPr>
          </w:p>
        </w:tc>
        <w:tc>
          <w:tcPr>
            <w:tcW w:w="390" w:type="dxa"/>
          </w:tcPr>
          <w:p w14:paraId="56B42C41" w14:textId="77777777" w:rsidR="00CA0EF0" w:rsidRPr="00361E30" w:rsidRDefault="00CA0EF0" w:rsidP="003C13F4">
            <w:pPr>
              <w:spacing w:after="0"/>
              <w:rPr>
                <w:rFonts w:eastAsia="Times New Roman"/>
              </w:rPr>
            </w:pPr>
          </w:p>
        </w:tc>
        <w:tc>
          <w:tcPr>
            <w:tcW w:w="390" w:type="dxa"/>
          </w:tcPr>
          <w:p w14:paraId="5912A55C" w14:textId="77777777" w:rsidR="00CA0EF0" w:rsidRPr="00361E30" w:rsidRDefault="00CA0EF0" w:rsidP="003C13F4">
            <w:pPr>
              <w:spacing w:after="0"/>
              <w:rPr>
                <w:rFonts w:eastAsia="Times New Roman"/>
              </w:rPr>
            </w:pPr>
          </w:p>
        </w:tc>
        <w:tc>
          <w:tcPr>
            <w:tcW w:w="390" w:type="dxa"/>
          </w:tcPr>
          <w:p w14:paraId="3B5E9BE7" w14:textId="77777777" w:rsidR="00CA0EF0" w:rsidRPr="00361E30" w:rsidRDefault="00CA0EF0" w:rsidP="003C13F4">
            <w:pPr>
              <w:spacing w:after="0"/>
              <w:rPr>
                <w:rFonts w:eastAsia="Times New Roman"/>
              </w:rPr>
            </w:pPr>
          </w:p>
        </w:tc>
        <w:tc>
          <w:tcPr>
            <w:tcW w:w="425" w:type="dxa"/>
          </w:tcPr>
          <w:p w14:paraId="378FD2D2" w14:textId="77777777" w:rsidR="00CA0EF0" w:rsidRPr="00361E30" w:rsidRDefault="00CA0EF0" w:rsidP="003C13F4">
            <w:pPr>
              <w:spacing w:after="0"/>
            </w:pPr>
            <w:r w:rsidRPr="00361E30">
              <w:rPr>
                <w:rFonts w:eastAsia="Times New Roman"/>
              </w:rPr>
              <w:t>√</w:t>
            </w:r>
          </w:p>
        </w:tc>
        <w:tc>
          <w:tcPr>
            <w:tcW w:w="425" w:type="dxa"/>
          </w:tcPr>
          <w:p w14:paraId="23979D54" w14:textId="77777777" w:rsidR="00CA0EF0" w:rsidRPr="00361E30" w:rsidRDefault="00CA0EF0" w:rsidP="003C13F4">
            <w:pPr>
              <w:spacing w:after="0"/>
            </w:pPr>
            <w:r w:rsidRPr="00361E30">
              <w:rPr>
                <w:rFonts w:eastAsia="Times New Roman"/>
              </w:rPr>
              <w:t>√</w:t>
            </w:r>
          </w:p>
        </w:tc>
        <w:tc>
          <w:tcPr>
            <w:tcW w:w="425" w:type="dxa"/>
          </w:tcPr>
          <w:p w14:paraId="0A7B6D98" w14:textId="77777777" w:rsidR="00CA0EF0" w:rsidRPr="00361E30" w:rsidRDefault="00CA0EF0" w:rsidP="003C13F4">
            <w:pPr>
              <w:spacing w:after="0"/>
              <w:rPr>
                <w:rFonts w:eastAsia="Times New Roman"/>
              </w:rPr>
            </w:pPr>
            <w:r w:rsidRPr="00361E30">
              <w:rPr>
                <w:rFonts w:eastAsia="Times New Roman"/>
              </w:rPr>
              <w:t>√</w:t>
            </w:r>
          </w:p>
        </w:tc>
        <w:tc>
          <w:tcPr>
            <w:tcW w:w="426" w:type="dxa"/>
          </w:tcPr>
          <w:p w14:paraId="3C281E09" w14:textId="77777777" w:rsidR="00CA0EF0" w:rsidRPr="00361E30" w:rsidRDefault="00CA0EF0" w:rsidP="003C13F4">
            <w:pPr>
              <w:spacing w:after="0"/>
              <w:rPr>
                <w:rFonts w:eastAsia="Times New Roman"/>
              </w:rPr>
            </w:pPr>
            <w:r w:rsidRPr="00361E30">
              <w:rPr>
                <w:rFonts w:eastAsia="Times New Roman"/>
              </w:rPr>
              <w:t>√</w:t>
            </w:r>
          </w:p>
        </w:tc>
        <w:tc>
          <w:tcPr>
            <w:tcW w:w="425" w:type="dxa"/>
          </w:tcPr>
          <w:p w14:paraId="6A15137D" w14:textId="77777777" w:rsidR="00CA0EF0" w:rsidRPr="00361E30" w:rsidRDefault="00CA0EF0" w:rsidP="003C13F4">
            <w:pPr>
              <w:spacing w:after="0"/>
              <w:rPr>
                <w:rFonts w:eastAsia="Times New Roman"/>
              </w:rPr>
            </w:pPr>
            <w:r w:rsidRPr="00361E30">
              <w:rPr>
                <w:rFonts w:eastAsia="Times New Roman"/>
              </w:rPr>
              <w:t>√</w:t>
            </w:r>
          </w:p>
        </w:tc>
      </w:tr>
      <w:tr w:rsidR="00CA0EF0" w:rsidRPr="00361E30" w14:paraId="510B0D5C" w14:textId="77777777" w:rsidTr="003C13F4">
        <w:tc>
          <w:tcPr>
            <w:tcW w:w="1402" w:type="dxa"/>
            <w:vAlign w:val="bottom"/>
          </w:tcPr>
          <w:p w14:paraId="2D31EA0F" w14:textId="77777777" w:rsidR="00CA0EF0" w:rsidRPr="00361E30" w:rsidRDefault="00CA0EF0" w:rsidP="003C13F4">
            <w:pPr>
              <w:spacing w:after="0"/>
              <w:rPr>
                <w:rFonts w:ascii="Calibri" w:hAnsi="Calibri"/>
              </w:rPr>
            </w:pPr>
            <w:r w:rsidRPr="00361E30">
              <w:rPr>
                <w:rFonts w:ascii="Calibri" w:hAnsi="Calibri"/>
              </w:rPr>
              <w:t>Howard</w:t>
            </w:r>
          </w:p>
        </w:tc>
        <w:tc>
          <w:tcPr>
            <w:tcW w:w="742" w:type="dxa"/>
            <w:vAlign w:val="bottom"/>
          </w:tcPr>
          <w:p w14:paraId="6EED19F0" w14:textId="77777777" w:rsidR="00CA0EF0" w:rsidRPr="00361E30" w:rsidRDefault="00CA0EF0" w:rsidP="003C13F4">
            <w:pPr>
              <w:spacing w:after="0"/>
              <w:jc w:val="right"/>
              <w:rPr>
                <w:rFonts w:ascii="Calibri" w:hAnsi="Calibri"/>
              </w:rPr>
            </w:pPr>
            <w:r w:rsidRPr="00361E30">
              <w:rPr>
                <w:rFonts w:ascii="Calibri" w:hAnsi="Calibri"/>
              </w:rPr>
              <w:t>2009</w:t>
            </w:r>
          </w:p>
        </w:tc>
        <w:tc>
          <w:tcPr>
            <w:tcW w:w="1208" w:type="dxa"/>
            <w:vAlign w:val="bottom"/>
          </w:tcPr>
          <w:p w14:paraId="1908F9E3" w14:textId="77777777" w:rsidR="00CA0EF0" w:rsidRPr="00361E30" w:rsidRDefault="00CA0EF0" w:rsidP="003C13F4">
            <w:pPr>
              <w:spacing w:after="0"/>
              <w:rPr>
                <w:rFonts w:ascii="Calibri" w:hAnsi="Calibri"/>
              </w:rPr>
            </w:pPr>
            <w:r w:rsidRPr="00361E30">
              <w:rPr>
                <w:rFonts w:ascii="Calibri" w:hAnsi="Calibri"/>
              </w:rPr>
              <w:t>USA</w:t>
            </w:r>
          </w:p>
        </w:tc>
        <w:tc>
          <w:tcPr>
            <w:tcW w:w="474" w:type="dxa"/>
          </w:tcPr>
          <w:p w14:paraId="086729F2" w14:textId="77777777" w:rsidR="00CA0EF0" w:rsidRPr="00361E30" w:rsidRDefault="00CA0EF0" w:rsidP="003C13F4">
            <w:pPr>
              <w:spacing w:after="0"/>
              <w:rPr>
                <w:rFonts w:eastAsia="Times New Roman"/>
              </w:rPr>
            </w:pPr>
          </w:p>
        </w:tc>
        <w:tc>
          <w:tcPr>
            <w:tcW w:w="474" w:type="dxa"/>
          </w:tcPr>
          <w:p w14:paraId="78C0F064" w14:textId="77777777" w:rsidR="00CA0EF0" w:rsidRPr="00361E30" w:rsidRDefault="00CA0EF0" w:rsidP="003C13F4">
            <w:pPr>
              <w:spacing w:after="0"/>
              <w:rPr>
                <w:rFonts w:eastAsia="Times New Roman"/>
              </w:rPr>
            </w:pPr>
          </w:p>
        </w:tc>
        <w:tc>
          <w:tcPr>
            <w:tcW w:w="475" w:type="dxa"/>
          </w:tcPr>
          <w:p w14:paraId="1CD33779" w14:textId="77777777" w:rsidR="00CA0EF0" w:rsidRPr="00361E30" w:rsidRDefault="00CA0EF0" w:rsidP="003C13F4">
            <w:pPr>
              <w:spacing w:after="0"/>
              <w:rPr>
                <w:rFonts w:eastAsia="Times New Roman"/>
              </w:rPr>
            </w:pPr>
          </w:p>
        </w:tc>
        <w:tc>
          <w:tcPr>
            <w:tcW w:w="389" w:type="dxa"/>
          </w:tcPr>
          <w:p w14:paraId="6E03DC45" w14:textId="77777777" w:rsidR="00CA0EF0" w:rsidRPr="00361E30" w:rsidRDefault="00CA0EF0" w:rsidP="003C13F4">
            <w:pPr>
              <w:spacing w:after="0"/>
              <w:rPr>
                <w:rFonts w:eastAsia="Times New Roman"/>
              </w:rPr>
            </w:pPr>
          </w:p>
        </w:tc>
        <w:tc>
          <w:tcPr>
            <w:tcW w:w="390" w:type="dxa"/>
          </w:tcPr>
          <w:p w14:paraId="25262F91" w14:textId="77777777" w:rsidR="00CA0EF0" w:rsidRPr="00361E30" w:rsidRDefault="00CA0EF0" w:rsidP="003C13F4">
            <w:pPr>
              <w:spacing w:after="0"/>
              <w:rPr>
                <w:rFonts w:eastAsia="Times New Roman"/>
              </w:rPr>
            </w:pPr>
          </w:p>
        </w:tc>
        <w:tc>
          <w:tcPr>
            <w:tcW w:w="390" w:type="dxa"/>
          </w:tcPr>
          <w:p w14:paraId="44FB81C0" w14:textId="77777777" w:rsidR="00CA0EF0" w:rsidRPr="00361E30" w:rsidRDefault="00CA0EF0" w:rsidP="003C13F4">
            <w:pPr>
              <w:spacing w:after="0"/>
              <w:rPr>
                <w:rFonts w:eastAsia="Times New Roman"/>
              </w:rPr>
            </w:pPr>
          </w:p>
        </w:tc>
        <w:tc>
          <w:tcPr>
            <w:tcW w:w="390" w:type="dxa"/>
          </w:tcPr>
          <w:p w14:paraId="7FAD85CD" w14:textId="77777777" w:rsidR="00CA0EF0" w:rsidRPr="00361E30" w:rsidRDefault="00CA0EF0" w:rsidP="003C13F4">
            <w:pPr>
              <w:spacing w:after="0"/>
              <w:rPr>
                <w:rFonts w:eastAsia="Times New Roman"/>
              </w:rPr>
            </w:pPr>
          </w:p>
        </w:tc>
        <w:tc>
          <w:tcPr>
            <w:tcW w:w="425" w:type="dxa"/>
          </w:tcPr>
          <w:p w14:paraId="3EF30E9F" w14:textId="77777777" w:rsidR="00CA0EF0" w:rsidRPr="00361E30" w:rsidRDefault="00CA0EF0" w:rsidP="003C13F4">
            <w:pPr>
              <w:spacing w:after="0"/>
              <w:rPr>
                <w:rFonts w:eastAsia="Times New Roman"/>
              </w:rPr>
            </w:pPr>
          </w:p>
        </w:tc>
        <w:tc>
          <w:tcPr>
            <w:tcW w:w="425" w:type="dxa"/>
          </w:tcPr>
          <w:p w14:paraId="0D84BB10" w14:textId="77777777" w:rsidR="00CA0EF0" w:rsidRPr="00361E30" w:rsidRDefault="00CA0EF0" w:rsidP="003C13F4">
            <w:pPr>
              <w:spacing w:after="0"/>
              <w:rPr>
                <w:rFonts w:eastAsia="Times New Roman"/>
              </w:rPr>
            </w:pPr>
            <w:r w:rsidRPr="00361E30">
              <w:rPr>
                <w:rFonts w:eastAsia="Times New Roman"/>
              </w:rPr>
              <w:t>√</w:t>
            </w:r>
          </w:p>
        </w:tc>
        <w:tc>
          <w:tcPr>
            <w:tcW w:w="425" w:type="dxa"/>
          </w:tcPr>
          <w:p w14:paraId="38090B5C" w14:textId="77777777" w:rsidR="00CA0EF0" w:rsidRPr="00361E30" w:rsidRDefault="00CA0EF0" w:rsidP="003C13F4">
            <w:pPr>
              <w:spacing w:after="0"/>
              <w:rPr>
                <w:rFonts w:eastAsia="Times New Roman"/>
              </w:rPr>
            </w:pPr>
          </w:p>
        </w:tc>
        <w:tc>
          <w:tcPr>
            <w:tcW w:w="426" w:type="dxa"/>
          </w:tcPr>
          <w:p w14:paraId="4E05AB40" w14:textId="77777777" w:rsidR="00CA0EF0" w:rsidRPr="00361E30" w:rsidRDefault="00CA0EF0" w:rsidP="003C13F4">
            <w:pPr>
              <w:spacing w:after="0"/>
              <w:rPr>
                <w:rFonts w:eastAsia="Times New Roman"/>
              </w:rPr>
            </w:pPr>
          </w:p>
        </w:tc>
        <w:tc>
          <w:tcPr>
            <w:tcW w:w="425" w:type="dxa"/>
          </w:tcPr>
          <w:p w14:paraId="4A87A67E" w14:textId="77777777" w:rsidR="00CA0EF0" w:rsidRPr="00361E30" w:rsidRDefault="00CA0EF0" w:rsidP="003C13F4">
            <w:pPr>
              <w:spacing w:after="0"/>
              <w:rPr>
                <w:rFonts w:eastAsia="Times New Roman"/>
              </w:rPr>
            </w:pPr>
            <w:r w:rsidRPr="00361E30">
              <w:rPr>
                <w:rFonts w:eastAsia="Times New Roman"/>
              </w:rPr>
              <w:t>√</w:t>
            </w:r>
          </w:p>
        </w:tc>
      </w:tr>
      <w:tr w:rsidR="00CA0EF0" w:rsidRPr="00361E30" w14:paraId="6948F260" w14:textId="77777777" w:rsidTr="003C13F4">
        <w:tc>
          <w:tcPr>
            <w:tcW w:w="1402" w:type="dxa"/>
            <w:vAlign w:val="bottom"/>
          </w:tcPr>
          <w:p w14:paraId="300C573E" w14:textId="77777777" w:rsidR="00CA0EF0" w:rsidRPr="00361E30" w:rsidRDefault="00CA0EF0" w:rsidP="003C13F4">
            <w:pPr>
              <w:spacing w:after="0"/>
              <w:rPr>
                <w:rFonts w:ascii="Calibri" w:hAnsi="Calibri"/>
              </w:rPr>
            </w:pPr>
            <w:r w:rsidRPr="00361E30">
              <w:rPr>
                <w:rFonts w:ascii="Calibri" w:hAnsi="Calibri"/>
              </w:rPr>
              <w:t>Kuhne</w:t>
            </w:r>
          </w:p>
        </w:tc>
        <w:tc>
          <w:tcPr>
            <w:tcW w:w="742" w:type="dxa"/>
            <w:vAlign w:val="bottom"/>
          </w:tcPr>
          <w:p w14:paraId="647BB0AD" w14:textId="77777777" w:rsidR="00CA0EF0" w:rsidRPr="00361E30" w:rsidRDefault="00CA0EF0" w:rsidP="003C13F4">
            <w:pPr>
              <w:spacing w:after="0"/>
              <w:jc w:val="right"/>
              <w:rPr>
                <w:rFonts w:ascii="Calibri" w:hAnsi="Calibri"/>
              </w:rPr>
            </w:pPr>
            <w:r w:rsidRPr="00361E30">
              <w:rPr>
                <w:rFonts w:ascii="Calibri" w:hAnsi="Calibri"/>
              </w:rPr>
              <w:t>2005</w:t>
            </w:r>
          </w:p>
        </w:tc>
        <w:tc>
          <w:tcPr>
            <w:tcW w:w="1208" w:type="dxa"/>
            <w:vAlign w:val="bottom"/>
          </w:tcPr>
          <w:p w14:paraId="7835BDCD" w14:textId="77777777" w:rsidR="00CA0EF0" w:rsidRPr="00361E30" w:rsidRDefault="00CA0EF0" w:rsidP="003C13F4">
            <w:pPr>
              <w:spacing w:after="0"/>
              <w:rPr>
                <w:rFonts w:ascii="Calibri" w:hAnsi="Calibri"/>
              </w:rPr>
            </w:pPr>
            <w:r w:rsidRPr="00361E30">
              <w:rPr>
                <w:rFonts w:ascii="Calibri" w:hAnsi="Calibri"/>
              </w:rPr>
              <w:t>Germany</w:t>
            </w:r>
          </w:p>
        </w:tc>
        <w:tc>
          <w:tcPr>
            <w:tcW w:w="474" w:type="dxa"/>
          </w:tcPr>
          <w:p w14:paraId="40BF6353" w14:textId="77777777" w:rsidR="00CA0EF0" w:rsidRPr="00361E30" w:rsidRDefault="00CA0EF0" w:rsidP="003C13F4">
            <w:pPr>
              <w:spacing w:after="0"/>
              <w:rPr>
                <w:rFonts w:eastAsia="Times New Roman"/>
              </w:rPr>
            </w:pPr>
            <w:r w:rsidRPr="00361E30">
              <w:rPr>
                <w:rFonts w:eastAsia="Times New Roman"/>
              </w:rPr>
              <w:t>√</w:t>
            </w:r>
          </w:p>
        </w:tc>
        <w:tc>
          <w:tcPr>
            <w:tcW w:w="474" w:type="dxa"/>
          </w:tcPr>
          <w:p w14:paraId="095238C1" w14:textId="77777777" w:rsidR="00CA0EF0" w:rsidRPr="00361E30" w:rsidRDefault="00CA0EF0" w:rsidP="003C13F4">
            <w:pPr>
              <w:spacing w:after="0"/>
              <w:rPr>
                <w:rFonts w:eastAsia="Times New Roman"/>
              </w:rPr>
            </w:pPr>
          </w:p>
        </w:tc>
        <w:tc>
          <w:tcPr>
            <w:tcW w:w="475" w:type="dxa"/>
          </w:tcPr>
          <w:p w14:paraId="3257F02C" w14:textId="77777777" w:rsidR="00CA0EF0" w:rsidRPr="00361E30" w:rsidRDefault="00CA0EF0" w:rsidP="003C13F4">
            <w:pPr>
              <w:spacing w:after="0"/>
              <w:rPr>
                <w:rFonts w:eastAsia="Times New Roman"/>
              </w:rPr>
            </w:pPr>
          </w:p>
        </w:tc>
        <w:tc>
          <w:tcPr>
            <w:tcW w:w="389" w:type="dxa"/>
          </w:tcPr>
          <w:p w14:paraId="72A59A54" w14:textId="77777777" w:rsidR="00CA0EF0" w:rsidRPr="00361E30" w:rsidRDefault="00CA0EF0" w:rsidP="003C13F4">
            <w:pPr>
              <w:spacing w:after="0"/>
              <w:rPr>
                <w:rFonts w:eastAsia="Times New Roman"/>
              </w:rPr>
            </w:pPr>
          </w:p>
        </w:tc>
        <w:tc>
          <w:tcPr>
            <w:tcW w:w="390" w:type="dxa"/>
          </w:tcPr>
          <w:p w14:paraId="561E7A41" w14:textId="77777777" w:rsidR="00CA0EF0" w:rsidRPr="00361E30" w:rsidRDefault="00CA0EF0" w:rsidP="003C13F4">
            <w:pPr>
              <w:spacing w:after="0"/>
              <w:rPr>
                <w:rFonts w:eastAsia="Times New Roman"/>
              </w:rPr>
            </w:pPr>
          </w:p>
        </w:tc>
        <w:tc>
          <w:tcPr>
            <w:tcW w:w="390" w:type="dxa"/>
          </w:tcPr>
          <w:p w14:paraId="6A4505A0" w14:textId="77777777" w:rsidR="00CA0EF0" w:rsidRPr="00361E30" w:rsidRDefault="00CA0EF0" w:rsidP="003C13F4">
            <w:pPr>
              <w:spacing w:after="0"/>
              <w:rPr>
                <w:rFonts w:eastAsia="Times New Roman"/>
              </w:rPr>
            </w:pPr>
          </w:p>
        </w:tc>
        <w:tc>
          <w:tcPr>
            <w:tcW w:w="390" w:type="dxa"/>
          </w:tcPr>
          <w:p w14:paraId="74F5A82F" w14:textId="77777777" w:rsidR="00CA0EF0" w:rsidRPr="00361E30" w:rsidRDefault="00CA0EF0" w:rsidP="003C13F4">
            <w:pPr>
              <w:spacing w:after="0"/>
              <w:rPr>
                <w:rFonts w:eastAsia="Times New Roman"/>
              </w:rPr>
            </w:pPr>
          </w:p>
        </w:tc>
        <w:tc>
          <w:tcPr>
            <w:tcW w:w="425" w:type="dxa"/>
          </w:tcPr>
          <w:p w14:paraId="0F4203D8" w14:textId="77777777" w:rsidR="00CA0EF0" w:rsidRPr="00361E30" w:rsidRDefault="00CA0EF0" w:rsidP="003C13F4">
            <w:pPr>
              <w:spacing w:after="0"/>
              <w:rPr>
                <w:rFonts w:eastAsia="Times New Roman"/>
              </w:rPr>
            </w:pPr>
          </w:p>
        </w:tc>
        <w:tc>
          <w:tcPr>
            <w:tcW w:w="425" w:type="dxa"/>
          </w:tcPr>
          <w:p w14:paraId="729A372E" w14:textId="77777777" w:rsidR="00CA0EF0" w:rsidRPr="00361E30" w:rsidRDefault="00CA0EF0" w:rsidP="003C13F4">
            <w:pPr>
              <w:spacing w:after="0"/>
              <w:rPr>
                <w:rFonts w:eastAsia="Times New Roman"/>
              </w:rPr>
            </w:pPr>
          </w:p>
        </w:tc>
        <w:tc>
          <w:tcPr>
            <w:tcW w:w="425" w:type="dxa"/>
          </w:tcPr>
          <w:p w14:paraId="2143C504" w14:textId="77777777" w:rsidR="00CA0EF0" w:rsidRPr="00361E30" w:rsidRDefault="00CA0EF0" w:rsidP="003C13F4">
            <w:pPr>
              <w:spacing w:after="0"/>
              <w:rPr>
                <w:rFonts w:eastAsia="Times New Roman"/>
              </w:rPr>
            </w:pPr>
          </w:p>
        </w:tc>
        <w:tc>
          <w:tcPr>
            <w:tcW w:w="426" w:type="dxa"/>
          </w:tcPr>
          <w:p w14:paraId="3FE9F41C" w14:textId="77777777" w:rsidR="00CA0EF0" w:rsidRPr="00361E30" w:rsidRDefault="00CA0EF0" w:rsidP="003C13F4">
            <w:pPr>
              <w:spacing w:after="0"/>
              <w:rPr>
                <w:rFonts w:eastAsia="Times New Roman"/>
              </w:rPr>
            </w:pPr>
          </w:p>
        </w:tc>
        <w:tc>
          <w:tcPr>
            <w:tcW w:w="425" w:type="dxa"/>
          </w:tcPr>
          <w:p w14:paraId="0D469EDB" w14:textId="77777777" w:rsidR="00CA0EF0" w:rsidRPr="00361E30" w:rsidRDefault="00CA0EF0" w:rsidP="003C13F4">
            <w:pPr>
              <w:spacing w:after="0"/>
              <w:rPr>
                <w:rFonts w:eastAsia="Times New Roman"/>
              </w:rPr>
            </w:pPr>
          </w:p>
        </w:tc>
      </w:tr>
      <w:tr w:rsidR="00CA0EF0" w:rsidRPr="00361E30" w14:paraId="77E16C0A" w14:textId="77777777" w:rsidTr="003C13F4">
        <w:tc>
          <w:tcPr>
            <w:tcW w:w="1402" w:type="dxa"/>
            <w:vAlign w:val="bottom"/>
          </w:tcPr>
          <w:p w14:paraId="2E873D45" w14:textId="77777777" w:rsidR="00CA0EF0" w:rsidRPr="00361E30" w:rsidRDefault="00CA0EF0" w:rsidP="003C13F4">
            <w:pPr>
              <w:spacing w:after="0"/>
              <w:rPr>
                <w:rFonts w:ascii="Calibri" w:hAnsi="Calibri"/>
              </w:rPr>
            </w:pPr>
            <w:r w:rsidRPr="00361E30">
              <w:rPr>
                <w:rFonts w:ascii="Calibri" w:hAnsi="Calibri"/>
              </w:rPr>
              <w:t>Lustenberger</w:t>
            </w:r>
          </w:p>
        </w:tc>
        <w:tc>
          <w:tcPr>
            <w:tcW w:w="742" w:type="dxa"/>
            <w:vAlign w:val="bottom"/>
          </w:tcPr>
          <w:p w14:paraId="1546453A" w14:textId="77777777" w:rsidR="00CA0EF0" w:rsidRPr="00361E30" w:rsidRDefault="00CA0EF0" w:rsidP="003C13F4">
            <w:pPr>
              <w:spacing w:after="0"/>
              <w:jc w:val="right"/>
              <w:rPr>
                <w:rFonts w:ascii="Calibri" w:hAnsi="Calibri"/>
              </w:rPr>
            </w:pPr>
            <w:r w:rsidRPr="00361E30">
              <w:rPr>
                <w:rFonts w:ascii="Calibri" w:hAnsi="Calibri"/>
              </w:rPr>
              <w:t>2011</w:t>
            </w:r>
          </w:p>
        </w:tc>
        <w:tc>
          <w:tcPr>
            <w:tcW w:w="1208" w:type="dxa"/>
            <w:vAlign w:val="bottom"/>
          </w:tcPr>
          <w:p w14:paraId="43DA8EA6" w14:textId="77777777" w:rsidR="00CA0EF0" w:rsidRPr="00361E30" w:rsidRDefault="00CA0EF0" w:rsidP="003C13F4">
            <w:pPr>
              <w:spacing w:after="0"/>
              <w:rPr>
                <w:rFonts w:ascii="Calibri" w:hAnsi="Calibri"/>
              </w:rPr>
            </w:pPr>
            <w:r w:rsidRPr="00361E30">
              <w:rPr>
                <w:rFonts w:ascii="Calibri" w:hAnsi="Calibri"/>
              </w:rPr>
              <w:t>USA</w:t>
            </w:r>
          </w:p>
        </w:tc>
        <w:tc>
          <w:tcPr>
            <w:tcW w:w="474" w:type="dxa"/>
          </w:tcPr>
          <w:p w14:paraId="329F4235" w14:textId="77777777" w:rsidR="00CA0EF0" w:rsidRPr="00361E30" w:rsidRDefault="00CA0EF0" w:rsidP="003C13F4">
            <w:pPr>
              <w:spacing w:after="0"/>
              <w:rPr>
                <w:rFonts w:eastAsia="Times New Roman"/>
              </w:rPr>
            </w:pPr>
          </w:p>
        </w:tc>
        <w:tc>
          <w:tcPr>
            <w:tcW w:w="474" w:type="dxa"/>
          </w:tcPr>
          <w:p w14:paraId="22BBC52C" w14:textId="77777777" w:rsidR="00CA0EF0" w:rsidRPr="00361E30" w:rsidRDefault="00CA0EF0" w:rsidP="003C13F4">
            <w:pPr>
              <w:spacing w:after="0"/>
              <w:rPr>
                <w:rFonts w:eastAsia="Times New Roman"/>
              </w:rPr>
            </w:pPr>
          </w:p>
        </w:tc>
        <w:tc>
          <w:tcPr>
            <w:tcW w:w="475" w:type="dxa"/>
          </w:tcPr>
          <w:p w14:paraId="1887DB44" w14:textId="77777777" w:rsidR="00CA0EF0" w:rsidRPr="00361E30" w:rsidRDefault="00CA0EF0" w:rsidP="003C13F4">
            <w:pPr>
              <w:spacing w:after="0"/>
              <w:rPr>
                <w:rFonts w:eastAsia="Times New Roman"/>
              </w:rPr>
            </w:pPr>
          </w:p>
        </w:tc>
        <w:tc>
          <w:tcPr>
            <w:tcW w:w="389" w:type="dxa"/>
          </w:tcPr>
          <w:p w14:paraId="2EF36E9C" w14:textId="77777777" w:rsidR="00CA0EF0" w:rsidRPr="00361E30" w:rsidRDefault="00CA0EF0" w:rsidP="003C13F4">
            <w:pPr>
              <w:spacing w:after="0"/>
              <w:rPr>
                <w:rFonts w:eastAsia="Times New Roman"/>
              </w:rPr>
            </w:pPr>
          </w:p>
        </w:tc>
        <w:tc>
          <w:tcPr>
            <w:tcW w:w="390" w:type="dxa"/>
          </w:tcPr>
          <w:p w14:paraId="4BE72545" w14:textId="77777777" w:rsidR="00CA0EF0" w:rsidRPr="00361E30" w:rsidRDefault="00CA0EF0" w:rsidP="003C13F4">
            <w:pPr>
              <w:spacing w:after="0"/>
              <w:rPr>
                <w:rFonts w:eastAsia="Times New Roman"/>
              </w:rPr>
            </w:pPr>
          </w:p>
        </w:tc>
        <w:tc>
          <w:tcPr>
            <w:tcW w:w="390" w:type="dxa"/>
          </w:tcPr>
          <w:p w14:paraId="7D8DB6A8" w14:textId="77777777" w:rsidR="00CA0EF0" w:rsidRPr="00361E30" w:rsidRDefault="00CA0EF0" w:rsidP="003C13F4">
            <w:pPr>
              <w:spacing w:after="0"/>
              <w:rPr>
                <w:rFonts w:eastAsia="Times New Roman"/>
              </w:rPr>
            </w:pPr>
            <w:r w:rsidRPr="00361E30">
              <w:rPr>
                <w:rFonts w:eastAsia="Times New Roman"/>
              </w:rPr>
              <w:t>√</w:t>
            </w:r>
          </w:p>
        </w:tc>
        <w:tc>
          <w:tcPr>
            <w:tcW w:w="390" w:type="dxa"/>
          </w:tcPr>
          <w:p w14:paraId="40A54F21" w14:textId="77777777" w:rsidR="00CA0EF0" w:rsidRPr="00361E30" w:rsidRDefault="00CA0EF0" w:rsidP="003C13F4">
            <w:pPr>
              <w:spacing w:after="0"/>
              <w:rPr>
                <w:rFonts w:eastAsia="Times New Roman"/>
              </w:rPr>
            </w:pPr>
          </w:p>
        </w:tc>
        <w:tc>
          <w:tcPr>
            <w:tcW w:w="425" w:type="dxa"/>
          </w:tcPr>
          <w:p w14:paraId="20D987D2" w14:textId="77777777" w:rsidR="00CA0EF0" w:rsidRPr="00361E30" w:rsidRDefault="00CA0EF0" w:rsidP="003C13F4">
            <w:pPr>
              <w:spacing w:after="0"/>
              <w:rPr>
                <w:rFonts w:eastAsia="Times New Roman"/>
              </w:rPr>
            </w:pPr>
          </w:p>
        </w:tc>
        <w:tc>
          <w:tcPr>
            <w:tcW w:w="425" w:type="dxa"/>
          </w:tcPr>
          <w:p w14:paraId="543C4D2B" w14:textId="77777777" w:rsidR="00CA0EF0" w:rsidRPr="00361E30" w:rsidRDefault="00CA0EF0" w:rsidP="003C13F4">
            <w:pPr>
              <w:spacing w:after="0"/>
              <w:rPr>
                <w:rFonts w:eastAsia="Times New Roman"/>
              </w:rPr>
            </w:pPr>
          </w:p>
        </w:tc>
        <w:tc>
          <w:tcPr>
            <w:tcW w:w="425" w:type="dxa"/>
          </w:tcPr>
          <w:p w14:paraId="28694835" w14:textId="77777777" w:rsidR="00CA0EF0" w:rsidRPr="00361E30" w:rsidRDefault="00CA0EF0" w:rsidP="003C13F4">
            <w:pPr>
              <w:spacing w:after="0"/>
              <w:rPr>
                <w:rFonts w:eastAsia="Times New Roman"/>
              </w:rPr>
            </w:pPr>
            <w:r w:rsidRPr="00361E30">
              <w:rPr>
                <w:rFonts w:eastAsia="Times New Roman"/>
              </w:rPr>
              <w:t>√</w:t>
            </w:r>
          </w:p>
        </w:tc>
        <w:tc>
          <w:tcPr>
            <w:tcW w:w="426" w:type="dxa"/>
          </w:tcPr>
          <w:p w14:paraId="6A03EE12" w14:textId="77777777" w:rsidR="00CA0EF0" w:rsidRPr="00361E30" w:rsidRDefault="00CA0EF0" w:rsidP="003C13F4">
            <w:pPr>
              <w:spacing w:after="0"/>
              <w:rPr>
                <w:rFonts w:eastAsia="Times New Roman"/>
              </w:rPr>
            </w:pPr>
            <w:r w:rsidRPr="00361E30">
              <w:rPr>
                <w:rFonts w:eastAsia="Times New Roman"/>
              </w:rPr>
              <w:t>√</w:t>
            </w:r>
          </w:p>
        </w:tc>
        <w:tc>
          <w:tcPr>
            <w:tcW w:w="425" w:type="dxa"/>
          </w:tcPr>
          <w:p w14:paraId="33D11A0E" w14:textId="77777777" w:rsidR="00CA0EF0" w:rsidRPr="00361E30" w:rsidRDefault="00CA0EF0" w:rsidP="003C13F4">
            <w:pPr>
              <w:spacing w:after="0"/>
              <w:rPr>
                <w:rFonts w:eastAsia="Times New Roman"/>
              </w:rPr>
            </w:pPr>
          </w:p>
        </w:tc>
      </w:tr>
      <w:tr w:rsidR="00CA0EF0" w:rsidRPr="00361E30" w14:paraId="4ACC249E" w14:textId="77777777" w:rsidTr="003C13F4">
        <w:tc>
          <w:tcPr>
            <w:tcW w:w="1402" w:type="dxa"/>
            <w:vAlign w:val="bottom"/>
          </w:tcPr>
          <w:p w14:paraId="1DFABD7C" w14:textId="77777777" w:rsidR="00CA0EF0" w:rsidRPr="00361E30" w:rsidRDefault="00CA0EF0" w:rsidP="003C13F4">
            <w:pPr>
              <w:spacing w:after="0"/>
              <w:rPr>
                <w:rFonts w:ascii="Calibri" w:hAnsi="Calibri"/>
              </w:rPr>
            </w:pPr>
            <w:r w:rsidRPr="00361E30">
              <w:rPr>
                <w:rFonts w:ascii="Calibri" w:hAnsi="Calibri"/>
              </w:rPr>
              <w:t>Richmond</w:t>
            </w:r>
          </w:p>
        </w:tc>
        <w:tc>
          <w:tcPr>
            <w:tcW w:w="742" w:type="dxa"/>
            <w:vAlign w:val="bottom"/>
          </w:tcPr>
          <w:p w14:paraId="37440FA5" w14:textId="77777777" w:rsidR="00CA0EF0" w:rsidRPr="00361E30" w:rsidRDefault="00CA0EF0" w:rsidP="003C13F4">
            <w:pPr>
              <w:spacing w:after="0"/>
              <w:jc w:val="right"/>
              <w:rPr>
                <w:rFonts w:ascii="Calibri" w:hAnsi="Calibri"/>
              </w:rPr>
            </w:pPr>
            <w:r w:rsidRPr="00361E30">
              <w:rPr>
                <w:rFonts w:ascii="Calibri" w:hAnsi="Calibri"/>
              </w:rPr>
              <w:t>2002</w:t>
            </w:r>
          </w:p>
        </w:tc>
        <w:tc>
          <w:tcPr>
            <w:tcW w:w="1208" w:type="dxa"/>
            <w:vAlign w:val="bottom"/>
          </w:tcPr>
          <w:p w14:paraId="4918FF5D" w14:textId="77777777" w:rsidR="00CA0EF0" w:rsidRPr="00361E30" w:rsidRDefault="00CA0EF0" w:rsidP="003C13F4">
            <w:pPr>
              <w:spacing w:after="0"/>
              <w:rPr>
                <w:rFonts w:ascii="Calibri" w:hAnsi="Calibri"/>
              </w:rPr>
            </w:pPr>
            <w:r w:rsidRPr="00361E30">
              <w:rPr>
                <w:rFonts w:ascii="Calibri" w:hAnsi="Calibri"/>
              </w:rPr>
              <w:t>USA</w:t>
            </w:r>
          </w:p>
        </w:tc>
        <w:tc>
          <w:tcPr>
            <w:tcW w:w="474" w:type="dxa"/>
          </w:tcPr>
          <w:p w14:paraId="5F096521" w14:textId="77777777" w:rsidR="00CA0EF0" w:rsidRPr="00361E30" w:rsidRDefault="00CA0EF0" w:rsidP="003C13F4">
            <w:pPr>
              <w:spacing w:after="0"/>
              <w:rPr>
                <w:rFonts w:eastAsia="Times New Roman"/>
              </w:rPr>
            </w:pPr>
          </w:p>
        </w:tc>
        <w:tc>
          <w:tcPr>
            <w:tcW w:w="474" w:type="dxa"/>
          </w:tcPr>
          <w:p w14:paraId="067994BC" w14:textId="77777777" w:rsidR="00CA0EF0" w:rsidRPr="00361E30" w:rsidRDefault="00CA0EF0" w:rsidP="003C13F4">
            <w:pPr>
              <w:spacing w:after="0"/>
              <w:rPr>
                <w:rFonts w:eastAsia="Times New Roman"/>
              </w:rPr>
            </w:pPr>
            <w:r w:rsidRPr="00361E30">
              <w:rPr>
                <w:rFonts w:eastAsia="Times New Roman"/>
              </w:rPr>
              <w:t>√</w:t>
            </w:r>
          </w:p>
        </w:tc>
        <w:tc>
          <w:tcPr>
            <w:tcW w:w="475" w:type="dxa"/>
          </w:tcPr>
          <w:p w14:paraId="014B9970" w14:textId="77777777" w:rsidR="00CA0EF0" w:rsidRPr="00361E30" w:rsidRDefault="00CA0EF0" w:rsidP="003C13F4">
            <w:pPr>
              <w:spacing w:after="0"/>
              <w:rPr>
                <w:rFonts w:eastAsia="Times New Roman"/>
              </w:rPr>
            </w:pPr>
          </w:p>
        </w:tc>
        <w:tc>
          <w:tcPr>
            <w:tcW w:w="389" w:type="dxa"/>
          </w:tcPr>
          <w:p w14:paraId="4C4A0673" w14:textId="77777777" w:rsidR="00CA0EF0" w:rsidRPr="00361E30" w:rsidRDefault="00CA0EF0" w:rsidP="003C13F4">
            <w:pPr>
              <w:spacing w:after="0"/>
              <w:rPr>
                <w:rFonts w:eastAsia="Times New Roman"/>
              </w:rPr>
            </w:pPr>
            <w:r w:rsidRPr="00361E30">
              <w:rPr>
                <w:rFonts w:eastAsia="Times New Roman"/>
              </w:rPr>
              <w:t>√</w:t>
            </w:r>
          </w:p>
        </w:tc>
        <w:tc>
          <w:tcPr>
            <w:tcW w:w="390" w:type="dxa"/>
          </w:tcPr>
          <w:p w14:paraId="4EE63C6D" w14:textId="77777777" w:rsidR="00CA0EF0" w:rsidRPr="00361E30" w:rsidRDefault="00CA0EF0" w:rsidP="003C13F4">
            <w:pPr>
              <w:spacing w:after="0"/>
              <w:rPr>
                <w:rFonts w:eastAsia="Times New Roman"/>
              </w:rPr>
            </w:pPr>
            <w:r w:rsidRPr="00361E30">
              <w:rPr>
                <w:rFonts w:eastAsia="Times New Roman"/>
              </w:rPr>
              <w:t>√</w:t>
            </w:r>
          </w:p>
        </w:tc>
        <w:tc>
          <w:tcPr>
            <w:tcW w:w="390" w:type="dxa"/>
          </w:tcPr>
          <w:p w14:paraId="71A8EDF2" w14:textId="77777777" w:rsidR="00CA0EF0" w:rsidRPr="00361E30" w:rsidRDefault="00CA0EF0" w:rsidP="003C13F4">
            <w:pPr>
              <w:spacing w:after="0"/>
              <w:rPr>
                <w:rFonts w:eastAsia="Times New Roman"/>
              </w:rPr>
            </w:pPr>
            <w:r w:rsidRPr="00361E30">
              <w:rPr>
                <w:rFonts w:eastAsia="Times New Roman"/>
              </w:rPr>
              <w:t>√</w:t>
            </w:r>
          </w:p>
        </w:tc>
        <w:tc>
          <w:tcPr>
            <w:tcW w:w="390" w:type="dxa"/>
          </w:tcPr>
          <w:p w14:paraId="78BD60A3" w14:textId="77777777" w:rsidR="00CA0EF0" w:rsidRPr="00361E30" w:rsidRDefault="00CA0EF0" w:rsidP="003C13F4">
            <w:pPr>
              <w:spacing w:after="0"/>
              <w:rPr>
                <w:rFonts w:eastAsia="Times New Roman"/>
              </w:rPr>
            </w:pPr>
          </w:p>
        </w:tc>
        <w:tc>
          <w:tcPr>
            <w:tcW w:w="425" w:type="dxa"/>
          </w:tcPr>
          <w:p w14:paraId="143133A5" w14:textId="77777777" w:rsidR="00CA0EF0" w:rsidRPr="00361E30" w:rsidRDefault="00CA0EF0" w:rsidP="003C13F4">
            <w:pPr>
              <w:spacing w:after="0"/>
              <w:rPr>
                <w:rFonts w:eastAsia="Times New Roman"/>
              </w:rPr>
            </w:pPr>
            <w:r w:rsidRPr="00361E30">
              <w:rPr>
                <w:rFonts w:eastAsia="Times New Roman"/>
              </w:rPr>
              <w:t>√</w:t>
            </w:r>
          </w:p>
        </w:tc>
        <w:tc>
          <w:tcPr>
            <w:tcW w:w="425" w:type="dxa"/>
          </w:tcPr>
          <w:p w14:paraId="3E97001B" w14:textId="77777777" w:rsidR="00CA0EF0" w:rsidRPr="00361E30" w:rsidRDefault="00CA0EF0" w:rsidP="003C13F4">
            <w:pPr>
              <w:spacing w:after="0"/>
              <w:rPr>
                <w:rFonts w:eastAsia="Times New Roman"/>
              </w:rPr>
            </w:pPr>
          </w:p>
        </w:tc>
        <w:tc>
          <w:tcPr>
            <w:tcW w:w="425" w:type="dxa"/>
          </w:tcPr>
          <w:p w14:paraId="41EBEA5E" w14:textId="77777777" w:rsidR="00CA0EF0" w:rsidRPr="00361E30" w:rsidRDefault="00CA0EF0" w:rsidP="003C13F4">
            <w:pPr>
              <w:spacing w:after="0"/>
              <w:rPr>
                <w:rFonts w:eastAsia="Times New Roman"/>
              </w:rPr>
            </w:pPr>
          </w:p>
        </w:tc>
        <w:tc>
          <w:tcPr>
            <w:tcW w:w="426" w:type="dxa"/>
          </w:tcPr>
          <w:p w14:paraId="128AFAD5" w14:textId="77777777" w:rsidR="00CA0EF0" w:rsidRPr="00361E30" w:rsidRDefault="00CA0EF0" w:rsidP="003C13F4">
            <w:pPr>
              <w:spacing w:after="0"/>
              <w:rPr>
                <w:rFonts w:eastAsia="Times New Roman"/>
              </w:rPr>
            </w:pPr>
          </w:p>
        </w:tc>
        <w:tc>
          <w:tcPr>
            <w:tcW w:w="425" w:type="dxa"/>
          </w:tcPr>
          <w:p w14:paraId="78C57952" w14:textId="77777777" w:rsidR="00CA0EF0" w:rsidRPr="00361E30" w:rsidRDefault="00CA0EF0" w:rsidP="003C13F4">
            <w:pPr>
              <w:spacing w:after="0"/>
              <w:rPr>
                <w:rFonts w:eastAsia="Times New Roman"/>
              </w:rPr>
            </w:pPr>
            <w:r w:rsidRPr="00361E30">
              <w:rPr>
                <w:rFonts w:eastAsia="Times New Roman"/>
              </w:rPr>
              <w:t>√</w:t>
            </w:r>
          </w:p>
        </w:tc>
      </w:tr>
      <w:tr w:rsidR="00CA0EF0" w:rsidRPr="00361E30" w14:paraId="08E1DE29" w14:textId="77777777" w:rsidTr="003C13F4">
        <w:tc>
          <w:tcPr>
            <w:tcW w:w="1402" w:type="dxa"/>
            <w:vAlign w:val="bottom"/>
          </w:tcPr>
          <w:p w14:paraId="14A5958C" w14:textId="77777777" w:rsidR="00CA0EF0" w:rsidRPr="00361E30" w:rsidRDefault="00CA0EF0" w:rsidP="003C13F4">
            <w:pPr>
              <w:spacing w:after="0"/>
              <w:rPr>
                <w:rFonts w:ascii="Calibri" w:hAnsi="Calibri"/>
              </w:rPr>
            </w:pPr>
            <w:r w:rsidRPr="00361E30">
              <w:rPr>
                <w:rFonts w:ascii="Calibri" w:hAnsi="Calibri"/>
              </w:rPr>
              <w:t>Sampalis</w:t>
            </w:r>
          </w:p>
        </w:tc>
        <w:tc>
          <w:tcPr>
            <w:tcW w:w="742" w:type="dxa"/>
            <w:vAlign w:val="bottom"/>
          </w:tcPr>
          <w:p w14:paraId="2F66CEA9" w14:textId="77777777" w:rsidR="00CA0EF0" w:rsidRPr="00361E30" w:rsidRDefault="00CA0EF0" w:rsidP="003C13F4">
            <w:pPr>
              <w:spacing w:after="0"/>
              <w:jc w:val="right"/>
              <w:rPr>
                <w:rFonts w:ascii="Calibri" w:hAnsi="Calibri"/>
              </w:rPr>
            </w:pPr>
            <w:r w:rsidRPr="00361E30">
              <w:rPr>
                <w:rFonts w:ascii="Calibri" w:hAnsi="Calibri"/>
              </w:rPr>
              <w:t>2009</w:t>
            </w:r>
          </w:p>
        </w:tc>
        <w:tc>
          <w:tcPr>
            <w:tcW w:w="1208" w:type="dxa"/>
            <w:vAlign w:val="bottom"/>
          </w:tcPr>
          <w:p w14:paraId="16130915" w14:textId="77777777" w:rsidR="00CA0EF0" w:rsidRPr="00361E30" w:rsidRDefault="00CA0EF0" w:rsidP="003C13F4">
            <w:pPr>
              <w:spacing w:after="0"/>
              <w:rPr>
                <w:rFonts w:ascii="Calibri" w:hAnsi="Calibri"/>
              </w:rPr>
            </w:pPr>
            <w:r w:rsidRPr="00361E30">
              <w:rPr>
                <w:rFonts w:ascii="Calibri" w:hAnsi="Calibri"/>
              </w:rPr>
              <w:t>Canada</w:t>
            </w:r>
          </w:p>
        </w:tc>
        <w:tc>
          <w:tcPr>
            <w:tcW w:w="474" w:type="dxa"/>
          </w:tcPr>
          <w:p w14:paraId="73501C61" w14:textId="77777777" w:rsidR="00CA0EF0" w:rsidRPr="00361E30" w:rsidRDefault="00CA0EF0" w:rsidP="003C13F4">
            <w:pPr>
              <w:spacing w:after="0"/>
              <w:rPr>
                <w:rFonts w:eastAsia="Times New Roman"/>
              </w:rPr>
            </w:pPr>
          </w:p>
        </w:tc>
        <w:tc>
          <w:tcPr>
            <w:tcW w:w="474" w:type="dxa"/>
          </w:tcPr>
          <w:p w14:paraId="635DA674" w14:textId="77777777" w:rsidR="00CA0EF0" w:rsidRPr="00361E30" w:rsidRDefault="00CA0EF0" w:rsidP="003C13F4">
            <w:pPr>
              <w:spacing w:after="0"/>
              <w:rPr>
                <w:rFonts w:eastAsia="Times New Roman"/>
              </w:rPr>
            </w:pPr>
          </w:p>
        </w:tc>
        <w:tc>
          <w:tcPr>
            <w:tcW w:w="475" w:type="dxa"/>
          </w:tcPr>
          <w:p w14:paraId="1AC79BAA" w14:textId="77777777" w:rsidR="00CA0EF0" w:rsidRPr="00361E30" w:rsidRDefault="00CA0EF0" w:rsidP="003C13F4">
            <w:pPr>
              <w:spacing w:after="0"/>
              <w:rPr>
                <w:rFonts w:eastAsia="Times New Roman"/>
              </w:rPr>
            </w:pPr>
            <w:r w:rsidRPr="00361E30">
              <w:rPr>
                <w:rFonts w:eastAsia="Times New Roman"/>
              </w:rPr>
              <w:t>√</w:t>
            </w:r>
          </w:p>
        </w:tc>
        <w:tc>
          <w:tcPr>
            <w:tcW w:w="389" w:type="dxa"/>
          </w:tcPr>
          <w:p w14:paraId="76AB9555" w14:textId="77777777" w:rsidR="00CA0EF0" w:rsidRPr="00361E30" w:rsidRDefault="00CA0EF0" w:rsidP="003C13F4">
            <w:pPr>
              <w:spacing w:after="0"/>
              <w:rPr>
                <w:rFonts w:eastAsia="Times New Roman"/>
              </w:rPr>
            </w:pPr>
          </w:p>
        </w:tc>
        <w:tc>
          <w:tcPr>
            <w:tcW w:w="390" w:type="dxa"/>
          </w:tcPr>
          <w:p w14:paraId="2F8CD025" w14:textId="77777777" w:rsidR="00CA0EF0" w:rsidRPr="00361E30" w:rsidRDefault="00CA0EF0" w:rsidP="003C13F4">
            <w:pPr>
              <w:spacing w:after="0"/>
              <w:rPr>
                <w:rFonts w:eastAsia="Times New Roman"/>
              </w:rPr>
            </w:pPr>
            <w:r w:rsidRPr="00361E30">
              <w:rPr>
                <w:rFonts w:eastAsia="Times New Roman"/>
              </w:rPr>
              <w:t>√</w:t>
            </w:r>
          </w:p>
        </w:tc>
        <w:tc>
          <w:tcPr>
            <w:tcW w:w="390" w:type="dxa"/>
          </w:tcPr>
          <w:p w14:paraId="4819F56E" w14:textId="77777777" w:rsidR="00CA0EF0" w:rsidRPr="00361E30" w:rsidRDefault="00CA0EF0" w:rsidP="003C13F4">
            <w:pPr>
              <w:spacing w:after="0"/>
              <w:rPr>
                <w:rFonts w:eastAsia="Times New Roman"/>
              </w:rPr>
            </w:pPr>
            <w:r w:rsidRPr="00361E30">
              <w:rPr>
                <w:rFonts w:eastAsia="Times New Roman"/>
              </w:rPr>
              <w:t>√</w:t>
            </w:r>
          </w:p>
        </w:tc>
        <w:tc>
          <w:tcPr>
            <w:tcW w:w="390" w:type="dxa"/>
          </w:tcPr>
          <w:p w14:paraId="26E95C92" w14:textId="77777777" w:rsidR="00CA0EF0" w:rsidRPr="00361E30" w:rsidRDefault="00CA0EF0" w:rsidP="003C13F4">
            <w:pPr>
              <w:spacing w:after="0"/>
              <w:rPr>
                <w:rFonts w:eastAsia="Times New Roman"/>
              </w:rPr>
            </w:pPr>
            <w:r w:rsidRPr="00361E30">
              <w:rPr>
                <w:rFonts w:eastAsia="Times New Roman"/>
              </w:rPr>
              <w:t>√</w:t>
            </w:r>
          </w:p>
        </w:tc>
        <w:tc>
          <w:tcPr>
            <w:tcW w:w="425" w:type="dxa"/>
          </w:tcPr>
          <w:p w14:paraId="61911E2F" w14:textId="77777777" w:rsidR="00CA0EF0" w:rsidRPr="00361E30" w:rsidRDefault="00CA0EF0" w:rsidP="003C13F4">
            <w:pPr>
              <w:spacing w:after="0"/>
              <w:rPr>
                <w:rFonts w:eastAsia="Times New Roman"/>
              </w:rPr>
            </w:pPr>
          </w:p>
        </w:tc>
        <w:tc>
          <w:tcPr>
            <w:tcW w:w="425" w:type="dxa"/>
          </w:tcPr>
          <w:p w14:paraId="173FE66A" w14:textId="77777777" w:rsidR="00CA0EF0" w:rsidRPr="00361E30" w:rsidRDefault="00CA0EF0" w:rsidP="003C13F4">
            <w:pPr>
              <w:spacing w:after="0"/>
              <w:rPr>
                <w:rFonts w:eastAsia="Times New Roman"/>
              </w:rPr>
            </w:pPr>
          </w:p>
        </w:tc>
        <w:tc>
          <w:tcPr>
            <w:tcW w:w="425" w:type="dxa"/>
          </w:tcPr>
          <w:p w14:paraId="09773539" w14:textId="77777777" w:rsidR="00CA0EF0" w:rsidRPr="00361E30" w:rsidRDefault="00CA0EF0" w:rsidP="003C13F4">
            <w:pPr>
              <w:spacing w:after="0"/>
              <w:rPr>
                <w:rFonts w:eastAsia="Times New Roman"/>
              </w:rPr>
            </w:pPr>
          </w:p>
        </w:tc>
        <w:tc>
          <w:tcPr>
            <w:tcW w:w="426" w:type="dxa"/>
          </w:tcPr>
          <w:p w14:paraId="3D416E79" w14:textId="77777777" w:rsidR="00CA0EF0" w:rsidRPr="00361E30" w:rsidRDefault="00CA0EF0" w:rsidP="003C13F4">
            <w:pPr>
              <w:spacing w:after="0"/>
              <w:rPr>
                <w:rFonts w:eastAsia="Times New Roman"/>
              </w:rPr>
            </w:pPr>
          </w:p>
        </w:tc>
        <w:tc>
          <w:tcPr>
            <w:tcW w:w="425" w:type="dxa"/>
          </w:tcPr>
          <w:p w14:paraId="1237FC97" w14:textId="77777777" w:rsidR="00CA0EF0" w:rsidRPr="00361E30" w:rsidRDefault="00CA0EF0" w:rsidP="003C13F4">
            <w:pPr>
              <w:spacing w:after="0"/>
              <w:rPr>
                <w:rFonts w:eastAsia="Times New Roman"/>
              </w:rPr>
            </w:pPr>
            <w:r w:rsidRPr="00361E30">
              <w:rPr>
                <w:rFonts w:eastAsia="Times New Roman"/>
              </w:rPr>
              <w:t>√</w:t>
            </w:r>
          </w:p>
        </w:tc>
      </w:tr>
      <w:tr w:rsidR="00CA0EF0" w:rsidRPr="00361E30" w14:paraId="0D0AEA49" w14:textId="77777777" w:rsidTr="003C13F4">
        <w:tc>
          <w:tcPr>
            <w:tcW w:w="1402" w:type="dxa"/>
            <w:tcBorders>
              <w:bottom w:val="single" w:sz="4" w:space="0" w:color="auto"/>
            </w:tcBorders>
            <w:vAlign w:val="bottom"/>
          </w:tcPr>
          <w:p w14:paraId="5C14924D" w14:textId="77777777" w:rsidR="00CA0EF0" w:rsidRPr="00361E30" w:rsidRDefault="00CA0EF0" w:rsidP="003C13F4">
            <w:pPr>
              <w:spacing w:after="0"/>
              <w:rPr>
                <w:rFonts w:ascii="Calibri" w:hAnsi="Calibri"/>
              </w:rPr>
            </w:pPr>
            <w:r w:rsidRPr="00361E30">
              <w:rPr>
                <w:rFonts w:ascii="Calibri" w:hAnsi="Calibri"/>
              </w:rPr>
              <w:t>Yeung</w:t>
            </w:r>
          </w:p>
        </w:tc>
        <w:tc>
          <w:tcPr>
            <w:tcW w:w="742" w:type="dxa"/>
            <w:tcBorders>
              <w:bottom w:val="single" w:sz="4" w:space="0" w:color="auto"/>
            </w:tcBorders>
            <w:vAlign w:val="bottom"/>
          </w:tcPr>
          <w:p w14:paraId="1C3D71C9" w14:textId="77777777" w:rsidR="00CA0EF0" w:rsidRPr="00361E30" w:rsidRDefault="00CA0EF0" w:rsidP="003C13F4">
            <w:pPr>
              <w:spacing w:after="0"/>
              <w:jc w:val="right"/>
              <w:rPr>
                <w:rFonts w:ascii="Calibri" w:hAnsi="Calibri"/>
              </w:rPr>
            </w:pPr>
            <w:r w:rsidRPr="00361E30">
              <w:rPr>
                <w:rFonts w:ascii="Calibri" w:hAnsi="Calibri"/>
              </w:rPr>
              <w:t>2008</w:t>
            </w:r>
          </w:p>
        </w:tc>
        <w:tc>
          <w:tcPr>
            <w:tcW w:w="1208" w:type="dxa"/>
            <w:tcBorders>
              <w:bottom w:val="single" w:sz="4" w:space="0" w:color="auto"/>
            </w:tcBorders>
            <w:vAlign w:val="bottom"/>
          </w:tcPr>
          <w:p w14:paraId="7C42EF60" w14:textId="77777777" w:rsidR="00CA0EF0" w:rsidRPr="00361E30" w:rsidRDefault="00CA0EF0" w:rsidP="003C13F4">
            <w:pPr>
              <w:spacing w:after="0"/>
              <w:rPr>
                <w:rFonts w:ascii="Calibri" w:hAnsi="Calibri"/>
              </w:rPr>
            </w:pPr>
            <w:r w:rsidRPr="00361E30">
              <w:rPr>
                <w:rFonts w:ascii="Calibri" w:hAnsi="Calibri"/>
              </w:rPr>
              <w:t>Hong Kong</w:t>
            </w:r>
          </w:p>
        </w:tc>
        <w:tc>
          <w:tcPr>
            <w:tcW w:w="474" w:type="dxa"/>
            <w:tcBorders>
              <w:bottom w:val="single" w:sz="4" w:space="0" w:color="auto"/>
            </w:tcBorders>
          </w:tcPr>
          <w:p w14:paraId="2EE64165" w14:textId="77777777" w:rsidR="00CA0EF0" w:rsidRPr="00361E30" w:rsidRDefault="00CA0EF0" w:rsidP="003C13F4">
            <w:pPr>
              <w:spacing w:after="0"/>
              <w:rPr>
                <w:rFonts w:eastAsia="Times New Roman"/>
              </w:rPr>
            </w:pPr>
          </w:p>
        </w:tc>
        <w:tc>
          <w:tcPr>
            <w:tcW w:w="474" w:type="dxa"/>
            <w:tcBorders>
              <w:bottom w:val="single" w:sz="4" w:space="0" w:color="auto"/>
            </w:tcBorders>
          </w:tcPr>
          <w:p w14:paraId="52677B8F" w14:textId="77777777" w:rsidR="00CA0EF0" w:rsidRPr="00361E30" w:rsidRDefault="00CA0EF0" w:rsidP="003C13F4">
            <w:pPr>
              <w:spacing w:after="0"/>
              <w:rPr>
                <w:rFonts w:eastAsia="Times New Roman"/>
              </w:rPr>
            </w:pPr>
            <w:r w:rsidRPr="00361E30">
              <w:rPr>
                <w:rFonts w:eastAsia="Times New Roman"/>
              </w:rPr>
              <w:t>√</w:t>
            </w:r>
          </w:p>
        </w:tc>
        <w:tc>
          <w:tcPr>
            <w:tcW w:w="475" w:type="dxa"/>
            <w:tcBorders>
              <w:bottom w:val="single" w:sz="4" w:space="0" w:color="auto"/>
            </w:tcBorders>
          </w:tcPr>
          <w:p w14:paraId="66FBFBCE" w14:textId="77777777" w:rsidR="00CA0EF0" w:rsidRPr="00361E30" w:rsidRDefault="00CA0EF0" w:rsidP="003C13F4">
            <w:pPr>
              <w:spacing w:after="0"/>
              <w:rPr>
                <w:rFonts w:eastAsia="Times New Roman"/>
              </w:rPr>
            </w:pPr>
          </w:p>
        </w:tc>
        <w:tc>
          <w:tcPr>
            <w:tcW w:w="389" w:type="dxa"/>
            <w:tcBorders>
              <w:bottom w:val="single" w:sz="4" w:space="0" w:color="auto"/>
            </w:tcBorders>
          </w:tcPr>
          <w:p w14:paraId="6BF80C63" w14:textId="77777777" w:rsidR="00CA0EF0" w:rsidRPr="00361E30" w:rsidRDefault="00CA0EF0" w:rsidP="003C13F4">
            <w:pPr>
              <w:spacing w:after="0"/>
              <w:rPr>
                <w:rFonts w:eastAsia="Times New Roman"/>
              </w:rPr>
            </w:pPr>
          </w:p>
        </w:tc>
        <w:tc>
          <w:tcPr>
            <w:tcW w:w="390" w:type="dxa"/>
            <w:tcBorders>
              <w:bottom w:val="single" w:sz="4" w:space="0" w:color="auto"/>
            </w:tcBorders>
          </w:tcPr>
          <w:p w14:paraId="26002A27" w14:textId="77777777" w:rsidR="00CA0EF0" w:rsidRPr="00361E30" w:rsidRDefault="00CA0EF0" w:rsidP="003C13F4">
            <w:pPr>
              <w:spacing w:after="0"/>
              <w:rPr>
                <w:rFonts w:eastAsia="Times New Roman"/>
              </w:rPr>
            </w:pPr>
          </w:p>
        </w:tc>
        <w:tc>
          <w:tcPr>
            <w:tcW w:w="390" w:type="dxa"/>
            <w:tcBorders>
              <w:bottom w:val="single" w:sz="4" w:space="0" w:color="auto"/>
            </w:tcBorders>
          </w:tcPr>
          <w:p w14:paraId="6F5DDB21" w14:textId="77777777" w:rsidR="00CA0EF0" w:rsidRPr="00361E30" w:rsidRDefault="00CA0EF0" w:rsidP="003C13F4">
            <w:pPr>
              <w:spacing w:after="0"/>
              <w:rPr>
                <w:rFonts w:eastAsia="Times New Roman"/>
              </w:rPr>
            </w:pPr>
            <w:r w:rsidRPr="00361E30">
              <w:rPr>
                <w:rFonts w:eastAsia="Times New Roman"/>
              </w:rPr>
              <w:t>√</w:t>
            </w:r>
          </w:p>
        </w:tc>
        <w:tc>
          <w:tcPr>
            <w:tcW w:w="390" w:type="dxa"/>
            <w:tcBorders>
              <w:bottom w:val="single" w:sz="4" w:space="0" w:color="auto"/>
            </w:tcBorders>
          </w:tcPr>
          <w:p w14:paraId="7EAC6D55" w14:textId="77777777" w:rsidR="00CA0EF0" w:rsidRPr="00361E30" w:rsidRDefault="00CA0EF0" w:rsidP="003C13F4">
            <w:pPr>
              <w:spacing w:after="0"/>
              <w:rPr>
                <w:rFonts w:eastAsia="Times New Roman"/>
              </w:rPr>
            </w:pPr>
          </w:p>
        </w:tc>
        <w:tc>
          <w:tcPr>
            <w:tcW w:w="425" w:type="dxa"/>
            <w:tcBorders>
              <w:bottom w:val="single" w:sz="4" w:space="0" w:color="auto"/>
            </w:tcBorders>
          </w:tcPr>
          <w:p w14:paraId="37EB48E5" w14:textId="77777777" w:rsidR="00CA0EF0" w:rsidRPr="00361E30" w:rsidRDefault="00CA0EF0" w:rsidP="003C13F4">
            <w:pPr>
              <w:spacing w:after="0"/>
              <w:rPr>
                <w:rFonts w:eastAsia="Times New Roman"/>
              </w:rPr>
            </w:pPr>
            <w:r w:rsidRPr="00361E30">
              <w:rPr>
                <w:rFonts w:eastAsia="Times New Roman"/>
              </w:rPr>
              <w:t>√</w:t>
            </w:r>
          </w:p>
        </w:tc>
        <w:tc>
          <w:tcPr>
            <w:tcW w:w="425" w:type="dxa"/>
            <w:tcBorders>
              <w:bottom w:val="single" w:sz="4" w:space="0" w:color="auto"/>
            </w:tcBorders>
          </w:tcPr>
          <w:p w14:paraId="58584C23" w14:textId="77777777" w:rsidR="00CA0EF0" w:rsidRPr="00361E30" w:rsidRDefault="00CA0EF0" w:rsidP="003C13F4">
            <w:pPr>
              <w:spacing w:after="0"/>
              <w:rPr>
                <w:rFonts w:eastAsia="Times New Roman"/>
              </w:rPr>
            </w:pPr>
          </w:p>
        </w:tc>
        <w:tc>
          <w:tcPr>
            <w:tcW w:w="425" w:type="dxa"/>
            <w:tcBorders>
              <w:bottom w:val="single" w:sz="4" w:space="0" w:color="auto"/>
            </w:tcBorders>
          </w:tcPr>
          <w:p w14:paraId="4E6DB77A" w14:textId="77777777" w:rsidR="00CA0EF0" w:rsidRPr="00361E30" w:rsidRDefault="00CA0EF0" w:rsidP="003C13F4">
            <w:pPr>
              <w:spacing w:after="0"/>
              <w:rPr>
                <w:rFonts w:eastAsia="Times New Roman"/>
              </w:rPr>
            </w:pPr>
            <w:r w:rsidRPr="00361E30">
              <w:rPr>
                <w:rFonts w:eastAsia="Times New Roman"/>
              </w:rPr>
              <w:t>√</w:t>
            </w:r>
          </w:p>
        </w:tc>
        <w:tc>
          <w:tcPr>
            <w:tcW w:w="426" w:type="dxa"/>
            <w:tcBorders>
              <w:bottom w:val="single" w:sz="4" w:space="0" w:color="auto"/>
            </w:tcBorders>
          </w:tcPr>
          <w:p w14:paraId="62249836" w14:textId="77777777" w:rsidR="00CA0EF0" w:rsidRPr="00361E30" w:rsidRDefault="00CA0EF0" w:rsidP="003C13F4">
            <w:pPr>
              <w:spacing w:after="0"/>
              <w:rPr>
                <w:rFonts w:eastAsia="Times New Roman"/>
              </w:rPr>
            </w:pPr>
          </w:p>
        </w:tc>
        <w:tc>
          <w:tcPr>
            <w:tcW w:w="425" w:type="dxa"/>
            <w:tcBorders>
              <w:bottom w:val="single" w:sz="4" w:space="0" w:color="auto"/>
            </w:tcBorders>
          </w:tcPr>
          <w:p w14:paraId="30F0481A" w14:textId="77777777" w:rsidR="00CA0EF0" w:rsidRPr="00361E30" w:rsidRDefault="00CA0EF0" w:rsidP="003C13F4">
            <w:pPr>
              <w:spacing w:after="0"/>
              <w:rPr>
                <w:rFonts w:eastAsia="Times New Roman"/>
              </w:rPr>
            </w:pPr>
          </w:p>
        </w:tc>
      </w:tr>
    </w:tbl>
    <w:p w14:paraId="76CAA804" w14:textId="77777777" w:rsidR="00CA0EF0" w:rsidRPr="00361E30" w:rsidRDefault="00CA0EF0" w:rsidP="003C13F4">
      <w:pPr>
        <w:pStyle w:val="TableTitle"/>
      </w:pPr>
      <w:bookmarkStart w:id="56" w:name="_Toc528321036"/>
      <w:r w:rsidRPr="00361E30">
        <w:t>Table 2.1: Studies and risk factors included in the review.</w:t>
      </w:r>
      <w:bookmarkEnd w:id="56"/>
    </w:p>
    <w:p w14:paraId="579C95D1" w14:textId="77777777" w:rsidR="00CA0EF0" w:rsidRPr="00361E30" w:rsidRDefault="00CA0EF0" w:rsidP="003C13F4"/>
    <w:p w14:paraId="2D2C5037" w14:textId="77777777" w:rsidR="00CA0EF0" w:rsidRPr="00361E30" w:rsidRDefault="00CA0EF0" w:rsidP="003C13F4">
      <w:pPr>
        <w:pStyle w:val="Heading2"/>
        <w:rPr>
          <w:rFonts w:eastAsia="Times New Roman"/>
        </w:rPr>
      </w:pPr>
      <w:bookmarkStart w:id="57" w:name="_Toc1902248"/>
      <w:r w:rsidRPr="00361E30">
        <w:rPr>
          <w:rFonts w:eastAsia="Times New Roman"/>
        </w:rPr>
        <w:t>2.3.1</w:t>
      </w:r>
      <w:r w:rsidRPr="00361E30">
        <w:rPr>
          <w:rFonts w:eastAsia="Times New Roman"/>
        </w:rPr>
        <w:tab/>
        <w:t xml:space="preserve">Demographic Variables </w:t>
      </w:r>
      <w:r w:rsidR="00B62F3A" w:rsidRPr="00361E30">
        <w:rPr>
          <w:rFonts w:eastAsia="Times New Roman"/>
        </w:rPr>
        <w:t>and</w:t>
      </w:r>
      <w:r w:rsidRPr="00361E30">
        <w:rPr>
          <w:rFonts w:eastAsia="Times New Roman"/>
        </w:rPr>
        <w:t xml:space="preserve"> Mortality</w:t>
      </w:r>
      <w:bookmarkEnd w:id="57"/>
    </w:p>
    <w:p w14:paraId="180E06EE" w14:textId="77777777" w:rsidR="00CA0EF0" w:rsidRPr="00361E30" w:rsidRDefault="00CA0EF0" w:rsidP="003C13F4">
      <w:pPr>
        <w:pStyle w:val="Heading3"/>
        <w:rPr>
          <w:rFonts w:eastAsia="Times New Roman"/>
        </w:rPr>
      </w:pPr>
      <w:r w:rsidRPr="00361E30">
        <w:rPr>
          <w:rFonts w:eastAsia="Times New Roman"/>
        </w:rPr>
        <w:t xml:space="preserve">2.3.1.1 </w:t>
      </w:r>
      <w:r w:rsidRPr="00361E30">
        <w:rPr>
          <w:rFonts w:eastAsia="Times New Roman"/>
        </w:rPr>
        <w:tab/>
        <w:t>Identification of an age cut-off for increased mortality risk</w:t>
      </w:r>
    </w:p>
    <w:p w14:paraId="6D2C8DBC" w14:textId="77777777" w:rsidR="00CA0EF0" w:rsidRPr="00361E30" w:rsidRDefault="00CA0EF0" w:rsidP="003C13F4">
      <w:pPr>
        <w:rPr>
          <w:rFonts w:eastAsia="Times New Roman"/>
        </w:rPr>
      </w:pPr>
      <w:r w:rsidRPr="00361E30">
        <w:rPr>
          <w:rFonts w:eastAsia="Times New Roman"/>
        </w:rPr>
        <w:t>Of the 5 studies reporting an age cut-off for increased mortality in trauma, four reported an inflexion point for increasing mortality between the 4</w:t>
      </w:r>
      <w:r w:rsidRPr="00361E30">
        <w:rPr>
          <w:rFonts w:eastAsia="Times New Roman"/>
          <w:vertAlign w:val="superscript"/>
        </w:rPr>
        <w:t>th</w:t>
      </w:r>
      <w:r w:rsidRPr="00361E30">
        <w:rPr>
          <w:rFonts w:eastAsia="Times New Roman"/>
        </w:rPr>
        <w:t xml:space="preserve"> to 6</w:t>
      </w:r>
      <w:r w:rsidRPr="00361E30">
        <w:rPr>
          <w:rFonts w:eastAsia="Times New Roman"/>
          <w:vertAlign w:val="superscript"/>
        </w:rPr>
        <w:t>th</w:t>
      </w:r>
      <w:r w:rsidRPr="00361E30">
        <w:rPr>
          <w:rFonts w:eastAsia="Times New Roman"/>
        </w:rPr>
        <w:t xml:space="preserve"> decade </w:t>
      </w:r>
      <w:r w:rsidRPr="00361E30">
        <w:rPr>
          <w:rFonts w:eastAsia="Times New Roman"/>
          <w:noProof/>
        </w:rPr>
        <w:t>(Belzunegui</w:t>
      </w:r>
      <w:r w:rsidR="002F446A" w:rsidRPr="00361E30">
        <w:rPr>
          <w:rFonts w:eastAsia="Times New Roman"/>
          <w:noProof/>
        </w:rPr>
        <w:t xml:space="preserve"> et al.</w:t>
      </w:r>
      <w:r w:rsidRPr="00361E30">
        <w:rPr>
          <w:rFonts w:eastAsia="Times New Roman"/>
          <w:noProof/>
        </w:rPr>
        <w:t xml:space="preserve"> 2013, Curtis et al. 2012, Fatovich et al. 2013, Kuhne et al. 2005)</w:t>
      </w:r>
      <w:r w:rsidRPr="00361E30">
        <w:rPr>
          <w:rFonts w:eastAsia="Times New Roman"/>
        </w:rPr>
        <w:t>. However, Caterino et al</w:t>
      </w:r>
      <w:r w:rsidR="00F80C71" w:rsidRPr="00361E30">
        <w:rPr>
          <w:rFonts w:eastAsia="Times New Roman"/>
        </w:rPr>
        <w:t>. (2010</w:t>
      </w:r>
      <w:r w:rsidRPr="00361E30">
        <w:rPr>
          <w:rFonts w:eastAsia="Times New Roman"/>
        </w:rPr>
        <w:t xml:space="preserve">) reported that a significant increase in mortality was only found in the 70 – 74 year age group. It is not clear why there is a discrepancy between this and the other studies, but it should be noted that this is by far the largest of the studies investigating an age cut-off for increased trauma mortality, involving 75,658 patients. </w:t>
      </w:r>
    </w:p>
    <w:tbl>
      <w:tblPr>
        <w:tblW w:w="8708" w:type="dxa"/>
        <w:tblLook w:val="04A0" w:firstRow="1" w:lastRow="0" w:firstColumn="1" w:lastColumn="0" w:noHBand="0" w:noVBand="1"/>
      </w:tblPr>
      <w:tblGrid>
        <w:gridCol w:w="1842"/>
        <w:gridCol w:w="1271"/>
        <w:gridCol w:w="212"/>
        <w:gridCol w:w="907"/>
        <w:gridCol w:w="268"/>
        <w:gridCol w:w="851"/>
        <w:gridCol w:w="536"/>
        <w:gridCol w:w="583"/>
        <w:gridCol w:w="844"/>
        <w:gridCol w:w="275"/>
        <w:gridCol w:w="1119"/>
      </w:tblGrid>
      <w:tr w:rsidR="00CA0EF0" w:rsidRPr="00361E30" w14:paraId="1FA12246" w14:textId="77777777" w:rsidTr="003C13F4">
        <w:tc>
          <w:tcPr>
            <w:tcW w:w="1842" w:type="dxa"/>
            <w:tcBorders>
              <w:top w:val="single" w:sz="4" w:space="0" w:color="auto"/>
              <w:bottom w:val="single" w:sz="4" w:space="0" w:color="auto"/>
            </w:tcBorders>
          </w:tcPr>
          <w:p w14:paraId="614644C1" w14:textId="77777777" w:rsidR="00CA0EF0" w:rsidRPr="00361E30" w:rsidRDefault="00CA0EF0" w:rsidP="003C13F4">
            <w:pPr>
              <w:spacing w:after="0"/>
              <w:rPr>
                <w:b/>
                <w:color w:val="231F20"/>
              </w:rPr>
            </w:pPr>
            <w:r w:rsidRPr="00361E30">
              <w:rPr>
                <w:b/>
                <w:color w:val="231F20"/>
              </w:rPr>
              <w:t>Study</w:t>
            </w:r>
          </w:p>
        </w:tc>
        <w:tc>
          <w:tcPr>
            <w:tcW w:w="1271" w:type="dxa"/>
            <w:tcBorders>
              <w:top w:val="single" w:sz="4" w:space="0" w:color="auto"/>
              <w:bottom w:val="single" w:sz="4" w:space="0" w:color="auto"/>
            </w:tcBorders>
          </w:tcPr>
          <w:p w14:paraId="5FC889D6" w14:textId="77777777" w:rsidR="00CA0EF0" w:rsidRPr="00361E30" w:rsidRDefault="00CA0EF0" w:rsidP="003C13F4">
            <w:pPr>
              <w:spacing w:after="0"/>
              <w:rPr>
                <w:b/>
                <w:color w:val="231F20"/>
              </w:rPr>
            </w:pPr>
          </w:p>
        </w:tc>
        <w:tc>
          <w:tcPr>
            <w:tcW w:w="5595" w:type="dxa"/>
            <w:gridSpan w:val="9"/>
            <w:tcBorders>
              <w:top w:val="single" w:sz="4" w:space="0" w:color="auto"/>
              <w:bottom w:val="single" w:sz="4" w:space="0" w:color="auto"/>
            </w:tcBorders>
          </w:tcPr>
          <w:p w14:paraId="2B5CBBE6" w14:textId="77777777" w:rsidR="00CA0EF0" w:rsidRPr="00361E30" w:rsidRDefault="00CA0EF0" w:rsidP="003C13F4">
            <w:pPr>
              <w:spacing w:after="0"/>
              <w:jc w:val="center"/>
              <w:rPr>
                <w:b/>
                <w:color w:val="231F20"/>
              </w:rPr>
            </w:pPr>
            <w:r w:rsidRPr="00361E30">
              <w:rPr>
                <w:b/>
                <w:color w:val="231F20"/>
              </w:rPr>
              <w:t xml:space="preserve">Age Groups in years </w:t>
            </w:r>
          </w:p>
        </w:tc>
      </w:tr>
      <w:tr w:rsidR="00CA0EF0" w:rsidRPr="00361E30" w14:paraId="35EC159B" w14:textId="77777777" w:rsidTr="003C13F4">
        <w:tc>
          <w:tcPr>
            <w:tcW w:w="1842" w:type="dxa"/>
            <w:tcBorders>
              <w:top w:val="single" w:sz="4" w:space="0" w:color="auto"/>
            </w:tcBorders>
          </w:tcPr>
          <w:p w14:paraId="03ACA85B" w14:textId="77777777" w:rsidR="00CA0EF0" w:rsidRPr="00361E30" w:rsidRDefault="00CA0EF0" w:rsidP="003C13F4">
            <w:pPr>
              <w:spacing w:after="0"/>
              <w:rPr>
                <w:b/>
                <w:color w:val="231F20"/>
              </w:rPr>
            </w:pPr>
          </w:p>
        </w:tc>
        <w:tc>
          <w:tcPr>
            <w:tcW w:w="1271" w:type="dxa"/>
            <w:tcBorders>
              <w:top w:val="single" w:sz="4" w:space="0" w:color="auto"/>
              <w:bottom w:val="single" w:sz="4" w:space="0" w:color="auto"/>
            </w:tcBorders>
          </w:tcPr>
          <w:p w14:paraId="11C36522" w14:textId="77777777" w:rsidR="00CA0EF0" w:rsidRPr="00361E30" w:rsidRDefault="00CA0EF0" w:rsidP="003C13F4">
            <w:pPr>
              <w:spacing w:after="0"/>
              <w:jc w:val="center"/>
              <w:rPr>
                <w:b/>
                <w:color w:val="231F20"/>
              </w:rPr>
            </w:pPr>
            <w:r w:rsidRPr="00361E30">
              <w:rPr>
                <w:b/>
                <w:color w:val="231F20"/>
              </w:rPr>
              <w:t>Reference</w:t>
            </w:r>
          </w:p>
        </w:tc>
        <w:tc>
          <w:tcPr>
            <w:tcW w:w="1387" w:type="dxa"/>
            <w:gridSpan w:val="3"/>
            <w:tcBorders>
              <w:top w:val="single" w:sz="4" w:space="0" w:color="auto"/>
              <w:bottom w:val="single" w:sz="4" w:space="0" w:color="auto"/>
            </w:tcBorders>
          </w:tcPr>
          <w:p w14:paraId="100B7410" w14:textId="77777777" w:rsidR="00CA0EF0" w:rsidRPr="00361E30" w:rsidRDefault="00CA0EF0" w:rsidP="003C13F4">
            <w:pPr>
              <w:spacing w:after="0"/>
              <w:jc w:val="center"/>
              <w:rPr>
                <w:color w:val="231F20"/>
              </w:rPr>
            </w:pPr>
            <w:r w:rsidRPr="00361E30">
              <w:rPr>
                <w:color w:val="231F20"/>
              </w:rPr>
              <w:t>55-64</w:t>
            </w:r>
          </w:p>
        </w:tc>
        <w:tc>
          <w:tcPr>
            <w:tcW w:w="1387" w:type="dxa"/>
            <w:gridSpan w:val="2"/>
            <w:tcBorders>
              <w:top w:val="single" w:sz="4" w:space="0" w:color="auto"/>
              <w:bottom w:val="single" w:sz="4" w:space="0" w:color="auto"/>
            </w:tcBorders>
          </w:tcPr>
          <w:p w14:paraId="227051D2" w14:textId="77777777" w:rsidR="00CA0EF0" w:rsidRPr="00361E30" w:rsidRDefault="00CA0EF0" w:rsidP="003C13F4">
            <w:pPr>
              <w:spacing w:after="0"/>
              <w:jc w:val="center"/>
              <w:rPr>
                <w:color w:val="231F20"/>
              </w:rPr>
            </w:pPr>
            <w:r w:rsidRPr="00361E30">
              <w:rPr>
                <w:color w:val="231F20"/>
              </w:rPr>
              <w:t>65-74</w:t>
            </w:r>
          </w:p>
        </w:tc>
        <w:tc>
          <w:tcPr>
            <w:tcW w:w="1427" w:type="dxa"/>
            <w:gridSpan w:val="2"/>
            <w:tcBorders>
              <w:top w:val="single" w:sz="4" w:space="0" w:color="auto"/>
              <w:bottom w:val="single" w:sz="4" w:space="0" w:color="auto"/>
            </w:tcBorders>
          </w:tcPr>
          <w:p w14:paraId="49FFAE1E" w14:textId="77777777" w:rsidR="00CA0EF0" w:rsidRPr="00361E30" w:rsidRDefault="00CA0EF0" w:rsidP="003C13F4">
            <w:pPr>
              <w:spacing w:after="0"/>
              <w:jc w:val="center"/>
              <w:rPr>
                <w:color w:val="231F20"/>
              </w:rPr>
            </w:pPr>
            <w:r w:rsidRPr="00361E30">
              <w:rPr>
                <w:color w:val="231F20"/>
              </w:rPr>
              <w:t>75-84</w:t>
            </w:r>
          </w:p>
        </w:tc>
        <w:tc>
          <w:tcPr>
            <w:tcW w:w="1394" w:type="dxa"/>
            <w:gridSpan w:val="2"/>
            <w:tcBorders>
              <w:top w:val="single" w:sz="4" w:space="0" w:color="auto"/>
              <w:bottom w:val="single" w:sz="4" w:space="0" w:color="auto"/>
            </w:tcBorders>
          </w:tcPr>
          <w:p w14:paraId="70C7A404" w14:textId="77777777" w:rsidR="00CA0EF0" w:rsidRPr="00361E30" w:rsidRDefault="00CA0EF0" w:rsidP="003C13F4">
            <w:pPr>
              <w:spacing w:after="0"/>
              <w:jc w:val="center"/>
              <w:rPr>
                <w:color w:val="231F20"/>
              </w:rPr>
            </w:pPr>
            <w:r w:rsidRPr="00361E30">
              <w:rPr>
                <w:color w:val="231F20"/>
              </w:rPr>
              <w:t>≥85</w:t>
            </w:r>
          </w:p>
        </w:tc>
      </w:tr>
      <w:tr w:rsidR="00CA0EF0" w:rsidRPr="00361E30" w14:paraId="2C6EBFD0" w14:textId="77777777" w:rsidTr="003C13F4">
        <w:tc>
          <w:tcPr>
            <w:tcW w:w="1842" w:type="dxa"/>
          </w:tcPr>
          <w:p w14:paraId="3D05A15E" w14:textId="77777777" w:rsidR="00CA0EF0" w:rsidRPr="00361E30" w:rsidRDefault="00CA0EF0" w:rsidP="003C13F4">
            <w:pPr>
              <w:spacing w:after="0"/>
              <w:rPr>
                <w:b/>
                <w:color w:val="231F20"/>
              </w:rPr>
            </w:pPr>
          </w:p>
        </w:tc>
        <w:tc>
          <w:tcPr>
            <w:tcW w:w="1271" w:type="dxa"/>
            <w:tcBorders>
              <w:top w:val="single" w:sz="4" w:space="0" w:color="auto"/>
              <w:bottom w:val="single" w:sz="4" w:space="0" w:color="auto"/>
            </w:tcBorders>
          </w:tcPr>
          <w:p w14:paraId="1C0C669F" w14:textId="77777777" w:rsidR="00CA0EF0" w:rsidRPr="00361E30" w:rsidRDefault="00CA0EF0" w:rsidP="003C13F4">
            <w:pPr>
              <w:spacing w:after="0"/>
              <w:jc w:val="center"/>
              <w:rPr>
                <w:color w:val="231F20"/>
              </w:rPr>
            </w:pPr>
          </w:p>
        </w:tc>
        <w:tc>
          <w:tcPr>
            <w:tcW w:w="5595" w:type="dxa"/>
            <w:gridSpan w:val="9"/>
            <w:tcBorders>
              <w:top w:val="single" w:sz="4" w:space="0" w:color="auto"/>
              <w:bottom w:val="single" w:sz="4" w:space="0" w:color="auto"/>
            </w:tcBorders>
          </w:tcPr>
          <w:p w14:paraId="22C9A294" w14:textId="77777777" w:rsidR="00CA0EF0" w:rsidRPr="00361E30" w:rsidRDefault="00CA0EF0" w:rsidP="003C13F4">
            <w:pPr>
              <w:spacing w:after="0"/>
              <w:jc w:val="center"/>
              <w:rPr>
                <w:rFonts w:cs="AdvHlc"/>
              </w:rPr>
            </w:pPr>
            <w:r w:rsidRPr="00361E30">
              <w:rPr>
                <w:b/>
                <w:color w:val="231F20"/>
              </w:rPr>
              <w:t>Adjusted Odds Ratios (95% Confidence intervals)</w:t>
            </w:r>
          </w:p>
        </w:tc>
      </w:tr>
      <w:tr w:rsidR="00CA0EF0" w:rsidRPr="00361E30" w14:paraId="40E18DF1" w14:textId="77777777" w:rsidTr="003C13F4">
        <w:tc>
          <w:tcPr>
            <w:tcW w:w="1842" w:type="dxa"/>
          </w:tcPr>
          <w:p w14:paraId="2FC1634F" w14:textId="77777777" w:rsidR="00CA0EF0" w:rsidRPr="00361E30" w:rsidRDefault="00CA0EF0" w:rsidP="003C13F4">
            <w:pPr>
              <w:spacing w:after="0"/>
              <w:rPr>
                <w:b/>
                <w:color w:val="231F20"/>
              </w:rPr>
            </w:pPr>
            <w:r w:rsidRPr="00361E30">
              <w:rPr>
                <w:b/>
                <w:color w:val="231F20"/>
              </w:rPr>
              <w:t>Curtis (2012)</w:t>
            </w:r>
          </w:p>
        </w:tc>
        <w:tc>
          <w:tcPr>
            <w:tcW w:w="1271" w:type="dxa"/>
            <w:tcBorders>
              <w:top w:val="single" w:sz="4" w:space="0" w:color="auto"/>
            </w:tcBorders>
          </w:tcPr>
          <w:p w14:paraId="290B91E3" w14:textId="77777777" w:rsidR="00CA0EF0" w:rsidRPr="00361E30" w:rsidRDefault="00CA0EF0" w:rsidP="003C13F4">
            <w:pPr>
              <w:spacing w:after="0"/>
              <w:jc w:val="center"/>
              <w:rPr>
                <w:color w:val="231F20"/>
              </w:rPr>
            </w:pPr>
            <w:r w:rsidRPr="00361E30">
              <w:rPr>
                <w:color w:val="231F20"/>
              </w:rPr>
              <w:t>16-24</w:t>
            </w:r>
          </w:p>
        </w:tc>
        <w:tc>
          <w:tcPr>
            <w:tcW w:w="1387" w:type="dxa"/>
            <w:gridSpan w:val="3"/>
            <w:tcBorders>
              <w:top w:val="single" w:sz="4" w:space="0" w:color="auto"/>
            </w:tcBorders>
          </w:tcPr>
          <w:p w14:paraId="3BE8702E" w14:textId="77777777" w:rsidR="00CA0EF0" w:rsidRPr="00361E30" w:rsidRDefault="00CA0EF0" w:rsidP="003C13F4">
            <w:pPr>
              <w:spacing w:after="0"/>
              <w:jc w:val="center"/>
              <w:rPr>
                <w:rFonts w:cs="Antenna-Medium"/>
              </w:rPr>
            </w:pPr>
            <w:r w:rsidRPr="00361E30">
              <w:rPr>
                <w:rFonts w:cs="Antenna-Medium"/>
              </w:rPr>
              <w:t>1.65</w:t>
            </w:r>
          </w:p>
          <w:p w14:paraId="5F246FD2" w14:textId="77777777" w:rsidR="00CA0EF0" w:rsidRPr="00361E30" w:rsidRDefault="00CA0EF0" w:rsidP="003C13F4">
            <w:pPr>
              <w:spacing w:after="0"/>
              <w:jc w:val="center"/>
              <w:rPr>
                <w:color w:val="231F20"/>
              </w:rPr>
            </w:pPr>
            <w:r w:rsidRPr="00361E30">
              <w:rPr>
                <w:rFonts w:cs="Antenna-Medium"/>
                <w:sz w:val="18"/>
              </w:rPr>
              <w:t>(1.24–2.19)</w:t>
            </w:r>
          </w:p>
        </w:tc>
        <w:tc>
          <w:tcPr>
            <w:tcW w:w="1387" w:type="dxa"/>
            <w:gridSpan w:val="2"/>
            <w:tcBorders>
              <w:top w:val="single" w:sz="4" w:space="0" w:color="auto"/>
            </w:tcBorders>
          </w:tcPr>
          <w:p w14:paraId="13E2C6B3" w14:textId="77777777" w:rsidR="00CA0EF0" w:rsidRPr="00361E30" w:rsidRDefault="00CA0EF0" w:rsidP="003C13F4">
            <w:pPr>
              <w:spacing w:after="0"/>
              <w:jc w:val="center"/>
              <w:rPr>
                <w:color w:val="231F20"/>
              </w:rPr>
            </w:pPr>
            <w:r w:rsidRPr="00361E30">
              <w:rPr>
                <w:color w:val="231F20"/>
              </w:rPr>
              <w:t xml:space="preserve">3.35 </w:t>
            </w:r>
          </w:p>
          <w:p w14:paraId="7DED7AB8" w14:textId="77777777" w:rsidR="00CA0EF0" w:rsidRPr="00361E30" w:rsidRDefault="00CA0EF0" w:rsidP="003C13F4">
            <w:pPr>
              <w:spacing w:after="0"/>
              <w:jc w:val="center"/>
              <w:rPr>
                <w:color w:val="231F20"/>
              </w:rPr>
            </w:pPr>
            <w:r w:rsidRPr="00361E30">
              <w:rPr>
                <w:color w:val="231F20"/>
                <w:sz w:val="18"/>
              </w:rPr>
              <w:t>(2.57–4.38)</w:t>
            </w:r>
          </w:p>
        </w:tc>
        <w:tc>
          <w:tcPr>
            <w:tcW w:w="1427" w:type="dxa"/>
            <w:gridSpan w:val="2"/>
            <w:tcBorders>
              <w:top w:val="single" w:sz="4" w:space="0" w:color="auto"/>
            </w:tcBorders>
          </w:tcPr>
          <w:p w14:paraId="1A89DFCE" w14:textId="77777777" w:rsidR="00CA0EF0" w:rsidRPr="00361E30" w:rsidRDefault="00CA0EF0" w:rsidP="003C13F4">
            <w:pPr>
              <w:spacing w:after="0"/>
              <w:jc w:val="center"/>
              <w:rPr>
                <w:rFonts w:cs="Antenna-Medium"/>
              </w:rPr>
            </w:pPr>
            <w:r w:rsidRPr="00361E30">
              <w:rPr>
                <w:rFonts w:cs="Antenna-Medium"/>
              </w:rPr>
              <w:t xml:space="preserve">4.95 </w:t>
            </w:r>
          </w:p>
          <w:p w14:paraId="365B9829" w14:textId="77777777" w:rsidR="00CA0EF0" w:rsidRPr="00361E30" w:rsidRDefault="00CA0EF0" w:rsidP="003C13F4">
            <w:pPr>
              <w:spacing w:after="0"/>
              <w:jc w:val="center"/>
              <w:rPr>
                <w:rFonts w:cs="AdvHlc"/>
              </w:rPr>
            </w:pPr>
            <w:r w:rsidRPr="00361E30">
              <w:rPr>
                <w:rFonts w:cs="Antenna-Medium"/>
                <w:sz w:val="18"/>
              </w:rPr>
              <w:t>(3.88–6.32)</w:t>
            </w:r>
          </w:p>
        </w:tc>
        <w:tc>
          <w:tcPr>
            <w:tcW w:w="1394" w:type="dxa"/>
            <w:gridSpan w:val="2"/>
            <w:tcBorders>
              <w:top w:val="single" w:sz="4" w:space="0" w:color="auto"/>
            </w:tcBorders>
          </w:tcPr>
          <w:p w14:paraId="72E92AD1" w14:textId="77777777" w:rsidR="00CA0EF0" w:rsidRPr="00361E30" w:rsidRDefault="00CA0EF0" w:rsidP="003C13F4">
            <w:pPr>
              <w:spacing w:after="0"/>
              <w:jc w:val="center"/>
              <w:rPr>
                <w:rFonts w:cs="AdvHlc"/>
              </w:rPr>
            </w:pPr>
            <w:r w:rsidRPr="00361E30">
              <w:rPr>
                <w:rFonts w:cs="AdvHlc"/>
              </w:rPr>
              <w:t>9.01</w:t>
            </w:r>
          </w:p>
          <w:p w14:paraId="761C9087" w14:textId="77777777" w:rsidR="00CA0EF0" w:rsidRPr="00361E30" w:rsidRDefault="00CA0EF0" w:rsidP="003C13F4">
            <w:pPr>
              <w:spacing w:after="0"/>
              <w:jc w:val="center"/>
              <w:rPr>
                <w:rFonts w:cs="AdvHlc"/>
              </w:rPr>
            </w:pPr>
            <w:r w:rsidRPr="00361E30">
              <w:rPr>
                <w:rFonts w:cs="AdvHlc"/>
                <w:sz w:val="18"/>
              </w:rPr>
              <w:t>(6.85–11.87)</w:t>
            </w:r>
          </w:p>
        </w:tc>
      </w:tr>
      <w:tr w:rsidR="00CA0EF0" w:rsidRPr="00361E30" w14:paraId="2B2E7BC7" w14:textId="77777777" w:rsidTr="003C13F4">
        <w:tc>
          <w:tcPr>
            <w:tcW w:w="1842" w:type="dxa"/>
          </w:tcPr>
          <w:p w14:paraId="280F3CFB" w14:textId="77777777" w:rsidR="00CA0EF0" w:rsidRPr="00361E30" w:rsidRDefault="00CA0EF0" w:rsidP="003C13F4">
            <w:pPr>
              <w:spacing w:after="0"/>
              <w:rPr>
                <w:b/>
                <w:color w:val="231F20"/>
              </w:rPr>
            </w:pPr>
            <w:r w:rsidRPr="00361E30">
              <w:rPr>
                <w:b/>
                <w:color w:val="231F20"/>
              </w:rPr>
              <w:t>Aitken (2010)</w:t>
            </w:r>
          </w:p>
        </w:tc>
        <w:tc>
          <w:tcPr>
            <w:tcW w:w="1271" w:type="dxa"/>
          </w:tcPr>
          <w:p w14:paraId="6BA32845" w14:textId="77777777" w:rsidR="00CA0EF0" w:rsidRPr="00361E30" w:rsidRDefault="00CA0EF0" w:rsidP="003C13F4">
            <w:pPr>
              <w:spacing w:after="0"/>
              <w:jc w:val="center"/>
              <w:rPr>
                <w:color w:val="231F20"/>
              </w:rPr>
            </w:pPr>
            <w:r w:rsidRPr="00361E30">
              <w:rPr>
                <w:color w:val="231F20"/>
              </w:rPr>
              <w:t>65-74 years</w:t>
            </w:r>
          </w:p>
        </w:tc>
        <w:tc>
          <w:tcPr>
            <w:tcW w:w="1387" w:type="dxa"/>
            <w:gridSpan w:val="3"/>
          </w:tcPr>
          <w:p w14:paraId="6D4CDD05" w14:textId="77777777" w:rsidR="00CA0EF0" w:rsidRPr="00361E30" w:rsidRDefault="00CA0EF0" w:rsidP="003C13F4">
            <w:pPr>
              <w:spacing w:after="0"/>
              <w:jc w:val="center"/>
              <w:rPr>
                <w:color w:val="231F20"/>
              </w:rPr>
            </w:pPr>
          </w:p>
        </w:tc>
        <w:tc>
          <w:tcPr>
            <w:tcW w:w="1387" w:type="dxa"/>
            <w:gridSpan w:val="2"/>
          </w:tcPr>
          <w:p w14:paraId="38C7EFB2" w14:textId="77777777" w:rsidR="00CA0EF0" w:rsidRPr="00361E30" w:rsidRDefault="00CA0EF0" w:rsidP="003C13F4">
            <w:pPr>
              <w:spacing w:after="0"/>
              <w:jc w:val="center"/>
              <w:rPr>
                <w:color w:val="231F20"/>
              </w:rPr>
            </w:pPr>
            <w:r w:rsidRPr="00361E30">
              <w:rPr>
                <w:color w:val="231F20"/>
              </w:rPr>
              <w:t>(Reference)</w:t>
            </w:r>
          </w:p>
        </w:tc>
        <w:tc>
          <w:tcPr>
            <w:tcW w:w="1427" w:type="dxa"/>
            <w:gridSpan w:val="2"/>
          </w:tcPr>
          <w:p w14:paraId="69434246" w14:textId="77777777" w:rsidR="00CA0EF0" w:rsidRPr="00361E30" w:rsidRDefault="00CA0EF0" w:rsidP="003C13F4">
            <w:pPr>
              <w:spacing w:after="0"/>
              <w:jc w:val="center"/>
              <w:rPr>
                <w:rFonts w:cs="AdvHlc"/>
              </w:rPr>
            </w:pPr>
            <w:r w:rsidRPr="00361E30">
              <w:rPr>
                <w:rFonts w:cs="AdvHlc"/>
              </w:rPr>
              <w:t xml:space="preserve">1.47 </w:t>
            </w:r>
          </w:p>
          <w:p w14:paraId="545263A0" w14:textId="77777777" w:rsidR="00CA0EF0" w:rsidRPr="00361E30" w:rsidRDefault="00CA0EF0" w:rsidP="003C13F4">
            <w:pPr>
              <w:spacing w:after="0"/>
              <w:jc w:val="center"/>
              <w:rPr>
                <w:color w:val="231F20"/>
              </w:rPr>
            </w:pPr>
            <w:r w:rsidRPr="00361E30">
              <w:rPr>
                <w:rFonts w:cs="AdvHlc"/>
                <w:sz w:val="18"/>
              </w:rPr>
              <w:t>(1.07–2.02)</w:t>
            </w:r>
          </w:p>
        </w:tc>
        <w:tc>
          <w:tcPr>
            <w:tcW w:w="1394" w:type="dxa"/>
            <w:gridSpan w:val="2"/>
          </w:tcPr>
          <w:p w14:paraId="77C4D60D" w14:textId="77777777" w:rsidR="00CA0EF0" w:rsidRPr="00361E30" w:rsidRDefault="00CA0EF0" w:rsidP="003C13F4">
            <w:pPr>
              <w:spacing w:after="0"/>
              <w:jc w:val="center"/>
              <w:rPr>
                <w:rFonts w:cs="AdvHlc"/>
              </w:rPr>
            </w:pPr>
            <w:r w:rsidRPr="00361E30">
              <w:rPr>
                <w:rFonts w:cs="AdvHlc"/>
              </w:rPr>
              <w:t xml:space="preserve">2.81 </w:t>
            </w:r>
          </w:p>
          <w:p w14:paraId="5554A443" w14:textId="77777777" w:rsidR="00CA0EF0" w:rsidRPr="00361E30" w:rsidRDefault="00CA0EF0" w:rsidP="003C13F4">
            <w:pPr>
              <w:spacing w:after="0"/>
              <w:jc w:val="center"/>
              <w:rPr>
                <w:color w:val="231F20"/>
              </w:rPr>
            </w:pPr>
            <w:r w:rsidRPr="00361E30">
              <w:rPr>
                <w:rFonts w:cs="AdvHlc"/>
                <w:sz w:val="18"/>
              </w:rPr>
              <w:t>(1.97–3.99)</w:t>
            </w:r>
          </w:p>
        </w:tc>
      </w:tr>
      <w:tr w:rsidR="00CA0EF0" w:rsidRPr="00361E30" w14:paraId="1EDAA9F5" w14:textId="77777777" w:rsidTr="003C13F4">
        <w:tc>
          <w:tcPr>
            <w:tcW w:w="1842" w:type="dxa"/>
          </w:tcPr>
          <w:p w14:paraId="314F482D" w14:textId="77777777" w:rsidR="00CA0EF0" w:rsidRPr="00361E30" w:rsidRDefault="00CA0EF0" w:rsidP="003C13F4">
            <w:pPr>
              <w:spacing w:after="0"/>
              <w:rPr>
                <w:b/>
                <w:color w:val="231F20"/>
              </w:rPr>
            </w:pPr>
            <w:r w:rsidRPr="00361E30">
              <w:rPr>
                <w:b/>
                <w:color w:val="231F20"/>
              </w:rPr>
              <w:t>Yeung (2008)</w:t>
            </w:r>
          </w:p>
        </w:tc>
        <w:tc>
          <w:tcPr>
            <w:tcW w:w="1271" w:type="dxa"/>
          </w:tcPr>
          <w:p w14:paraId="4990B9BE" w14:textId="77777777" w:rsidR="00CA0EF0" w:rsidRPr="00361E30" w:rsidRDefault="00CA0EF0" w:rsidP="003C13F4">
            <w:pPr>
              <w:spacing w:after="0"/>
              <w:jc w:val="center"/>
              <w:rPr>
                <w:color w:val="231F20"/>
              </w:rPr>
            </w:pPr>
            <w:r w:rsidRPr="00361E30">
              <w:rPr>
                <w:color w:val="231F20"/>
              </w:rPr>
              <w:t>55-74 years</w:t>
            </w:r>
          </w:p>
        </w:tc>
        <w:tc>
          <w:tcPr>
            <w:tcW w:w="1387" w:type="dxa"/>
            <w:gridSpan w:val="3"/>
          </w:tcPr>
          <w:p w14:paraId="50328E3B" w14:textId="77777777" w:rsidR="00CA0EF0" w:rsidRPr="00361E30" w:rsidRDefault="00CA0EF0" w:rsidP="003C13F4">
            <w:pPr>
              <w:spacing w:after="0"/>
              <w:jc w:val="center"/>
              <w:rPr>
                <w:color w:val="231F20"/>
              </w:rPr>
            </w:pPr>
          </w:p>
        </w:tc>
        <w:tc>
          <w:tcPr>
            <w:tcW w:w="1387" w:type="dxa"/>
            <w:gridSpan w:val="2"/>
          </w:tcPr>
          <w:p w14:paraId="3E874FF7" w14:textId="77777777" w:rsidR="00CA0EF0" w:rsidRPr="00361E30" w:rsidRDefault="00CA0EF0" w:rsidP="003C13F4">
            <w:pPr>
              <w:spacing w:after="0"/>
              <w:jc w:val="center"/>
              <w:rPr>
                <w:color w:val="231F20"/>
              </w:rPr>
            </w:pPr>
          </w:p>
        </w:tc>
        <w:tc>
          <w:tcPr>
            <w:tcW w:w="1427" w:type="dxa"/>
            <w:gridSpan w:val="2"/>
          </w:tcPr>
          <w:p w14:paraId="68138B19" w14:textId="77777777" w:rsidR="00CA0EF0" w:rsidRPr="00361E30" w:rsidRDefault="00CA0EF0" w:rsidP="003C13F4">
            <w:pPr>
              <w:spacing w:after="0"/>
              <w:jc w:val="center"/>
              <w:rPr>
                <w:rFonts w:cs="AdvTTc9c3bd71"/>
              </w:rPr>
            </w:pPr>
            <w:r w:rsidRPr="00361E30">
              <w:rPr>
                <w:rFonts w:cs="AdvTTc9c3bd71"/>
              </w:rPr>
              <w:t xml:space="preserve">3.53 </w:t>
            </w:r>
          </w:p>
          <w:p w14:paraId="50CC2C27" w14:textId="77777777" w:rsidR="00CA0EF0" w:rsidRPr="00361E30" w:rsidRDefault="00CA0EF0" w:rsidP="003C13F4">
            <w:pPr>
              <w:spacing w:after="0"/>
              <w:jc w:val="center"/>
              <w:rPr>
                <w:color w:val="231F20"/>
              </w:rPr>
            </w:pPr>
            <w:r w:rsidRPr="00361E30">
              <w:rPr>
                <w:rFonts w:cs="AdvTTc9c3bd71"/>
                <w:sz w:val="18"/>
              </w:rPr>
              <w:t>(2.03-6.11)</w:t>
            </w:r>
          </w:p>
        </w:tc>
        <w:tc>
          <w:tcPr>
            <w:tcW w:w="1394" w:type="dxa"/>
            <w:gridSpan w:val="2"/>
          </w:tcPr>
          <w:p w14:paraId="43C6A77D" w14:textId="77777777" w:rsidR="00CA0EF0" w:rsidRPr="00361E30" w:rsidRDefault="00CA0EF0" w:rsidP="003C13F4">
            <w:pPr>
              <w:spacing w:after="0"/>
              <w:jc w:val="center"/>
              <w:rPr>
                <w:rFonts w:cs="AdvTTc9c3bd71"/>
              </w:rPr>
            </w:pPr>
            <w:r w:rsidRPr="00361E30">
              <w:rPr>
                <w:rFonts w:cs="AdvTTc9c3bd71"/>
              </w:rPr>
              <w:t xml:space="preserve">4.23 </w:t>
            </w:r>
          </w:p>
          <w:p w14:paraId="37143FA7" w14:textId="77777777" w:rsidR="00CA0EF0" w:rsidRPr="00361E30" w:rsidRDefault="00CA0EF0" w:rsidP="003C13F4">
            <w:pPr>
              <w:spacing w:after="0"/>
              <w:jc w:val="center"/>
              <w:rPr>
                <w:color w:val="231F20"/>
              </w:rPr>
            </w:pPr>
            <w:r w:rsidRPr="00361E30">
              <w:rPr>
                <w:rFonts w:cs="AdvTTc9c3bd71"/>
                <w:sz w:val="18"/>
              </w:rPr>
              <w:t>(2.19-8.18)</w:t>
            </w:r>
          </w:p>
        </w:tc>
      </w:tr>
      <w:tr w:rsidR="00CA0EF0" w:rsidRPr="00361E30" w14:paraId="2D095020" w14:textId="77777777" w:rsidTr="003C13F4">
        <w:tc>
          <w:tcPr>
            <w:tcW w:w="1842" w:type="dxa"/>
          </w:tcPr>
          <w:p w14:paraId="45B6F000" w14:textId="77777777" w:rsidR="00CA0EF0" w:rsidRPr="00361E30" w:rsidRDefault="00CA0EF0" w:rsidP="003C13F4">
            <w:pPr>
              <w:spacing w:after="0"/>
              <w:rPr>
                <w:b/>
                <w:color w:val="231F20"/>
              </w:rPr>
            </w:pPr>
            <w:r w:rsidRPr="00361E30">
              <w:rPr>
                <w:b/>
                <w:color w:val="231F20"/>
              </w:rPr>
              <w:t>Boumra (2006)</w:t>
            </w:r>
          </w:p>
        </w:tc>
        <w:tc>
          <w:tcPr>
            <w:tcW w:w="1271" w:type="dxa"/>
          </w:tcPr>
          <w:p w14:paraId="1621FB3B" w14:textId="77777777" w:rsidR="00CA0EF0" w:rsidRPr="00361E30" w:rsidRDefault="00CA0EF0" w:rsidP="003C13F4">
            <w:pPr>
              <w:spacing w:after="0"/>
              <w:jc w:val="center"/>
              <w:rPr>
                <w:color w:val="231F20"/>
              </w:rPr>
            </w:pPr>
            <w:r w:rsidRPr="00361E30">
              <w:rPr>
                <w:color w:val="231F20"/>
              </w:rPr>
              <w:t>16-44 years</w:t>
            </w:r>
          </w:p>
        </w:tc>
        <w:tc>
          <w:tcPr>
            <w:tcW w:w="1387" w:type="dxa"/>
            <w:gridSpan w:val="3"/>
          </w:tcPr>
          <w:p w14:paraId="30AFC7FF" w14:textId="77777777" w:rsidR="00CA0EF0" w:rsidRPr="00361E30" w:rsidRDefault="00CA0EF0" w:rsidP="003C13F4">
            <w:pPr>
              <w:spacing w:after="0"/>
              <w:jc w:val="center"/>
              <w:rPr>
                <w:color w:val="231F20"/>
              </w:rPr>
            </w:pPr>
          </w:p>
        </w:tc>
        <w:tc>
          <w:tcPr>
            <w:tcW w:w="1387" w:type="dxa"/>
            <w:gridSpan w:val="2"/>
          </w:tcPr>
          <w:p w14:paraId="62985900" w14:textId="77777777" w:rsidR="00CA0EF0" w:rsidRPr="00361E30" w:rsidRDefault="00CA0EF0" w:rsidP="003C13F4">
            <w:pPr>
              <w:spacing w:after="0"/>
              <w:jc w:val="center"/>
              <w:rPr>
                <w:color w:val="231F20"/>
              </w:rPr>
            </w:pPr>
            <w:r w:rsidRPr="00361E30">
              <w:rPr>
                <w:color w:val="231F20"/>
              </w:rPr>
              <w:t>6.80</w:t>
            </w:r>
          </w:p>
          <w:p w14:paraId="099B4D43" w14:textId="77777777" w:rsidR="00CA0EF0" w:rsidRPr="00361E30" w:rsidRDefault="00CA0EF0" w:rsidP="003C13F4">
            <w:pPr>
              <w:spacing w:after="0"/>
              <w:jc w:val="center"/>
              <w:rPr>
                <w:color w:val="231F20"/>
              </w:rPr>
            </w:pPr>
            <w:r w:rsidRPr="00361E30">
              <w:rPr>
                <w:color w:val="231F20"/>
                <w:sz w:val="18"/>
              </w:rPr>
              <w:t>(5.56-8.33)</w:t>
            </w:r>
          </w:p>
        </w:tc>
        <w:tc>
          <w:tcPr>
            <w:tcW w:w="2821" w:type="dxa"/>
            <w:gridSpan w:val="4"/>
          </w:tcPr>
          <w:p w14:paraId="25EFCB46" w14:textId="77777777" w:rsidR="00CA0EF0" w:rsidRPr="00361E30" w:rsidRDefault="00CA0EF0" w:rsidP="003C13F4">
            <w:pPr>
              <w:spacing w:after="0"/>
              <w:jc w:val="center"/>
              <w:rPr>
                <w:color w:val="231F20"/>
              </w:rPr>
            </w:pPr>
            <w:r w:rsidRPr="00361E30">
              <w:rPr>
                <w:color w:val="231F20"/>
              </w:rPr>
              <w:t>25.81</w:t>
            </w:r>
          </w:p>
          <w:p w14:paraId="7B55FE4A" w14:textId="77777777" w:rsidR="00CA0EF0" w:rsidRPr="00361E30" w:rsidRDefault="00CA0EF0" w:rsidP="003C13F4">
            <w:pPr>
              <w:spacing w:after="0"/>
              <w:jc w:val="center"/>
              <w:rPr>
                <w:color w:val="231F20"/>
              </w:rPr>
            </w:pPr>
            <w:r w:rsidRPr="00361E30">
              <w:rPr>
                <w:color w:val="231F20"/>
              </w:rPr>
              <w:t>(20.00-33.33)</w:t>
            </w:r>
          </w:p>
        </w:tc>
      </w:tr>
      <w:tr w:rsidR="00CA0EF0" w:rsidRPr="00361E30" w14:paraId="77C211CD" w14:textId="77777777" w:rsidTr="003C13F4">
        <w:tc>
          <w:tcPr>
            <w:tcW w:w="8708" w:type="dxa"/>
            <w:gridSpan w:val="11"/>
            <w:tcBorders>
              <w:bottom w:val="single" w:sz="4" w:space="0" w:color="auto"/>
            </w:tcBorders>
          </w:tcPr>
          <w:p w14:paraId="59539D30" w14:textId="77777777" w:rsidR="00CA0EF0" w:rsidRPr="00361E30" w:rsidRDefault="00CA0EF0" w:rsidP="003C13F4">
            <w:pPr>
              <w:spacing w:after="0"/>
              <w:jc w:val="center"/>
              <w:rPr>
                <w:b/>
                <w:color w:val="231F20"/>
              </w:rPr>
            </w:pPr>
          </w:p>
        </w:tc>
      </w:tr>
      <w:tr w:rsidR="00CA0EF0" w:rsidRPr="00361E30" w14:paraId="63DCF452" w14:textId="77777777" w:rsidTr="003C13F4">
        <w:tc>
          <w:tcPr>
            <w:tcW w:w="1842" w:type="dxa"/>
            <w:tcBorders>
              <w:top w:val="single" w:sz="4" w:space="0" w:color="auto"/>
            </w:tcBorders>
          </w:tcPr>
          <w:p w14:paraId="6B31DDBB" w14:textId="77777777" w:rsidR="00CA0EF0" w:rsidRPr="00361E30" w:rsidRDefault="00CA0EF0" w:rsidP="003C13F4">
            <w:pPr>
              <w:spacing w:after="0"/>
              <w:rPr>
                <w:b/>
                <w:color w:val="231F20"/>
              </w:rPr>
            </w:pPr>
            <w:r w:rsidRPr="00361E30">
              <w:rPr>
                <w:b/>
                <w:color w:val="231F20"/>
              </w:rPr>
              <w:t>Caterino (2010)</w:t>
            </w:r>
          </w:p>
        </w:tc>
        <w:tc>
          <w:tcPr>
            <w:tcW w:w="1271" w:type="dxa"/>
            <w:tcBorders>
              <w:top w:val="single" w:sz="4" w:space="0" w:color="auto"/>
              <w:bottom w:val="single" w:sz="4" w:space="0" w:color="auto"/>
            </w:tcBorders>
          </w:tcPr>
          <w:p w14:paraId="73143D4D" w14:textId="77777777" w:rsidR="00CA0EF0" w:rsidRPr="00361E30" w:rsidRDefault="00CA0EF0" w:rsidP="003C13F4">
            <w:pPr>
              <w:spacing w:after="0"/>
              <w:jc w:val="center"/>
              <w:rPr>
                <w:color w:val="231F20"/>
              </w:rPr>
            </w:pPr>
          </w:p>
        </w:tc>
        <w:tc>
          <w:tcPr>
            <w:tcW w:w="5595" w:type="dxa"/>
            <w:gridSpan w:val="9"/>
            <w:tcBorders>
              <w:top w:val="single" w:sz="4" w:space="0" w:color="auto"/>
              <w:bottom w:val="single" w:sz="4" w:space="0" w:color="auto"/>
            </w:tcBorders>
          </w:tcPr>
          <w:p w14:paraId="6A80A23D" w14:textId="77777777" w:rsidR="00CA0EF0" w:rsidRPr="00361E30" w:rsidRDefault="00CA0EF0" w:rsidP="003C13F4">
            <w:pPr>
              <w:spacing w:after="0"/>
              <w:jc w:val="center"/>
              <w:rPr>
                <w:b/>
                <w:color w:val="231F20"/>
              </w:rPr>
            </w:pPr>
            <w:r w:rsidRPr="00361E30">
              <w:rPr>
                <w:b/>
                <w:color w:val="231F20"/>
              </w:rPr>
              <w:t>Age Groups in years</w:t>
            </w:r>
          </w:p>
        </w:tc>
      </w:tr>
      <w:tr w:rsidR="00CA0EF0" w:rsidRPr="00361E30" w14:paraId="2359EC01" w14:textId="77777777" w:rsidTr="003C13F4">
        <w:tc>
          <w:tcPr>
            <w:tcW w:w="1842" w:type="dxa"/>
          </w:tcPr>
          <w:p w14:paraId="2E95D8CA" w14:textId="77777777" w:rsidR="00CA0EF0" w:rsidRPr="00361E30" w:rsidRDefault="00CA0EF0" w:rsidP="003C13F4">
            <w:pPr>
              <w:spacing w:after="0"/>
              <w:rPr>
                <w:b/>
                <w:color w:val="231F20"/>
              </w:rPr>
            </w:pPr>
          </w:p>
        </w:tc>
        <w:tc>
          <w:tcPr>
            <w:tcW w:w="1271" w:type="dxa"/>
            <w:tcBorders>
              <w:bottom w:val="single" w:sz="4" w:space="0" w:color="auto"/>
            </w:tcBorders>
          </w:tcPr>
          <w:p w14:paraId="45AA7F8B" w14:textId="77777777" w:rsidR="00CA0EF0" w:rsidRPr="00361E30" w:rsidRDefault="00CA0EF0" w:rsidP="003C13F4">
            <w:pPr>
              <w:spacing w:after="0"/>
              <w:jc w:val="center"/>
              <w:rPr>
                <w:b/>
                <w:color w:val="231F20"/>
              </w:rPr>
            </w:pPr>
          </w:p>
        </w:tc>
        <w:tc>
          <w:tcPr>
            <w:tcW w:w="1119" w:type="dxa"/>
            <w:gridSpan w:val="2"/>
            <w:tcBorders>
              <w:bottom w:val="single" w:sz="4" w:space="0" w:color="auto"/>
            </w:tcBorders>
          </w:tcPr>
          <w:p w14:paraId="38EBE03F" w14:textId="77777777" w:rsidR="00CA0EF0" w:rsidRPr="00361E30" w:rsidRDefault="00CA0EF0" w:rsidP="003C13F4">
            <w:pPr>
              <w:spacing w:after="0"/>
              <w:jc w:val="center"/>
              <w:rPr>
                <w:color w:val="231F20"/>
              </w:rPr>
            </w:pPr>
            <w:r w:rsidRPr="00361E30">
              <w:rPr>
                <w:color w:val="231F20"/>
              </w:rPr>
              <w:t>70-74</w:t>
            </w:r>
          </w:p>
        </w:tc>
        <w:tc>
          <w:tcPr>
            <w:tcW w:w="1119" w:type="dxa"/>
            <w:gridSpan w:val="2"/>
            <w:tcBorders>
              <w:bottom w:val="single" w:sz="4" w:space="0" w:color="auto"/>
            </w:tcBorders>
          </w:tcPr>
          <w:p w14:paraId="4C06A82E" w14:textId="77777777" w:rsidR="00CA0EF0" w:rsidRPr="00361E30" w:rsidRDefault="00CA0EF0" w:rsidP="003C13F4">
            <w:pPr>
              <w:spacing w:after="0"/>
              <w:jc w:val="center"/>
              <w:rPr>
                <w:color w:val="231F20"/>
              </w:rPr>
            </w:pPr>
            <w:r w:rsidRPr="00361E30">
              <w:rPr>
                <w:color w:val="231F20"/>
              </w:rPr>
              <w:t>75-79</w:t>
            </w:r>
          </w:p>
        </w:tc>
        <w:tc>
          <w:tcPr>
            <w:tcW w:w="1119" w:type="dxa"/>
            <w:gridSpan w:val="2"/>
            <w:tcBorders>
              <w:bottom w:val="single" w:sz="4" w:space="0" w:color="auto"/>
            </w:tcBorders>
          </w:tcPr>
          <w:p w14:paraId="366EB7A4" w14:textId="77777777" w:rsidR="00CA0EF0" w:rsidRPr="00361E30" w:rsidRDefault="00CA0EF0" w:rsidP="003C13F4">
            <w:pPr>
              <w:spacing w:after="0"/>
              <w:jc w:val="center"/>
              <w:rPr>
                <w:color w:val="231F20"/>
              </w:rPr>
            </w:pPr>
            <w:r w:rsidRPr="00361E30">
              <w:rPr>
                <w:color w:val="231F20"/>
              </w:rPr>
              <w:t>80-84</w:t>
            </w:r>
          </w:p>
        </w:tc>
        <w:tc>
          <w:tcPr>
            <w:tcW w:w="1119" w:type="dxa"/>
            <w:gridSpan w:val="2"/>
            <w:tcBorders>
              <w:bottom w:val="single" w:sz="4" w:space="0" w:color="auto"/>
            </w:tcBorders>
          </w:tcPr>
          <w:p w14:paraId="5087DAA1" w14:textId="77777777" w:rsidR="00CA0EF0" w:rsidRPr="00361E30" w:rsidRDefault="00CA0EF0" w:rsidP="003C13F4">
            <w:pPr>
              <w:spacing w:after="0"/>
              <w:jc w:val="center"/>
              <w:rPr>
                <w:color w:val="231F20"/>
              </w:rPr>
            </w:pPr>
            <w:r w:rsidRPr="00361E30">
              <w:rPr>
                <w:color w:val="231F20"/>
              </w:rPr>
              <w:t>85-89</w:t>
            </w:r>
          </w:p>
        </w:tc>
        <w:tc>
          <w:tcPr>
            <w:tcW w:w="1119" w:type="dxa"/>
            <w:tcBorders>
              <w:bottom w:val="single" w:sz="4" w:space="0" w:color="auto"/>
            </w:tcBorders>
          </w:tcPr>
          <w:p w14:paraId="06DB3A58" w14:textId="77777777" w:rsidR="00CA0EF0" w:rsidRPr="00361E30" w:rsidRDefault="00CA0EF0" w:rsidP="003C13F4">
            <w:pPr>
              <w:spacing w:after="0"/>
              <w:jc w:val="center"/>
              <w:rPr>
                <w:color w:val="231F20"/>
              </w:rPr>
            </w:pPr>
            <w:r w:rsidRPr="00361E30">
              <w:rPr>
                <w:color w:val="231F20"/>
              </w:rPr>
              <w:t>≥90</w:t>
            </w:r>
          </w:p>
        </w:tc>
      </w:tr>
      <w:tr w:rsidR="00CA0EF0" w:rsidRPr="00361E30" w14:paraId="029C8E47" w14:textId="77777777" w:rsidTr="003C13F4">
        <w:tc>
          <w:tcPr>
            <w:tcW w:w="1842" w:type="dxa"/>
          </w:tcPr>
          <w:p w14:paraId="4BBFB861" w14:textId="77777777" w:rsidR="00CA0EF0" w:rsidRPr="00361E30" w:rsidRDefault="00CA0EF0" w:rsidP="003C13F4">
            <w:pPr>
              <w:spacing w:after="0"/>
              <w:rPr>
                <w:b/>
                <w:color w:val="231F20"/>
              </w:rPr>
            </w:pPr>
          </w:p>
        </w:tc>
        <w:tc>
          <w:tcPr>
            <w:tcW w:w="1483" w:type="dxa"/>
            <w:gridSpan w:val="2"/>
            <w:tcBorders>
              <w:top w:val="single" w:sz="4" w:space="0" w:color="auto"/>
            </w:tcBorders>
          </w:tcPr>
          <w:p w14:paraId="15114F29" w14:textId="77777777" w:rsidR="00CA0EF0" w:rsidRPr="00361E30" w:rsidRDefault="00CA0EF0" w:rsidP="003C13F4">
            <w:pPr>
              <w:spacing w:after="0"/>
              <w:jc w:val="center"/>
              <w:rPr>
                <w:color w:val="231F20"/>
              </w:rPr>
            </w:pPr>
          </w:p>
        </w:tc>
        <w:tc>
          <w:tcPr>
            <w:tcW w:w="5383" w:type="dxa"/>
            <w:gridSpan w:val="8"/>
            <w:tcBorders>
              <w:top w:val="single" w:sz="4" w:space="0" w:color="auto"/>
            </w:tcBorders>
          </w:tcPr>
          <w:p w14:paraId="54169D47" w14:textId="77777777" w:rsidR="00CA0EF0" w:rsidRPr="00361E30" w:rsidRDefault="00CA0EF0" w:rsidP="003C13F4">
            <w:pPr>
              <w:spacing w:after="0"/>
              <w:jc w:val="center"/>
              <w:rPr>
                <w:color w:val="231F20"/>
              </w:rPr>
            </w:pPr>
            <w:r w:rsidRPr="00361E30">
              <w:rPr>
                <w:b/>
                <w:color w:val="231F20"/>
              </w:rPr>
              <w:t>Adjusted Odds Ratios (95% Confidence intervals)</w:t>
            </w:r>
          </w:p>
        </w:tc>
      </w:tr>
      <w:tr w:rsidR="00CA0EF0" w:rsidRPr="00361E30" w14:paraId="72EABA45" w14:textId="77777777" w:rsidTr="003C13F4">
        <w:tc>
          <w:tcPr>
            <w:tcW w:w="1842" w:type="dxa"/>
            <w:tcBorders>
              <w:bottom w:val="single" w:sz="4" w:space="0" w:color="auto"/>
            </w:tcBorders>
          </w:tcPr>
          <w:p w14:paraId="4B0AF955" w14:textId="77777777" w:rsidR="00CA0EF0" w:rsidRPr="00361E30" w:rsidRDefault="00CA0EF0" w:rsidP="003C13F4">
            <w:pPr>
              <w:spacing w:after="0"/>
              <w:rPr>
                <w:b/>
                <w:color w:val="231F20"/>
              </w:rPr>
            </w:pPr>
          </w:p>
        </w:tc>
        <w:tc>
          <w:tcPr>
            <w:tcW w:w="1271" w:type="dxa"/>
            <w:tcBorders>
              <w:bottom w:val="single" w:sz="4" w:space="0" w:color="auto"/>
            </w:tcBorders>
          </w:tcPr>
          <w:p w14:paraId="7F0C0CEA" w14:textId="77777777" w:rsidR="00CA0EF0" w:rsidRPr="00361E30" w:rsidRDefault="00CA0EF0" w:rsidP="003C13F4">
            <w:pPr>
              <w:spacing w:after="0"/>
              <w:jc w:val="center"/>
              <w:rPr>
                <w:color w:val="231F20"/>
              </w:rPr>
            </w:pPr>
            <w:r w:rsidRPr="00361E30">
              <w:rPr>
                <w:color w:val="231F20"/>
              </w:rPr>
              <w:t>65-69 years</w:t>
            </w:r>
          </w:p>
        </w:tc>
        <w:tc>
          <w:tcPr>
            <w:tcW w:w="1119" w:type="dxa"/>
            <w:gridSpan w:val="2"/>
            <w:tcBorders>
              <w:bottom w:val="single" w:sz="4" w:space="0" w:color="auto"/>
            </w:tcBorders>
          </w:tcPr>
          <w:p w14:paraId="0C587874" w14:textId="77777777" w:rsidR="00CA0EF0" w:rsidRPr="00361E30" w:rsidRDefault="00CA0EF0" w:rsidP="003C13F4">
            <w:pPr>
              <w:spacing w:after="0"/>
              <w:jc w:val="center"/>
              <w:rPr>
                <w:rFonts w:cs="AdvTT6120e2aa"/>
                <w:color w:val="231F20"/>
              </w:rPr>
            </w:pPr>
            <w:r w:rsidRPr="00361E30">
              <w:rPr>
                <w:rFonts w:cs="AdvTT6120e2aa"/>
                <w:color w:val="231F20"/>
              </w:rPr>
              <w:t xml:space="preserve">1.44 </w:t>
            </w:r>
          </w:p>
          <w:p w14:paraId="3911AEF7" w14:textId="77777777" w:rsidR="00CA0EF0" w:rsidRPr="00361E30" w:rsidRDefault="00CA0EF0" w:rsidP="003C13F4">
            <w:pPr>
              <w:spacing w:after="0"/>
              <w:jc w:val="center"/>
              <w:rPr>
                <w:color w:val="231F20"/>
              </w:rPr>
            </w:pPr>
            <w:r w:rsidRPr="00361E30">
              <w:rPr>
                <w:rFonts w:cs="AdvTT6120e2aa"/>
                <w:color w:val="231F20"/>
                <w:sz w:val="18"/>
              </w:rPr>
              <w:t>(1.12-1.85)</w:t>
            </w:r>
          </w:p>
        </w:tc>
        <w:tc>
          <w:tcPr>
            <w:tcW w:w="1119" w:type="dxa"/>
            <w:gridSpan w:val="2"/>
            <w:tcBorders>
              <w:bottom w:val="single" w:sz="4" w:space="0" w:color="auto"/>
            </w:tcBorders>
          </w:tcPr>
          <w:p w14:paraId="767215BD" w14:textId="77777777" w:rsidR="00CA0EF0" w:rsidRPr="00361E30" w:rsidRDefault="00CA0EF0" w:rsidP="003C13F4">
            <w:pPr>
              <w:spacing w:after="0"/>
              <w:jc w:val="center"/>
              <w:rPr>
                <w:rFonts w:cs="AdvTT6120e2aa"/>
                <w:color w:val="231F20"/>
              </w:rPr>
            </w:pPr>
            <w:r w:rsidRPr="00361E30">
              <w:rPr>
                <w:rFonts w:cs="AdvTT6120e2aa"/>
                <w:color w:val="231F20"/>
              </w:rPr>
              <w:t xml:space="preserve">1.58 </w:t>
            </w:r>
          </w:p>
          <w:p w14:paraId="11B8F5F7" w14:textId="77777777" w:rsidR="00CA0EF0" w:rsidRPr="00361E30" w:rsidRDefault="00CA0EF0" w:rsidP="003C13F4">
            <w:pPr>
              <w:spacing w:after="0"/>
              <w:jc w:val="center"/>
              <w:rPr>
                <w:color w:val="231F20"/>
              </w:rPr>
            </w:pPr>
            <w:r w:rsidRPr="00361E30">
              <w:rPr>
                <w:rFonts w:cs="AdvTT6120e2aa"/>
                <w:color w:val="231F20"/>
                <w:sz w:val="18"/>
              </w:rPr>
              <w:t>(1.25-2.00)</w:t>
            </w:r>
          </w:p>
        </w:tc>
        <w:tc>
          <w:tcPr>
            <w:tcW w:w="1119" w:type="dxa"/>
            <w:gridSpan w:val="2"/>
            <w:tcBorders>
              <w:bottom w:val="single" w:sz="4" w:space="0" w:color="auto"/>
            </w:tcBorders>
          </w:tcPr>
          <w:p w14:paraId="7FC0B368" w14:textId="77777777" w:rsidR="00CA0EF0" w:rsidRPr="00361E30" w:rsidRDefault="00CA0EF0" w:rsidP="003C13F4">
            <w:pPr>
              <w:spacing w:after="0"/>
              <w:jc w:val="center"/>
              <w:rPr>
                <w:rFonts w:cs="AdvTT6120e2aa"/>
                <w:color w:val="231F20"/>
              </w:rPr>
            </w:pPr>
            <w:r w:rsidRPr="00361E30">
              <w:rPr>
                <w:rFonts w:cs="AdvTT6120e2aa"/>
                <w:color w:val="231F20"/>
              </w:rPr>
              <w:t xml:space="preserve">1.66 </w:t>
            </w:r>
          </w:p>
          <w:p w14:paraId="1EAFA334" w14:textId="77777777" w:rsidR="00CA0EF0" w:rsidRPr="00361E30" w:rsidRDefault="00CA0EF0" w:rsidP="003C13F4">
            <w:pPr>
              <w:spacing w:after="0"/>
              <w:jc w:val="center"/>
              <w:rPr>
                <w:color w:val="231F20"/>
              </w:rPr>
            </w:pPr>
            <w:r w:rsidRPr="00361E30">
              <w:rPr>
                <w:rFonts w:cs="AdvTT6120e2aa"/>
                <w:color w:val="231F20"/>
                <w:sz w:val="18"/>
              </w:rPr>
              <w:t>(1.32-2.10)</w:t>
            </w:r>
          </w:p>
        </w:tc>
        <w:tc>
          <w:tcPr>
            <w:tcW w:w="1119" w:type="dxa"/>
            <w:gridSpan w:val="2"/>
            <w:tcBorders>
              <w:bottom w:val="single" w:sz="4" w:space="0" w:color="auto"/>
            </w:tcBorders>
          </w:tcPr>
          <w:p w14:paraId="5314D6A2" w14:textId="77777777" w:rsidR="00CA0EF0" w:rsidRPr="00361E30" w:rsidRDefault="00CA0EF0" w:rsidP="003C13F4">
            <w:pPr>
              <w:spacing w:after="0"/>
              <w:jc w:val="center"/>
              <w:rPr>
                <w:rFonts w:cs="AdvTT6120e2aa"/>
                <w:color w:val="231F20"/>
              </w:rPr>
            </w:pPr>
            <w:r w:rsidRPr="00361E30">
              <w:rPr>
                <w:rFonts w:cs="AdvTT6120e2aa"/>
                <w:color w:val="231F20"/>
              </w:rPr>
              <w:t xml:space="preserve">1.95 </w:t>
            </w:r>
          </w:p>
          <w:p w14:paraId="617AEF66" w14:textId="77777777" w:rsidR="00CA0EF0" w:rsidRPr="00361E30" w:rsidRDefault="00CA0EF0" w:rsidP="003C13F4">
            <w:pPr>
              <w:spacing w:after="0"/>
              <w:jc w:val="center"/>
              <w:rPr>
                <w:color w:val="231F20"/>
              </w:rPr>
            </w:pPr>
            <w:r w:rsidRPr="00361E30">
              <w:rPr>
                <w:rFonts w:cs="AdvTT6120e2aa"/>
                <w:color w:val="231F20"/>
                <w:sz w:val="18"/>
              </w:rPr>
              <w:t>(1.63-2.48)</w:t>
            </w:r>
          </w:p>
        </w:tc>
        <w:tc>
          <w:tcPr>
            <w:tcW w:w="1119" w:type="dxa"/>
            <w:tcBorders>
              <w:bottom w:val="single" w:sz="4" w:space="0" w:color="auto"/>
            </w:tcBorders>
          </w:tcPr>
          <w:p w14:paraId="443F0122" w14:textId="77777777" w:rsidR="00CA0EF0" w:rsidRPr="00361E30" w:rsidRDefault="00CA0EF0" w:rsidP="003C13F4">
            <w:pPr>
              <w:spacing w:after="0"/>
              <w:jc w:val="center"/>
              <w:rPr>
                <w:rFonts w:cs="AdvTT6120e2aa"/>
                <w:color w:val="231F20"/>
              </w:rPr>
            </w:pPr>
            <w:r w:rsidRPr="00361E30">
              <w:rPr>
                <w:rFonts w:cs="AdvTT6120e2aa"/>
                <w:color w:val="231F20"/>
              </w:rPr>
              <w:t xml:space="preserve">2.76 </w:t>
            </w:r>
          </w:p>
          <w:p w14:paraId="401B5077" w14:textId="77777777" w:rsidR="00CA0EF0" w:rsidRPr="00361E30" w:rsidRDefault="00CA0EF0" w:rsidP="003C13F4">
            <w:pPr>
              <w:spacing w:after="0"/>
              <w:jc w:val="center"/>
              <w:rPr>
                <w:color w:val="231F20"/>
              </w:rPr>
            </w:pPr>
            <w:r w:rsidRPr="00361E30">
              <w:rPr>
                <w:rFonts w:cs="AdvTT6120e2aa"/>
                <w:color w:val="231F20"/>
                <w:sz w:val="18"/>
              </w:rPr>
              <w:t>(2.13-3.57)</w:t>
            </w:r>
          </w:p>
        </w:tc>
      </w:tr>
      <w:tr w:rsidR="00CA0EF0" w:rsidRPr="00361E30" w14:paraId="36086328" w14:textId="77777777" w:rsidTr="003C13F4">
        <w:tc>
          <w:tcPr>
            <w:tcW w:w="8708" w:type="dxa"/>
            <w:gridSpan w:val="11"/>
            <w:tcBorders>
              <w:top w:val="single" w:sz="4" w:space="0" w:color="auto"/>
              <w:bottom w:val="single" w:sz="4" w:space="0" w:color="auto"/>
            </w:tcBorders>
          </w:tcPr>
          <w:p w14:paraId="31F8EF7D" w14:textId="77777777" w:rsidR="00CA0EF0" w:rsidRPr="00361E30" w:rsidRDefault="00CA0EF0" w:rsidP="003C13F4">
            <w:pPr>
              <w:spacing w:after="0"/>
              <w:jc w:val="center"/>
              <w:rPr>
                <w:b/>
                <w:color w:val="231F20"/>
              </w:rPr>
            </w:pPr>
            <w:r w:rsidRPr="00361E30">
              <w:rPr>
                <w:b/>
                <w:color w:val="231F20"/>
              </w:rPr>
              <w:t>Studies with age as a continuous variable</w:t>
            </w:r>
          </w:p>
        </w:tc>
      </w:tr>
      <w:tr w:rsidR="00CA0EF0" w:rsidRPr="00361E30" w14:paraId="0243F724" w14:textId="77777777" w:rsidTr="003C13F4">
        <w:tc>
          <w:tcPr>
            <w:tcW w:w="1842" w:type="dxa"/>
            <w:tcBorders>
              <w:top w:val="single" w:sz="4" w:space="0" w:color="auto"/>
            </w:tcBorders>
          </w:tcPr>
          <w:p w14:paraId="7AD0B9B6" w14:textId="77777777" w:rsidR="00CA0EF0" w:rsidRPr="00361E30" w:rsidRDefault="00CA0EF0" w:rsidP="003C13F4">
            <w:pPr>
              <w:spacing w:after="0"/>
              <w:rPr>
                <w:b/>
                <w:color w:val="231F20"/>
              </w:rPr>
            </w:pPr>
            <w:r w:rsidRPr="00361E30">
              <w:rPr>
                <w:b/>
                <w:color w:val="231F20"/>
              </w:rPr>
              <w:t>Efron (2008)</w:t>
            </w:r>
          </w:p>
        </w:tc>
        <w:tc>
          <w:tcPr>
            <w:tcW w:w="6866" w:type="dxa"/>
            <w:gridSpan w:val="10"/>
            <w:tcBorders>
              <w:top w:val="single" w:sz="4" w:space="0" w:color="auto"/>
            </w:tcBorders>
          </w:tcPr>
          <w:p w14:paraId="3471868F" w14:textId="77777777" w:rsidR="00CA0EF0" w:rsidRPr="00361E30" w:rsidRDefault="00CA0EF0" w:rsidP="003C13F4">
            <w:pPr>
              <w:spacing w:after="0"/>
              <w:jc w:val="center"/>
              <w:rPr>
                <w:color w:val="231F20"/>
              </w:rPr>
            </w:pPr>
            <w:r w:rsidRPr="00361E30">
              <w:rPr>
                <w:color w:val="231F20"/>
              </w:rPr>
              <w:t xml:space="preserve">AOR for each </w:t>
            </w:r>
            <w:r w:rsidR="00B62F3A" w:rsidRPr="00361E30">
              <w:rPr>
                <w:color w:val="231F20"/>
              </w:rPr>
              <w:t>1-year</w:t>
            </w:r>
            <w:r w:rsidRPr="00361E30">
              <w:rPr>
                <w:color w:val="231F20"/>
              </w:rPr>
              <w:t xml:space="preserve"> increase in age: 1.11 (1.06 - 1.14)</w:t>
            </w:r>
          </w:p>
        </w:tc>
      </w:tr>
      <w:tr w:rsidR="00CA0EF0" w:rsidRPr="00361E30" w14:paraId="42629330" w14:textId="77777777" w:rsidTr="003C13F4">
        <w:tc>
          <w:tcPr>
            <w:tcW w:w="1842" w:type="dxa"/>
          </w:tcPr>
          <w:p w14:paraId="046CD5BB" w14:textId="77777777" w:rsidR="00CA0EF0" w:rsidRPr="00361E30" w:rsidRDefault="00CA0EF0" w:rsidP="003C13F4">
            <w:pPr>
              <w:spacing w:after="0"/>
              <w:rPr>
                <w:b/>
                <w:color w:val="231F20"/>
              </w:rPr>
            </w:pPr>
            <w:r w:rsidRPr="00361E30">
              <w:rPr>
                <w:b/>
                <w:color w:val="231F20"/>
              </w:rPr>
              <w:t>Grossman (2002)</w:t>
            </w:r>
          </w:p>
        </w:tc>
        <w:tc>
          <w:tcPr>
            <w:tcW w:w="6866" w:type="dxa"/>
            <w:gridSpan w:val="10"/>
          </w:tcPr>
          <w:p w14:paraId="5E501C82" w14:textId="77777777" w:rsidR="00CA0EF0" w:rsidRPr="00361E30" w:rsidRDefault="00CA0EF0" w:rsidP="003C13F4">
            <w:pPr>
              <w:spacing w:after="0"/>
              <w:jc w:val="center"/>
              <w:rPr>
                <w:color w:val="231F20"/>
              </w:rPr>
            </w:pPr>
            <w:r w:rsidRPr="00361E30">
              <w:rPr>
                <w:color w:val="231F20"/>
              </w:rPr>
              <w:t xml:space="preserve">AOR for each </w:t>
            </w:r>
            <w:r w:rsidR="00B62F3A" w:rsidRPr="00361E30">
              <w:rPr>
                <w:color w:val="231F20"/>
              </w:rPr>
              <w:t>1-year</w:t>
            </w:r>
            <w:r w:rsidRPr="00361E30">
              <w:rPr>
                <w:color w:val="231F20"/>
              </w:rPr>
              <w:t xml:space="preserve"> increase in age: 1.07 (1.06 – 1.08)</w:t>
            </w:r>
          </w:p>
        </w:tc>
      </w:tr>
      <w:tr w:rsidR="00CA0EF0" w:rsidRPr="00361E30" w14:paraId="6851E844" w14:textId="77777777" w:rsidTr="003C13F4">
        <w:tc>
          <w:tcPr>
            <w:tcW w:w="1842" w:type="dxa"/>
            <w:tcBorders>
              <w:bottom w:val="single" w:sz="4" w:space="0" w:color="auto"/>
            </w:tcBorders>
          </w:tcPr>
          <w:p w14:paraId="5AB57F8A" w14:textId="77777777" w:rsidR="00CA0EF0" w:rsidRPr="00361E30" w:rsidRDefault="00CA0EF0" w:rsidP="003C13F4">
            <w:pPr>
              <w:spacing w:after="0"/>
              <w:rPr>
                <w:b/>
                <w:color w:val="231F20"/>
              </w:rPr>
            </w:pPr>
            <w:r w:rsidRPr="00361E30">
              <w:rPr>
                <w:b/>
                <w:color w:val="231F20"/>
              </w:rPr>
              <w:t>Richmond (2002)</w:t>
            </w:r>
          </w:p>
        </w:tc>
        <w:tc>
          <w:tcPr>
            <w:tcW w:w="6866" w:type="dxa"/>
            <w:gridSpan w:val="10"/>
            <w:tcBorders>
              <w:bottom w:val="single" w:sz="4" w:space="0" w:color="auto"/>
            </w:tcBorders>
          </w:tcPr>
          <w:p w14:paraId="7FEAA892" w14:textId="77777777" w:rsidR="00CA0EF0" w:rsidRPr="00361E30" w:rsidRDefault="00CA0EF0" w:rsidP="003C13F4">
            <w:pPr>
              <w:spacing w:after="0"/>
              <w:jc w:val="center"/>
              <w:rPr>
                <w:color w:val="231F20"/>
              </w:rPr>
            </w:pPr>
            <w:r w:rsidRPr="00361E30">
              <w:rPr>
                <w:color w:val="231F20"/>
              </w:rPr>
              <w:t xml:space="preserve">AOR for each </w:t>
            </w:r>
            <w:r w:rsidR="00B62F3A" w:rsidRPr="00361E30">
              <w:rPr>
                <w:color w:val="231F20"/>
              </w:rPr>
              <w:t>1-year</w:t>
            </w:r>
            <w:r w:rsidRPr="00361E30">
              <w:rPr>
                <w:color w:val="231F20"/>
              </w:rPr>
              <w:t xml:space="preserve"> increase in age: 1.05 (1.03 – 1.07)</w:t>
            </w:r>
          </w:p>
        </w:tc>
      </w:tr>
    </w:tbl>
    <w:p w14:paraId="29486307" w14:textId="77777777" w:rsidR="00CA0EF0" w:rsidRPr="00361E30" w:rsidRDefault="00CA0EF0" w:rsidP="003C13F4">
      <w:pPr>
        <w:pStyle w:val="TableTitle"/>
      </w:pPr>
      <w:bookmarkStart w:id="58" w:name="_Toc528321037"/>
      <w:r w:rsidRPr="00361E30">
        <w:t>Table 2.2: A summary of the relationship between age and risk-adjusted mortality for patients 65 years and older</w:t>
      </w:r>
      <w:bookmarkEnd w:id="58"/>
    </w:p>
    <w:p w14:paraId="590BD3B7" w14:textId="77777777" w:rsidR="00CA0EF0" w:rsidRPr="00361E30" w:rsidRDefault="00CA0EF0" w:rsidP="003C13F4">
      <w:r w:rsidRPr="00361E30">
        <w:rPr>
          <w:rFonts w:eastAsia="Times New Roman"/>
        </w:rPr>
        <w:lastRenderedPageBreak/>
        <w:t>Other single centre studies not eligible for inclusion in this review also identified an age of inflexion of mortality in trauma between the 4</w:t>
      </w:r>
      <w:r w:rsidRPr="00361E30">
        <w:rPr>
          <w:rFonts w:eastAsia="Times New Roman"/>
          <w:vertAlign w:val="superscript"/>
        </w:rPr>
        <w:t>th</w:t>
      </w:r>
      <w:r w:rsidRPr="00361E30">
        <w:rPr>
          <w:rFonts w:eastAsia="Times New Roman"/>
        </w:rPr>
        <w:t xml:space="preserve"> to 6</w:t>
      </w:r>
      <w:r w:rsidRPr="00361E30">
        <w:rPr>
          <w:rFonts w:eastAsia="Times New Roman"/>
          <w:vertAlign w:val="superscript"/>
        </w:rPr>
        <w:t>th</w:t>
      </w:r>
      <w:r w:rsidRPr="00361E30">
        <w:rPr>
          <w:rFonts w:eastAsia="Times New Roman"/>
        </w:rPr>
        <w:t xml:space="preserve"> decades </w:t>
      </w:r>
      <w:r w:rsidRPr="00361E30">
        <w:rPr>
          <w:rFonts w:eastAsia="Times New Roman"/>
          <w:noProof/>
        </w:rPr>
        <w:t>(Adams</w:t>
      </w:r>
      <w:r w:rsidR="009E1016" w:rsidRPr="00361E30">
        <w:rPr>
          <w:rFonts w:eastAsia="Times New Roman"/>
          <w:noProof/>
        </w:rPr>
        <w:t>, Cotton et al. 2013, Sklar et al.</w:t>
      </w:r>
      <w:r w:rsidRPr="00361E30">
        <w:rPr>
          <w:rFonts w:eastAsia="Times New Roman"/>
          <w:noProof/>
        </w:rPr>
        <w:t xml:space="preserve"> 1989)</w:t>
      </w:r>
      <w:r w:rsidRPr="00361E30">
        <w:rPr>
          <w:rFonts w:eastAsia="Times New Roman"/>
        </w:rPr>
        <w:t>. A more recen</w:t>
      </w:r>
      <w:r w:rsidR="00B249F5" w:rsidRPr="00361E30">
        <w:rPr>
          <w:rFonts w:eastAsia="Times New Roman"/>
        </w:rPr>
        <w:t>t study by LLompart-Pou (</w:t>
      </w:r>
      <w:r w:rsidRPr="00361E30">
        <w:rPr>
          <w:rFonts w:eastAsia="Times New Roman"/>
        </w:rPr>
        <w:t>2016)</w:t>
      </w:r>
      <w:r w:rsidR="00B249F5" w:rsidRPr="00361E30">
        <w:rPr>
          <w:rFonts w:eastAsia="Times New Roman"/>
        </w:rPr>
        <w:t xml:space="preserve"> in Spain</w:t>
      </w:r>
      <w:r w:rsidRPr="00361E30">
        <w:rPr>
          <w:rFonts w:eastAsia="Times New Roman"/>
        </w:rPr>
        <w:t xml:space="preserve">, that was not included in the review, suggested two inflection points for mortality with increasing age in older trauma patients, at the 55 – 65 age group and at age 80. These findings are consistent with other epidemiological work which has demonstrated a significant decline in health status, and much poorer recovery from acute insults in the ‘oldest old’ patients, aged 85 years and older </w:t>
      </w:r>
      <w:r w:rsidRPr="00361E30">
        <w:rPr>
          <w:rFonts w:eastAsia="Times New Roman"/>
          <w:noProof/>
        </w:rPr>
        <w:t>(Cawthon et al. 2007)</w:t>
      </w:r>
      <w:r w:rsidRPr="00361E30">
        <w:rPr>
          <w:rFonts w:eastAsia="Times New Roman"/>
        </w:rPr>
        <w:t>.</w:t>
      </w:r>
    </w:p>
    <w:p w14:paraId="35C5FAF5" w14:textId="77777777" w:rsidR="00CA0EF0" w:rsidRPr="00361E30" w:rsidRDefault="00CA0EF0" w:rsidP="003C13F4">
      <w:pPr>
        <w:pStyle w:val="Heading3"/>
        <w:rPr>
          <w:rFonts w:eastAsia="Times New Roman"/>
        </w:rPr>
      </w:pPr>
      <w:r w:rsidRPr="00361E30">
        <w:rPr>
          <w:rFonts w:eastAsia="Times New Roman"/>
        </w:rPr>
        <w:t xml:space="preserve">2.3.1.2 </w:t>
      </w:r>
      <w:r w:rsidRPr="00361E30">
        <w:rPr>
          <w:rFonts w:eastAsia="Times New Roman"/>
        </w:rPr>
        <w:tab/>
        <w:t>Studies comparing mortality between age groups</w:t>
      </w:r>
    </w:p>
    <w:p w14:paraId="07395CED" w14:textId="77777777" w:rsidR="00CA0EF0" w:rsidRPr="00361E30" w:rsidRDefault="00CA0EF0" w:rsidP="003C13F4">
      <w:r w:rsidRPr="00361E30">
        <w:t xml:space="preserve">Eight studies demonstrated an increase in mortality with increasing age (Table 2.2). Five of these compared adjusted odds of death between different age cohorts of </w:t>
      </w:r>
      <w:r w:rsidR="00F84EF5">
        <w:t>older</w:t>
      </w:r>
      <w:r w:rsidRPr="00361E30">
        <w:t xml:space="preserve"> patients </w:t>
      </w:r>
      <w:r w:rsidRPr="00361E30">
        <w:rPr>
          <w:noProof/>
        </w:rPr>
        <w:t>(Ai</w:t>
      </w:r>
      <w:r w:rsidR="00031246" w:rsidRPr="00361E30">
        <w:rPr>
          <w:noProof/>
        </w:rPr>
        <w:t>tken et al. 2010, Caterino et al. 2010, Curtis</w:t>
      </w:r>
      <w:r w:rsidR="0081796A" w:rsidRPr="00361E30">
        <w:rPr>
          <w:noProof/>
        </w:rPr>
        <w:t xml:space="preserve"> et al.</w:t>
      </w:r>
      <w:r w:rsidR="00031246" w:rsidRPr="00361E30">
        <w:rPr>
          <w:noProof/>
        </w:rPr>
        <w:t xml:space="preserve"> 2012, Hannan et al.</w:t>
      </w:r>
      <w:r w:rsidRPr="00361E30">
        <w:rPr>
          <w:noProof/>
        </w:rPr>
        <w:t xml:space="preserve"> 2004, Yeung et al. 2008)</w:t>
      </w:r>
      <w:r w:rsidRPr="00361E30">
        <w:t>. Of these the two Australian studies</w:t>
      </w:r>
      <w:r w:rsidR="00031246" w:rsidRPr="00361E30">
        <w:t>,</w:t>
      </w:r>
      <w:r w:rsidR="00C946DD" w:rsidRPr="00361E30">
        <w:t xml:space="preserve"> </w:t>
      </w:r>
      <w:r w:rsidRPr="00361E30">
        <w:t>Aitken</w:t>
      </w:r>
      <w:r w:rsidR="00031246" w:rsidRPr="00361E30">
        <w:t xml:space="preserve"> (2010)</w:t>
      </w:r>
      <w:r w:rsidR="00C946DD" w:rsidRPr="00361E30">
        <w:t xml:space="preserve"> </w:t>
      </w:r>
      <w:r w:rsidR="00031246" w:rsidRPr="00361E30">
        <w:t>and Curtis (2012</w:t>
      </w:r>
      <w:r w:rsidRPr="00361E30">
        <w:t>)</w:t>
      </w:r>
      <w:r w:rsidR="00031246" w:rsidRPr="00361E30">
        <w:t>,</w:t>
      </w:r>
      <w:r w:rsidRPr="00361E30">
        <w:t xml:space="preserve"> demonstrated a significant increase in odds of death in the oldest trauma patients (those aged 85 years and older) compared to younger patients (those aged 65 to 84 years). In contrast, Caterino et al</w:t>
      </w:r>
      <w:r w:rsidR="00F80C71" w:rsidRPr="00361E30">
        <w:t xml:space="preserve"> (2010)</w:t>
      </w:r>
      <w:r w:rsidRPr="00361E30">
        <w:t xml:space="preserve">, in their study in the United States, found no significant difference in odds of death between patients aged 70 – 74 years and any of the older age cohorts.  The reason for the differences in these three studies is not clear. It is possible that this represents a real geographic difference in the response to trauma in </w:t>
      </w:r>
      <w:r w:rsidR="00F84EF5">
        <w:t>older</w:t>
      </w:r>
      <w:r w:rsidRPr="00361E30">
        <w:t xml:space="preserve"> patients in the USA compared to Australia. However, more direct comparative work needs to be undertaken in this area before any firm conclusions can be drawn.</w:t>
      </w:r>
    </w:p>
    <w:p w14:paraId="3EAEB45C" w14:textId="77777777" w:rsidR="00CA0EF0" w:rsidRPr="00361E30" w:rsidRDefault="00CA0EF0" w:rsidP="003C13F4">
      <w:pPr>
        <w:pStyle w:val="Heading3"/>
        <w:rPr>
          <w:rFonts w:eastAsia="Times New Roman"/>
        </w:rPr>
      </w:pPr>
      <w:r w:rsidRPr="00361E30">
        <w:rPr>
          <w:rFonts w:eastAsia="Times New Roman"/>
        </w:rPr>
        <w:t xml:space="preserve">2.3.1.3 </w:t>
      </w:r>
      <w:r w:rsidRPr="00361E30">
        <w:rPr>
          <w:rFonts w:eastAsia="Times New Roman"/>
        </w:rPr>
        <w:tab/>
        <w:t>Gender and Mortality</w:t>
      </w:r>
    </w:p>
    <w:p w14:paraId="4F49F31B" w14:textId="77777777" w:rsidR="00CA0EF0" w:rsidRPr="00361E30" w:rsidRDefault="00CA0EF0" w:rsidP="003C13F4">
      <w:r w:rsidRPr="00361E30">
        <w:rPr>
          <w:rFonts w:eastAsia="Times New Roman"/>
        </w:rPr>
        <w:t>The influence of gender on mortality in older trauma patients was investigated in four</w:t>
      </w:r>
      <w:r w:rsidR="00031246" w:rsidRPr="00361E30">
        <w:rPr>
          <w:rFonts w:eastAsia="Times New Roman"/>
        </w:rPr>
        <w:t xml:space="preserve"> studies. Aitken et al (</w:t>
      </w:r>
      <w:r w:rsidRPr="00361E30">
        <w:rPr>
          <w:rFonts w:eastAsia="Times New Roman"/>
        </w:rPr>
        <w:t xml:space="preserve">2010) found that the risk adjusted odds of death for males 65 and older was </w:t>
      </w:r>
      <w:r w:rsidRPr="00361E30">
        <w:t>1.40 (95% CI 1.07–1.84)</w:t>
      </w:r>
      <w:r w:rsidRPr="00361E30">
        <w:rPr>
          <w:rFonts w:eastAsia="Times New Roman"/>
        </w:rPr>
        <w:t>, compared to females. Grossman et al</w:t>
      </w:r>
      <w:r w:rsidR="00031246" w:rsidRPr="00361E30">
        <w:rPr>
          <w:rFonts w:eastAsia="Times New Roman"/>
        </w:rPr>
        <w:t xml:space="preserve"> (2002)</w:t>
      </w:r>
      <w:r w:rsidRPr="00361E30">
        <w:rPr>
          <w:rFonts w:eastAsia="Times New Roman"/>
        </w:rPr>
        <w:t>, in their study of trauma in older people</w:t>
      </w:r>
      <w:r w:rsidR="00031246" w:rsidRPr="00361E30">
        <w:rPr>
          <w:rFonts w:eastAsia="Times New Roman"/>
        </w:rPr>
        <w:t xml:space="preserve"> in the United States</w:t>
      </w:r>
      <w:r w:rsidRPr="00361E30">
        <w:rPr>
          <w:rFonts w:eastAsia="Times New Roman"/>
        </w:rPr>
        <w:t xml:space="preserve"> reported an increased risk adjusted odds of death in older men of </w:t>
      </w:r>
      <w:r w:rsidRPr="00361E30">
        <w:t>1.52 (95% CI 1.38–1.69), compared to older women. In contrast to the previously qu</w:t>
      </w:r>
      <w:r w:rsidR="00031246" w:rsidRPr="00361E30">
        <w:t>oted studies, Sampalis</w:t>
      </w:r>
      <w:r w:rsidR="009A5594" w:rsidRPr="00361E30">
        <w:t xml:space="preserve"> et al.</w:t>
      </w:r>
      <w:r w:rsidR="00031246" w:rsidRPr="00361E30">
        <w:t xml:space="preserve"> (</w:t>
      </w:r>
      <w:r w:rsidRPr="00361E30">
        <w:t xml:space="preserve">2009) reported a decreased risk adjusted odds of death of 0.57 (95% CI 0.45–0.71) in men compared to women. This discrepancy in results in the Sampalis study may be explained at least partly by the selective nature of the sample (the study compared only falls victims and patients suffering injuries from motor vehicle crashes). </w:t>
      </w:r>
    </w:p>
    <w:p w14:paraId="630029CC" w14:textId="77777777" w:rsidR="00CA0EF0" w:rsidRPr="00361E30" w:rsidRDefault="00CA0EF0" w:rsidP="003C13F4">
      <w:pPr>
        <w:ind w:firstLine="720"/>
      </w:pPr>
      <w:r w:rsidRPr="00361E30">
        <w:t xml:space="preserve">Bouamra’s work on developing a new predictive model for UK trauma patients revealed an age/gender interaction: there was no significant difference in risk adjusted mortality at younger ages, but from age 55 upwards, mortality among men was significantly </w:t>
      </w:r>
      <w:r w:rsidRPr="00361E30">
        <w:lastRenderedPageBreak/>
        <w:t xml:space="preserve">higher than among women, and continued to increase with increasing age </w:t>
      </w:r>
      <w:r w:rsidRPr="00361E30">
        <w:rPr>
          <w:noProof/>
        </w:rPr>
        <w:t>(Bouamra et al. 2006a)</w:t>
      </w:r>
      <w:r w:rsidRPr="00361E30">
        <w:t xml:space="preserve">. For patients aged 65 to 75 in this study, the risk adjusted odds of death for men was 1.86 (95% CI 1.29 – 2.69). </w:t>
      </w:r>
      <w:r w:rsidRPr="00361E30">
        <w:rPr>
          <w:rFonts w:eastAsia="Times New Roman"/>
        </w:rPr>
        <w:t xml:space="preserve">More recently, Bouamra and colleagues developed an updated predictive model for trauma mortality which includes comorbidities. In this newer model, the interaction between age and gender remains and age is seen to be a risk factor for mortality independent of comorbidities </w:t>
      </w:r>
      <w:r w:rsidRPr="00361E30">
        <w:rPr>
          <w:rFonts w:eastAsia="Times New Roman"/>
          <w:noProof/>
        </w:rPr>
        <w:t>(Bouamra et al. 2015)</w:t>
      </w:r>
      <w:r w:rsidRPr="00361E30">
        <w:rPr>
          <w:rFonts w:eastAsia="Times New Roman"/>
        </w:rPr>
        <w:t>.</w:t>
      </w:r>
    </w:p>
    <w:p w14:paraId="185072E5" w14:textId="77777777" w:rsidR="00CA0EF0" w:rsidRPr="00361E30" w:rsidRDefault="00CA0EF0" w:rsidP="003C13F4">
      <w:pPr>
        <w:ind w:firstLine="720"/>
      </w:pPr>
      <w:r w:rsidRPr="00361E30">
        <w:t xml:space="preserve">Figure 2.1 shows the Forest plot for studies that compared the adjusted odds of death for older males versus older females. Of the four studies reporting the relationship between gender and mortality, only the studies by Aitken and Grossman were included. Bouamra’s study divided the gender comparison in to separate age groups, and so was not directly comparable with the other studies. The inclusion the study by Sampalis created an unacceptable level of statistical heterogeneity (I2= 97%; </w:t>
      </w:r>
      <w:r w:rsidR="00CE038B">
        <w:t>p</w:t>
      </w:r>
      <w:r w:rsidRPr="00361E30">
        <w:t xml:space="preserve"> value for Cochrane Q &lt;.001).</w:t>
      </w:r>
    </w:p>
    <w:p w14:paraId="6154715D" w14:textId="77777777" w:rsidR="00CA0EF0" w:rsidRPr="00361E30" w:rsidRDefault="00CA0EF0" w:rsidP="003C13F4">
      <w:r w:rsidRPr="00361E30">
        <w:rPr>
          <w:rFonts w:eastAsia="Times New Roman"/>
          <w:noProof/>
          <w:lang w:eastAsia="en-GB"/>
        </w:rPr>
        <w:drawing>
          <wp:inline distT="0" distB="0" distL="0" distR="0" wp14:anchorId="411B098A" wp14:editId="4549BC0A">
            <wp:extent cx="5731510" cy="926388"/>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926388"/>
                    </a:xfrm>
                    <a:prstGeom prst="rect">
                      <a:avLst/>
                    </a:prstGeom>
                  </pic:spPr>
                </pic:pic>
              </a:graphicData>
            </a:graphic>
          </wp:inline>
        </w:drawing>
      </w:r>
    </w:p>
    <w:p w14:paraId="7F8DE322" w14:textId="77777777" w:rsidR="00CA0EF0" w:rsidRPr="00361E30" w:rsidRDefault="00CA0EF0" w:rsidP="003C13F4">
      <w:pPr>
        <w:pStyle w:val="FigureTitle"/>
      </w:pPr>
      <w:bookmarkStart w:id="59" w:name="_Toc529090333"/>
      <w:r w:rsidRPr="00361E30">
        <w:t>Figure 2.1: Forest Plot of Adjusted Odds Ratios for studies comparing risk of death between genders.</w:t>
      </w:r>
      <w:bookmarkEnd w:id="59"/>
      <w:r w:rsidRPr="00361E30">
        <w:t xml:space="preserve"> </w:t>
      </w:r>
    </w:p>
    <w:p w14:paraId="014F9434" w14:textId="77777777" w:rsidR="00CA0EF0" w:rsidRPr="00361E30" w:rsidRDefault="00CA0EF0" w:rsidP="003C13F4">
      <w:pPr>
        <w:spacing w:line="240" w:lineRule="auto"/>
        <w:rPr>
          <w:rFonts w:eastAsia="Times New Roman"/>
          <w:b/>
        </w:rPr>
      </w:pPr>
    </w:p>
    <w:p w14:paraId="64F54450" w14:textId="77777777" w:rsidR="00CA0EF0" w:rsidRPr="00361E30" w:rsidRDefault="00CA0EF0" w:rsidP="003C13F4">
      <w:pPr>
        <w:pStyle w:val="Heading2"/>
        <w:rPr>
          <w:rFonts w:eastAsia="Times New Roman"/>
        </w:rPr>
      </w:pPr>
      <w:bookmarkStart w:id="60" w:name="_Toc1902249"/>
      <w:r w:rsidRPr="00361E30">
        <w:rPr>
          <w:rFonts w:eastAsia="Times New Roman"/>
        </w:rPr>
        <w:t>2.3.2</w:t>
      </w:r>
      <w:r w:rsidRPr="00361E30">
        <w:rPr>
          <w:rFonts w:eastAsia="Times New Roman"/>
        </w:rPr>
        <w:tab/>
        <w:t>Injury Characteristics and Mortality</w:t>
      </w:r>
      <w:bookmarkEnd w:id="60"/>
    </w:p>
    <w:p w14:paraId="304A9E76" w14:textId="77777777" w:rsidR="00CA0EF0" w:rsidRPr="00361E30" w:rsidRDefault="00CA0EF0" w:rsidP="003C13F4">
      <w:pPr>
        <w:pStyle w:val="Heading3"/>
      </w:pPr>
      <w:r w:rsidRPr="00361E30">
        <w:t xml:space="preserve">2.3.2.1 </w:t>
      </w:r>
      <w:r w:rsidRPr="00361E30">
        <w:tab/>
        <w:t>Injury Patterns and Mortality</w:t>
      </w:r>
    </w:p>
    <w:p w14:paraId="39ADDB4D" w14:textId="77777777" w:rsidR="00CA0EF0" w:rsidRPr="00361E30" w:rsidRDefault="00CA0EF0" w:rsidP="003C13F4">
      <w:pPr>
        <w:pStyle w:val="Heading4"/>
      </w:pPr>
      <w:r w:rsidRPr="00361E30">
        <w:t>Head injuries and mortality in older trauma patients</w:t>
      </w:r>
    </w:p>
    <w:p w14:paraId="5DC2E8EB" w14:textId="77777777" w:rsidR="00CA0EF0" w:rsidRPr="00361E30" w:rsidRDefault="00A95007" w:rsidP="003C13F4">
      <w:pPr>
        <w:rPr>
          <w:rFonts w:eastAsia="Times New Roman"/>
        </w:rPr>
      </w:pPr>
      <w:r w:rsidRPr="00361E30">
        <w:rPr>
          <w:rFonts w:eastAsia="Times New Roman"/>
        </w:rPr>
        <w:t>Richmond et al. (2002</w:t>
      </w:r>
      <w:r w:rsidR="00CA0EF0" w:rsidRPr="00361E30">
        <w:rPr>
          <w:rFonts w:eastAsia="Times New Roman"/>
        </w:rPr>
        <w:t xml:space="preserve">) demonstrated a greater than 3-fold increase in the odds of death, independent of injury severity, in patients 60 years and older who suffered a head injury. The database interrogated by </w:t>
      </w:r>
      <w:r w:rsidRPr="00361E30">
        <w:rPr>
          <w:rFonts w:eastAsia="Times New Roman"/>
        </w:rPr>
        <w:t>the authors</w:t>
      </w:r>
      <w:r w:rsidR="00CA0EF0" w:rsidRPr="00361E30">
        <w:rPr>
          <w:rFonts w:eastAsia="Times New Roman"/>
        </w:rPr>
        <w:t xml:space="preserve"> used very strict inclusion criteria, and only reported on specific types of motor vehicle crashes, so these results might not be generalizable to all </w:t>
      </w:r>
      <w:r w:rsidR="00F84EF5">
        <w:rPr>
          <w:rFonts w:eastAsia="Times New Roman"/>
        </w:rPr>
        <w:t>older</w:t>
      </w:r>
      <w:r w:rsidR="00CA0EF0" w:rsidRPr="00361E30">
        <w:rPr>
          <w:rFonts w:eastAsia="Times New Roman"/>
        </w:rPr>
        <w:t xml:space="preserve"> trauma patients. Other studies included in this review have also demonstrated an increase in mortality risk among </w:t>
      </w:r>
      <w:r w:rsidR="00F84EF5">
        <w:rPr>
          <w:rFonts w:eastAsia="Times New Roman"/>
        </w:rPr>
        <w:t>older</w:t>
      </w:r>
      <w:r w:rsidR="00CA0EF0" w:rsidRPr="00361E30">
        <w:rPr>
          <w:rFonts w:eastAsia="Times New Roman"/>
        </w:rPr>
        <w:t xml:space="preserve"> patients suffering head injuries </w:t>
      </w:r>
      <w:r w:rsidR="00CA0EF0" w:rsidRPr="00361E30">
        <w:rPr>
          <w:rFonts w:eastAsia="Times New Roman"/>
          <w:noProof/>
        </w:rPr>
        <w:t>(Aitken et al.</w:t>
      </w:r>
      <w:r w:rsidR="004C3D58" w:rsidRPr="00361E30">
        <w:rPr>
          <w:rFonts w:eastAsia="Times New Roman"/>
          <w:noProof/>
        </w:rPr>
        <w:t xml:space="preserve"> 2010, Yeung et al.</w:t>
      </w:r>
      <w:r w:rsidR="00CA0EF0" w:rsidRPr="00361E30">
        <w:rPr>
          <w:rFonts w:eastAsia="Times New Roman"/>
          <w:noProof/>
        </w:rPr>
        <w:t xml:space="preserve"> 2008)</w:t>
      </w:r>
      <w:r w:rsidR="00CA0EF0" w:rsidRPr="00361E30">
        <w:rPr>
          <w:rFonts w:eastAsia="Times New Roman"/>
        </w:rPr>
        <w:t xml:space="preserve">. </w:t>
      </w:r>
      <w:r w:rsidR="00CA0EF0" w:rsidRPr="00361E30">
        <w:t xml:space="preserve">In addition, several studies not eligible for inclusion in this review also demonstrated an increased risk of mortality with head injuries in older trauma patients </w:t>
      </w:r>
      <w:r w:rsidR="00CA0EF0" w:rsidRPr="00361E30">
        <w:rPr>
          <w:noProof/>
        </w:rPr>
        <w:t>(Spaniolas</w:t>
      </w:r>
      <w:r w:rsidR="004C3D58" w:rsidRPr="00361E30">
        <w:rPr>
          <w:noProof/>
        </w:rPr>
        <w:t xml:space="preserve"> et al. 2010, Susman et al.</w:t>
      </w:r>
      <w:r w:rsidR="00CA0EF0" w:rsidRPr="00361E30">
        <w:rPr>
          <w:noProof/>
        </w:rPr>
        <w:t xml:space="preserve"> 2002, Woischneck et al. 2013)</w:t>
      </w:r>
      <w:r w:rsidR="00CA0EF0" w:rsidRPr="00361E30">
        <w:t xml:space="preserve">. </w:t>
      </w:r>
      <w:r w:rsidR="00CA0EF0" w:rsidRPr="00361E30">
        <w:rPr>
          <w:rFonts w:eastAsia="Times New Roman"/>
        </w:rPr>
        <w:t xml:space="preserve"> </w:t>
      </w:r>
    </w:p>
    <w:p w14:paraId="196E784F" w14:textId="77777777" w:rsidR="00CA0EF0" w:rsidRPr="00361E30" w:rsidRDefault="00CA0EF0" w:rsidP="003C13F4">
      <w:pPr>
        <w:pStyle w:val="Heading4"/>
        <w:rPr>
          <w:rFonts w:eastAsia="Times New Roman"/>
        </w:rPr>
      </w:pPr>
      <w:r w:rsidRPr="00361E30">
        <w:rPr>
          <w:rFonts w:eastAsia="Times New Roman"/>
        </w:rPr>
        <w:lastRenderedPageBreak/>
        <w:t>Chest injuries in older people</w:t>
      </w:r>
    </w:p>
    <w:p w14:paraId="3E0A289F" w14:textId="77777777" w:rsidR="00CA0EF0" w:rsidRPr="00361E30" w:rsidRDefault="00CA0EF0" w:rsidP="003C13F4">
      <w:pPr>
        <w:rPr>
          <w:rFonts w:eastAsia="Times New Roman"/>
        </w:rPr>
      </w:pPr>
      <w:r w:rsidRPr="00361E30">
        <w:t xml:space="preserve">Chest injuries are the second most common serious injury seen in older people, after traumatic brain injuries </w:t>
      </w:r>
      <w:r w:rsidRPr="00361E30">
        <w:rPr>
          <w:noProof/>
        </w:rPr>
        <w:t>(Aitken</w:t>
      </w:r>
      <w:r w:rsidR="00C946DD" w:rsidRPr="00361E30">
        <w:rPr>
          <w:noProof/>
        </w:rPr>
        <w:t xml:space="preserve"> et al.</w:t>
      </w:r>
      <w:r w:rsidRPr="00361E30">
        <w:rPr>
          <w:noProof/>
        </w:rPr>
        <w:t xml:space="preserve"> 2010)</w:t>
      </w:r>
      <w:r w:rsidRPr="00361E30">
        <w:t xml:space="preserve">. There was no evidence from this systematic review that chest injuries were an independent predictor of increased mortality in this age group. Specifically, Aitken found that the odds of death in patients with chest injuries were no greater than in those with abdominal or pelvis injuries </w:t>
      </w:r>
      <w:r w:rsidRPr="00361E30">
        <w:rPr>
          <w:noProof/>
        </w:rPr>
        <w:t>(Aitken</w:t>
      </w:r>
      <w:r w:rsidR="00C946DD" w:rsidRPr="00361E30">
        <w:rPr>
          <w:noProof/>
        </w:rPr>
        <w:t xml:space="preserve"> et al.</w:t>
      </w:r>
      <w:r w:rsidRPr="00361E30">
        <w:rPr>
          <w:noProof/>
        </w:rPr>
        <w:t xml:space="preserve"> 2010)</w:t>
      </w:r>
      <w:r w:rsidRPr="00361E30">
        <w:t xml:space="preserve">. </w:t>
      </w:r>
    </w:p>
    <w:p w14:paraId="26C51EE6" w14:textId="77777777" w:rsidR="00CA0EF0" w:rsidRPr="00361E30" w:rsidRDefault="00CA0EF0" w:rsidP="003C13F4">
      <w:pPr>
        <w:pStyle w:val="Heading4"/>
        <w:rPr>
          <w:rFonts w:eastAsia="Times New Roman"/>
        </w:rPr>
      </w:pPr>
      <w:r w:rsidRPr="00361E30">
        <w:rPr>
          <w:rFonts w:eastAsia="Times New Roman"/>
        </w:rPr>
        <w:t>Injuries to other body regions</w:t>
      </w:r>
    </w:p>
    <w:p w14:paraId="733F2DCD" w14:textId="77777777" w:rsidR="00CA0EF0" w:rsidRPr="00361E30" w:rsidRDefault="00CA0EF0" w:rsidP="003C13F4">
      <w:pPr>
        <w:rPr>
          <w:rFonts w:eastAsia="Times New Roman"/>
          <w:noProof/>
        </w:rPr>
      </w:pPr>
      <w:r w:rsidRPr="00361E30">
        <w:rPr>
          <w:rFonts w:eastAsia="Times New Roman"/>
        </w:rPr>
        <w:t xml:space="preserve">Other studies not included in this review have commented on the relationship between age and mortality in patients with pelvic fractures, spinal injuries, maxillofacial injuries and skeletal trauma; </w:t>
      </w:r>
      <w:r w:rsidR="00B62F3A" w:rsidRPr="00361E30">
        <w:rPr>
          <w:rFonts w:eastAsia="Times New Roman"/>
        </w:rPr>
        <w:t>however,</w:t>
      </w:r>
      <w:r w:rsidRPr="00361E30">
        <w:rPr>
          <w:rFonts w:eastAsia="Times New Roman"/>
        </w:rPr>
        <w:t xml:space="preserve"> none of these studies fulfilled the inclusion criteria for the review </w:t>
      </w:r>
      <w:r w:rsidRPr="00361E30">
        <w:rPr>
          <w:rFonts w:eastAsia="Times New Roman"/>
          <w:noProof/>
        </w:rPr>
        <w:t>(Furlan and Fehlings 2009, Gabbe et al. 2011</w:t>
      </w:r>
      <w:r w:rsidR="0099091F" w:rsidRPr="00361E30">
        <w:rPr>
          <w:rFonts w:eastAsia="Times New Roman"/>
          <w:noProof/>
        </w:rPr>
        <w:t>b</w:t>
      </w:r>
      <w:r w:rsidRPr="00361E30">
        <w:rPr>
          <w:rFonts w:eastAsia="Times New Roman"/>
          <w:noProof/>
        </w:rPr>
        <w:t>, Haymond et al. 1988, Jones and Switzer-McIntyre, 2003).</w:t>
      </w:r>
    </w:p>
    <w:p w14:paraId="59CCFFEA" w14:textId="77777777" w:rsidR="00CA0EF0" w:rsidRPr="00361E30" w:rsidRDefault="00CA0EF0" w:rsidP="003C13F4">
      <w:pPr>
        <w:pStyle w:val="Heading3"/>
        <w:rPr>
          <w:rFonts w:eastAsia="Times New Roman"/>
        </w:rPr>
      </w:pPr>
      <w:r w:rsidRPr="00361E30">
        <w:t xml:space="preserve">2.3.2.2 </w:t>
      </w:r>
      <w:r w:rsidRPr="00361E30">
        <w:tab/>
      </w:r>
      <w:r w:rsidRPr="00361E30">
        <w:rPr>
          <w:rFonts w:eastAsia="Times New Roman"/>
        </w:rPr>
        <w:t xml:space="preserve">Specific Injury Mechanisms </w:t>
      </w:r>
    </w:p>
    <w:p w14:paraId="2882AA52" w14:textId="77777777" w:rsidR="00CA0EF0" w:rsidRPr="00361E30" w:rsidRDefault="00CA0EF0" w:rsidP="003C13F4">
      <w:pPr>
        <w:rPr>
          <w:rFonts w:eastAsia="Times New Roman"/>
        </w:rPr>
      </w:pPr>
      <w:r w:rsidRPr="00361E30">
        <w:rPr>
          <w:rFonts w:eastAsia="Times New Roman"/>
        </w:rPr>
        <w:t xml:space="preserve">Two studies compared mortality between patients with falls and those involved in road traffic collisions. Sampalis </w:t>
      </w:r>
      <w:r w:rsidR="009A5594" w:rsidRPr="00361E30">
        <w:rPr>
          <w:rFonts w:eastAsia="Times New Roman"/>
        </w:rPr>
        <w:t>et al.</w:t>
      </w:r>
      <w:r w:rsidRPr="00361E30">
        <w:rPr>
          <w:rFonts w:eastAsia="Times New Roman"/>
        </w:rPr>
        <w:t xml:space="preserve"> (2009) in Quebec compared outcomes in older persons suffering falls to those involved in motor vehicle crashes. The authors found an increased adjusted odds of death in the patients</w:t>
      </w:r>
      <w:r w:rsidR="00B62F3A">
        <w:rPr>
          <w:rFonts w:eastAsia="Times New Roman"/>
        </w:rPr>
        <w:t xml:space="preserve"> who sustained falls</w:t>
      </w:r>
      <w:r w:rsidRPr="00361E30">
        <w:rPr>
          <w:rFonts w:eastAsia="Times New Roman"/>
        </w:rPr>
        <w:t xml:space="preserve"> (</w:t>
      </w:r>
      <w:r w:rsidRPr="00361E30">
        <w:t>AOR 5.11, 95% CI 1.84–14.17).</w:t>
      </w:r>
      <w:r w:rsidRPr="00361E30">
        <w:rPr>
          <w:rFonts w:eastAsia="Times New Roman"/>
        </w:rPr>
        <w:t xml:space="preserve"> Aitken et al</w:t>
      </w:r>
      <w:r w:rsidR="00C946DD" w:rsidRPr="00361E30">
        <w:rPr>
          <w:rFonts w:eastAsia="Times New Roman"/>
        </w:rPr>
        <w:t>. (2010)</w:t>
      </w:r>
      <w:r w:rsidRPr="00361E30">
        <w:rPr>
          <w:rFonts w:eastAsia="Times New Roman"/>
        </w:rPr>
        <w:t xml:space="preserve"> reported the adjusted odds of death from motor vehicle crashes (MVCs) in older patients as 0.47 (95% CI 0.32–0.70), using a reference of falls </w:t>
      </w:r>
      <w:r w:rsidRPr="00361E30">
        <w:rPr>
          <w:rFonts w:eastAsia="Times New Roman"/>
          <w:noProof/>
        </w:rPr>
        <w:t>(Aitken</w:t>
      </w:r>
      <w:r w:rsidR="00C946DD" w:rsidRPr="00361E30">
        <w:rPr>
          <w:rFonts w:eastAsia="Times New Roman"/>
          <w:noProof/>
        </w:rPr>
        <w:t xml:space="preserve"> et al. </w:t>
      </w:r>
      <w:r w:rsidRPr="00361E30">
        <w:rPr>
          <w:rFonts w:eastAsia="Times New Roman"/>
          <w:noProof/>
        </w:rPr>
        <w:t>2010)</w:t>
      </w:r>
      <w:r w:rsidRPr="00361E30">
        <w:rPr>
          <w:rFonts w:eastAsia="Times New Roman"/>
        </w:rPr>
        <w:t>. Figure 2.2 shows the Forest Plot for studies comparing mortality from falls to mortality from MVCs. This meta-analysis should be interpreted with some caution, as the wide confidence intervals from the Sampalis study indicate a high degree of variance in these results.</w:t>
      </w:r>
    </w:p>
    <w:p w14:paraId="37CCDE5C" w14:textId="77777777" w:rsidR="00CA0EF0" w:rsidRPr="00361E30" w:rsidRDefault="00CA0EF0" w:rsidP="003C13F4">
      <w:r w:rsidRPr="00361E30">
        <w:rPr>
          <w:rFonts w:eastAsia="Times New Roman"/>
          <w:noProof/>
          <w:lang w:eastAsia="en-GB"/>
        </w:rPr>
        <w:drawing>
          <wp:inline distT="0" distB="0" distL="0" distR="0" wp14:anchorId="38BF9B5B" wp14:editId="29B7D617">
            <wp:extent cx="5731510" cy="97663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976630"/>
                    </a:xfrm>
                    <a:prstGeom prst="rect">
                      <a:avLst/>
                    </a:prstGeom>
                  </pic:spPr>
                </pic:pic>
              </a:graphicData>
            </a:graphic>
          </wp:inline>
        </w:drawing>
      </w:r>
    </w:p>
    <w:p w14:paraId="497B4FB4" w14:textId="77777777" w:rsidR="00CA0EF0" w:rsidRPr="00361E30" w:rsidRDefault="00CA0EF0" w:rsidP="003C13F4">
      <w:pPr>
        <w:pStyle w:val="FigureTitle"/>
      </w:pPr>
      <w:bookmarkStart w:id="61" w:name="_Toc529090334"/>
      <w:r w:rsidRPr="00361E30">
        <w:t>Figure 2.2: Forest plot of studies comparing mortality in patients sustaining falls versus road traffic collisions.</w:t>
      </w:r>
      <w:bookmarkEnd w:id="61"/>
    </w:p>
    <w:p w14:paraId="1AAD95E4" w14:textId="77777777" w:rsidR="00CA0EF0" w:rsidRPr="00361E30" w:rsidRDefault="00CA0EF0" w:rsidP="003C13F4">
      <w:pPr>
        <w:pStyle w:val="Heading3"/>
      </w:pPr>
      <w:r w:rsidRPr="00361E30">
        <w:t xml:space="preserve">2.3.2.3 </w:t>
      </w:r>
      <w:r w:rsidRPr="00361E30">
        <w:tab/>
        <w:t>Number of Injuries Sustained</w:t>
      </w:r>
    </w:p>
    <w:p w14:paraId="105C1C14" w14:textId="77777777" w:rsidR="00CA0EF0" w:rsidRPr="00361E30" w:rsidRDefault="00CA0EF0" w:rsidP="003C13F4">
      <w:r w:rsidRPr="00361E30">
        <w:t>Three studies investigated the impact of number of injuries on risk-adjusted mortality in older people. They all found an increased risk of death with increasing numbers of injuries (8, 66, 69). Sampalis</w:t>
      </w:r>
      <w:r w:rsidR="009A5594" w:rsidRPr="00361E30">
        <w:t xml:space="preserve"> et al.</w:t>
      </w:r>
      <w:r w:rsidRPr="00361E30">
        <w:t xml:space="preserve"> (2009) and Richmond</w:t>
      </w:r>
      <w:r w:rsidR="00A95007" w:rsidRPr="00361E30">
        <w:t xml:space="preserve"> et al.</w:t>
      </w:r>
      <w:r w:rsidRPr="00361E30">
        <w:t xml:space="preserve"> (2002) treated number of injuries as a discrete numerical variable while Aitken</w:t>
      </w:r>
      <w:r w:rsidR="00C946DD" w:rsidRPr="00361E30">
        <w:t xml:space="preserve"> et al.</w:t>
      </w:r>
      <w:r w:rsidRPr="00361E30">
        <w:t xml:space="preserve"> (2010) grouped patients into those having less than 3 injuries and those with 3 or more injuries. Figure 2.3 shows the Forest plot of the two studies </w:t>
      </w:r>
      <w:r w:rsidRPr="00361E30">
        <w:lastRenderedPageBreak/>
        <w:t xml:space="preserve">reporting on the increase in risk-adjusted mortality for each additional injury sustained. The cumulative adjusted odds ratio for death was 1.08 for each additional injury sustained (95% CI 1.04 – 1.12). </w:t>
      </w:r>
    </w:p>
    <w:p w14:paraId="38ADF359" w14:textId="77777777" w:rsidR="00CA0EF0" w:rsidRPr="00361E30" w:rsidRDefault="00CA0EF0" w:rsidP="003C13F4">
      <w:r w:rsidRPr="00361E30">
        <w:t xml:space="preserve"> </w:t>
      </w:r>
      <w:r w:rsidRPr="00361E30">
        <w:rPr>
          <w:rFonts w:eastAsia="Times New Roman"/>
          <w:noProof/>
          <w:lang w:eastAsia="en-GB"/>
        </w:rPr>
        <w:drawing>
          <wp:inline distT="0" distB="0" distL="0" distR="0" wp14:anchorId="0C9CF6A4" wp14:editId="7CAEB396">
            <wp:extent cx="5731510" cy="9639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963930"/>
                    </a:xfrm>
                    <a:prstGeom prst="rect">
                      <a:avLst/>
                    </a:prstGeom>
                  </pic:spPr>
                </pic:pic>
              </a:graphicData>
            </a:graphic>
          </wp:inline>
        </w:drawing>
      </w:r>
    </w:p>
    <w:p w14:paraId="045D6D22" w14:textId="77777777" w:rsidR="00CA0EF0" w:rsidRPr="00361E30" w:rsidRDefault="00CA0EF0" w:rsidP="003C13F4">
      <w:pPr>
        <w:pStyle w:val="FigureTitle"/>
      </w:pPr>
      <w:bookmarkStart w:id="62" w:name="_Toc529090335"/>
      <w:r w:rsidRPr="00361E30">
        <w:t>Figure 2.3: Forest plot for the increase in mortality with increasing numbers of injuries.</w:t>
      </w:r>
      <w:bookmarkEnd w:id="62"/>
    </w:p>
    <w:p w14:paraId="0F3075FD" w14:textId="77777777" w:rsidR="00CA0EF0" w:rsidRPr="00361E30" w:rsidRDefault="00CA0EF0" w:rsidP="003C13F4">
      <w:pPr>
        <w:pStyle w:val="Heading2"/>
        <w:rPr>
          <w:rFonts w:eastAsia="Times New Roman"/>
        </w:rPr>
      </w:pPr>
      <w:bookmarkStart w:id="63" w:name="_Toc1902250"/>
      <w:r w:rsidRPr="00361E30">
        <w:rPr>
          <w:rFonts w:eastAsia="Times New Roman"/>
        </w:rPr>
        <w:t>2.3.3</w:t>
      </w:r>
      <w:r w:rsidRPr="00361E30">
        <w:rPr>
          <w:rFonts w:eastAsia="Times New Roman"/>
        </w:rPr>
        <w:tab/>
        <w:t>Pre-injury medical state</w:t>
      </w:r>
      <w:bookmarkEnd w:id="63"/>
    </w:p>
    <w:p w14:paraId="512B2D12" w14:textId="77777777" w:rsidR="00CA0EF0" w:rsidRPr="00361E30" w:rsidRDefault="00CA0EF0" w:rsidP="003C13F4">
      <w:pPr>
        <w:pStyle w:val="Heading3"/>
      </w:pPr>
      <w:r w:rsidRPr="00361E30">
        <w:t xml:space="preserve">2.3.3.1 </w:t>
      </w:r>
      <w:r w:rsidRPr="00361E30">
        <w:tab/>
        <w:t>Comorbidities and outcome</w:t>
      </w:r>
    </w:p>
    <w:p w14:paraId="006CF44B" w14:textId="77777777" w:rsidR="00CA0EF0" w:rsidRPr="00361E30" w:rsidRDefault="00CA0EF0" w:rsidP="003C13F4">
      <w:pPr>
        <w:rPr>
          <w:rFonts w:eastAsia="Times New Roman"/>
        </w:rPr>
      </w:pPr>
      <w:r w:rsidRPr="00361E30">
        <w:rPr>
          <w:rFonts w:eastAsia="Times New Roman"/>
        </w:rPr>
        <w:t>Two studies included in this review reported on the relationship between comorbidities and trauma outcome. Yeung et al</w:t>
      </w:r>
      <w:r w:rsidR="000A6550" w:rsidRPr="00361E30">
        <w:rPr>
          <w:rFonts w:eastAsia="Times New Roman"/>
        </w:rPr>
        <w:t xml:space="preserve"> (2008)</w:t>
      </w:r>
      <w:r w:rsidRPr="00361E30">
        <w:rPr>
          <w:rFonts w:eastAsia="Times New Roman"/>
        </w:rPr>
        <w:t xml:space="preserve"> indicated a positive relationship between the presence of comorbidities and mortality in older trauma patients. However, Richmond et al</w:t>
      </w:r>
      <w:r w:rsidR="00A95007" w:rsidRPr="00361E30">
        <w:rPr>
          <w:rFonts w:eastAsia="Times New Roman"/>
        </w:rPr>
        <w:t>. (2002)</w:t>
      </w:r>
      <w:r w:rsidRPr="00361E30">
        <w:rPr>
          <w:rFonts w:eastAsia="Times New Roman"/>
        </w:rPr>
        <w:t xml:space="preserve"> found no significant difference in the number of co-morbidities between survivors and non-survivors, in a cohort of patients aged 65 and older. </w:t>
      </w:r>
    </w:p>
    <w:p w14:paraId="6EE4922C" w14:textId="77777777" w:rsidR="00CA0EF0" w:rsidRPr="00361E30" w:rsidRDefault="00CA0EF0" w:rsidP="003C13F4">
      <w:pPr>
        <w:pStyle w:val="Heading3"/>
      </w:pPr>
      <w:r w:rsidRPr="00361E30">
        <w:t>2.3.3.2</w:t>
      </w:r>
      <w:r w:rsidRPr="00361E30">
        <w:tab/>
        <w:t>Pre-injury medication and its relationship to outcome in older trauma patients</w:t>
      </w:r>
    </w:p>
    <w:p w14:paraId="51C89347" w14:textId="77777777" w:rsidR="00CA0EF0" w:rsidRPr="00361E30" w:rsidRDefault="00CA0EF0" w:rsidP="003C13F4">
      <w:pPr>
        <w:rPr>
          <w:rFonts w:eastAsia="Times New Roman"/>
        </w:rPr>
      </w:pPr>
      <w:r w:rsidRPr="00361E30">
        <w:rPr>
          <w:rFonts w:eastAsia="Times New Roman"/>
        </w:rPr>
        <w:t xml:space="preserve">The two studies that investigated the impact of warfarin on mortality in older major trauma patients and fulfilled the inclusion criteria for this review found an increase in adjusted odds of death in patients using Warfarin </w:t>
      </w:r>
      <w:r w:rsidRPr="00361E30">
        <w:rPr>
          <w:rFonts w:eastAsia="Times New Roman"/>
          <w:noProof/>
        </w:rPr>
        <w:t>(Grossman</w:t>
      </w:r>
      <w:r w:rsidR="00DA16A8" w:rsidRPr="00361E30">
        <w:rPr>
          <w:rFonts w:eastAsia="Times New Roman"/>
          <w:noProof/>
        </w:rPr>
        <w:t xml:space="preserve"> et al.</w:t>
      </w:r>
      <w:r w:rsidRPr="00361E30">
        <w:rPr>
          <w:rFonts w:eastAsia="Times New Roman"/>
          <w:noProof/>
        </w:rPr>
        <w:t xml:space="preserve"> 2002, Howard et al. 2009)</w:t>
      </w:r>
      <w:r w:rsidRPr="00361E30">
        <w:rPr>
          <w:rFonts w:eastAsia="Times New Roman"/>
        </w:rPr>
        <w:t>. The accumulated odds of death in patients on warfarin was 1.32 (95% CI 1.05 – 1.66) as shown in Figure 2.4.</w:t>
      </w:r>
    </w:p>
    <w:p w14:paraId="16C6E263" w14:textId="77777777" w:rsidR="00CA0EF0" w:rsidRPr="00361E30" w:rsidRDefault="00CA0EF0" w:rsidP="003C13F4">
      <w:r w:rsidRPr="00361E30">
        <w:rPr>
          <w:noProof/>
          <w:lang w:eastAsia="en-GB"/>
        </w:rPr>
        <w:drawing>
          <wp:inline distT="0" distB="0" distL="0" distR="0" wp14:anchorId="552C82AB" wp14:editId="279DB9A8">
            <wp:extent cx="5731510" cy="95374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953747"/>
                    </a:xfrm>
                    <a:prstGeom prst="rect">
                      <a:avLst/>
                    </a:prstGeom>
                  </pic:spPr>
                </pic:pic>
              </a:graphicData>
            </a:graphic>
          </wp:inline>
        </w:drawing>
      </w:r>
    </w:p>
    <w:p w14:paraId="66E7B067" w14:textId="77777777" w:rsidR="00CA0EF0" w:rsidRPr="00361E30" w:rsidRDefault="00CA0EF0" w:rsidP="003C13F4">
      <w:pPr>
        <w:pStyle w:val="FigureTitle"/>
      </w:pPr>
      <w:bookmarkStart w:id="64" w:name="_Toc529090336"/>
      <w:r w:rsidRPr="00361E30">
        <w:t>Figure 2.4: Adjusted odds ratio (AOR) of death for older trauma patients taking warfarin.</w:t>
      </w:r>
      <w:bookmarkEnd w:id="64"/>
    </w:p>
    <w:p w14:paraId="61674159" w14:textId="77777777" w:rsidR="00CA0EF0" w:rsidRPr="00361E30" w:rsidRDefault="00CA0EF0" w:rsidP="003C13F4">
      <w:pPr>
        <w:pStyle w:val="Heading3"/>
        <w:rPr>
          <w:rFonts w:eastAsia="Times New Roman"/>
        </w:rPr>
      </w:pPr>
      <w:r w:rsidRPr="00361E30">
        <w:rPr>
          <w:rFonts w:eastAsia="Times New Roman"/>
        </w:rPr>
        <w:t>2.3.3.3</w:t>
      </w:r>
      <w:r w:rsidRPr="00361E30">
        <w:rPr>
          <w:rFonts w:eastAsia="Times New Roman"/>
        </w:rPr>
        <w:tab/>
        <w:t>Frailty and outcome in older trauma patients</w:t>
      </w:r>
    </w:p>
    <w:p w14:paraId="5142DCAE" w14:textId="77777777" w:rsidR="00CA0EF0" w:rsidRPr="00361E30" w:rsidRDefault="00CA0EF0" w:rsidP="003C13F4">
      <w:r w:rsidRPr="00361E30">
        <w:t xml:space="preserve">Despite extensive research into the nature of frailty and its impact on mortality in older people, this review did not identify any studies specifically investigating the relationship between major trauma outcomes in older people and frailty that fulfilled the inclusion criteria </w:t>
      </w:r>
      <w:r w:rsidRPr="00361E30">
        <w:rPr>
          <w:noProof/>
        </w:rPr>
        <w:t>(Ballard et al. 2013, Cawthon et al. 2007)</w:t>
      </w:r>
      <w:r w:rsidRPr="00361E30">
        <w:t xml:space="preserve">. This may partly be due to the difficulty in defining and measuring frailty </w:t>
      </w:r>
      <w:r w:rsidRPr="00361E30">
        <w:rPr>
          <w:noProof/>
        </w:rPr>
        <w:t>(Brown et al. 1995, Gobbens</w:t>
      </w:r>
      <w:r w:rsidR="004F1C52" w:rsidRPr="00361E30">
        <w:rPr>
          <w:noProof/>
        </w:rPr>
        <w:t xml:space="preserve"> et al.</w:t>
      </w:r>
      <w:r w:rsidRPr="00361E30">
        <w:rPr>
          <w:noProof/>
        </w:rPr>
        <w:t xml:space="preserve"> 2010, Rockwood 2005)</w:t>
      </w:r>
      <w:r w:rsidRPr="00361E30">
        <w:t>.</w:t>
      </w:r>
    </w:p>
    <w:p w14:paraId="0D18E7E4" w14:textId="77777777" w:rsidR="00CA0EF0" w:rsidRPr="00361E30" w:rsidRDefault="00CA0EF0" w:rsidP="003C13F4">
      <w:r w:rsidRPr="00361E30">
        <w:lastRenderedPageBreak/>
        <w:tab/>
        <w:t xml:space="preserve">While no empirical research quantifying the relationship between frailty and mortality in older trauma patients was identified, several studies pointed to the strong relationship between falls and frailty and the propensity for increased injury severity and death after a fall in frail older patients </w:t>
      </w:r>
      <w:r w:rsidRPr="00361E30">
        <w:rPr>
          <w:noProof/>
        </w:rPr>
        <w:t>(Ensrud</w:t>
      </w:r>
      <w:r w:rsidR="00C36882" w:rsidRPr="00361E30">
        <w:rPr>
          <w:noProof/>
        </w:rPr>
        <w:t xml:space="preserve"> et al.</w:t>
      </w:r>
      <w:r w:rsidR="00F13800" w:rsidRPr="00361E30">
        <w:rPr>
          <w:noProof/>
        </w:rPr>
        <w:t xml:space="preserve"> 2007, Kojima</w:t>
      </w:r>
      <w:r w:rsidRPr="00361E30">
        <w:rPr>
          <w:noProof/>
        </w:rPr>
        <w:t xml:space="preserve"> 2015)</w:t>
      </w:r>
      <w:r w:rsidRPr="00361E30">
        <w:t>. Not only are falls a common and serious consequence of frailty; they also predict the onset and progression of the syndrome. Nowak and Hubbard</w:t>
      </w:r>
      <w:r w:rsidR="00FC3457" w:rsidRPr="00361E30">
        <w:t xml:space="preserve"> (2009)</w:t>
      </w:r>
      <w:r w:rsidRPr="00361E30">
        <w:t>, in their review of frailty and falls, sum up this relationship with the following quotation:</w:t>
      </w:r>
    </w:p>
    <w:p w14:paraId="0F84BFCB" w14:textId="77777777" w:rsidR="00CA0EF0" w:rsidRPr="00361E30" w:rsidRDefault="00CA0EF0" w:rsidP="003C13F4">
      <w:pPr>
        <w:ind w:left="1440"/>
      </w:pPr>
      <w:r w:rsidRPr="00361E30">
        <w:t xml:space="preserve">“In this context, falls are more than just antecedents or associates of frailty but are a manifestation of complex system failure” </w:t>
      </w:r>
      <w:r w:rsidR="00FC3457" w:rsidRPr="00361E30">
        <w:rPr>
          <w:noProof/>
        </w:rPr>
        <w:t>(Nowak and Hubbard</w:t>
      </w:r>
      <w:r w:rsidRPr="00361E30">
        <w:rPr>
          <w:noProof/>
        </w:rPr>
        <w:t xml:space="preserve"> 2009)</w:t>
      </w:r>
      <w:r w:rsidRPr="00361E30">
        <w:t>.</w:t>
      </w:r>
    </w:p>
    <w:p w14:paraId="72BE776E" w14:textId="77777777" w:rsidR="00CA0EF0" w:rsidRPr="00361E30" w:rsidRDefault="00CA0EF0" w:rsidP="003C13F4">
      <w:pPr>
        <w:pStyle w:val="Heading2"/>
        <w:rPr>
          <w:rFonts w:eastAsia="Times New Roman"/>
        </w:rPr>
      </w:pPr>
      <w:bookmarkStart w:id="65" w:name="_Toc1902251"/>
      <w:r w:rsidRPr="00361E30">
        <w:rPr>
          <w:rFonts w:eastAsia="Times New Roman"/>
        </w:rPr>
        <w:t>2.3.4</w:t>
      </w:r>
      <w:r w:rsidRPr="00361E30">
        <w:rPr>
          <w:rFonts w:eastAsia="Times New Roman"/>
        </w:rPr>
        <w:tab/>
        <w:t>Studies that reported primarily on the effect of physiological variables on outcome</w:t>
      </w:r>
      <w:bookmarkEnd w:id="65"/>
    </w:p>
    <w:p w14:paraId="0FF8A901" w14:textId="77777777" w:rsidR="00CA0EF0" w:rsidRPr="00361E30" w:rsidRDefault="00CA0EF0" w:rsidP="003C13F4">
      <w:pPr>
        <w:pStyle w:val="Heading3"/>
      </w:pPr>
      <w:r w:rsidRPr="00361E30">
        <w:t>2.3.4.1</w:t>
      </w:r>
      <w:r w:rsidRPr="00361E30">
        <w:tab/>
        <w:t>Glasgow Coma Score and Mortality</w:t>
      </w:r>
    </w:p>
    <w:p w14:paraId="51785085" w14:textId="77777777" w:rsidR="00CA0EF0" w:rsidRPr="00361E30" w:rsidRDefault="00CA0EF0" w:rsidP="003C13F4">
      <w:pPr>
        <w:rPr>
          <w:b/>
          <w:color w:val="231F20"/>
        </w:rPr>
      </w:pPr>
      <w:r w:rsidRPr="00361E30">
        <w:rPr>
          <w:rFonts w:eastAsia="Times New Roman"/>
        </w:rPr>
        <w:t>Four studies fulfilling the inclusion criteria for this review reported on the impact of GCS on survival in older trauma patients. Lustenberger (2011), in his study of older trauma patients</w:t>
      </w:r>
      <w:r w:rsidR="00F516F0" w:rsidRPr="00361E30">
        <w:rPr>
          <w:rFonts w:eastAsia="Times New Roman"/>
        </w:rPr>
        <w:t xml:space="preserve"> on the National Trauma Database of the United States</w:t>
      </w:r>
      <w:r w:rsidRPr="00361E30">
        <w:rPr>
          <w:rFonts w:eastAsia="Times New Roman"/>
        </w:rPr>
        <w:t xml:space="preserve">, reported an odds ratio of </w:t>
      </w:r>
      <w:r w:rsidRPr="00361E30">
        <w:t>13.47 (95% CI 10.35–17.53) in patients with a GCS of ≤8 compared to those with a higher GCS. This study consisted exclusively of older patients who had suffered gunshot injuries, and so the data are not directly comparable with the other studies, which included mostly of blunt trauma patients. Yeung et al (2008)</w:t>
      </w:r>
      <w:r w:rsidR="000A6550" w:rsidRPr="00361E30">
        <w:t xml:space="preserve"> in Hong Kong</w:t>
      </w:r>
      <w:r w:rsidRPr="00361E30">
        <w:t xml:space="preserve"> also found an increased risk of death in older patients with a depressed GCS. Using a reference of GCS 13 – 15, these researchers found that the adjusted odds of death in patients progressively increased as GCS fell </w:t>
      </w:r>
      <w:r w:rsidR="00103094" w:rsidRPr="00361E30">
        <w:rPr>
          <w:noProof/>
        </w:rPr>
        <w:t>(Yeung</w:t>
      </w:r>
      <w:r w:rsidRPr="00361E30">
        <w:rPr>
          <w:noProof/>
        </w:rPr>
        <w:t xml:space="preserve"> et al. 2008)</w:t>
      </w:r>
      <w:r w:rsidRPr="00361E30">
        <w:t>. Efron</w:t>
      </w:r>
      <w:r w:rsidR="00103094" w:rsidRPr="00361E30">
        <w:t xml:space="preserve"> et al.</w:t>
      </w:r>
      <w:r w:rsidRPr="00361E30">
        <w:t xml:space="preserve"> (2008) and Grossman</w:t>
      </w:r>
      <w:r w:rsidR="00103094" w:rsidRPr="00361E30">
        <w:t xml:space="preserve"> et al.</w:t>
      </w:r>
      <w:r w:rsidRPr="00361E30">
        <w:t xml:space="preserve"> (2002) also reported an increase in risk-adjusted mortality for each unit decrease in GCS</w:t>
      </w:r>
      <w:r w:rsidRPr="00361E30">
        <w:rPr>
          <w:rFonts w:cs="HelveticaNeue-Roman"/>
        </w:rPr>
        <w:t xml:space="preserve">. </w:t>
      </w:r>
    </w:p>
    <w:p w14:paraId="0FB5F142" w14:textId="77777777" w:rsidR="00CA0EF0" w:rsidRPr="00361E30" w:rsidRDefault="00CA0EF0" w:rsidP="003C13F4">
      <w:pPr>
        <w:pStyle w:val="Heading3"/>
      </w:pPr>
      <w:r w:rsidRPr="00361E30">
        <w:t>2.3.4.2</w:t>
      </w:r>
      <w:r w:rsidRPr="00361E30">
        <w:tab/>
        <w:t>Systolic Blood Pressure and Mortality</w:t>
      </w:r>
    </w:p>
    <w:p w14:paraId="51F53CE1" w14:textId="77777777" w:rsidR="00CA0EF0" w:rsidRPr="00361E30" w:rsidRDefault="00CA0EF0" w:rsidP="003C13F4">
      <w:r w:rsidRPr="00361E30">
        <w:rPr>
          <w:rFonts w:eastAsia="Times New Roman"/>
        </w:rPr>
        <w:t xml:space="preserve">Three studies included in this review found an increase in risk-adjusted mortality with low blood pressure. Lustenberger (2011) reported an adjusted odds ratio of </w:t>
      </w:r>
      <w:r w:rsidRPr="00361E30">
        <w:rPr>
          <w:rFonts w:cs="AdvPTimes"/>
        </w:rPr>
        <w:t xml:space="preserve">5.27 (95% CI 3.89–7.14) in older patients with gunshot wounds whose blood pressure was less than 90 mmHg </w:t>
      </w:r>
      <w:r w:rsidRPr="00361E30">
        <w:rPr>
          <w:rFonts w:cs="AdvPTimes"/>
          <w:noProof/>
        </w:rPr>
        <w:t>(40)</w:t>
      </w:r>
      <w:r w:rsidRPr="00361E30">
        <w:rPr>
          <w:rFonts w:cs="AdvPTimes"/>
        </w:rPr>
        <w:t>. In contrast, Berry et al</w:t>
      </w:r>
      <w:r w:rsidR="0027792F" w:rsidRPr="00361E30">
        <w:rPr>
          <w:rFonts w:cs="AdvPTimes"/>
        </w:rPr>
        <w:t>.</w:t>
      </w:r>
      <w:r w:rsidRPr="00361E30">
        <w:rPr>
          <w:rFonts w:cs="AdvPTimes"/>
        </w:rPr>
        <w:t xml:space="preserve"> (2010) found that the inflexion point for increased mortality with decreased systolic blood pressure was 100 mmHg in patients aged 50 – 69 and 110 mmHg for patients age 70 and older </w:t>
      </w:r>
      <w:r w:rsidRPr="00361E30">
        <w:rPr>
          <w:rFonts w:cs="AdvPTimes"/>
          <w:noProof/>
        </w:rPr>
        <w:t>(42)</w:t>
      </w:r>
      <w:r w:rsidRPr="00361E30">
        <w:rPr>
          <w:rFonts w:cs="AdvPTimes"/>
        </w:rPr>
        <w:t xml:space="preserve">. </w:t>
      </w:r>
      <w:r w:rsidRPr="00361E30">
        <w:t xml:space="preserve">Grossman’s study of older trauma patients found an increase in risk-adjusted mortality (AOR 3.09; </w:t>
      </w:r>
      <w:r w:rsidRPr="00361E30">
        <w:rPr>
          <w:rFonts w:cs="AdvPTimes"/>
        </w:rPr>
        <w:t xml:space="preserve">95% CI </w:t>
      </w:r>
      <w:r w:rsidRPr="00361E30">
        <w:t>2.50-3.80</w:t>
      </w:r>
      <w:r w:rsidRPr="00361E30">
        <w:rPr>
          <w:rFonts w:eastAsia="Times New Roman"/>
        </w:rPr>
        <w:t xml:space="preserve">), </w:t>
      </w:r>
      <w:r w:rsidRPr="00361E30">
        <w:t xml:space="preserve">in patients with systolic blood pressures &lt;90 mmHg </w:t>
      </w:r>
      <w:r w:rsidRPr="00361E30">
        <w:rPr>
          <w:noProof/>
        </w:rPr>
        <w:t>(38)</w:t>
      </w:r>
      <w:r w:rsidRPr="00361E30">
        <w:t>. Due to the different cut-off points used in each study to define low blood pressure, meta-analysis was not possible. In addition, the methodological heterogeneity between these studies made it difficult to directly compare their results.</w:t>
      </w:r>
    </w:p>
    <w:p w14:paraId="482D5DA7" w14:textId="77777777" w:rsidR="00CA0EF0" w:rsidRPr="00361E30" w:rsidRDefault="00CA0EF0" w:rsidP="003C13F4">
      <w:pPr>
        <w:pStyle w:val="Heading2"/>
        <w:rPr>
          <w:rFonts w:eastAsia="Times New Roman"/>
        </w:rPr>
      </w:pPr>
      <w:bookmarkStart w:id="66" w:name="_Toc1902252"/>
      <w:r w:rsidRPr="00361E30">
        <w:rPr>
          <w:rFonts w:eastAsia="Times New Roman"/>
        </w:rPr>
        <w:lastRenderedPageBreak/>
        <w:t>2.3.5</w:t>
      </w:r>
      <w:r w:rsidRPr="00361E30">
        <w:rPr>
          <w:rFonts w:eastAsia="Times New Roman"/>
        </w:rPr>
        <w:tab/>
        <w:t>Recommendations and Implications for Empirical Study</w:t>
      </w:r>
      <w:bookmarkEnd w:id="66"/>
    </w:p>
    <w:p w14:paraId="0F6EA850" w14:textId="77777777" w:rsidR="00CA0EF0" w:rsidRPr="00361E30" w:rsidRDefault="00CA0EF0" w:rsidP="003C13F4">
      <w:pPr>
        <w:rPr>
          <w:rFonts w:eastAsia="Times New Roman"/>
        </w:rPr>
      </w:pPr>
      <w:r w:rsidRPr="00361E30">
        <w:rPr>
          <w:rFonts w:eastAsia="Times New Roman"/>
        </w:rPr>
        <w:t>This systematic review helped to clarify current knowledge of the patient characteristics impacting on mortality rates in older trauma patients. It was published in Injury in 2015 (Sammy et al:  Factors affecting mortality in older trauma patients—A systematic review and meta-analysis. Injury 47 (6) pp1170-1183</w:t>
      </w:r>
      <w:r w:rsidR="00B62F3A" w:rsidRPr="00361E30">
        <w:rPr>
          <w:rFonts w:eastAsia="Times New Roman"/>
        </w:rPr>
        <w:t>) and</w:t>
      </w:r>
      <w:r w:rsidRPr="00361E30">
        <w:rPr>
          <w:rFonts w:eastAsia="Times New Roman"/>
        </w:rPr>
        <w:t xml:space="preserve"> has been cited 20 times to date </w:t>
      </w:r>
      <w:r w:rsidRPr="00361E30">
        <w:rPr>
          <w:rFonts w:eastAsia="Times New Roman"/>
          <w:noProof/>
        </w:rPr>
        <w:t>(Sammy et al. 2016b)</w:t>
      </w:r>
      <w:r w:rsidRPr="00361E30">
        <w:rPr>
          <w:rFonts w:eastAsia="Times New Roman"/>
        </w:rPr>
        <w:t>. Phase 1 of the proposed PhD research project for which this systematic review was undertaken tested current predictive models of mortality in major trauma in older populations (aged 65 and over</w:t>
      </w:r>
      <w:r w:rsidR="00B62F3A" w:rsidRPr="00361E30">
        <w:rPr>
          <w:rFonts w:eastAsia="Times New Roman"/>
        </w:rPr>
        <w:t>) and</w:t>
      </w:r>
      <w:r w:rsidRPr="00361E30">
        <w:rPr>
          <w:rFonts w:eastAsia="Times New Roman"/>
        </w:rPr>
        <w:t xml:space="preserve"> developed a more accurate and reliable predictive model for this age group, using data from the TARN dataset. This systematic review identified a number of patient characteristics that were subsequently tested in the development of this predictive model of mortality in older trauma patients. The following patient characteristics were included in Phase 1 of the PhD project:</w:t>
      </w:r>
    </w:p>
    <w:p w14:paraId="233BB3F8" w14:textId="77777777" w:rsidR="00CA0EF0" w:rsidRPr="00361E30" w:rsidRDefault="00CA0EF0" w:rsidP="003C13F4">
      <w:pPr>
        <w:pStyle w:val="ListParagraph"/>
        <w:numPr>
          <w:ilvl w:val="0"/>
          <w:numId w:val="7"/>
        </w:numPr>
        <w:spacing w:after="0"/>
        <w:contextualSpacing w:val="0"/>
        <w:rPr>
          <w:rFonts w:eastAsia="Times New Roman"/>
        </w:rPr>
      </w:pPr>
      <w:r w:rsidRPr="00361E30">
        <w:rPr>
          <w:rFonts w:eastAsia="Times New Roman"/>
        </w:rPr>
        <w:t xml:space="preserve">Demographic variables: age and gender. This will include identification of any interactions between age and gender in older patients, as described by Bouamra et al </w:t>
      </w:r>
      <w:r w:rsidRPr="00361E30">
        <w:rPr>
          <w:rFonts w:eastAsia="Times New Roman"/>
          <w:noProof/>
        </w:rPr>
        <w:t>(Bouamra et al. 2006a)</w:t>
      </w:r>
      <w:r w:rsidRPr="00361E30">
        <w:rPr>
          <w:rFonts w:eastAsia="Times New Roman"/>
        </w:rPr>
        <w:t>.</w:t>
      </w:r>
    </w:p>
    <w:p w14:paraId="4473FFB2" w14:textId="77777777" w:rsidR="00CA0EF0" w:rsidRPr="00361E30" w:rsidRDefault="00CA0EF0" w:rsidP="003C13F4">
      <w:pPr>
        <w:pStyle w:val="ListParagraph"/>
        <w:numPr>
          <w:ilvl w:val="0"/>
          <w:numId w:val="7"/>
        </w:numPr>
        <w:spacing w:after="0"/>
        <w:contextualSpacing w:val="0"/>
        <w:rPr>
          <w:rFonts w:eastAsia="Times New Roman"/>
        </w:rPr>
      </w:pPr>
      <w:r w:rsidRPr="00361E30">
        <w:rPr>
          <w:rFonts w:eastAsia="Times New Roman"/>
        </w:rPr>
        <w:t xml:space="preserve">Injury related variables: injury severity, Glasgow coma score, systolic blood pressure, injury type (particularly motor vehicle collisions and falls), number of injuries and injury severity score. </w:t>
      </w:r>
    </w:p>
    <w:p w14:paraId="312517E5" w14:textId="77777777" w:rsidR="00CA0EF0" w:rsidRPr="00361E30" w:rsidRDefault="00CA0EF0" w:rsidP="003C13F4">
      <w:pPr>
        <w:pStyle w:val="ListParagraph"/>
        <w:numPr>
          <w:ilvl w:val="0"/>
          <w:numId w:val="7"/>
        </w:numPr>
        <w:spacing w:after="0"/>
        <w:contextualSpacing w:val="0"/>
        <w:rPr>
          <w:rFonts w:eastAsia="Times New Roman"/>
        </w:rPr>
      </w:pPr>
      <w:r w:rsidRPr="00361E30">
        <w:rPr>
          <w:rFonts w:eastAsia="Times New Roman"/>
        </w:rPr>
        <w:t xml:space="preserve">Premorbid clinical characteristics of patients: comorbidities (using the Charlson Comorbidity Index, as modified by Bouamra); and use of pre-injury medications (in particular warfarin). </w:t>
      </w:r>
    </w:p>
    <w:p w14:paraId="771289EC" w14:textId="77777777" w:rsidR="00CA0EF0" w:rsidRPr="00361E30" w:rsidRDefault="00CA0EF0" w:rsidP="003C13F4">
      <w:pPr>
        <w:pStyle w:val="Heading1"/>
      </w:pPr>
      <w:bookmarkStart w:id="67" w:name="_Toc1902253"/>
      <w:r w:rsidRPr="00361E30">
        <w:t>2.4</w:t>
      </w:r>
      <w:r w:rsidRPr="00361E30">
        <w:tab/>
        <w:t>The Influence of Care Process Factors on Outcome in Older Major Trauma Patients</w:t>
      </w:r>
      <w:bookmarkEnd w:id="67"/>
    </w:p>
    <w:p w14:paraId="1D422BDB" w14:textId="77777777" w:rsidR="00CA0EF0" w:rsidRPr="00361E30" w:rsidRDefault="00CA0EF0" w:rsidP="003C13F4">
      <w:r w:rsidRPr="00361E30">
        <w:t>The methodology for this review is described in detail in Section 2.2 (Methods).</w:t>
      </w:r>
    </w:p>
    <w:p w14:paraId="0E99339F" w14:textId="77777777" w:rsidR="00CA0EF0" w:rsidRPr="00361E30" w:rsidRDefault="00CA0EF0" w:rsidP="003C13F4">
      <w:pPr>
        <w:pStyle w:val="Heading2"/>
      </w:pPr>
      <w:bookmarkStart w:id="68" w:name="_Toc1902254"/>
      <w:r w:rsidRPr="00361E30">
        <w:t>2.4.3</w:t>
      </w:r>
      <w:r w:rsidRPr="00361E30">
        <w:tab/>
        <w:t>How Process Factors Affect Mortality in Older People</w:t>
      </w:r>
      <w:bookmarkEnd w:id="68"/>
    </w:p>
    <w:p w14:paraId="265E240B" w14:textId="77777777" w:rsidR="00CA0EF0" w:rsidRPr="00361E30" w:rsidRDefault="00CA0EF0" w:rsidP="003C13F4">
      <w:r w:rsidRPr="00361E30">
        <w:t xml:space="preserve">Eight studies reported the effects of various process factors on mortality in older trauma patients. One study looked at the effects of under-triage of older trauma patients on mortality </w:t>
      </w:r>
      <w:r w:rsidR="009A5594" w:rsidRPr="00361E30">
        <w:rPr>
          <w:noProof/>
        </w:rPr>
        <w:t>(Scheetz</w:t>
      </w:r>
      <w:r w:rsidRPr="00361E30">
        <w:rPr>
          <w:noProof/>
        </w:rPr>
        <w:t xml:space="preserve"> 2012)</w:t>
      </w:r>
      <w:r w:rsidRPr="00361E30">
        <w:t xml:space="preserve">. Two studies compared outcomes of older trauma patients treated at dedicated trauma centres with those treated at non-trauma centres, while one looked at the impact of an organised trauma system on outcome </w:t>
      </w:r>
      <w:r w:rsidRPr="00361E30">
        <w:rPr>
          <w:noProof/>
        </w:rPr>
        <w:t>(Mel</w:t>
      </w:r>
      <w:r w:rsidR="007F7E67" w:rsidRPr="00361E30">
        <w:rPr>
          <w:noProof/>
        </w:rPr>
        <w:t>don, Reilly et al., 2002, Moore</w:t>
      </w:r>
      <w:r w:rsidRPr="00361E30">
        <w:rPr>
          <w:noProof/>
        </w:rPr>
        <w:t xml:space="preserve"> et al. 2012, Nicholl and Turner 1997)</w:t>
      </w:r>
      <w:r w:rsidRPr="00361E30">
        <w:t xml:space="preserve">. Two studies investigated the relationship between ICU admission and mortality in older trauma patients </w:t>
      </w:r>
      <w:r w:rsidRPr="00361E30">
        <w:rPr>
          <w:noProof/>
        </w:rPr>
        <w:t>(Aitken</w:t>
      </w:r>
      <w:r w:rsidR="00223B10" w:rsidRPr="00361E30">
        <w:rPr>
          <w:noProof/>
        </w:rPr>
        <w:t xml:space="preserve"> et al.</w:t>
      </w:r>
      <w:r w:rsidRPr="00361E30">
        <w:rPr>
          <w:noProof/>
        </w:rPr>
        <w:t xml:space="preserve"> 2010, Ayoung-Chee</w:t>
      </w:r>
      <w:r w:rsidR="00E84970" w:rsidRPr="00361E30">
        <w:rPr>
          <w:noProof/>
        </w:rPr>
        <w:t xml:space="preserve"> et al 2014</w:t>
      </w:r>
      <w:r w:rsidRPr="00361E30">
        <w:rPr>
          <w:noProof/>
        </w:rPr>
        <w:t>)</w:t>
      </w:r>
      <w:r w:rsidRPr="00361E30">
        <w:t xml:space="preserve">. One study commented on the effect of a helicopter emergency medical service (HEMS) on mortality in older trauma patients </w:t>
      </w:r>
      <w:r w:rsidRPr="00361E30">
        <w:rPr>
          <w:noProof/>
        </w:rPr>
        <w:t>(Nicholl et al. 1995)</w:t>
      </w:r>
      <w:r w:rsidRPr="00361E30">
        <w:t xml:space="preserve">. Two studies reported on mortality rates in older trauma patients who underwent emergency surgery, compared to those who did </w:t>
      </w:r>
      <w:r w:rsidRPr="00361E30">
        <w:lastRenderedPageBreak/>
        <w:t xml:space="preserve">not </w:t>
      </w:r>
      <w:r w:rsidRPr="00361E30">
        <w:rPr>
          <w:noProof/>
        </w:rPr>
        <w:t>(Aitken</w:t>
      </w:r>
      <w:r w:rsidR="00223B10" w:rsidRPr="00361E30">
        <w:rPr>
          <w:noProof/>
        </w:rPr>
        <w:t xml:space="preserve"> et al.</w:t>
      </w:r>
      <w:r w:rsidRPr="00361E30">
        <w:rPr>
          <w:noProof/>
        </w:rPr>
        <w:t xml:space="preserve"> 2010, Richmond et al. 2002)</w:t>
      </w:r>
      <w:r w:rsidRPr="00361E30">
        <w:t>. Table 2.3 summarises the process factors investigated by these studies, while Appendix 2 provides details of the findings of these s</w:t>
      </w:r>
      <w:r w:rsidR="00223B10" w:rsidRPr="00361E30">
        <w:t>tudies. One study by Aitken et al.</w:t>
      </w:r>
      <w:r w:rsidRPr="00361E30">
        <w:t xml:space="preserve"> </w:t>
      </w:r>
      <w:r w:rsidR="00223B10" w:rsidRPr="00361E30">
        <w:t>(</w:t>
      </w:r>
      <w:r w:rsidRPr="00361E30">
        <w:t>2010) reported on more than one relevant outcome.</w:t>
      </w:r>
    </w:p>
    <w:tbl>
      <w:tblPr>
        <w:tblW w:w="7488" w:type="dxa"/>
        <w:tblLayout w:type="fixed"/>
        <w:tblLook w:val="04A0" w:firstRow="1" w:lastRow="0" w:firstColumn="1" w:lastColumn="0" w:noHBand="0" w:noVBand="1"/>
      </w:tblPr>
      <w:tblGrid>
        <w:gridCol w:w="1998"/>
        <w:gridCol w:w="720"/>
        <w:gridCol w:w="1223"/>
        <w:gridCol w:w="709"/>
        <w:gridCol w:w="709"/>
        <w:gridCol w:w="710"/>
        <w:gridCol w:w="709"/>
        <w:gridCol w:w="710"/>
      </w:tblGrid>
      <w:tr w:rsidR="00CA0EF0" w:rsidRPr="00361E30" w14:paraId="564AA8E6" w14:textId="77777777" w:rsidTr="003C13F4">
        <w:tc>
          <w:tcPr>
            <w:tcW w:w="1998" w:type="dxa"/>
            <w:tcBorders>
              <w:top w:val="single" w:sz="4" w:space="0" w:color="auto"/>
              <w:bottom w:val="single" w:sz="4" w:space="0" w:color="auto"/>
            </w:tcBorders>
            <w:vAlign w:val="center"/>
          </w:tcPr>
          <w:p w14:paraId="04998634" w14:textId="77777777" w:rsidR="00CA0EF0" w:rsidRPr="00361E30" w:rsidRDefault="00CA0EF0" w:rsidP="003C13F4">
            <w:pPr>
              <w:spacing w:after="0"/>
              <w:jc w:val="left"/>
              <w:rPr>
                <w:rFonts w:eastAsia="Times New Roman"/>
                <w:b/>
              </w:rPr>
            </w:pPr>
            <w:r w:rsidRPr="00361E30">
              <w:br w:type="page"/>
            </w:r>
            <w:r w:rsidRPr="00361E30">
              <w:rPr>
                <w:rFonts w:eastAsia="Times New Roman"/>
                <w:b/>
              </w:rPr>
              <w:t>Author</w:t>
            </w:r>
          </w:p>
        </w:tc>
        <w:tc>
          <w:tcPr>
            <w:tcW w:w="720" w:type="dxa"/>
            <w:tcBorders>
              <w:top w:val="single" w:sz="4" w:space="0" w:color="auto"/>
              <w:bottom w:val="single" w:sz="4" w:space="0" w:color="auto"/>
            </w:tcBorders>
            <w:vAlign w:val="center"/>
          </w:tcPr>
          <w:p w14:paraId="10BE21F4" w14:textId="77777777" w:rsidR="00CA0EF0" w:rsidRPr="00361E30" w:rsidRDefault="00CA0EF0" w:rsidP="003C13F4">
            <w:pPr>
              <w:spacing w:after="0"/>
              <w:jc w:val="center"/>
              <w:rPr>
                <w:rFonts w:eastAsia="Times New Roman"/>
                <w:b/>
              </w:rPr>
            </w:pPr>
            <w:r w:rsidRPr="00361E30">
              <w:rPr>
                <w:rFonts w:eastAsia="Times New Roman"/>
                <w:b/>
              </w:rPr>
              <w:t>Year</w:t>
            </w:r>
          </w:p>
        </w:tc>
        <w:tc>
          <w:tcPr>
            <w:tcW w:w="1223" w:type="dxa"/>
            <w:tcBorders>
              <w:top w:val="single" w:sz="4" w:space="0" w:color="auto"/>
              <w:bottom w:val="single" w:sz="4" w:space="0" w:color="auto"/>
            </w:tcBorders>
            <w:vAlign w:val="center"/>
          </w:tcPr>
          <w:p w14:paraId="692955CB" w14:textId="77777777" w:rsidR="00CA0EF0" w:rsidRPr="00361E30" w:rsidRDefault="00CA0EF0" w:rsidP="003C13F4">
            <w:pPr>
              <w:spacing w:after="0"/>
              <w:jc w:val="center"/>
              <w:rPr>
                <w:rFonts w:eastAsia="Times New Roman"/>
                <w:b/>
              </w:rPr>
            </w:pPr>
            <w:r w:rsidRPr="00361E30">
              <w:rPr>
                <w:rFonts w:eastAsia="Times New Roman"/>
                <w:b/>
              </w:rPr>
              <w:t>Country</w:t>
            </w:r>
          </w:p>
        </w:tc>
        <w:tc>
          <w:tcPr>
            <w:tcW w:w="709" w:type="dxa"/>
            <w:tcBorders>
              <w:top w:val="single" w:sz="4" w:space="0" w:color="auto"/>
              <w:bottom w:val="single" w:sz="4" w:space="0" w:color="auto"/>
            </w:tcBorders>
            <w:vAlign w:val="center"/>
          </w:tcPr>
          <w:p w14:paraId="71CD49E0" w14:textId="77777777" w:rsidR="00CA0EF0" w:rsidRPr="00361E30" w:rsidRDefault="00CA0EF0" w:rsidP="003C13F4">
            <w:pPr>
              <w:spacing w:after="0"/>
              <w:jc w:val="center"/>
              <w:rPr>
                <w:rFonts w:eastAsia="Times New Roman"/>
                <w:b/>
              </w:rPr>
            </w:pPr>
          </w:p>
        </w:tc>
        <w:tc>
          <w:tcPr>
            <w:tcW w:w="709" w:type="dxa"/>
            <w:tcBorders>
              <w:top w:val="single" w:sz="4" w:space="0" w:color="auto"/>
              <w:bottom w:val="single" w:sz="4" w:space="0" w:color="auto"/>
            </w:tcBorders>
            <w:vAlign w:val="center"/>
          </w:tcPr>
          <w:p w14:paraId="6B97FD40" w14:textId="77777777" w:rsidR="00CA0EF0" w:rsidRPr="00361E30" w:rsidRDefault="00CA0EF0" w:rsidP="003C13F4">
            <w:pPr>
              <w:spacing w:after="0"/>
              <w:jc w:val="center"/>
              <w:rPr>
                <w:rFonts w:eastAsia="Times New Roman"/>
                <w:b/>
              </w:rPr>
            </w:pPr>
          </w:p>
        </w:tc>
        <w:tc>
          <w:tcPr>
            <w:tcW w:w="710" w:type="dxa"/>
            <w:tcBorders>
              <w:top w:val="single" w:sz="4" w:space="0" w:color="auto"/>
              <w:bottom w:val="single" w:sz="4" w:space="0" w:color="auto"/>
            </w:tcBorders>
            <w:vAlign w:val="center"/>
          </w:tcPr>
          <w:p w14:paraId="40DB693A" w14:textId="77777777" w:rsidR="00CA0EF0" w:rsidRPr="00361E30" w:rsidRDefault="00CA0EF0" w:rsidP="003C13F4">
            <w:pPr>
              <w:spacing w:after="0"/>
              <w:jc w:val="center"/>
              <w:rPr>
                <w:rFonts w:eastAsia="Times New Roman"/>
                <w:b/>
              </w:rPr>
            </w:pPr>
          </w:p>
        </w:tc>
        <w:tc>
          <w:tcPr>
            <w:tcW w:w="709" w:type="dxa"/>
            <w:tcBorders>
              <w:top w:val="single" w:sz="4" w:space="0" w:color="auto"/>
              <w:bottom w:val="single" w:sz="4" w:space="0" w:color="auto"/>
            </w:tcBorders>
            <w:vAlign w:val="center"/>
          </w:tcPr>
          <w:p w14:paraId="3C609BFB" w14:textId="77777777" w:rsidR="00CA0EF0" w:rsidRPr="00361E30" w:rsidRDefault="00CA0EF0" w:rsidP="003C13F4">
            <w:pPr>
              <w:spacing w:after="0"/>
              <w:jc w:val="center"/>
              <w:rPr>
                <w:rFonts w:eastAsia="Times New Roman"/>
                <w:b/>
              </w:rPr>
            </w:pPr>
          </w:p>
        </w:tc>
        <w:tc>
          <w:tcPr>
            <w:tcW w:w="710" w:type="dxa"/>
            <w:tcBorders>
              <w:top w:val="single" w:sz="4" w:space="0" w:color="auto"/>
              <w:bottom w:val="single" w:sz="4" w:space="0" w:color="auto"/>
            </w:tcBorders>
            <w:vAlign w:val="center"/>
          </w:tcPr>
          <w:p w14:paraId="614CB1B7" w14:textId="77777777" w:rsidR="00CA0EF0" w:rsidRPr="00361E30" w:rsidRDefault="00CA0EF0" w:rsidP="003C13F4">
            <w:pPr>
              <w:spacing w:after="0"/>
              <w:jc w:val="center"/>
              <w:rPr>
                <w:rFonts w:eastAsia="Times New Roman"/>
                <w:b/>
              </w:rPr>
            </w:pPr>
          </w:p>
        </w:tc>
      </w:tr>
      <w:tr w:rsidR="00CA0EF0" w:rsidRPr="00361E30" w14:paraId="71936685" w14:textId="77777777" w:rsidTr="003C13F4">
        <w:trPr>
          <w:cantSplit/>
          <w:trHeight w:val="2915"/>
        </w:trPr>
        <w:tc>
          <w:tcPr>
            <w:tcW w:w="1998" w:type="dxa"/>
            <w:tcBorders>
              <w:top w:val="single" w:sz="4" w:space="0" w:color="auto"/>
            </w:tcBorders>
            <w:vAlign w:val="center"/>
          </w:tcPr>
          <w:p w14:paraId="093E5D38" w14:textId="77777777" w:rsidR="00CA0EF0" w:rsidRPr="00361E30" w:rsidRDefault="00CA0EF0" w:rsidP="003C13F4">
            <w:pPr>
              <w:spacing w:after="0"/>
              <w:jc w:val="left"/>
              <w:rPr>
                <w:rFonts w:ascii="Calibri" w:hAnsi="Calibri"/>
              </w:rPr>
            </w:pPr>
          </w:p>
        </w:tc>
        <w:tc>
          <w:tcPr>
            <w:tcW w:w="720" w:type="dxa"/>
            <w:tcBorders>
              <w:top w:val="single" w:sz="4" w:space="0" w:color="auto"/>
            </w:tcBorders>
            <w:vAlign w:val="center"/>
          </w:tcPr>
          <w:p w14:paraId="388AE2C5" w14:textId="77777777" w:rsidR="00CA0EF0" w:rsidRPr="00361E30" w:rsidRDefault="00CA0EF0" w:rsidP="003C13F4">
            <w:pPr>
              <w:spacing w:after="0"/>
              <w:jc w:val="center"/>
              <w:rPr>
                <w:rFonts w:ascii="Calibri" w:hAnsi="Calibri"/>
              </w:rPr>
            </w:pPr>
          </w:p>
        </w:tc>
        <w:tc>
          <w:tcPr>
            <w:tcW w:w="1223" w:type="dxa"/>
            <w:tcBorders>
              <w:top w:val="single" w:sz="4" w:space="0" w:color="auto"/>
            </w:tcBorders>
            <w:vAlign w:val="center"/>
          </w:tcPr>
          <w:p w14:paraId="432A6699" w14:textId="77777777" w:rsidR="00CA0EF0" w:rsidRPr="00361E30" w:rsidRDefault="00CA0EF0" w:rsidP="003C13F4">
            <w:pPr>
              <w:spacing w:after="0"/>
              <w:jc w:val="center"/>
              <w:rPr>
                <w:rFonts w:ascii="Calibri" w:hAnsi="Calibri"/>
              </w:rPr>
            </w:pPr>
          </w:p>
        </w:tc>
        <w:tc>
          <w:tcPr>
            <w:tcW w:w="709" w:type="dxa"/>
            <w:tcBorders>
              <w:top w:val="single" w:sz="4" w:space="0" w:color="auto"/>
            </w:tcBorders>
            <w:textDirection w:val="btLr"/>
            <w:vAlign w:val="center"/>
          </w:tcPr>
          <w:p w14:paraId="4CAEDCEA" w14:textId="77777777" w:rsidR="00CA0EF0" w:rsidRPr="00361E30" w:rsidRDefault="00CA0EF0" w:rsidP="003C13F4">
            <w:pPr>
              <w:spacing w:after="0"/>
              <w:ind w:left="113" w:right="113"/>
              <w:jc w:val="left"/>
              <w:rPr>
                <w:rFonts w:eastAsia="Times New Roman"/>
                <w:b/>
              </w:rPr>
            </w:pPr>
            <w:r w:rsidRPr="00361E30">
              <w:rPr>
                <w:rFonts w:eastAsia="Times New Roman"/>
                <w:b/>
              </w:rPr>
              <w:t xml:space="preserve">Triage accuracy </w:t>
            </w:r>
          </w:p>
        </w:tc>
        <w:tc>
          <w:tcPr>
            <w:tcW w:w="709" w:type="dxa"/>
            <w:tcBorders>
              <w:top w:val="single" w:sz="4" w:space="0" w:color="auto"/>
            </w:tcBorders>
            <w:textDirection w:val="btLr"/>
            <w:vAlign w:val="center"/>
          </w:tcPr>
          <w:p w14:paraId="6B5DD4F9" w14:textId="77777777" w:rsidR="00CA0EF0" w:rsidRPr="00361E30" w:rsidRDefault="00CA0EF0" w:rsidP="003C13F4">
            <w:pPr>
              <w:spacing w:after="0"/>
              <w:ind w:left="113" w:right="113"/>
              <w:jc w:val="left"/>
              <w:rPr>
                <w:rFonts w:eastAsia="Times New Roman"/>
                <w:b/>
              </w:rPr>
            </w:pPr>
            <w:r w:rsidRPr="00361E30">
              <w:rPr>
                <w:rFonts w:eastAsia="Times New Roman"/>
                <w:b/>
              </w:rPr>
              <w:t>HEMS transportation</w:t>
            </w:r>
          </w:p>
        </w:tc>
        <w:tc>
          <w:tcPr>
            <w:tcW w:w="710" w:type="dxa"/>
            <w:tcBorders>
              <w:top w:val="single" w:sz="4" w:space="0" w:color="auto"/>
            </w:tcBorders>
            <w:textDirection w:val="btLr"/>
            <w:vAlign w:val="center"/>
          </w:tcPr>
          <w:p w14:paraId="09C037BE" w14:textId="77777777" w:rsidR="00CA0EF0" w:rsidRPr="00361E30" w:rsidRDefault="00CA0EF0" w:rsidP="003C13F4">
            <w:pPr>
              <w:spacing w:after="0"/>
              <w:ind w:left="113" w:right="113"/>
              <w:jc w:val="left"/>
              <w:rPr>
                <w:rFonts w:eastAsia="Times New Roman"/>
                <w:b/>
              </w:rPr>
            </w:pPr>
            <w:r w:rsidRPr="00361E30">
              <w:rPr>
                <w:rFonts w:eastAsia="Times New Roman"/>
                <w:b/>
              </w:rPr>
              <w:t>Trauma centre admission</w:t>
            </w:r>
          </w:p>
        </w:tc>
        <w:tc>
          <w:tcPr>
            <w:tcW w:w="709" w:type="dxa"/>
            <w:tcBorders>
              <w:top w:val="single" w:sz="4" w:space="0" w:color="auto"/>
            </w:tcBorders>
            <w:textDirection w:val="btLr"/>
            <w:vAlign w:val="center"/>
          </w:tcPr>
          <w:p w14:paraId="2E271B10" w14:textId="77777777" w:rsidR="00CA0EF0" w:rsidRPr="00361E30" w:rsidRDefault="00CA0EF0" w:rsidP="003C13F4">
            <w:pPr>
              <w:spacing w:after="0"/>
              <w:ind w:left="113" w:right="113"/>
              <w:jc w:val="left"/>
              <w:rPr>
                <w:rFonts w:eastAsia="Times New Roman"/>
                <w:b/>
              </w:rPr>
            </w:pPr>
            <w:r w:rsidRPr="00361E30">
              <w:rPr>
                <w:rFonts w:eastAsia="Times New Roman"/>
                <w:b/>
              </w:rPr>
              <w:t>ICU admission</w:t>
            </w:r>
          </w:p>
        </w:tc>
        <w:tc>
          <w:tcPr>
            <w:tcW w:w="710" w:type="dxa"/>
            <w:tcBorders>
              <w:top w:val="single" w:sz="4" w:space="0" w:color="auto"/>
            </w:tcBorders>
            <w:textDirection w:val="btLr"/>
            <w:vAlign w:val="center"/>
          </w:tcPr>
          <w:p w14:paraId="2D4600A4" w14:textId="77777777" w:rsidR="00CA0EF0" w:rsidRPr="00361E30" w:rsidRDefault="00CA0EF0" w:rsidP="003C13F4">
            <w:pPr>
              <w:spacing w:after="0"/>
              <w:ind w:left="113" w:right="113"/>
              <w:jc w:val="left"/>
              <w:rPr>
                <w:rFonts w:eastAsia="Times New Roman"/>
                <w:b/>
              </w:rPr>
            </w:pPr>
            <w:r w:rsidRPr="00361E30">
              <w:rPr>
                <w:rFonts w:eastAsia="Times New Roman"/>
                <w:b/>
              </w:rPr>
              <w:t>Emergency surgery</w:t>
            </w:r>
          </w:p>
        </w:tc>
      </w:tr>
      <w:tr w:rsidR="00CA0EF0" w:rsidRPr="00361E30" w14:paraId="06D9ADD9" w14:textId="77777777" w:rsidTr="003C13F4">
        <w:tc>
          <w:tcPr>
            <w:tcW w:w="1998" w:type="dxa"/>
            <w:tcBorders>
              <w:top w:val="single" w:sz="4" w:space="0" w:color="auto"/>
            </w:tcBorders>
            <w:vAlign w:val="center"/>
          </w:tcPr>
          <w:p w14:paraId="3ED0FF71" w14:textId="77777777" w:rsidR="00CA0EF0" w:rsidRPr="00361E30" w:rsidRDefault="00CA0EF0" w:rsidP="003C13F4">
            <w:pPr>
              <w:spacing w:after="0"/>
              <w:jc w:val="left"/>
              <w:rPr>
                <w:rFonts w:ascii="Calibri" w:hAnsi="Calibri"/>
              </w:rPr>
            </w:pPr>
            <w:r w:rsidRPr="00361E30">
              <w:rPr>
                <w:rFonts w:ascii="Calibri" w:hAnsi="Calibri"/>
              </w:rPr>
              <w:t>Aitken</w:t>
            </w:r>
          </w:p>
        </w:tc>
        <w:tc>
          <w:tcPr>
            <w:tcW w:w="720" w:type="dxa"/>
            <w:tcBorders>
              <w:top w:val="single" w:sz="4" w:space="0" w:color="auto"/>
            </w:tcBorders>
            <w:vAlign w:val="center"/>
          </w:tcPr>
          <w:p w14:paraId="72E46717" w14:textId="77777777" w:rsidR="00CA0EF0" w:rsidRPr="00361E30" w:rsidRDefault="00CA0EF0" w:rsidP="003C13F4">
            <w:pPr>
              <w:spacing w:after="0"/>
              <w:jc w:val="center"/>
              <w:rPr>
                <w:rFonts w:ascii="Calibri" w:hAnsi="Calibri"/>
              </w:rPr>
            </w:pPr>
            <w:r w:rsidRPr="00361E30">
              <w:rPr>
                <w:rFonts w:ascii="Calibri" w:hAnsi="Calibri"/>
              </w:rPr>
              <w:t>2010</w:t>
            </w:r>
          </w:p>
        </w:tc>
        <w:tc>
          <w:tcPr>
            <w:tcW w:w="1223" w:type="dxa"/>
            <w:tcBorders>
              <w:top w:val="single" w:sz="4" w:space="0" w:color="auto"/>
            </w:tcBorders>
            <w:vAlign w:val="center"/>
          </w:tcPr>
          <w:p w14:paraId="3F53E3C7" w14:textId="77777777" w:rsidR="00CA0EF0" w:rsidRPr="00361E30" w:rsidRDefault="00CA0EF0" w:rsidP="003C13F4">
            <w:pPr>
              <w:spacing w:after="0"/>
              <w:jc w:val="center"/>
              <w:rPr>
                <w:rFonts w:ascii="Calibri" w:hAnsi="Calibri"/>
              </w:rPr>
            </w:pPr>
            <w:r w:rsidRPr="00361E30">
              <w:rPr>
                <w:rFonts w:ascii="Calibri" w:hAnsi="Calibri"/>
              </w:rPr>
              <w:t>Australia</w:t>
            </w:r>
          </w:p>
        </w:tc>
        <w:tc>
          <w:tcPr>
            <w:tcW w:w="709" w:type="dxa"/>
            <w:tcBorders>
              <w:top w:val="single" w:sz="4" w:space="0" w:color="auto"/>
            </w:tcBorders>
            <w:vAlign w:val="center"/>
          </w:tcPr>
          <w:p w14:paraId="10561E0A" w14:textId="77777777" w:rsidR="00CA0EF0" w:rsidRPr="00361E30" w:rsidRDefault="00CA0EF0" w:rsidP="003C13F4">
            <w:pPr>
              <w:spacing w:after="0"/>
              <w:jc w:val="center"/>
              <w:rPr>
                <w:rFonts w:eastAsia="Times New Roman"/>
              </w:rPr>
            </w:pPr>
          </w:p>
        </w:tc>
        <w:tc>
          <w:tcPr>
            <w:tcW w:w="709" w:type="dxa"/>
            <w:tcBorders>
              <w:top w:val="single" w:sz="4" w:space="0" w:color="auto"/>
            </w:tcBorders>
            <w:vAlign w:val="center"/>
          </w:tcPr>
          <w:p w14:paraId="52CB29D1" w14:textId="77777777" w:rsidR="00CA0EF0" w:rsidRPr="00361E30" w:rsidRDefault="00CA0EF0" w:rsidP="003C13F4">
            <w:pPr>
              <w:spacing w:after="0"/>
              <w:jc w:val="center"/>
              <w:rPr>
                <w:rFonts w:eastAsia="Times New Roman"/>
              </w:rPr>
            </w:pPr>
          </w:p>
        </w:tc>
        <w:tc>
          <w:tcPr>
            <w:tcW w:w="710" w:type="dxa"/>
            <w:tcBorders>
              <w:top w:val="single" w:sz="4" w:space="0" w:color="auto"/>
            </w:tcBorders>
            <w:vAlign w:val="center"/>
          </w:tcPr>
          <w:p w14:paraId="57101C01" w14:textId="77777777" w:rsidR="00CA0EF0" w:rsidRPr="00361E30" w:rsidRDefault="00CA0EF0" w:rsidP="003C13F4">
            <w:pPr>
              <w:spacing w:after="0"/>
              <w:jc w:val="center"/>
              <w:rPr>
                <w:rFonts w:eastAsia="Times New Roman"/>
              </w:rPr>
            </w:pPr>
          </w:p>
        </w:tc>
        <w:tc>
          <w:tcPr>
            <w:tcW w:w="709" w:type="dxa"/>
            <w:tcBorders>
              <w:top w:val="single" w:sz="4" w:space="0" w:color="auto"/>
            </w:tcBorders>
            <w:vAlign w:val="center"/>
          </w:tcPr>
          <w:p w14:paraId="200F2D7A" w14:textId="77777777" w:rsidR="00CA0EF0" w:rsidRPr="00361E30" w:rsidRDefault="00CA0EF0" w:rsidP="003C13F4">
            <w:pPr>
              <w:spacing w:after="0"/>
              <w:jc w:val="center"/>
              <w:rPr>
                <w:rFonts w:eastAsia="Times New Roman"/>
              </w:rPr>
            </w:pPr>
            <w:r w:rsidRPr="00361E30">
              <w:rPr>
                <w:rFonts w:eastAsia="Times New Roman" w:cstheme="minorHAnsi"/>
              </w:rPr>
              <w:t>√</w:t>
            </w:r>
          </w:p>
        </w:tc>
        <w:tc>
          <w:tcPr>
            <w:tcW w:w="710" w:type="dxa"/>
            <w:tcBorders>
              <w:top w:val="single" w:sz="4" w:space="0" w:color="auto"/>
            </w:tcBorders>
            <w:vAlign w:val="center"/>
          </w:tcPr>
          <w:p w14:paraId="0150765E" w14:textId="77777777" w:rsidR="00CA0EF0" w:rsidRPr="00361E30" w:rsidRDefault="00CA0EF0" w:rsidP="003C13F4">
            <w:pPr>
              <w:spacing w:after="0"/>
              <w:jc w:val="center"/>
              <w:rPr>
                <w:rFonts w:eastAsia="Times New Roman"/>
              </w:rPr>
            </w:pPr>
            <w:r w:rsidRPr="00361E30">
              <w:rPr>
                <w:rFonts w:eastAsia="Times New Roman" w:cstheme="minorHAnsi"/>
              </w:rPr>
              <w:t>√</w:t>
            </w:r>
          </w:p>
        </w:tc>
      </w:tr>
      <w:tr w:rsidR="00CA0EF0" w:rsidRPr="00361E30" w14:paraId="726B48E0" w14:textId="77777777" w:rsidTr="003C13F4">
        <w:tc>
          <w:tcPr>
            <w:tcW w:w="1998" w:type="dxa"/>
            <w:vAlign w:val="center"/>
          </w:tcPr>
          <w:p w14:paraId="67EF0C10" w14:textId="77777777" w:rsidR="00CA0EF0" w:rsidRPr="00361E30" w:rsidRDefault="00CA0EF0" w:rsidP="003C13F4">
            <w:pPr>
              <w:spacing w:after="0"/>
              <w:jc w:val="left"/>
              <w:rPr>
                <w:rFonts w:ascii="Calibri" w:hAnsi="Calibri"/>
              </w:rPr>
            </w:pPr>
            <w:r w:rsidRPr="00361E30">
              <w:rPr>
                <w:rFonts w:ascii="Calibri" w:hAnsi="Calibri"/>
              </w:rPr>
              <w:t>Ayoung-Chee</w:t>
            </w:r>
          </w:p>
        </w:tc>
        <w:tc>
          <w:tcPr>
            <w:tcW w:w="720" w:type="dxa"/>
            <w:vAlign w:val="center"/>
          </w:tcPr>
          <w:p w14:paraId="58AEA9ED" w14:textId="77777777" w:rsidR="00CA0EF0" w:rsidRPr="00361E30" w:rsidRDefault="00CA0EF0" w:rsidP="003C13F4">
            <w:pPr>
              <w:spacing w:after="0"/>
              <w:jc w:val="center"/>
              <w:rPr>
                <w:rFonts w:ascii="Calibri" w:hAnsi="Calibri"/>
              </w:rPr>
            </w:pPr>
            <w:r w:rsidRPr="00361E30">
              <w:rPr>
                <w:rFonts w:ascii="Calibri" w:hAnsi="Calibri"/>
              </w:rPr>
              <w:t>2014</w:t>
            </w:r>
          </w:p>
        </w:tc>
        <w:tc>
          <w:tcPr>
            <w:tcW w:w="1223" w:type="dxa"/>
            <w:vAlign w:val="center"/>
          </w:tcPr>
          <w:p w14:paraId="3FB9BEAB" w14:textId="77777777" w:rsidR="00CA0EF0" w:rsidRPr="00361E30" w:rsidRDefault="00CA0EF0" w:rsidP="003C13F4">
            <w:pPr>
              <w:spacing w:after="0"/>
              <w:jc w:val="center"/>
              <w:rPr>
                <w:rFonts w:ascii="Calibri" w:hAnsi="Calibri"/>
              </w:rPr>
            </w:pPr>
            <w:r w:rsidRPr="00361E30">
              <w:rPr>
                <w:rFonts w:ascii="Calibri" w:hAnsi="Calibri"/>
              </w:rPr>
              <w:t>USA</w:t>
            </w:r>
          </w:p>
        </w:tc>
        <w:tc>
          <w:tcPr>
            <w:tcW w:w="709" w:type="dxa"/>
            <w:vAlign w:val="center"/>
          </w:tcPr>
          <w:p w14:paraId="53D46A3B" w14:textId="77777777" w:rsidR="00CA0EF0" w:rsidRPr="00361E30" w:rsidRDefault="00CA0EF0" w:rsidP="003C13F4">
            <w:pPr>
              <w:spacing w:after="0"/>
              <w:jc w:val="center"/>
              <w:rPr>
                <w:rFonts w:eastAsia="Times New Roman"/>
              </w:rPr>
            </w:pPr>
          </w:p>
        </w:tc>
        <w:tc>
          <w:tcPr>
            <w:tcW w:w="709" w:type="dxa"/>
            <w:vAlign w:val="center"/>
          </w:tcPr>
          <w:p w14:paraId="16FC378C" w14:textId="77777777" w:rsidR="00CA0EF0" w:rsidRPr="00361E30" w:rsidRDefault="00CA0EF0" w:rsidP="003C13F4">
            <w:pPr>
              <w:spacing w:after="0"/>
              <w:jc w:val="center"/>
              <w:rPr>
                <w:rFonts w:eastAsia="Times New Roman"/>
              </w:rPr>
            </w:pPr>
          </w:p>
        </w:tc>
        <w:tc>
          <w:tcPr>
            <w:tcW w:w="710" w:type="dxa"/>
            <w:vAlign w:val="center"/>
          </w:tcPr>
          <w:p w14:paraId="64EBAEBA" w14:textId="77777777" w:rsidR="00CA0EF0" w:rsidRPr="00361E30" w:rsidRDefault="00CA0EF0" w:rsidP="003C13F4">
            <w:pPr>
              <w:spacing w:after="0"/>
              <w:jc w:val="center"/>
              <w:rPr>
                <w:rFonts w:eastAsia="Times New Roman"/>
              </w:rPr>
            </w:pPr>
          </w:p>
        </w:tc>
        <w:tc>
          <w:tcPr>
            <w:tcW w:w="709" w:type="dxa"/>
            <w:vAlign w:val="center"/>
          </w:tcPr>
          <w:p w14:paraId="409B109A" w14:textId="77777777" w:rsidR="00CA0EF0" w:rsidRPr="00361E30" w:rsidRDefault="00CA0EF0" w:rsidP="003C13F4">
            <w:pPr>
              <w:spacing w:after="0"/>
              <w:jc w:val="center"/>
              <w:rPr>
                <w:rFonts w:eastAsia="Times New Roman"/>
              </w:rPr>
            </w:pPr>
            <w:r w:rsidRPr="00361E30">
              <w:rPr>
                <w:rFonts w:eastAsia="Times New Roman" w:cstheme="minorHAnsi"/>
              </w:rPr>
              <w:t>√</w:t>
            </w:r>
          </w:p>
        </w:tc>
        <w:tc>
          <w:tcPr>
            <w:tcW w:w="710" w:type="dxa"/>
            <w:vAlign w:val="center"/>
          </w:tcPr>
          <w:p w14:paraId="17D8C787" w14:textId="77777777" w:rsidR="00CA0EF0" w:rsidRPr="00361E30" w:rsidRDefault="00CA0EF0" w:rsidP="003C13F4">
            <w:pPr>
              <w:spacing w:after="0"/>
              <w:jc w:val="center"/>
              <w:rPr>
                <w:rFonts w:eastAsia="Times New Roman"/>
              </w:rPr>
            </w:pPr>
          </w:p>
        </w:tc>
      </w:tr>
      <w:tr w:rsidR="00CA0EF0" w:rsidRPr="00361E30" w14:paraId="722F8CBD" w14:textId="77777777" w:rsidTr="003C13F4">
        <w:tc>
          <w:tcPr>
            <w:tcW w:w="1998" w:type="dxa"/>
            <w:vAlign w:val="center"/>
          </w:tcPr>
          <w:p w14:paraId="18D7BA7B" w14:textId="77777777" w:rsidR="00CA0EF0" w:rsidRPr="00361E30" w:rsidRDefault="00CA0EF0" w:rsidP="003C13F4">
            <w:pPr>
              <w:spacing w:after="0"/>
              <w:jc w:val="left"/>
              <w:rPr>
                <w:rFonts w:ascii="Calibri" w:hAnsi="Calibri"/>
              </w:rPr>
            </w:pPr>
            <w:r w:rsidRPr="00361E30">
              <w:rPr>
                <w:rFonts w:ascii="Calibri" w:hAnsi="Calibri"/>
              </w:rPr>
              <w:t>Meldon</w:t>
            </w:r>
          </w:p>
        </w:tc>
        <w:tc>
          <w:tcPr>
            <w:tcW w:w="720" w:type="dxa"/>
            <w:vAlign w:val="center"/>
          </w:tcPr>
          <w:p w14:paraId="2719B2F6" w14:textId="77777777" w:rsidR="00CA0EF0" w:rsidRPr="00361E30" w:rsidRDefault="00CA0EF0" w:rsidP="003C13F4">
            <w:pPr>
              <w:spacing w:after="0"/>
              <w:jc w:val="center"/>
              <w:rPr>
                <w:rFonts w:ascii="Calibri" w:hAnsi="Calibri"/>
              </w:rPr>
            </w:pPr>
            <w:r w:rsidRPr="00361E30">
              <w:rPr>
                <w:rFonts w:ascii="Calibri" w:hAnsi="Calibri"/>
              </w:rPr>
              <w:t>2002</w:t>
            </w:r>
          </w:p>
        </w:tc>
        <w:tc>
          <w:tcPr>
            <w:tcW w:w="1223" w:type="dxa"/>
            <w:vAlign w:val="center"/>
          </w:tcPr>
          <w:p w14:paraId="1FF35CA3" w14:textId="77777777" w:rsidR="00CA0EF0" w:rsidRPr="00361E30" w:rsidRDefault="00CA0EF0" w:rsidP="003C13F4">
            <w:pPr>
              <w:spacing w:after="0"/>
              <w:jc w:val="center"/>
              <w:rPr>
                <w:rFonts w:ascii="Calibri" w:hAnsi="Calibri"/>
              </w:rPr>
            </w:pPr>
            <w:r w:rsidRPr="00361E30">
              <w:rPr>
                <w:rFonts w:ascii="Calibri" w:hAnsi="Calibri"/>
              </w:rPr>
              <w:t>USA</w:t>
            </w:r>
          </w:p>
        </w:tc>
        <w:tc>
          <w:tcPr>
            <w:tcW w:w="709" w:type="dxa"/>
            <w:vAlign w:val="center"/>
          </w:tcPr>
          <w:p w14:paraId="5635A7D0" w14:textId="77777777" w:rsidR="00CA0EF0" w:rsidRPr="00361E30" w:rsidRDefault="00CA0EF0" w:rsidP="003C13F4">
            <w:pPr>
              <w:spacing w:after="0"/>
              <w:jc w:val="center"/>
              <w:rPr>
                <w:rFonts w:eastAsia="Times New Roman"/>
              </w:rPr>
            </w:pPr>
          </w:p>
        </w:tc>
        <w:tc>
          <w:tcPr>
            <w:tcW w:w="709" w:type="dxa"/>
            <w:vAlign w:val="center"/>
          </w:tcPr>
          <w:p w14:paraId="6373C528" w14:textId="77777777" w:rsidR="00CA0EF0" w:rsidRPr="00361E30" w:rsidRDefault="00CA0EF0" w:rsidP="003C13F4">
            <w:pPr>
              <w:spacing w:after="0"/>
              <w:jc w:val="center"/>
              <w:rPr>
                <w:rFonts w:eastAsia="Times New Roman"/>
              </w:rPr>
            </w:pPr>
          </w:p>
        </w:tc>
        <w:tc>
          <w:tcPr>
            <w:tcW w:w="710" w:type="dxa"/>
            <w:vAlign w:val="center"/>
          </w:tcPr>
          <w:p w14:paraId="6B5F6D44" w14:textId="77777777" w:rsidR="00CA0EF0" w:rsidRPr="00361E30" w:rsidRDefault="00CA0EF0" w:rsidP="003C13F4">
            <w:pPr>
              <w:spacing w:after="0"/>
              <w:jc w:val="center"/>
              <w:rPr>
                <w:rFonts w:eastAsia="Times New Roman"/>
              </w:rPr>
            </w:pPr>
            <w:r w:rsidRPr="00361E30">
              <w:rPr>
                <w:rFonts w:eastAsia="Times New Roman" w:cstheme="minorHAnsi"/>
              </w:rPr>
              <w:t>√</w:t>
            </w:r>
          </w:p>
        </w:tc>
        <w:tc>
          <w:tcPr>
            <w:tcW w:w="709" w:type="dxa"/>
            <w:vAlign w:val="center"/>
          </w:tcPr>
          <w:p w14:paraId="46EFAC75" w14:textId="77777777" w:rsidR="00CA0EF0" w:rsidRPr="00361E30" w:rsidRDefault="00CA0EF0" w:rsidP="003C13F4">
            <w:pPr>
              <w:spacing w:after="0"/>
              <w:jc w:val="center"/>
              <w:rPr>
                <w:rFonts w:eastAsia="Times New Roman"/>
              </w:rPr>
            </w:pPr>
          </w:p>
        </w:tc>
        <w:tc>
          <w:tcPr>
            <w:tcW w:w="710" w:type="dxa"/>
            <w:vAlign w:val="center"/>
          </w:tcPr>
          <w:p w14:paraId="73B7EDED" w14:textId="77777777" w:rsidR="00CA0EF0" w:rsidRPr="00361E30" w:rsidRDefault="00CA0EF0" w:rsidP="003C13F4">
            <w:pPr>
              <w:spacing w:after="0"/>
              <w:jc w:val="center"/>
              <w:rPr>
                <w:rFonts w:eastAsia="Times New Roman"/>
              </w:rPr>
            </w:pPr>
          </w:p>
        </w:tc>
      </w:tr>
      <w:tr w:rsidR="00CA0EF0" w:rsidRPr="00361E30" w14:paraId="1CE28E78" w14:textId="77777777" w:rsidTr="003C13F4">
        <w:tc>
          <w:tcPr>
            <w:tcW w:w="1998" w:type="dxa"/>
            <w:vAlign w:val="center"/>
          </w:tcPr>
          <w:p w14:paraId="25372161" w14:textId="77777777" w:rsidR="00CA0EF0" w:rsidRPr="00361E30" w:rsidRDefault="00CA0EF0" w:rsidP="003C13F4">
            <w:pPr>
              <w:spacing w:after="0"/>
              <w:jc w:val="left"/>
              <w:rPr>
                <w:rFonts w:ascii="Calibri" w:hAnsi="Calibri"/>
              </w:rPr>
            </w:pPr>
            <w:r w:rsidRPr="00361E30">
              <w:rPr>
                <w:rFonts w:ascii="Calibri" w:hAnsi="Calibri"/>
              </w:rPr>
              <w:t>Moore</w:t>
            </w:r>
          </w:p>
        </w:tc>
        <w:tc>
          <w:tcPr>
            <w:tcW w:w="720" w:type="dxa"/>
            <w:vAlign w:val="center"/>
          </w:tcPr>
          <w:p w14:paraId="4F083D4F" w14:textId="77777777" w:rsidR="00CA0EF0" w:rsidRPr="00361E30" w:rsidRDefault="00CA0EF0" w:rsidP="003C13F4">
            <w:pPr>
              <w:spacing w:after="0"/>
              <w:jc w:val="center"/>
              <w:rPr>
                <w:rFonts w:ascii="Calibri" w:hAnsi="Calibri"/>
              </w:rPr>
            </w:pPr>
            <w:r w:rsidRPr="00361E30">
              <w:rPr>
                <w:rFonts w:ascii="Calibri" w:hAnsi="Calibri"/>
              </w:rPr>
              <w:t>2012</w:t>
            </w:r>
          </w:p>
        </w:tc>
        <w:tc>
          <w:tcPr>
            <w:tcW w:w="1223" w:type="dxa"/>
            <w:vAlign w:val="center"/>
          </w:tcPr>
          <w:p w14:paraId="0A24ECF3" w14:textId="77777777" w:rsidR="00CA0EF0" w:rsidRPr="00361E30" w:rsidRDefault="00CA0EF0" w:rsidP="003C13F4">
            <w:pPr>
              <w:spacing w:after="0"/>
              <w:jc w:val="center"/>
              <w:rPr>
                <w:rFonts w:ascii="Calibri" w:hAnsi="Calibri"/>
              </w:rPr>
            </w:pPr>
            <w:r w:rsidRPr="00361E30">
              <w:rPr>
                <w:rFonts w:ascii="Calibri" w:hAnsi="Calibri"/>
              </w:rPr>
              <w:t>Canada</w:t>
            </w:r>
          </w:p>
        </w:tc>
        <w:tc>
          <w:tcPr>
            <w:tcW w:w="709" w:type="dxa"/>
            <w:vAlign w:val="center"/>
          </w:tcPr>
          <w:p w14:paraId="45A2D34F" w14:textId="77777777" w:rsidR="00CA0EF0" w:rsidRPr="00361E30" w:rsidRDefault="00CA0EF0" w:rsidP="003C13F4">
            <w:pPr>
              <w:spacing w:after="0"/>
              <w:jc w:val="center"/>
              <w:rPr>
                <w:rFonts w:eastAsia="Times New Roman"/>
              </w:rPr>
            </w:pPr>
          </w:p>
        </w:tc>
        <w:tc>
          <w:tcPr>
            <w:tcW w:w="709" w:type="dxa"/>
            <w:vAlign w:val="center"/>
          </w:tcPr>
          <w:p w14:paraId="12915DE9" w14:textId="77777777" w:rsidR="00CA0EF0" w:rsidRPr="00361E30" w:rsidRDefault="00CA0EF0" w:rsidP="003C13F4">
            <w:pPr>
              <w:spacing w:after="0"/>
              <w:jc w:val="center"/>
              <w:rPr>
                <w:rFonts w:eastAsia="Times New Roman"/>
              </w:rPr>
            </w:pPr>
          </w:p>
        </w:tc>
        <w:tc>
          <w:tcPr>
            <w:tcW w:w="710" w:type="dxa"/>
            <w:vAlign w:val="center"/>
          </w:tcPr>
          <w:p w14:paraId="6DCC6FCF" w14:textId="77777777" w:rsidR="00CA0EF0" w:rsidRPr="00361E30" w:rsidRDefault="00CA0EF0" w:rsidP="003C13F4">
            <w:pPr>
              <w:spacing w:after="0"/>
              <w:jc w:val="center"/>
              <w:rPr>
                <w:rFonts w:eastAsia="Times New Roman"/>
              </w:rPr>
            </w:pPr>
            <w:r w:rsidRPr="00361E30">
              <w:rPr>
                <w:rFonts w:eastAsia="Times New Roman" w:cstheme="minorHAnsi"/>
              </w:rPr>
              <w:t>√</w:t>
            </w:r>
          </w:p>
        </w:tc>
        <w:tc>
          <w:tcPr>
            <w:tcW w:w="709" w:type="dxa"/>
            <w:vAlign w:val="center"/>
          </w:tcPr>
          <w:p w14:paraId="56EA52EE" w14:textId="77777777" w:rsidR="00CA0EF0" w:rsidRPr="00361E30" w:rsidRDefault="00CA0EF0" w:rsidP="003C13F4">
            <w:pPr>
              <w:spacing w:after="0"/>
              <w:jc w:val="center"/>
              <w:rPr>
                <w:rFonts w:eastAsia="Times New Roman"/>
              </w:rPr>
            </w:pPr>
          </w:p>
        </w:tc>
        <w:tc>
          <w:tcPr>
            <w:tcW w:w="710" w:type="dxa"/>
            <w:vAlign w:val="center"/>
          </w:tcPr>
          <w:p w14:paraId="767C62AD" w14:textId="77777777" w:rsidR="00CA0EF0" w:rsidRPr="00361E30" w:rsidRDefault="00CA0EF0" w:rsidP="003C13F4">
            <w:pPr>
              <w:spacing w:after="0"/>
              <w:jc w:val="center"/>
              <w:rPr>
                <w:rFonts w:eastAsia="Times New Roman"/>
              </w:rPr>
            </w:pPr>
          </w:p>
        </w:tc>
      </w:tr>
      <w:tr w:rsidR="00CA0EF0" w:rsidRPr="00361E30" w14:paraId="53F2DCAF" w14:textId="77777777" w:rsidTr="003C13F4">
        <w:tc>
          <w:tcPr>
            <w:tcW w:w="1998" w:type="dxa"/>
            <w:vAlign w:val="center"/>
          </w:tcPr>
          <w:p w14:paraId="3A8062BE" w14:textId="77777777" w:rsidR="00CA0EF0" w:rsidRPr="00361E30" w:rsidRDefault="00CA0EF0" w:rsidP="003C13F4">
            <w:pPr>
              <w:spacing w:after="0"/>
              <w:jc w:val="left"/>
              <w:rPr>
                <w:rFonts w:ascii="Calibri" w:hAnsi="Calibri"/>
              </w:rPr>
            </w:pPr>
            <w:r w:rsidRPr="00361E30">
              <w:rPr>
                <w:rFonts w:ascii="Calibri" w:hAnsi="Calibri"/>
              </w:rPr>
              <w:t>Nicholl</w:t>
            </w:r>
          </w:p>
        </w:tc>
        <w:tc>
          <w:tcPr>
            <w:tcW w:w="720" w:type="dxa"/>
            <w:vAlign w:val="center"/>
          </w:tcPr>
          <w:p w14:paraId="6A58E1FF" w14:textId="77777777" w:rsidR="00CA0EF0" w:rsidRPr="00361E30" w:rsidRDefault="00CA0EF0" w:rsidP="003C13F4">
            <w:pPr>
              <w:spacing w:after="0"/>
              <w:jc w:val="center"/>
              <w:rPr>
                <w:rFonts w:ascii="Calibri" w:hAnsi="Calibri"/>
              </w:rPr>
            </w:pPr>
            <w:r w:rsidRPr="00361E30">
              <w:rPr>
                <w:rFonts w:ascii="Calibri" w:hAnsi="Calibri"/>
              </w:rPr>
              <w:t>1997</w:t>
            </w:r>
          </w:p>
        </w:tc>
        <w:tc>
          <w:tcPr>
            <w:tcW w:w="1223" w:type="dxa"/>
            <w:vAlign w:val="center"/>
          </w:tcPr>
          <w:p w14:paraId="6EE2DEB5" w14:textId="77777777" w:rsidR="00CA0EF0" w:rsidRPr="00361E30" w:rsidRDefault="00CA0EF0" w:rsidP="003C13F4">
            <w:pPr>
              <w:spacing w:after="0"/>
              <w:jc w:val="center"/>
              <w:rPr>
                <w:rFonts w:ascii="Calibri" w:hAnsi="Calibri"/>
              </w:rPr>
            </w:pPr>
            <w:r w:rsidRPr="00361E30">
              <w:rPr>
                <w:rFonts w:ascii="Calibri" w:hAnsi="Calibri"/>
              </w:rPr>
              <w:t>UK</w:t>
            </w:r>
          </w:p>
        </w:tc>
        <w:tc>
          <w:tcPr>
            <w:tcW w:w="709" w:type="dxa"/>
            <w:vAlign w:val="center"/>
          </w:tcPr>
          <w:p w14:paraId="1086B540" w14:textId="77777777" w:rsidR="00CA0EF0" w:rsidRPr="00361E30" w:rsidRDefault="00CA0EF0" w:rsidP="003C13F4">
            <w:pPr>
              <w:spacing w:after="0"/>
              <w:jc w:val="center"/>
              <w:rPr>
                <w:rFonts w:eastAsia="Times New Roman"/>
              </w:rPr>
            </w:pPr>
          </w:p>
        </w:tc>
        <w:tc>
          <w:tcPr>
            <w:tcW w:w="709" w:type="dxa"/>
            <w:vAlign w:val="center"/>
          </w:tcPr>
          <w:p w14:paraId="1AE41685" w14:textId="77777777" w:rsidR="00CA0EF0" w:rsidRPr="00361E30" w:rsidRDefault="00CA0EF0" w:rsidP="003C13F4">
            <w:pPr>
              <w:spacing w:after="0"/>
              <w:jc w:val="center"/>
              <w:rPr>
                <w:rFonts w:eastAsia="Times New Roman"/>
              </w:rPr>
            </w:pPr>
          </w:p>
        </w:tc>
        <w:tc>
          <w:tcPr>
            <w:tcW w:w="710" w:type="dxa"/>
            <w:vAlign w:val="center"/>
          </w:tcPr>
          <w:p w14:paraId="3B409D9F" w14:textId="77777777" w:rsidR="00CA0EF0" w:rsidRPr="00361E30" w:rsidRDefault="00CA0EF0" w:rsidP="003C13F4">
            <w:pPr>
              <w:spacing w:after="0"/>
              <w:jc w:val="center"/>
              <w:rPr>
                <w:rFonts w:eastAsia="Times New Roman"/>
              </w:rPr>
            </w:pPr>
            <w:r w:rsidRPr="00361E30">
              <w:rPr>
                <w:rFonts w:eastAsia="Times New Roman" w:cstheme="minorHAnsi"/>
              </w:rPr>
              <w:t>√</w:t>
            </w:r>
          </w:p>
        </w:tc>
        <w:tc>
          <w:tcPr>
            <w:tcW w:w="709" w:type="dxa"/>
            <w:vAlign w:val="center"/>
          </w:tcPr>
          <w:p w14:paraId="38EBA42B" w14:textId="77777777" w:rsidR="00CA0EF0" w:rsidRPr="00361E30" w:rsidRDefault="00CA0EF0" w:rsidP="003C13F4">
            <w:pPr>
              <w:spacing w:after="0"/>
              <w:jc w:val="center"/>
              <w:rPr>
                <w:rFonts w:eastAsia="Times New Roman"/>
              </w:rPr>
            </w:pPr>
          </w:p>
        </w:tc>
        <w:tc>
          <w:tcPr>
            <w:tcW w:w="710" w:type="dxa"/>
            <w:vAlign w:val="center"/>
          </w:tcPr>
          <w:p w14:paraId="4305E36E" w14:textId="77777777" w:rsidR="00CA0EF0" w:rsidRPr="00361E30" w:rsidRDefault="00CA0EF0" w:rsidP="003C13F4">
            <w:pPr>
              <w:spacing w:after="0"/>
              <w:jc w:val="center"/>
              <w:rPr>
                <w:rFonts w:eastAsia="Times New Roman"/>
              </w:rPr>
            </w:pPr>
          </w:p>
        </w:tc>
      </w:tr>
      <w:tr w:rsidR="00CA0EF0" w:rsidRPr="00361E30" w14:paraId="12DA6190" w14:textId="77777777" w:rsidTr="003C13F4">
        <w:tc>
          <w:tcPr>
            <w:tcW w:w="1998" w:type="dxa"/>
            <w:vAlign w:val="center"/>
          </w:tcPr>
          <w:p w14:paraId="27090ABB" w14:textId="77777777" w:rsidR="00CA0EF0" w:rsidRPr="00361E30" w:rsidRDefault="00CA0EF0" w:rsidP="003C13F4">
            <w:pPr>
              <w:spacing w:after="0"/>
              <w:jc w:val="left"/>
              <w:rPr>
                <w:rFonts w:ascii="Calibri" w:hAnsi="Calibri"/>
              </w:rPr>
            </w:pPr>
            <w:r w:rsidRPr="00361E30">
              <w:rPr>
                <w:rFonts w:ascii="Calibri" w:hAnsi="Calibri"/>
              </w:rPr>
              <w:t>Nicholl</w:t>
            </w:r>
          </w:p>
        </w:tc>
        <w:tc>
          <w:tcPr>
            <w:tcW w:w="720" w:type="dxa"/>
            <w:vAlign w:val="center"/>
          </w:tcPr>
          <w:p w14:paraId="20ED63A7" w14:textId="77777777" w:rsidR="00CA0EF0" w:rsidRPr="00361E30" w:rsidRDefault="00CA0EF0" w:rsidP="003C13F4">
            <w:pPr>
              <w:spacing w:after="0"/>
              <w:jc w:val="center"/>
              <w:rPr>
                <w:rFonts w:ascii="Calibri" w:hAnsi="Calibri"/>
              </w:rPr>
            </w:pPr>
            <w:r w:rsidRPr="00361E30">
              <w:rPr>
                <w:rFonts w:ascii="Calibri" w:hAnsi="Calibri"/>
              </w:rPr>
              <w:t>1995</w:t>
            </w:r>
          </w:p>
        </w:tc>
        <w:tc>
          <w:tcPr>
            <w:tcW w:w="1223" w:type="dxa"/>
            <w:vAlign w:val="center"/>
          </w:tcPr>
          <w:p w14:paraId="4E14CE97" w14:textId="77777777" w:rsidR="00CA0EF0" w:rsidRPr="00361E30" w:rsidRDefault="00CA0EF0" w:rsidP="003C13F4">
            <w:pPr>
              <w:spacing w:after="0"/>
              <w:jc w:val="center"/>
              <w:rPr>
                <w:rFonts w:ascii="Calibri" w:hAnsi="Calibri"/>
              </w:rPr>
            </w:pPr>
            <w:r w:rsidRPr="00361E30">
              <w:rPr>
                <w:rFonts w:ascii="Calibri" w:hAnsi="Calibri"/>
              </w:rPr>
              <w:t>UK</w:t>
            </w:r>
          </w:p>
        </w:tc>
        <w:tc>
          <w:tcPr>
            <w:tcW w:w="709" w:type="dxa"/>
            <w:vAlign w:val="center"/>
          </w:tcPr>
          <w:p w14:paraId="0F46574B" w14:textId="77777777" w:rsidR="00CA0EF0" w:rsidRPr="00361E30" w:rsidRDefault="00CA0EF0" w:rsidP="003C13F4">
            <w:pPr>
              <w:spacing w:after="0"/>
              <w:jc w:val="center"/>
              <w:rPr>
                <w:rFonts w:eastAsia="Times New Roman"/>
              </w:rPr>
            </w:pPr>
          </w:p>
        </w:tc>
        <w:tc>
          <w:tcPr>
            <w:tcW w:w="709" w:type="dxa"/>
            <w:vAlign w:val="center"/>
          </w:tcPr>
          <w:p w14:paraId="188F82F5" w14:textId="77777777" w:rsidR="00CA0EF0" w:rsidRPr="00361E30" w:rsidRDefault="00CA0EF0" w:rsidP="003C13F4">
            <w:pPr>
              <w:spacing w:after="0"/>
              <w:jc w:val="center"/>
              <w:rPr>
                <w:rFonts w:eastAsia="Times New Roman"/>
              </w:rPr>
            </w:pPr>
            <w:r w:rsidRPr="00361E30">
              <w:rPr>
                <w:rFonts w:eastAsia="Times New Roman" w:cstheme="minorHAnsi"/>
              </w:rPr>
              <w:t>√</w:t>
            </w:r>
          </w:p>
        </w:tc>
        <w:tc>
          <w:tcPr>
            <w:tcW w:w="710" w:type="dxa"/>
            <w:vAlign w:val="center"/>
          </w:tcPr>
          <w:p w14:paraId="549FB902" w14:textId="77777777" w:rsidR="00CA0EF0" w:rsidRPr="00361E30" w:rsidRDefault="00CA0EF0" w:rsidP="003C13F4">
            <w:pPr>
              <w:spacing w:after="0"/>
              <w:jc w:val="center"/>
              <w:rPr>
                <w:rFonts w:eastAsia="Times New Roman"/>
              </w:rPr>
            </w:pPr>
          </w:p>
        </w:tc>
        <w:tc>
          <w:tcPr>
            <w:tcW w:w="709" w:type="dxa"/>
            <w:vAlign w:val="center"/>
          </w:tcPr>
          <w:p w14:paraId="0E8970EC" w14:textId="77777777" w:rsidR="00CA0EF0" w:rsidRPr="00361E30" w:rsidRDefault="00CA0EF0" w:rsidP="003C13F4">
            <w:pPr>
              <w:spacing w:after="0"/>
              <w:jc w:val="center"/>
              <w:rPr>
                <w:rFonts w:eastAsia="Times New Roman"/>
              </w:rPr>
            </w:pPr>
          </w:p>
        </w:tc>
        <w:tc>
          <w:tcPr>
            <w:tcW w:w="710" w:type="dxa"/>
            <w:vAlign w:val="center"/>
          </w:tcPr>
          <w:p w14:paraId="49BDD67D" w14:textId="77777777" w:rsidR="00CA0EF0" w:rsidRPr="00361E30" w:rsidRDefault="00CA0EF0" w:rsidP="003C13F4">
            <w:pPr>
              <w:spacing w:after="0"/>
              <w:jc w:val="center"/>
              <w:rPr>
                <w:rFonts w:eastAsia="Times New Roman"/>
              </w:rPr>
            </w:pPr>
          </w:p>
        </w:tc>
      </w:tr>
      <w:tr w:rsidR="00CA0EF0" w:rsidRPr="00361E30" w14:paraId="530298D9" w14:textId="77777777" w:rsidTr="003C13F4">
        <w:tc>
          <w:tcPr>
            <w:tcW w:w="1998" w:type="dxa"/>
            <w:vAlign w:val="center"/>
          </w:tcPr>
          <w:p w14:paraId="5EDD9738" w14:textId="77777777" w:rsidR="00CA0EF0" w:rsidRPr="00361E30" w:rsidRDefault="00CA0EF0" w:rsidP="003C13F4">
            <w:pPr>
              <w:spacing w:after="0"/>
              <w:jc w:val="left"/>
              <w:rPr>
                <w:rFonts w:ascii="Calibri" w:hAnsi="Calibri"/>
              </w:rPr>
            </w:pPr>
            <w:r w:rsidRPr="00361E30">
              <w:rPr>
                <w:rFonts w:ascii="Calibri" w:hAnsi="Calibri"/>
              </w:rPr>
              <w:t>Richmond</w:t>
            </w:r>
          </w:p>
        </w:tc>
        <w:tc>
          <w:tcPr>
            <w:tcW w:w="720" w:type="dxa"/>
            <w:vAlign w:val="center"/>
          </w:tcPr>
          <w:p w14:paraId="75FF2B3D" w14:textId="77777777" w:rsidR="00CA0EF0" w:rsidRPr="00361E30" w:rsidRDefault="00CA0EF0" w:rsidP="003C13F4">
            <w:pPr>
              <w:spacing w:after="0"/>
              <w:jc w:val="center"/>
              <w:rPr>
                <w:rFonts w:ascii="Calibri" w:hAnsi="Calibri"/>
              </w:rPr>
            </w:pPr>
            <w:r w:rsidRPr="00361E30">
              <w:rPr>
                <w:rFonts w:ascii="Calibri" w:hAnsi="Calibri"/>
              </w:rPr>
              <w:t>2002</w:t>
            </w:r>
          </w:p>
        </w:tc>
        <w:tc>
          <w:tcPr>
            <w:tcW w:w="1223" w:type="dxa"/>
            <w:vAlign w:val="center"/>
          </w:tcPr>
          <w:p w14:paraId="592AB294" w14:textId="77777777" w:rsidR="00CA0EF0" w:rsidRPr="00361E30" w:rsidRDefault="00CA0EF0" w:rsidP="003C13F4">
            <w:pPr>
              <w:spacing w:after="0"/>
              <w:jc w:val="center"/>
              <w:rPr>
                <w:rFonts w:ascii="Calibri" w:hAnsi="Calibri"/>
              </w:rPr>
            </w:pPr>
            <w:r w:rsidRPr="00361E30">
              <w:rPr>
                <w:rFonts w:ascii="Calibri" w:hAnsi="Calibri"/>
              </w:rPr>
              <w:t>USA</w:t>
            </w:r>
          </w:p>
        </w:tc>
        <w:tc>
          <w:tcPr>
            <w:tcW w:w="709" w:type="dxa"/>
            <w:vAlign w:val="center"/>
          </w:tcPr>
          <w:p w14:paraId="5611B580" w14:textId="77777777" w:rsidR="00CA0EF0" w:rsidRPr="00361E30" w:rsidRDefault="00CA0EF0" w:rsidP="003C13F4">
            <w:pPr>
              <w:spacing w:after="0"/>
              <w:jc w:val="center"/>
              <w:rPr>
                <w:rFonts w:eastAsia="Times New Roman"/>
              </w:rPr>
            </w:pPr>
          </w:p>
        </w:tc>
        <w:tc>
          <w:tcPr>
            <w:tcW w:w="709" w:type="dxa"/>
            <w:vAlign w:val="center"/>
          </w:tcPr>
          <w:p w14:paraId="006CD242" w14:textId="77777777" w:rsidR="00CA0EF0" w:rsidRPr="00361E30" w:rsidRDefault="00CA0EF0" w:rsidP="003C13F4">
            <w:pPr>
              <w:spacing w:after="0"/>
              <w:jc w:val="center"/>
              <w:rPr>
                <w:rFonts w:eastAsia="Times New Roman"/>
              </w:rPr>
            </w:pPr>
          </w:p>
        </w:tc>
        <w:tc>
          <w:tcPr>
            <w:tcW w:w="710" w:type="dxa"/>
            <w:vAlign w:val="center"/>
          </w:tcPr>
          <w:p w14:paraId="69CAF0E3" w14:textId="77777777" w:rsidR="00CA0EF0" w:rsidRPr="00361E30" w:rsidRDefault="00CA0EF0" w:rsidP="003C13F4">
            <w:pPr>
              <w:spacing w:after="0"/>
              <w:jc w:val="center"/>
              <w:rPr>
                <w:rFonts w:eastAsia="Times New Roman"/>
              </w:rPr>
            </w:pPr>
          </w:p>
        </w:tc>
        <w:tc>
          <w:tcPr>
            <w:tcW w:w="709" w:type="dxa"/>
            <w:vAlign w:val="center"/>
          </w:tcPr>
          <w:p w14:paraId="2988162D" w14:textId="77777777" w:rsidR="00CA0EF0" w:rsidRPr="00361E30" w:rsidRDefault="00CA0EF0" w:rsidP="003C13F4">
            <w:pPr>
              <w:spacing w:after="0"/>
              <w:jc w:val="center"/>
              <w:rPr>
                <w:rFonts w:eastAsia="Times New Roman"/>
              </w:rPr>
            </w:pPr>
          </w:p>
        </w:tc>
        <w:tc>
          <w:tcPr>
            <w:tcW w:w="710" w:type="dxa"/>
            <w:vAlign w:val="center"/>
          </w:tcPr>
          <w:p w14:paraId="64C775E4" w14:textId="77777777" w:rsidR="00CA0EF0" w:rsidRPr="00361E30" w:rsidRDefault="00CA0EF0" w:rsidP="003C13F4">
            <w:pPr>
              <w:spacing w:after="0"/>
              <w:jc w:val="center"/>
              <w:rPr>
                <w:rFonts w:eastAsia="Times New Roman"/>
              </w:rPr>
            </w:pPr>
            <w:r w:rsidRPr="00361E30">
              <w:rPr>
                <w:rFonts w:eastAsia="Times New Roman" w:cstheme="minorHAnsi"/>
              </w:rPr>
              <w:t>√</w:t>
            </w:r>
          </w:p>
        </w:tc>
      </w:tr>
      <w:tr w:rsidR="00CA0EF0" w:rsidRPr="00361E30" w14:paraId="231C9AE1" w14:textId="77777777" w:rsidTr="003C13F4">
        <w:tc>
          <w:tcPr>
            <w:tcW w:w="1998" w:type="dxa"/>
            <w:tcBorders>
              <w:bottom w:val="single" w:sz="4" w:space="0" w:color="auto"/>
            </w:tcBorders>
            <w:vAlign w:val="center"/>
          </w:tcPr>
          <w:p w14:paraId="25AEA1B0" w14:textId="77777777" w:rsidR="00CA0EF0" w:rsidRPr="00361E30" w:rsidRDefault="00CA0EF0" w:rsidP="003C13F4">
            <w:pPr>
              <w:spacing w:after="0"/>
              <w:jc w:val="left"/>
              <w:rPr>
                <w:rFonts w:ascii="Calibri" w:hAnsi="Calibri"/>
              </w:rPr>
            </w:pPr>
            <w:r w:rsidRPr="00361E30">
              <w:rPr>
                <w:rFonts w:ascii="Calibri" w:hAnsi="Calibri"/>
              </w:rPr>
              <w:t>Scheetz</w:t>
            </w:r>
          </w:p>
        </w:tc>
        <w:tc>
          <w:tcPr>
            <w:tcW w:w="720" w:type="dxa"/>
            <w:tcBorders>
              <w:bottom w:val="single" w:sz="4" w:space="0" w:color="auto"/>
            </w:tcBorders>
            <w:vAlign w:val="center"/>
          </w:tcPr>
          <w:p w14:paraId="377DA325" w14:textId="77777777" w:rsidR="00CA0EF0" w:rsidRPr="00361E30" w:rsidRDefault="00CA0EF0" w:rsidP="003C13F4">
            <w:pPr>
              <w:spacing w:after="0"/>
              <w:jc w:val="center"/>
              <w:rPr>
                <w:rFonts w:ascii="Calibri" w:hAnsi="Calibri"/>
              </w:rPr>
            </w:pPr>
            <w:r w:rsidRPr="00361E30">
              <w:rPr>
                <w:rFonts w:ascii="Calibri" w:hAnsi="Calibri"/>
              </w:rPr>
              <w:t>2012</w:t>
            </w:r>
          </w:p>
        </w:tc>
        <w:tc>
          <w:tcPr>
            <w:tcW w:w="1223" w:type="dxa"/>
            <w:tcBorders>
              <w:bottom w:val="single" w:sz="4" w:space="0" w:color="auto"/>
            </w:tcBorders>
            <w:vAlign w:val="center"/>
          </w:tcPr>
          <w:p w14:paraId="69E8A3D9" w14:textId="77777777" w:rsidR="00CA0EF0" w:rsidRPr="00361E30" w:rsidRDefault="00CA0EF0" w:rsidP="003C13F4">
            <w:pPr>
              <w:spacing w:after="0"/>
              <w:jc w:val="center"/>
              <w:rPr>
                <w:rFonts w:ascii="Calibri" w:hAnsi="Calibri"/>
              </w:rPr>
            </w:pPr>
            <w:r w:rsidRPr="00361E30">
              <w:rPr>
                <w:rFonts w:ascii="Calibri" w:hAnsi="Calibri"/>
              </w:rPr>
              <w:t>USA</w:t>
            </w:r>
          </w:p>
        </w:tc>
        <w:tc>
          <w:tcPr>
            <w:tcW w:w="709" w:type="dxa"/>
            <w:tcBorders>
              <w:bottom w:val="single" w:sz="4" w:space="0" w:color="auto"/>
            </w:tcBorders>
            <w:vAlign w:val="center"/>
          </w:tcPr>
          <w:p w14:paraId="1CE29AC5" w14:textId="77777777" w:rsidR="00CA0EF0" w:rsidRPr="00361E30" w:rsidRDefault="00CA0EF0" w:rsidP="003C13F4">
            <w:pPr>
              <w:spacing w:after="0"/>
              <w:jc w:val="center"/>
              <w:rPr>
                <w:rFonts w:eastAsia="Times New Roman"/>
              </w:rPr>
            </w:pPr>
            <w:r w:rsidRPr="00361E30">
              <w:rPr>
                <w:rFonts w:eastAsia="Times New Roman" w:cstheme="minorHAnsi"/>
              </w:rPr>
              <w:t>√</w:t>
            </w:r>
          </w:p>
        </w:tc>
        <w:tc>
          <w:tcPr>
            <w:tcW w:w="709" w:type="dxa"/>
            <w:tcBorders>
              <w:bottom w:val="single" w:sz="4" w:space="0" w:color="auto"/>
            </w:tcBorders>
            <w:vAlign w:val="center"/>
          </w:tcPr>
          <w:p w14:paraId="3C58305D" w14:textId="77777777" w:rsidR="00CA0EF0" w:rsidRPr="00361E30" w:rsidRDefault="00CA0EF0" w:rsidP="003C13F4">
            <w:pPr>
              <w:spacing w:after="0"/>
              <w:jc w:val="center"/>
              <w:rPr>
                <w:rFonts w:eastAsia="Times New Roman"/>
              </w:rPr>
            </w:pPr>
          </w:p>
        </w:tc>
        <w:tc>
          <w:tcPr>
            <w:tcW w:w="710" w:type="dxa"/>
            <w:tcBorders>
              <w:bottom w:val="single" w:sz="4" w:space="0" w:color="auto"/>
            </w:tcBorders>
            <w:vAlign w:val="center"/>
          </w:tcPr>
          <w:p w14:paraId="1E442D7D" w14:textId="77777777" w:rsidR="00CA0EF0" w:rsidRPr="00361E30" w:rsidRDefault="00CA0EF0" w:rsidP="003C13F4">
            <w:pPr>
              <w:spacing w:after="0"/>
              <w:jc w:val="center"/>
              <w:rPr>
                <w:rFonts w:eastAsia="Times New Roman"/>
              </w:rPr>
            </w:pPr>
          </w:p>
        </w:tc>
        <w:tc>
          <w:tcPr>
            <w:tcW w:w="709" w:type="dxa"/>
            <w:tcBorders>
              <w:bottom w:val="single" w:sz="4" w:space="0" w:color="auto"/>
            </w:tcBorders>
            <w:vAlign w:val="center"/>
          </w:tcPr>
          <w:p w14:paraId="3891D5C0" w14:textId="77777777" w:rsidR="00CA0EF0" w:rsidRPr="00361E30" w:rsidRDefault="00CA0EF0" w:rsidP="003C13F4">
            <w:pPr>
              <w:spacing w:after="0"/>
              <w:jc w:val="center"/>
              <w:rPr>
                <w:rFonts w:eastAsia="Times New Roman"/>
              </w:rPr>
            </w:pPr>
          </w:p>
        </w:tc>
        <w:tc>
          <w:tcPr>
            <w:tcW w:w="710" w:type="dxa"/>
            <w:tcBorders>
              <w:bottom w:val="single" w:sz="4" w:space="0" w:color="auto"/>
            </w:tcBorders>
            <w:vAlign w:val="center"/>
          </w:tcPr>
          <w:p w14:paraId="4DC1E936" w14:textId="77777777" w:rsidR="00CA0EF0" w:rsidRPr="00361E30" w:rsidRDefault="00CA0EF0" w:rsidP="003C13F4">
            <w:pPr>
              <w:spacing w:after="0"/>
              <w:jc w:val="center"/>
              <w:rPr>
                <w:rFonts w:eastAsia="Times New Roman"/>
              </w:rPr>
            </w:pPr>
          </w:p>
        </w:tc>
      </w:tr>
    </w:tbl>
    <w:p w14:paraId="1B6E708C" w14:textId="77777777" w:rsidR="00CA0EF0" w:rsidRPr="00361E30" w:rsidRDefault="00CA0EF0" w:rsidP="003C13F4">
      <w:pPr>
        <w:pStyle w:val="TableTitle"/>
      </w:pPr>
      <w:bookmarkStart w:id="69" w:name="_Toc528321038"/>
      <w:r w:rsidRPr="00361E30">
        <w:t>Table 2.3: Summary of studies investigating process factors and mortality</w:t>
      </w:r>
      <w:bookmarkEnd w:id="69"/>
    </w:p>
    <w:p w14:paraId="76E07749" w14:textId="77777777" w:rsidR="00CA0EF0" w:rsidRPr="00361E30" w:rsidRDefault="00CA0EF0" w:rsidP="003C13F4">
      <w:pPr>
        <w:pStyle w:val="Heading3"/>
      </w:pPr>
      <w:r w:rsidRPr="00361E30">
        <w:t xml:space="preserve">2.4.3.1 </w:t>
      </w:r>
      <w:r w:rsidRPr="00361E30">
        <w:tab/>
        <w:t>Under-Triage of Older Trauma Patients and Its Effect on Outcome</w:t>
      </w:r>
    </w:p>
    <w:p w14:paraId="1C4D0FDA" w14:textId="77777777" w:rsidR="00CA0EF0" w:rsidRPr="00361E30" w:rsidRDefault="00CA0EF0" w:rsidP="003C13F4">
      <w:pPr>
        <w:rPr>
          <w:rFonts w:eastAsia="Times New Roman" w:cs="Arial"/>
        </w:rPr>
      </w:pPr>
      <w:r w:rsidRPr="00361E30">
        <w:t xml:space="preserve">In most regional trauma systems, patients are assessed by ambulance staff to determine their injury </w:t>
      </w:r>
      <w:r w:rsidR="00B62F3A" w:rsidRPr="00361E30">
        <w:t>severity and</w:t>
      </w:r>
      <w:r w:rsidRPr="00361E30">
        <w:t xml:space="preserve"> decide to which hospital they should be transported. ‘Under-triage’ of patients refers to the inaccurate assessment of patients leading to an underestimation of their injury severity (as measured by the injury severity score). However, the injury severity score is calculated retrospectively, as the full extent of a patient’s injuries can only be determined after hospital discharge. As such, any triage tool used to decide on patient disposition can be assessed for accuracy by comparing patients triaged as suffering major </w:t>
      </w:r>
      <w:r w:rsidR="00B62F3A" w:rsidRPr="00361E30">
        <w:t>trauma to</w:t>
      </w:r>
      <w:r w:rsidRPr="00361E30">
        <w:t xml:space="preserve"> those who were ultimately found to have an ISS of ≥16, and noting the degree of correlation. Scheetz </w:t>
      </w:r>
      <w:r w:rsidR="009A5594" w:rsidRPr="00361E30">
        <w:t xml:space="preserve">(2012) </w:t>
      </w:r>
      <w:r w:rsidRPr="00361E30">
        <w:t xml:space="preserve">studied the characteristics and outcomes of under-triaged older patients involved in motor vehicle collisions (MVCs). In this study, under-triaged patients were those who were not identified as having major trauma at triage but were subsequently found to have an ISS of </w:t>
      </w:r>
      <w:r w:rsidRPr="00361E30">
        <w:rPr>
          <w:rFonts w:cstheme="minorHAnsi"/>
        </w:rPr>
        <w:t>≥</w:t>
      </w:r>
      <w:r w:rsidRPr="00361E30">
        <w:t xml:space="preserve">16. The authors found that, while their mortality rates within 2 and 24 </w:t>
      </w:r>
      <w:r w:rsidR="00B62F3A" w:rsidRPr="00361E30">
        <w:t>hours</w:t>
      </w:r>
      <w:r w:rsidRPr="00361E30">
        <w:t xml:space="preserve"> of injury were no </w:t>
      </w:r>
      <w:r w:rsidRPr="00361E30">
        <w:lastRenderedPageBreak/>
        <w:t>different from correctly triaged patients, deaths occurring within 48 – 72 hours of the initial injury were twice as likely in under-triaged patients (</w:t>
      </w:r>
      <w:r w:rsidR="009A5594" w:rsidRPr="00361E30">
        <w:rPr>
          <w:rFonts w:eastAsia="Times New Roman" w:cs="Arial"/>
        </w:rPr>
        <w:t>1.1% vs 0.6%)</w:t>
      </w:r>
      <w:r w:rsidRPr="00361E30">
        <w:rPr>
          <w:rFonts w:eastAsia="Times New Roman" w:cs="Arial"/>
        </w:rPr>
        <w:t xml:space="preserve">. </w:t>
      </w:r>
    </w:p>
    <w:p w14:paraId="5365DA10" w14:textId="77777777" w:rsidR="00CA0EF0" w:rsidRPr="00361E30" w:rsidRDefault="00CA0EF0" w:rsidP="003C13F4">
      <w:pPr>
        <w:pStyle w:val="Heading3"/>
      </w:pPr>
      <w:r w:rsidRPr="00361E30">
        <w:t xml:space="preserve">2.4.3.2 </w:t>
      </w:r>
      <w:r w:rsidRPr="00361E30">
        <w:tab/>
        <w:t>Outcomes in Trauma Centres Vs Non-Trauma Centres</w:t>
      </w:r>
    </w:p>
    <w:p w14:paraId="056B76AD" w14:textId="77777777" w:rsidR="00CA0EF0" w:rsidRPr="00361E30" w:rsidRDefault="00CA0EF0" w:rsidP="003C13F4">
      <w:r w:rsidRPr="00361E30">
        <w:t xml:space="preserve">Meldon et al studied the subset of trauma patients termed the ‘oldest old’ (patients ≥80 years old). The authors found that patients with moderately severe injuries (ISS 21 – 45) had significantly lower mortality rates when treated at trauma centres (8% vs 56%). This mortality difference was not observed for patients with lower or higher injury severity scores </w:t>
      </w:r>
      <w:r w:rsidRPr="00361E30">
        <w:rPr>
          <w:noProof/>
        </w:rPr>
        <w:t>(Meldon, Reilly et al., 2002)</w:t>
      </w:r>
      <w:r w:rsidRPr="00361E30">
        <w:t>.</w:t>
      </w:r>
    </w:p>
    <w:p w14:paraId="06B47CAE" w14:textId="77777777" w:rsidR="00CA0EF0" w:rsidRPr="00361E30" w:rsidRDefault="00CA0EF0" w:rsidP="003C13F4">
      <w:pPr>
        <w:ind w:firstLine="720"/>
      </w:pPr>
      <w:r w:rsidRPr="00361E30">
        <w:t>Moore et al</w:t>
      </w:r>
      <w:r w:rsidR="007F7E67" w:rsidRPr="00361E30">
        <w:t xml:space="preserve"> (2012)</w:t>
      </w:r>
      <w:r w:rsidRPr="00361E30">
        <w:t xml:space="preserve"> compared the performance of trauma receiving hospitals across Quebec in relation to all adults and older adults (those aged ≥65 years old). They found no correlation between the performance of hospitals in relation to these two groups of patients; the adjusted mortality rates (Ws statistic) for all adults bore no relationship to mortality rates for older adults only. In Moore’s study, 3 of 8 adult neurosurgical centres had adjusted mortality rates significantly lower than predicted for patients of all ages with severe traumatic brain injuries. However, only one of these centres had adjusted mortality rates lower than predicted for older adults with severe traumatic brain injuries. </w:t>
      </w:r>
    </w:p>
    <w:p w14:paraId="551FCAAB" w14:textId="77777777" w:rsidR="00CA0EF0" w:rsidRPr="00361E30" w:rsidRDefault="00CA0EF0" w:rsidP="003C13F4">
      <w:pPr>
        <w:ind w:firstLine="720"/>
      </w:pPr>
      <w:r w:rsidRPr="00361E30">
        <w:t>Nicholl and Turner (1997) compared the impact of a dedicated trauma system on outcomes of major trauma patients in the United Kingdom. The authors found no overall difference in outcomes before and after implementation of the system when comparing a regionalised trauma service to two control regions in the UK. A subset analysis of older patients (aged ≥65 years) also showed no difference in crude mortality between the trauma system and the control regions. This study did not specifically look at the mortality rates in trauma centres versus non-trauma centres, but rather investigated the impact on mortality of an organised trauma system as a whole. A more recent comparison of trauma care systems in Australia and the United Kingdom conducted by Gabbe</w:t>
      </w:r>
      <w:r w:rsidR="0099091F" w:rsidRPr="00361E30">
        <w:t xml:space="preserve"> et al.</w:t>
      </w:r>
      <w:r w:rsidRPr="00361E30">
        <w:t xml:space="preserve"> </w:t>
      </w:r>
      <w:r w:rsidR="0099091F" w:rsidRPr="00361E30">
        <w:t>(</w:t>
      </w:r>
      <w:r w:rsidRPr="00361E30">
        <w:t>2011</w:t>
      </w:r>
      <w:r w:rsidR="0099091F" w:rsidRPr="00361E30">
        <w:t>a)</w:t>
      </w:r>
      <w:r w:rsidRPr="00361E30">
        <w:t xml:space="preserve"> contradicted the findings of Nichol and Turner, demonstrating significantly better adjusted survival rates for head injured patients in Australia, where trauma care is organised at a regional level, compared to the United Kingdom, which at the time did not have organised </w:t>
      </w:r>
      <w:r w:rsidR="0099091F" w:rsidRPr="00361E30">
        <w:t>trauma care systems</w:t>
      </w:r>
      <w:r w:rsidRPr="00361E30">
        <w:t>. However, this comparison included all age groups, and did not focus on older trauma patients only.</w:t>
      </w:r>
    </w:p>
    <w:p w14:paraId="3FAEE973" w14:textId="77777777" w:rsidR="00CA0EF0" w:rsidRPr="00361E30" w:rsidRDefault="00CA0EF0" w:rsidP="003C13F4">
      <w:pPr>
        <w:ind w:firstLine="720"/>
      </w:pPr>
      <w:r w:rsidRPr="00361E30">
        <w:t xml:space="preserve">The contradictory results from these studies suggest that the provision of specialised trauma care through regionalised trauma systems does not necessarily benefit older trauma patients. The reasons for this are </w:t>
      </w:r>
      <w:r w:rsidR="00B62F3A" w:rsidRPr="00361E30">
        <w:t>complex and</w:t>
      </w:r>
      <w:r w:rsidRPr="00361E30">
        <w:t xml:space="preserve"> may include how patients are selected for specialised trauma care (see section 2.4.4 below), the difference in injury mechanisms and </w:t>
      </w:r>
      <w:r w:rsidRPr="00361E30">
        <w:lastRenderedPageBreak/>
        <w:t xml:space="preserve">patterns in older compared to younger patients, and the impact of other factors (such as co-morbidities) on outcomes in older trauma patients. </w:t>
      </w:r>
    </w:p>
    <w:p w14:paraId="343EA6C3" w14:textId="77777777" w:rsidR="00CA0EF0" w:rsidRPr="00361E30" w:rsidRDefault="00CA0EF0" w:rsidP="003C13F4">
      <w:pPr>
        <w:pStyle w:val="Heading3"/>
      </w:pPr>
      <w:r w:rsidRPr="00361E30">
        <w:t xml:space="preserve">2.4.3.3 </w:t>
      </w:r>
      <w:r w:rsidRPr="00361E30">
        <w:tab/>
        <w:t xml:space="preserve">Early Rehabilitation and Survival </w:t>
      </w:r>
      <w:r w:rsidR="00B62F3A" w:rsidRPr="00361E30">
        <w:t>in</w:t>
      </w:r>
      <w:r w:rsidRPr="00361E30">
        <w:t xml:space="preserve"> Older Trauma Patients</w:t>
      </w:r>
    </w:p>
    <w:p w14:paraId="62905357" w14:textId="77777777" w:rsidR="00CA0EF0" w:rsidRPr="00361E30" w:rsidRDefault="00CA0EF0" w:rsidP="003C13F4">
      <w:r w:rsidRPr="00361E30">
        <w:t xml:space="preserve">As mentioned in Section 2.4.3.1, the pattern of recovery from serious injury in older patients is characterised by delayed mortality and prolonged periods of disability and rehabilitation </w:t>
      </w:r>
      <w:r w:rsidRPr="00361E30">
        <w:rPr>
          <w:noProof/>
        </w:rPr>
        <w:t>(Ayoung-Chee</w:t>
      </w:r>
      <w:r w:rsidR="00E84970" w:rsidRPr="00361E30">
        <w:rPr>
          <w:noProof/>
        </w:rPr>
        <w:t xml:space="preserve"> et al 2014</w:t>
      </w:r>
      <w:r w:rsidRPr="00361E30">
        <w:rPr>
          <w:noProof/>
        </w:rPr>
        <w:t>, Hildebrand</w:t>
      </w:r>
      <w:r w:rsidR="00211377" w:rsidRPr="00361E30">
        <w:rPr>
          <w:noProof/>
        </w:rPr>
        <w:t>.</w:t>
      </w:r>
      <w:r w:rsidRPr="00361E30">
        <w:rPr>
          <w:noProof/>
        </w:rPr>
        <w:t xml:space="preserve"> 2016, Laupland</w:t>
      </w:r>
      <w:r w:rsidR="00F13800" w:rsidRPr="00361E30">
        <w:rPr>
          <w:noProof/>
        </w:rPr>
        <w:t xml:space="preserve"> et al.</w:t>
      </w:r>
      <w:r w:rsidRPr="00361E30">
        <w:rPr>
          <w:noProof/>
        </w:rPr>
        <w:t xml:space="preserve"> 2010)</w:t>
      </w:r>
      <w:r w:rsidRPr="00361E30">
        <w:t xml:space="preserve">. This systematic review did not find any studies that directly investigated the impact of early rehabilitation on mortality in older trauma patients. There were, however, several studies investigating the impact of early rehabilitation on functional outcome. Khan et al </w:t>
      </w:r>
      <w:r w:rsidR="00B75D7B" w:rsidRPr="00361E30">
        <w:t xml:space="preserve">(2012) </w:t>
      </w:r>
      <w:r w:rsidRPr="00361E30">
        <w:t xml:space="preserve">conducted a systematic review on early rehabilitation in trauma, concluding that patients with low functional scores showed improvement after rehabilitation, </w:t>
      </w:r>
      <w:r w:rsidR="00B62F3A" w:rsidRPr="00361E30">
        <w:t>but did</w:t>
      </w:r>
      <w:r w:rsidRPr="00361E30">
        <w:t xml:space="preserve"> not regain their pre-injury level of functioning. The authors of this systematic review noted the paucity of high quality </w:t>
      </w:r>
      <w:r w:rsidR="00B62F3A" w:rsidRPr="00361E30">
        <w:t>research and</w:t>
      </w:r>
      <w:r w:rsidRPr="00361E30">
        <w:t xml:space="preserve"> recommended the need for well-designed interventional studies to determine the role of rehabilitation after trauma in older people. Other authorities have also recommended a more holistic and comprehensive approach to the older trauma patient </w:t>
      </w:r>
      <w:r w:rsidRPr="00361E30">
        <w:rPr>
          <w:noProof/>
        </w:rPr>
        <w:t>(Fisher et al. 2017)</w:t>
      </w:r>
      <w:r w:rsidRPr="00361E30">
        <w:t>.</w:t>
      </w:r>
    </w:p>
    <w:p w14:paraId="55DA1BE7" w14:textId="77777777" w:rsidR="00CA0EF0" w:rsidRPr="00361E30" w:rsidRDefault="00CA0EF0" w:rsidP="003C13F4">
      <w:pPr>
        <w:ind w:firstLine="720"/>
      </w:pPr>
      <w:r w:rsidRPr="00361E30">
        <w:t>In contrast to the findings of the above systematic review, the few interventional studies into the impact of early rehabilitation on outcome in trauma patients have provided mixed results. Bouman et al</w:t>
      </w:r>
      <w:r w:rsidR="00C908AC" w:rsidRPr="00361E30">
        <w:t>. (2017)</w:t>
      </w:r>
      <w:r w:rsidRPr="00361E30">
        <w:t xml:space="preserve"> compared the effectiveness of a ‘fast track’ rehabilitation service for trauma patients to ‘usual practice’. While the authors found improvements in functional outcome at 6 and 12 months, this was not maintained beyond 12 months. Gabbe et al</w:t>
      </w:r>
      <w:r w:rsidR="000E2AF4" w:rsidRPr="00361E30">
        <w:t xml:space="preserve"> (2016)</w:t>
      </w:r>
      <w:r w:rsidRPr="00361E30">
        <w:t xml:space="preserve"> investigated functional recovery after major </w:t>
      </w:r>
      <w:r w:rsidR="00B62F3A" w:rsidRPr="00361E30">
        <w:t>trauma and</w:t>
      </w:r>
      <w:r w:rsidRPr="00361E30">
        <w:t xml:space="preserve"> found that function continued to improve in younger male patients up to 2 years after the initial injury, but older patients and those with more comorbidities tended to show a decline in function with time, suggesting that improvements in function may be more difficult to achieve in this age group.</w:t>
      </w:r>
    </w:p>
    <w:p w14:paraId="2B6D4AF4" w14:textId="77777777" w:rsidR="00CA0EF0" w:rsidRPr="00361E30" w:rsidRDefault="00CA0EF0" w:rsidP="003C13F4">
      <w:pPr>
        <w:pStyle w:val="Heading3"/>
      </w:pPr>
      <w:r w:rsidRPr="00361E30">
        <w:t xml:space="preserve">2.4.3.4 </w:t>
      </w:r>
      <w:r w:rsidRPr="00361E30">
        <w:tab/>
        <w:t>Other Process Factors Affecting Mortality</w:t>
      </w:r>
    </w:p>
    <w:p w14:paraId="1AE14AE9" w14:textId="77777777" w:rsidR="00CA0EF0" w:rsidRPr="00361E30" w:rsidRDefault="00CA0EF0" w:rsidP="003C13F4">
      <w:r w:rsidRPr="00361E30">
        <w:t xml:space="preserve">Nicholl </w:t>
      </w:r>
      <w:r w:rsidR="00FC3457" w:rsidRPr="00361E30">
        <w:t>et al.</w:t>
      </w:r>
      <w:r w:rsidRPr="00361E30">
        <w:t xml:space="preserve"> (1995) compared outcomes for patients transported by the London helicopter emergency management service (HEMS) to those of matched patients transported by ground ambulance. Overall, there was no difference in survival between the groups. </w:t>
      </w:r>
      <w:r w:rsidRPr="00361E30">
        <w:rPr>
          <w:rFonts w:eastAsia="Times New Roman" w:cs="Arial"/>
        </w:rPr>
        <w:t>A subgroup analysis also demonstrated no significant difference in death rates for older patients (</w:t>
      </w:r>
      <w:r w:rsidRPr="00361E30">
        <w:rPr>
          <w:rFonts w:eastAsia="Times New Roman" w:cs="Times New Roman"/>
        </w:rPr>
        <w:t>aged ≥65 years).</w:t>
      </w:r>
      <w:r w:rsidRPr="00361E30">
        <w:t xml:space="preserve"> </w:t>
      </w:r>
    </w:p>
    <w:p w14:paraId="50037F12" w14:textId="77777777" w:rsidR="00CA0EF0" w:rsidRPr="00361E30" w:rsidRDefault="00CA0EF0" w:rsidP="003C13F4">
      <w:pPr>
        <w:ind w:firstLine="720"/>
      </w:pPr>
      <w:r w:rsidRPr="00361E30">
        <w:t>Aitken et al</w:t>
      </w:r>
      <w:r w:rsidR="000B748B" w:rsidRPr="00361E30">
        <w:t>. (2010)</w:t>
      </w:r>
      <w:r w:rsidRPr="00361E30">
        <w:t xml:space="preserve"> and Ayoung-Chee</w:t>
      </w:r>
      <w:r w:rsidR="000B748B" w:rsidRPr="00361E30">
        <w:t xml:space="preserve"> et al. (2014)</w:t>
      </w:r>
      <w:r w:rsidRPr="00361E30">
        <w:t xml:space="preserve"> et al found that ICU admission was associated with an increase in risk adjusted mortality in older patients. Aitken’s study of older trauma patients</w:t>
      </w:r>
      <w:r w:rsidR="000B748B" w:rsidRPr="00361E30">
        <w:t xml:space="preserve"> in Queensland, Australia</w:t>
      </w:r>
      <w:r w:rsidRPr="00361E30">
        <w:t xml:space="preserve"> found that admission to ICU carried an increased adjusted odds of death of </w:t>
      </w:r>
      <w:r w:rsidRPr="00361E30">
        <w:rPr>
          <w:rFonts w:cs="AdvHlc"/>
        </w:rPr>
        <w:t xml:space="preserve">6.78 (95% CI: 4.82–9.51) </w:t>
      </w:r>
      <w:r w:rsidR="000B748B" w:rsidRPr="00361E30">
        <w:rPr>
          <w:rFonts w:cs="AdvHlc"/>
          <w:noProof/>
        </w:rPr>
        <w:t>(Aitken et al.</w:t>
      </w:r>
      <w:r w:rsidRPr="00361E30">
        <w:rPr>
          <w:rFonts w:cs="AdvHlc"/>
          <w:noProof/>
        </w:rPr>
        <w:t xml:space="preserve"> 2010)</w:t>
      </w:r>
      <w:r w:rsidR="000B748B" w:rsidRPr="00361E30">
        <w:rPr>
          <w:rFonts w:cs="AdvHlc"/>
        </w:rPr>
        <w:t>. Ayoung-Chee et al</w:t>
      </w:r>
      <w:r w:rsidR="00E84970" w:rsidRPr="00361E30">
        <w:rPr>
          <w:rFonts w:cs="AdvHlc"/>
        </w:rPr>
        <w:t>.</w:t>
      </w:r>
      <w:r w:rsidR="000B748B" w:rsidRPr="00361E30">
        <w:rPr>
          <w:rFonts w:cs="AdvHlc"/>
        </w:rPr>
        <w:t xml:space="preserve"> </w:t>
      </w:r>
      <w:r w:rsidR="000B748B" w:rsidRPr="00361E30">
        <w:rPr>
          <w:rFonts w:cs="AdvHlc"/>
        </w:rPr>
        <w:lastRenderedPageBreak/>
        <w:t>(</w:t>
      </w:r>
      <w:r w:rsidRPr="00361E30">
        <w:rPr>
          <w:rFonts w:cs="AdvHlc"/>
        </w:rPr>
        <w:t xml:space="preserve">2014) also found that patients admitted to ICU had an increase in risk adjusted mortality compared to non-ICU patients (Adjusted odds ratio </w:t>
      </w:r>
      <w:r w:rsidRPr="00361E30">
        <w:rPr>
          <w:rFonts w:cs="AdvTT7c3c51d9"/>
        </w:rPr>
        <w:t>1.47 (95% CI: 1.09</w:t>
      </w:r>
      <w:r w:rsidRPr="00361E30">
        <w:rPr>
          <w:rFonts w:cs="AdvP0005"/>
        </w:rPr>
        <w:t>-</w:t>
      </w:r>
      <w:r w:rsidRPr="00361E30">
        <w:rPr>
          <w:rFonts w:cs="AdvTT7c3c51d9"/>
        </w:rPr>
        <w:t xml:space="preserve">1.97). </w:t>
      </w:r>
      <w:r w:rsidRPr="00361E30">
        <w:t>These results should be interpreted with caution; it is likely that the reasons for admission to ICU, rather than the care received in ICU, increased the risk of death in these patients. However, the observation that older patients admitted to ICU have higher adjusted mortality rates may be an indication that older trauma patients with little chance of survival are being admitted to ICU following trauma. If this is the case, it might represent an inappropriate use of limited resources.</w:t>
      </w:r>
    </w:p>
    <w:p w14:paraId="312EB8BF" w14:textId="77777777" w:rsidR="00CA0EF0" w:rsidRPr="00361E30" w:rsidRDefault="00CA0EF0" w:rsidP="003C13F4">
      <w:pPr>
        <w:ind w:firstLine="720"/>
      </w:pPr>
      <w:r w:rsidRPr="00361E30">
        <w:t>Aitk</w:t>
      </w:r>
      <w:r w:rsidR="000B748B" w:rsidRPr="00361E30">
        <w:t>en et al. (2010) and Richmond et al</w:t>
      </w:r>
      <w:r w:rsidR="00A95007" w:rsidRPr="00361E30">
        <w:t>.</w:t>
      </w:r>
      <w:r w:rsidR="000B748B" w:rsidRPr="00361E30">
        <w:t xml:space="preserve"> (</w:t>
      </w:r>
      <w:r w:rsidRPr="00361E30">
        <w:t xml:space="preserve">2002) both reported a lower adjusted mortality rate among older trauma patients who had emergency surgery. In Aitken’s </w:t>
      </w:r>
      <w:r w:rsidR="00B62F3A" w:rsidRPr="00361E30">
        <w:t>Australian</w:t>
      </w:r>
      <w:r w:rsidR="000B748B" w:rsidRPr="00361E30">
        <w:t xml:space="preserve"> </w:t>
      </w:r>
      <w:r w:rsidRPr="00361E30">
        <w:t xml:space="preserve">study, the adjusted odds of mortality in patients who had surgery was 0.56 (95% CI: 0.43–0.75), while in Richmond’s study </w:t>
      </w:r>
      <w:r w:rsidR="000B748B" w:rsidRPr="00361E30">
        <w:t xml:space="preserve">in the USA </w:t>
      </w:r>
      <w:r w:rsidRPr="00361E30">
        <w:t xml:space="preserve">it was 0.59 (95% CI 0.4 – 0.8). Neither study attempted to define the reasons for </w:t>
      </w:r>
      <w:r w:rsidR="00B62F3A" w:rsidRPr="00361E30">
        <w:t>surgery,</w:t>
      </w:r>
      <w:r w:rsidRPr="00361E30">
        <w:t xml:space="preserve"> no</w:t>
      </w:r>
      <w:r w:rsidR="006426CE">
        <w:t>r</w:t>
      </w:r>
      <w:r w:rsidRPr="00361E30">
        <w:t xml:space="preserve"> did they adjust for any variables that would have correlated with that need, such as the abbreviated injury scores (AIS) for head or abdominal injuries or specific diagnoses more likely to require emergency surgery.</w:t>
      </w:r>
    </w:p>
    <w:tbl>
      <w:tblPr>
        <w:tblW w:w="7758" w:type="dxa"/>
        <w:tblLayout w:type="fixed"/>
        <w:tblLook w:val="04A0" w:firstRow="1" w:lastRow="0" w:firstColumn="1" w:lastColumn="0" w:noHBand="0" w:noVBand="1"/>
      </w:tblPr>
      <w:tblGrid>
        <w:gridCol w:w="1998"/>
        <w:gridCol w:w="900"/>
        <w:gridCol w:w="1260"/>
        <w:gridCol w:w="900"/>
        <w:gridCol w:w="900"/>
        <w:gridCol w:w="900"/>
        <w:gridCol w:w="900"/>
      </w:tblGrid>
      <w:tr w:rsidR="00CA0EF0" w:rsidRPr="00361E30" w14:paraId="56FE67F9" w14:textId="77777777" w:rsidTr="003C13F4">
        <w:tc>
          <w:tcPr>
            <w:tcW w:w="1998" w:type="dxa"/>
            <w:tcBorders>
              <w:top w:val="single" w:sz="4" w:space="0" w:color="auto"/>
            </w:tcBorders>
            <w:vAlign w:val="center"/>
          </w:tcPr>
          <w:p w14:paraId="68723DBE" w14:textId="77777777" w:rsidR="00CA0EF0" w:rsidRPr="00361E30" w:rsidRDefault="00CA0EF0" w:rsidP="003C13F4">
            <w:pPr>
              <w:spacing w:after="0"/>
              <w:jc w:val="left"/>
              <w:rPr>
                <w:rFonts w:eastAsia="Times New Roman"/>
                <w:b/>
              </w:rPr>
            </w:pPr>
            <w:r w:rsidRPr="00361E30">
              <w:br w:type="page"/>
            </w:r>
            <w:r w:rsidRPr="00361E30">
              <w:rPr>
                <w:rFonts w:eastAsia="Times New Roman"/>
                <w:b/>
              </w:rPr>
              <w:t>Author</w:t>
            </w:r>
          </w:p>
        </w:tc>
        <w:tc>
          <w:tcPr>
            <w:tcW w:w="900" w:type="dxa"/>
            <w:tcBorders>
              <w:top w:val="single" w:sz="4" w:space="0" w:color="auto"/>
            </w:tcBorders>
            <w:vAlign w:val="center"/>
          </w:tcPr>
          <w:p w14:paraId="01B7915F" w14:textId="77777777" w:rsidR="00CA0EF0" w:rsidRPr="00361E30" w:rsidRDefault="00CA0EF0" w:rsidP="003C13F4">
            <w:pPr>
              <w:spacing w:after="0"/>
              <w:jc w:val="center"/>
              <w:rPr>
                <w:rFonts w:eastAsia="Times New Roman"/>
                <w:b/>
              </w:rPr>
            </w:pPr>
            <w:r w:rsidRPr="00361E30">
              <w:rPr>
                <w:rFonts w:eastAsia="Times New Roman"/>
                <w:b/>
              </w:rPr>
              <w:t>Year</w:t>
            </w:r>
          </w:p>
        </w:tc>
        <w:tc>
          <w:tcPr>
            <w:tcW w:w="1260" w:type="dxa"/>
            <w:tcBorders>
              <w:top w:val="single" w:sz="4" w:space="0" w:color="auto"/>
            </w:tcBorders>
            <w:vAlign w:val="center"/>
          </w:tcPr>
          <w:p w14:paraId="7A5099D6" w14:textId="77777777" w:rsidR="00CA0EF0" w:rsidRPr="00361E30" w:rsidRDefault="00CA0EF0" w:rsidP="003C13F4">
            <w:pPr>
              <w:spacing w:after="0"/>
              <w:jc w:val="center"/>
              <w:rPr>
                <w:rFonts w:eastAsia="Times New Roman"/>
                <w:b/>
              </w:rPr>
            </w:pPr>
            <w:r w:rsidRPr="00361E30">
              <w:rPr>
                <w:rFonts w:eastAsia="Times New Roman"/>
                <w:b/>
              </w:rPr>
              <w:t>Country</w:t>
            </w:r>
          </w:p>
        </w:tc>
        <w:tc>
          <w:tcPr>
            <w:tcW w:w="900" w:type="dxa"/>
            <w:tcBorders>
              <w:top w:val="single" w:sz="4" w:space="0" w:color="auto"/>
            </w:tcBorders>
            <w:vAlign w:val="center"/>
          </w:tcPr>
          <w:p w14:paraId="012AAD05" w14:textId="77777777" w:rsidR="00CA0EF0" w:rsidRPr="00361E30" w:rsidRDefault="00CA0EF0" w:rsidP="003C13F4">
            <w:pPr>
              <w:spacing w:after="0"/>
              <w:jc w:val="center"/>
              <w:rPr>
                <w:rFonts w:eastAsia="Times New Roman"/>
                <w:b/>
              </w:rPr>
            </w:pPr>
          </w:p>
        </w:tc>
        <w:tc>
          <w:tcPr>
            <w:tcW w:w="900" w:type="dxa"/>
            <w:tcBorders>
              <w:top w:val="single" w:sz="4" w:space="0" w:color="auto"/>
            </w:tcBorders>
            <w:vAlign w:val="center"/>
          </w:tcPr>
          <w:p w14:paraId="5D3C5030" w14:textId="77777777" w:rsidR="00CA0EF0" w:rsidRPr="00361E30" w:rsidRDefault="00CA0EF0" w:rsidP="003C13F4">
            <w:pPr>
              <w:spacing w:after="0"/>
              <w:jc w:val="center"/>
              <w:rPr>
                <w:rFonts w:eastAsia="Times New Roman"/>
                <w:b/>
              </w:rPr>
            </w:pPr>
          </w:p>
        </w:tc>
        <w:tc>
          <w:tcPr>
            <w:tcW w:w="900" w:type="dxa"/>
            <w:tcBorders>
              <w:top w:val="single" w:sz="4" w:space="0" w:color="auto"/>
            </w:tcBorders>
            <w:vAlign w:val="center"/>
          </w:tcPr>
          <w:p w14:paraId="6DDD2431" w14:textId="77777777" w:rsidR="00CA0EF0" w:rsidRPr="00361E30" w:rsidRDefault="00CA0EF0" w:rsidP="003C13F4">
            <w:pPr>
              <w:spacing w:after="0"/>
              <w:jc w:val="center"/>
              <w:rPr>
                <w:rFonts w:eastAsia="Times New Roman"/>
                <w:b/>
              </w:rPr>
            </w:pPr>
          </w:p>
        </w:tc>
        <w:tc>
          <w:tcPr>
            <w:tcW w:w="900" w:type="dxa"/>
            <w:tcBorders>
              <w:top w:val="single" w:sz="4" w:space="0" w:color="auto"/>
            </w:tcBorders>
            <w:vAlign w:val="center"/>
          </w:tcPr>
          <w:p w14:paraId="57C2608A" w14:textId="77777777" w:rsidR="00CA0EF0" w:rsidRPr="00361E30" w:rsidRDefault="00CA0EF0" w:rsidP="003C13F4">
            <w:pPr>
              <w:spacing w:after="0"/>
              <w:jc w:val="center"/>
              <w:rPr>
                <w:rFonts w:eastAsia="Times New Roman"/>
                <w:b/>
              </w:rPr>
            </w:pPr>
          </w:p>
        </w:tc>
      </w:tr>
      <w:tr w:rsidR="00CA0EF0" w:rsidRPr="00361E30" w14:paraId="60BB82ED" w14:textId="77777777" w:rsidTr="003C13F4">
        <w:trPr>
          <w:cantSplit/>
          <w:trHeight w:val="3131"/>
        </w:trPr>
        <w:tc>
          <w:tcPr>
            <w:tcW w:w="1998" w:type="dxa"/>
            <w:tcBorders>
              <w:bottom w:val="single" w:sz="4" w:space="0" w:color="auto"/>
            </w:tcBorders>
            <w:vAlign w:val="center"/>
          </w:tcPr>
          <w:p w14:paraId="78E78D20" w14:textId="77777777" w:rsidR="00CA0EF0" w:rsidRPr="00361E30" w:rsidRDefault="00CA0EF0" w:rsidP="003C13F4">
            <w:pPr>
              <w:spacing w:after="0"/>
              <w:jc w:val="left"/>
              <w:rPr>
                <w:rFonts w:ascii="Calibri" w:hAnsi="Calibri"/>
              </w:rPr>
            </w:pPr>
          </w:p>
        </w:tc>
        <w:tc>
          <w:tcPr>
            <w:tcW w:w="900" w:type="dxa"/>
            <w:tcBorders>
              <w:bottom w:val="single" w:sz="4" w:space="0" w:color="auto"/>
            </w:tcBorders>
            <w:vAlign w:val="center"/>
          </w:tcPr>
          <w:p w14:paraId="661E0460" w14:textId="77777777" w:rsidR="00CA0EF0" w:rsidRPr="00361E30" w:rsidRDefault="00CA0EF0" w:rsidP="003C13F4">
            <w:pPr>
              <w:spacing w:after="0"/>
              <w:jc w:val="center"/>
              <w:rPr>
                <w:rFonts w:ascii="Calibri" w:hAnsi="Calibri"/>
              </w:rPr>
            </w:pPr>
          </w:p>
        </w:tc>
        <w:tc>
          <w:tcPr>
            <w:tcW w:w="1260" w:type="dxa"/>
            <w:tcBorders>
              <w:bottom w:val="single" w:sz="4" w:space="0" w:color="auto"/>
            </w:tcBorders>
            <w:vAlign w:val="center"/>
          </w:tcPr>
          <w:p w14:paraId="289ACB8A" w14:textId="77777777" w:rsidR="00CA0EF0" w:rsidRPr="00361E30" w:rsidRDefault="00CA0EF0" w:rsidP="003C13F4">
            <w:pPr>
              <w:spacing w:after="0"/>
              <w:jc w:val="center"/>
              <w:rPr>
                <w:rFonts w:ascii="Calibri" w:hAnsi="Calibri"/>
              </w:rPr>
            </w:pPr>
          </w:p>
        </w:tc>
        <w:tc>
          <w:tcPr>
            <w:tcW w:w="900" w:type="dxa"/>
            <w:tcBorders>
              <w:bottom w:val="single" w:sz="4" w:space="0" w:color="auto"/>
            </w:tcBorders>
            <w:textDirection w:val="btLr"/>
            <w:vAlign w:val="center"/>
          </w:tcPr>
          <w:p w14:paraId="557F3FDA" w14:textId="77777777" w:rsidR="00CA0EF0" w:rsidRPr="00361E30" w:rsidRDefault="00CA0EF0" w:rsidP="003C13F4">
            <w:pPr>
              <w:spacing w:after="0"/>
              <w:ind w:left="113" w:right="113"/>
              <w:jc w:val="left"/>
              <w:rPr>
                <w:rFonts w:eastAsia="Times New Roman"/>
                <w:b/>
              </w:rPr>
            </w:pPr>
            <w:r w:rsidRPr="00361E30">
              <w:rPr>
                <w:rFonts w:eastAsia="Times New Roman"/>
                <w:b/>
              </w:rPr>
              <w:t xml:space="preserve">Triage </w:t>
            </w:r>
            <w:r w:rsidR="00B62F3A" w:rsidRPr="00361E30">
              <w:rPr>
                <w:rFonts w:eastAsia="Times New Roman"/>
                <w:b/>
              </w:rPr>
              <w:t>accuracy (</w:t>
            </w:r>
            <w:r w:rsidRPr="00361E30">
              <w:rPr>
                <w:rFonts w:eastAsia="Times New Roman"/>
                <w:b/>
              </w:rPr>
              <w:t>under-triage)</w:t>
            </w:r>
          </w:p>
        </w:tc>
        <w:tc>
          <w:tcPr>
            <w:tcW w:w="900" w:type="dxa"/>
            <w:tcBorders>
              <w:bottom w:val="single" w:sz="4" w:space="0" w:color="auto"/>
            </w:tcBorders>
            <w:textDirection w:val="btLr"/>
            <w:vAlign w:val="center"/>
          </w:tcPr>
          <w:p w14:paraId="0DC17C6B" w14:textId="77777777" w:rsidR="00CA0EF0" w:rsidRPr="00361E30" w:rsidRDefault="00CA0EF0" w:rsidP="003C13F4">
            <w:pPr>
              <w:spacing w:after="0"/>
              <w:ind w:left="113" w:right="113"/>
              <w:jc w:val="left"/>
              <w:rPr>
                <w:rFonts w:eastAsia="Times New Roman"/>
                <w:b/>
              </w:rPr>
            </w:pPr>
            <w:r w:rsidRPr="00361E30">
              <w:rPr>
                <w:rFonts w:eastAsia="Times New Roman"/>
                <w:b/>
              </w:rPr>
              <w:t>Trauma centre admission</w:t>
            </w:r>
          </w:p>
        </w:tc>
        <w:tc>
          <w:tcPr>
            <w:tcW w:w="900" w:type="dxa"/>
            <w:tcBorders>
              <w:bottom w:val="single" w:sz="4" w:space="0" w:color="auto"/>
            </w:tcBorders>
            <w:textDirection w:val="btLr"/>
            <w:vAlign w:val="center"/>
          </w:tcPr>
          <w:p w14:paraId="52CECFC4" w14:textId="77777777" w:rsidR="00CA0EF0" w:rsidRPr="00361E30" w:rsidRDefault="00B62F3A" w:rsidP="003C13F4">
            <w:pPr>
              <w:spacing w:after="0"/>
              <w:ind w:left="113" w:right="113"/>
              <w:jc w:val="left"/>
              <w:rPr>
                <w:rFonts w:eastAsia="Times New Roman"/>
                <w:b/>
              </w:rPr>
            </w:pPr>
            <w:r w:rsidRPr="00361E30">
              <w:rPr>
                <w:rFonts w:eastAsia="Times New Roman"/>
                <w:b/>
              </w:rPr>
              <w:t>Neurosurgery</w:t>
            </w:r>
            <w:r w:rsidR="00CA0EF0" w:rsidRPr="00361E30">
              <w:rPr>
                <w:rFonts w:eastAsia="Times New Roman"/>
                <w:b/>
              </w:rPr>
              <w:t xml:space="preserve"> </w:t>
            </w:r>
            <w:r w:rsidRPr="00361E30">
              <w:rPr>
                <w:rFonts w:eastAsia="Times New Roman"/>
                <w:b/>
              </w:rPr>
              <w:t>centre</w:t>
            </w:r>
            <w:r w:rsidR="00CA0EF0" w:rsidRPr="00361E30">
              <w:rPr>
                <w:rFonts w:eastAsia="Times New Roman"/>
                <w:b/>
              </w:rPr>
              <w:t xml:space="preserve"> admission</w:t>
            </w:r>
          </w:p>
        </w:tc>
        <w:tc>
          <w:tcPr>
            <w:tcW w:w="900" w:type="dxa"/>
            <w:tcBorders>
              <w:bottom w:val="single" w:sz="4" w:space="0" w:color="auto"/>
            </w:tcBorders>
            <w:textDirection w:val="btLr"/>
            <w:vAlign w:val="center"/>
          </w:tcPr>
          <w:p w14:paraId="63056333" w14:textId="77777777" w:rsidR="00CA0EF0" w:rsidRPr="00361E30" w:rsidRDefault="00CA0EF0" w:rsidP="003C13F4">
            <w:pPr>
              <w:spacing w:after="0"/>
              <w:ind w:left="113" w:right="113"/>
              <w:jc w:val="left"/>
              <w:rPr>
                <w:rFonts w:eastAsia="Times New Roman"/>
                <w:b/>
              </w:rPr>
            </w:pPr>
            <w:r w:rsidRPr="00361E30">
              <w:rPr>
                <w:rFonts w:eastAsia="Times New Roman"/>
                <w:b/>
              </w:rPr>
              <w:t>Emergency surgery</w:t>
            </w:r>
          </w:p>
        </w:tc>
      </w:tr>
      <w:tr w:rsidR="00CA0EF0" w:rsidRPr="00361E30" w14:paraId="58535DF3" w14:textId="77777777" w:rsidTr="003C13F4">
        <w:tc>
          <w:tcPr>
            <w:tcW w:w="1998" w:type="dxa"/>
            <w:tcBorders>
              <w:top w:val="single" w:sz="4" w:space="0" w:color="auto"/>
            </w:tcBorders>
            <w:vAlign w:val="center"/>
          </w:tcPr>
          <w:p w14:paraId="149AB16A" w14:textId="77777777" w:rsidR="00CA0EF0" w:rsidRPr="00361E30" w:rsidRDefault="00CA0EF0" w:rsidP="003C13F4">
            <w:pPr>
              <w:spacing w:after="0"/>
              <w:jc w:val="left"/>
              <w:rPr>
                <w:rFonts w:ascii="Calibri" w:hAnsi="Calibri"/>
              </w:rPr>
            </w:pPr>
            <w:r w:rsidRPr="00361E30">
              <w:rPr>
                <w:rFonts w:ascii="Calibri" w:hAnsi="Calibri"/>
              </w:rPr>
              <w:t>Giannoudis</w:t>
            </w:r>
          </w:p>
        </w:tc>
        <w:tc>
          <w:tcPr>
            <w:tcW w:w="900" w:type="dxa"/>
            <w:tcBorders>
              <w:top w:val="single" w:sz="4" w:space="0" w:color="auto"/>
            </w:tcBorders>
            <w:vAlign w:val="center"/>
          </w:tcPr>
          <w:p w14:paraId="0D94F7E4" w14:textId="77777777" w:rsidR="00CA0EF0" w:rsidRPr="00361E30" w:rsidRDefault="00CA0EF0" w:rsidP="003C13F4">
            <w:pPr>
              <w:spacing w:after="0"/>
              <w:jc w:val="center"/>
              <w:rPr>
                <w:rFonts w:ascii="Calibri" w:hAnsi="Calibri"/>
              </w:rPr>
            </w:pPr>
            <w:r w:rsidRPr="00361E30">
              <w:rPr>
                <w:rFonts w:ascii="Calibri" w:hAnsi="Calibri"/>
              </w:rPr>
              <w:t>2009</w:t>
            </w:r>
          </w:p>
        </w:tc>
        <w:tc>
          <w:tcPr>
            <w:tcW w:w="1260" w:type="dxa"/>
            <w:tcBorders>
              <w:top w:val="single" w:sz="4" w:space="0" w:color="auto"/>
            </w:tcBorders>
            <w:vAlign w:val="center"/>
          </w:tcPr>
          <w:p w14:paraId="26F6AB23" w14:textId="77777777" w:rsidR="00CA0EF0" w:rsidRPr="00361E30" w:rsidRDefault="00CA0EF0" w:rsidP="003C13F4">
            <w:pPr>
              <w:spacing w:after="0"/>
              <w:jc w:val="center"/>
              <w:rPr>
                <w:rFonts w:ascii="Calibri" w:hAnsi="Calibri"/>
              </w:rPr>
            </w:pPr>
            <w:r w:rsidRPr="00361E30">
              <w:rPr>
                <w:rFonts w:ascii="Calibri" w:hAnsi="Calibri"/>
              </w:rPr>
              <w:t>England</w:t>
            </w:r>
          </w:p>
        </w:tc>
        <w:tc>
          <w:tcPr>
            <w:tcW w:w="900" w:type="dxa"/>
            <w:tcBorders>
              <w:top w:val="single" w:sz="4" w:space="0" w:color="auto"/>
            </w:tcBorders>
            <w:vAlign w:val="center"/>
          </w:tcPr>
          <w:p w14:paraId="6010383A" w14:textId="77777777" w:rsidR="00CA0EF0" w:rsidRPr="00361E30" w:rsidRDefault="00CA0EF0" w:rsidP="003C13F4">
            <w:pPr>
              <w:spacing w:after="0"/>
              <w:jc w:val="center"/>
              <w:rPr>
                <w:rFonts w:eastAsia="Times New Roman"/>
              </w:rPr>
            </w:pPr>
          </w:p>
        </w:tc>
        <w:tc>
          <w:tcPr>
            <w:tcW w:w="900" w:type="dxa"/>
            <w:tcBorders>
              <w:top w:val="single" w:sz="4" w:space="0" w:color="auto"/>
            </w:tcBorders>
            <w:vAlign w:val="center"/>
          </w:tcPr>
          <w:p w14:paraId="6949F317" w14:textId="77777777" w:rsidR="00CA0EF0" w:rsidRPr="00361E30" w:rsidRDefault="00CA0EF0" w:rsidP="003C13F4">
            <w:pPr>
              <w:spacing w:after="0"/>
              <w:jc w:val="center"/>
              <w:rPr>
                <w:rFonts w:eastAsia="Times New Roman"/>
              </w:rPr>
            </w:pPr>
          </w:p>
        </w:tc>
        <w:tc>
          <w:tcPr>
            <w:tcW w:w="900" w:type="dxa"/>
            <w:tcBorders>
              <w:top w:val="single" w:sz="4" w:space="0" w:color="auto"/>
            </w:tcBorders>
            <w:vAlign w:val="center"/>
          </w:tcPr>
          <w:p w14:paraId="54FFBA62" w14:textId="77777777" w:rsidR="00CA0EF0" w:rsidRPr="00361E30" w:rsidRDefault="00CA0EF0" w:rsidP="003C13F4">
            <w:pPr>
              <w:spacing w:after="0"/>
              <w:jc w:val="center"/>
              <w:rPr>
                <w:rFonts w:eastAsia="Times New Roman"/>
              </w:rPr>
            </w:pPr>
          </w:p>
        </w:tc>
        <w:tc>
          <w:tcPr>
            <w:tcW w:w="900" w:type="dxa"/>
            <w:tcBorders>
              <w:top w:val="single" w:sz="4" w:space="0" w:color="auto"/>
            </w:tcBorders>
            <w:vAlign w:val="center"/>
          </w:tcPr>
          <w:p w14:paraId="719E1332" w14:textId="77777777" w:rsidR="00CA0EF0" w:rsidRPr="00361E30" w:rsidRDefault="00CA0EF0" w:rsidP="003C13F4">
            <w:pPr>
              <w:spacing w:after="0"/>
              <w:jc w:val="center"/>
              <w:rPr>
                <w:rFonts w:eastAsia="Times New Roman"/>
              </w:rPr>
            </w:pPr>
            <w:r w:rsidRPr="00361E30">
              <w:rPr>
                <w:rFonts w:eastAsia="Times New Roman" w:cstheme="minorHAnsi"/>
              </w:rPr>
              <w:t>√</w:t>
            </w:r>
          </w:p>
        </w:tc>
      </w:tr>
      <w:tr w:rsidR="00CA0EF0" w:rsidRPr="00361E30" w14:paraId="0BC5F68F" w14:textId="77777777" w:rsidTr="003C13F4">
        <w:tc>
          <w:tcPr>
            <w:tcW w:w="1998" w:type="dxa"/>
            <w:vAlign w:val="center"/>
          </w:tcPr>
          <w:p w14:paraId="114805A0" w14:textId="77777777" w:rsidR="00CA0EF0" w:rsidRPr="00361E30" w:rsidRDefault="00CA0EF0" w:rsidP="003C13F4">
            <w:pPr>
              <w:spacing w:after="0"/>
              <w:jc w:val="left"/>
              <w:rPr>
                <w:rFonts w:ascii="Calibri" w:hAnsi="Calibri"/>
              </w:rPr>
            </w:pPr>
            <w:r w:rsidRPr="00361E30">
              <w:rPr>
                <w:rFonts w:ascii="Calibri" w:hAnsi="Calibri"/>
              </w:rPr>
              <w:t>Grant</w:t>
            </w:r>
          </w:p>
        </w:tc>
        <w:tc>
          <w:tcPr>
            <w:tcW w:w="900" w:type="dxa"/>
            <w:vAlign w:val="center"/>
          </w:tcPr>
          <w:p w14:paraId="130C9682" w14:textId="77777777" w:rsidR="00CA0EF0" w:rsidRPr="00361E30" w:rsidRDefault="00CA0EF0" w:rsidP="003C13F4">
            <w:pPr>
              <w:spacing w:after="0"/>
              <w:jc w:val="center"/>
              <w:rPr>
                <w:rFonts w:ascii="Calibri" w:hAnsi="Calibri"/>
              </w:rPr>
            </w:pPr>
            <w:r w:rsidRPr="00361E30">
              <w:rPr>
                <w:rFonts w:ascii="Calibri" w:hAnsi="Calibri"/>
              </w:rPr>
              <w:t>1999</w:t>
            </w:r>
          </w:p>
        </w:tc>
        <w:tc>
          <w:tcPr>
            <w:tcW w:w="1260" w:type="dxa"/>
            <w:vAlign w:val="center"/>
          </w:tcPr>
          <w:p w14:paraId="64F6A25C" w14:textId="77777777" w:rsidR="00CA0EF0" w:rsidRPr="00361E30" w:rsidRDefault="00CA0EF0" w:rsidP="003C13F4">
            <w:pPr>
              <w:spacing w:after="0"/>
              <w:jc w:val="center"/>
              <w:rPr>
                <w:rFonts w:ascii="Calibri" w:hAnsi="Calibri"/>
              </w:rPr>
            </w:pPr>
            <w:r w:rsidRPr="00361E30">
              <w:rPr>
                <w:rFonts w:ascii="Calibri" w:hAnsi="Calibri"/>
              </w:rPr>
              <w:t>Scotland</w:t>
            </w:r>
          </w:p>
        </w:tc>
        <w:tc>
          <w:tcPr>
            <w:tcW w:w="900" w:type="dxa"/>
            <w:vAlign w:val="center"/>
          </w:tcPr>
          <w:p w14:paraId="64BF98E8" w14:textId="77777777" w:rsidR="00CA0EF0" w:rsidRPr="00361E30" w:rsidRDefault="00CA0EF0" w:rsidP="003C13F4">
            <w:pPr>
              <w:spacing w:after="0"/>
              <w:jc w:val="center"/>
              <w:rPr>
                <w:rFonts w:eastAsia="Times New Roman"/>
              </w:rPr>
            </w:pPr>
          </w:p>
        </w:tc>
        <w:tc>
          <w:tcPr>
            <w:tcW w:w="900" w:type="dxa"/>
            <w:vAlign w:val="center"/>
          </w:tcPr>
          <w:p w14:paraId="2559F54B" w14:textId="77777777" w:rsidR="00CA0EF0" w:rsidRPr="00361E30" w:rsidRDefault="00CA0EF0" w:rsidP="003C13F4">
            <w:pPr>
              <w:spacing w:after="0"/>
              <w:jc w:val="center"/>
              <w:rPr>
                <w:rFonts w:eastAsia="Times New Roman"/>
              </w:rPr>
            </w:pPr>
          </w:p>
        </w:tc>
        <w:tc>
          <w:tcPr>
            <w:tcW w:w="900" w:type="dxa"/>
            <w:vAlign w:val="center"/>
          </w:tcPr>
          <w:p w14:paraId="0723FF23" w14:textId="77777777" w:rsidR="00CA0EF0" w:rsidRPr="00361E30" w:rsidRDefault="00CA0EF0" w:rsidP="003C13F4">
            <w:pPr>
              <w:spacing w:after="0"/>
              <w:jc w:val="center"/>
              <w:rPr>
                <w:rFonts w:eastAsia="Times New Roman"/>
              </w:rPr>
            </w:pPr>
            <w:r w:rsidRPr="00361E30">
              <w:rPr>
                <w:rFonts w:eastAsia="Times New Roman" w:cstheme="minorHAnsi"/>
              </w:rPr>
              <w:t>√</w:t>
            </w:r>
          </w:p>
        </w:tc>
        <w:tc>
          <w:tcPr>
            <w:tcW w:w="900" w:type="dxa"/>
            <w:vAlign w:val="center"/>
          </w:tcPr>
          <w:p w14:paraId="0AFFA0BC" w14:textId="77777777" w:rsidR="00CA0EF0" w:rsidRPr="00361E30" w:rsidRDefault="00CA0EF0" w:rsidP="003C13F4">
            <w:pPr>
              <w:spacing w:after="0"/>
              <w:jc w:val="center"/>
              <w:rPr>
                <w:rFonts w:eastAsia="Times New Roman"/>
              </w:rPr>
            </w:pPr>
          </w:p>
        </w:tc>
      </w:tr>
      <w:tr w:rsidR="00CA0EF0" w:rsidRPr="00361E30" w14:paraId="1D3429B0" w14:textId="77777777" w:rsidTr="003C13F4">
        <w:tc>
          <w:tcPr>
            <w:tcW w:w="1998" w:type="dxa"/>
            <w:vAlign w:val="center"/>
          </w:tcPr>
          <w:p w14:paraId="44909082" w14:textId="77777777" w:rsidR="00CA0EF0" w:rsidRPr="00361E30" w:rsidRDefault="00CA0EF0" w:rsidP="003C13F4">
            <w:pPr>
              <w:spacing w:after="0"/>
              <w:jc w:val="left"/>
              <w:rPr>
                <w:rFonts w:ascii="Calibri" w:hAnsi="Calibri"/>
              </w:rPr>
            </w:pPr>
            <w:r w:rsidRPr="00361E30">
              <w:rPr>
                <w:rFonts w:ascii="Calibri" w:hAnsi="Calibri"/>
              </w:rPr>
              <w:t>Kirkman</w:t>
            </w:r>
          </w:p>
        </w:tc>
        <w:tc>
          <w:tcPr>
            <w:tcW w:w="900" w:type="dxa"/>
            <w:vAlign w:val="center"/>
          </w:tcPr>
          <w:p w14:paraId="7904ACC8" w14:textId="77777777" w:rsidR="00CA0EF0" w:rsidRPr="00361E30" w:rsidRDefault="00CA0EF0" w:rsidP="003C13F4">
            <w:pPr>
              <w:spacing w:after="0"/>
              <w:jc w:val="center"/>
              <w:rPr>
                <w:rFonts w:ascii="Calibri" w:hAnsi="Calibri"/>
              </w:rPr>
            </w:pPr>
            <w:r w:rsidRPr="00361E30">
              <w:rPr>
                <w:rFonts w:ascii="Calibri" w:hAnsi="Calibri"/>
              </w:rPr>
              <w:t>2012</w:t>
            </w:r>
          </w:p>
        </w:tc>
        <w:tc>
          <w:tcPr>
            <w:tcW w:w="1260" w:type="dxa"/>
            <w:vAlign w:val="center"/>
          </w:tcPr>
          <w:p w14:paraId="43656187" w14:textId="77777777" w:rsidR="00CA0EF0" w:rsidRPr="00361E30" w:rsidRDefault="00CA0EF0" w:rsidP="003C13F4">
            <w:pPr>
              <w:spacing w:after="0"/>
              <w:jc w:val="center"/>
              <w:rPr>
                <w:rFonts w:ascii="Calibri" w:hAnsi="Calibri"/>
              </w:rPr>
            </w:pPr>
            <w:r w:rsidRPr="00361E30">
              <w:rPr>
                <w:rFonts w:ascii="Calibri" w:hAnsi="Calibri"/>
              </w:rPr>
              <w:t>England</w:t>
            </w:r>
          </w:p>
        </w:tc>
        <w:tc>
          <w:tcPr>
            <w:tcW w:w="900" w:type="dxa"/>
            <w:vAlign w:val="center"/>
          </w:tcPr>
          <w:p w14:paraId="235B4F09" w14:textId="77777777" w:rsidR="00CA0EF0" w:rsidRPr="00361E30" w:rsidRDefault="00CA0EF0" w:rsidP="003C13F4">
            <w:pPr>
              <w:spacing w:after="0"/>
              <w:jc w:val="center"/>
              <w:rPr>
                <w:rFonts w:eastAsia="Times New Roman"/>
              </w:rPr>
            </w:pPr>
          </w:p>
        </w:tc>
        <w:tc>
          <w:tcPr>
            <w:tcW w:w="900" w:type="dxa"/>
            <w:vAlign w:val="center"/>
          </w:tcPr>
          <w:p w14:paraId="00F3E1B1" w14:textId="77777777" w:rsidR="00CA0EF0" w:rsidRPr="00361E30" w:rsidRDefault="00CA0EF0" w:rsidP="003C13F4">
            <w:pPr>
              <w:spacing w:after="0"/>
              <w:jc w:val="center"/>
              <w:rPr>
                <w:rFonts w:eastAsia="Times New Roman"/>
              </w:rPr>
            </w:pPr>
          </w:p>
        </w:tc>
        <w:tc>
          <w:tcPr>
            <w:tcW w:w="900" w:type="dxa"/>
            <w:vAlign w:val="center"/>
          </w:tcPr>
          <w:p w14:paraId="2725F97A" w14:textId="77777777" w:rsidR="00CA0EF0" w:rsidRPr="00361E30" w:rsidRDefault="00CA0EF0" w:rsidP="003C13F4">
            <w:pPr>
              <w:spacing w:after="0"/>
              <w:jc w:val="center"/>
              <w:rPr>
                <w:rFonts w:eastAsia="Times New Roman"/>
              </w:rPr>
            </w:pPr>
            <w:r w:rsidRPr="00361E30">
              <w:rPr>
                <w:rFonts w:eastAsia="Times New Roman" w:cstheme="minorHAnsi"/>
              </w:rPr>
              <w:t>√</w:t>
            </w:r>
          </w:p>
        </w:tc>
        <w:tc>
          <w:tcPr>
            <w:tcW w:w="900" w:type="dxa"/>
            <w:vAlign w:val="center"/>
          </w:tcPr>
          <w:p w14:paraId="76E07D4F" w14:textId="77777777" w:rsidR="00CA0EF0" w:rsidRPr="00361E30" w:rsidRDefault="00CA0EF0" w:rsidP="003C13F4">
            <w:pPr>
              <w:spacing w:after="0"/>
              <w:jc w:val="center"/>
              <w:rPr>
                <w:rFonts w:eastAsia="Times New Roman"/>
              </w:rPr>
            </w:pPr>
          </w:p>
        </w:tc>
      </w:tr>
      <w:tr w:rsidR="00CA0EF0" w:rsidRPr="00361E30" w14:paraId="0B203909" w14:textId="77777777" w:rsidTr="003C13F4">
        <w:tc>
          <w:tcPr>
            <w:tcW w:w="1998" w:type="dxa"/>
            <w:vAlign w:val="center"/>
          </w:tcPr>
          <w:p w14:paraId="7530090B" w14:textId="77777777" w:rsidR="00CA0EF0" w:rsidRPr="00361E30" w:rsidRDefault="00CA0EF0" w:rsidP="003C13F4">
            <w:pPr>
              <w:spacing w:after="0"/>
              <w:jc w:val="left"/>
              <w:rPr>
                <w:rFonts w:ascii="Calibri" w:hAnsi="Calibri"/>
              </w:rPr>
            </w:pPr>
            <w:r w:rsidRPr="00361E30">
              <w:rPr>
                <w:rFonts w:ascii="Calibri" w:hAnsi="Calibri"/>
              </w:rPr>
              <w:t>Lane</w:t>
            </w:r>
          </w:p>
        </w:tc>
        <w:tc>
          <w:tcPr>
            <w:tcW w:w="900" w:type="dxa"/>
            <w:vAlign w:val="center"/>
          </w:tcPr>
          <w:p w14:paraId="4ED7EF78" w14:textId="77777777" w:rsidR="00CA0EF0" w:rsidRPr="00361E30" w:rsidRDefault="00CA0EF0" w:rsidP="003C13F4">
            <w:pPr>
              <w:spacing w:after="0"/>
              <w:jc w:val="center"/>
              <w:rPr>
                <w:rFonts w:ascii="Calibri" w:hAnsi="Calibri"/>
              </w:rPr>
            </w:pPr>
            <w:r w:rsidRPr="00361E30">
              <w:rPr>
                <w:rFonts w:ascii="Calibri" w:hAnsi="Calibri"/>
              </w:rPr>
              <w:t>2003</w:t>
            </w:r>
          </w:p>
        </w:tc>
        <w:tc>
          <w:tcPr>
            <w:tcW w:w="1260" w:type="dxa"/>
            <w:vAlign w:val="center"/>
          </w:tcPr>
          <w:p w14:paraId="4D0AADD4" w14:textId="77777777" w:rsidR="00CA0EF0" w:rsidRPr="00361E30" w:rsidRDefault="00CA0EF0" w:rsidP="003C13F4">
            <w:pPr>
              <w:spacing w:after="0"/>
              <w:jc w:val="center"/>
              <w:rPr>
                <w:rFonts w:ascii="Calibri" w:hAnsi="Calibri"/>
              </w:rPr>
            </w:pPr>
            <w:r w:rsidRPr="00361E30">
              <w:rPr>
                <w:rFonts w:ascii="Calibri" w:hAnsi="Calibri"/>
              </w:rPr>
              <w:t>USA</w:t>
            </w:r>
          </w:p>
        </w:tc>
        <w:tc>
          <w:tcPr>
            <w:tcW w:w="900" w:type="dxa"/>
            <w:vAlign w:val="center"/>
          </w:tcPr>
          <w:p w14:paraId="2DBB72B0" w14:textId="77777777" w:rsidR="00CA0EF0" w:rsidRPr="00361E30" w:rsidRDefault="00CA0EF0" w:rsidP="003C13F4">
            <w:pPr>
              <w:spacing w:after="0"/>
              <w:jc w:val="center"/>
              <w:rPr>
                <w:rFonts w:eastAsia="Times New Roman"/>
              </w:rPr>
            </w:pPr>
          </w:p>
        </w:tc>
        <w:tc>
          <w:tcPr>
            <w:tcW w:w="900" w:type="dxa"/>
            <w:vAlign w:val="center"/>
          </w:tcPr>
          <w:p w14:paraId="0B2B8728" w14:textId="77777777" w:rsidR="00CA0EF0" w:rsidRPr="00361E30" w:rsidRDefault="00CA0EF0" w:rsidP="003C13F4">
            <w:pPr>
              <w:spacing w:after="0"/>
              <w:jc w:val="center"/>
              <w:rPr>
                <w:rFonts w:eastAsia="Times New Roman"/>
              </w:rPr>
            </w:pPr>
            <w:r w:rsidRPr="00361E30">
              <w:rPr>
                <w:rFonts w:eastAsia="Times New Roman" w:cstheme="minorHAnsi"/>
              </w:rPr>
              <w:t>√</w:t>
            </w:r>
          </w:p>
        </w:tc>
        <w:tc>
          <w:tcPr>
            <w:tcW w:w="900" w:type="dxa"/>
            <w:vAlign w:val="center"/>
          </w:tcPr>
          <w:p w14:paraId="1FECCC5F" w14:textId="77777777" w:rsidR="00CA0EF0" w:rsidRPr="00361E30" w:rsidRDefault="00CA0EF0" w:rsidP="003C13F4">
            <w:pPr>
              <w:spacing w:after="0"/>
              <w:jc w:val="center"/>
              <w:rPr>
                <w:rFonts w:eastAsia="Times New Roman"/>
              </w:rPr>
            </w:pPr>
          </w:p>
        </w:tc>
        <w:tc>
          <w:tcPr>
            <w:tcW w:w="900" w:type="dxa"/>
            <w:vAlign w:val="center"/>
          </w:tcPr>
          <w:p w14:paraId="5A690CE3" w14:textId="77777777" w:rsidR="00CA0EF0" w:rsidRPr="00361E30" w:rsidRDefault="00CA0EF0" w:rsidP="003C13F4">
            <w:pPr>
              <w:spacing w:after="0"/>
              <w:jc w:val="center"/>
              <w:rPr>
                <w:rFonts w:eastAsia="Times New Roman"/>
              </w:rPr>
            </w:pPr>
          </w:p>
        </w:tc>
      </w:tr>
      <w:tr w:rsidR="00CA0EF0" w:rsidRPr="00361E30" w14:paraId="25BD46AE" w14:textId="77777777" w:rsidTr="003C13F4">
        <w:tc>
          <w:tcPr>
            <w:tcW w:w="1998" w:type="dxa"/>
            <w:vAlign w:val="center"/>
          </w:tcPr>
          <w:p w14:paraId="6E38B634" w14:textId="77777777" w:rsidR="00CA0EF0" w:rsidRPr="00361E30" w:rsidRDefault="00CA0EF0" w:rsidP="003C13F4">
            <w:pPr>
              <w:spacing w:after="0"/>
              <w:jc w:val="left"/>
              <w:rPr>
                <w:rFonts w:ascii="Calibri" w:hAnsi="Calibri"/>
              </w:rPr>
            </w:pPr>
            <w:r w:rsidRPr="00361E30">
              <w:rPr>
                <w:rFonts w:ascii="Calibri" w:hAnsi="Calibri"/>
              </w:rPr>
              <w:t>Lukin</w:t>
            </w:r>
          </w:p>
        </w:tc>
        <w:tc>
          <w:tcPr>
            <w:tcW w:w="900" w:type="dxa"/>
            <w:vAlign w:val="center"/>
          </w:tcPr>
          <w:p w14:paraId="10B2E1FA" w14:textId="77777777" w:rsidR="00CA0EF0" w:rsidRPr="00361E30" w:rsidRDefault="00CA0EF0" w:rsidP="003C13F4">
            <w:pPr>
              <w:spacing w:after="0"/>
              <w:jc w:val="center"/>
              <w:rPr>
                <w:rFonts w:ascii="Calibri" w:hAnsi="Calibri"/>
              </w:rPr>
            </w:pPr>
            <w:r w:rsidRPr="00361E30">
              <w:rPr>
                <w:rFonts w:ascii="Calibri" w:hAnsi="Calibri"/>
              </w:rPr>
              <w:t>2017</w:t>
            </w:r>
          </w:p>
        </w:tc>
        <w:tc>
          <w:tcPr>
            <w:tcW w:w="1260" w:type="dxa"/>
            <w:vAlign w:val="center"/>
          </w:tcPr>
          <w:p w14:paraId="3993FBAD" w14:textId="77777777" w:rsidR="00CA0EF0" w:rsidRPr="00361E30" w:rsidRDefault="00CA0EF0" w:rsidP="003C13F4">
            <w:pPr>
              <w:spacing w:after="0"/>
              <w:jc w:val="center"/>
              <w:rPr>
                <w:rFonts w:ascii="Calibri" w:hAnsi="Calibri"/>
              </w:rPr>
            </w:pPr>
            <w:r w:rsidRPr="00361E30">
              <w:rPr>
                <w:rFonts w:ascii="Calibri" w:hAnsi="Calibri"/>
              </w:rPr>
              <w:t>Australia</w:t>
            </w:r>
          </w:p>
        </w:tc>
        <w:tc>
          <w:tcPr>
            <w:tcW w:w="900" w:type="dxa"/>
            <w:vAlign w:val="center"/>
          </w:tcPr>
          <w:p w14:paraId="7D2AFD1A" w14:textId="77777777" w:rsidR="00CA0EF0" w:rsidRPr="00361E30" w:rsidRDefault="00CA0EF0" w:rsidP="003C13F4">
            <w:pPr>
              <w:spacing w:after="0"/>
              <w:jc w:val="center"/>
              <w:rPr>
                <w:rFonts w:eastAsia="Times New Roman"/>
              </w:rPr>
            </w:pPr>
            <w:r w:rsidRPr="00361E30">
              <w:rPr>
                <w:rFonts w:eastAsia="Times New Roman" w:cstheme="minorHAnsi"/>
              </w:rPr>
              <w:t>√</w:t>
            </w:r>
          </w:p>
        </w:tc>
        <w:tc>
          <w:tcPr>
            <w:tcW w:w="900" w:type="dxa"/>
            <w:vAlign w:val="center"/>
          </w:tcPr>
          <w:p w14:paraId="753CC5CE" w14:textId="77777777" w:rsidR="00CA0EF0" w:rsidRPr="00361E30" w:rsidRDefault="00CA0EF0" w:rsidP="003C13F4">
            <w:pPr>
              <w:spacing w:after="0"/>
              <w:jc w:val="center"/>
              <w:rPr>
                <w:rFonts w:eastAsia="Times New Roman"/>
              </w:rPr>
            </w:pPr>
          </w:p>
        </w:tc>
        <w:tc>
          <w:tcPr>
            <w:tcW w:w="900" w:type="dxa"/>
            <w:vAlign w:val="center"/>
          </w:tcPr>
          <w:p w14:paraId="377D5750" w14:textId="77777777" w:rsidR="00CA0EF0" w:rsidRPr="00361E30" w:rsidRDefault="00CA0EF0" w:rsidP="003C13F4">
            <w:pPr>
              <w:spacing w:after="0"/>
              <w:jc w:val="center"/>
              <w:rPr>
                <w:rFonts w:eastAsia="Times New Roman"/>
              </w:rPr>
            </w:pPr>
          </w:p>
        </w:tc>
        <w:tc>
          <w:tcPr>
            <w:tcW w:w="900" w:type="dxa"/>
            <w:vAlign w:val="center"/>
          </w:tcPr>
          <w:p w14:paraId="5E8B6C0E" w14:textId="77777777" w:rsidR="00CA0EF0" w:rsidRPr="00361E30" w:rsidRDefault="00CA0EF0" w:rsidP="003C13F4">
            <w:pPr>
              <w:spacing w:after="0"/>
              <w:jc w:val="center"/>
              <w:rPr>
                <w:rFonts w:eastAsia="Times New Roman"/>
              </w:rPr>
            </w:pPr>
          </w:p>
        </w:tc>
      </w:tr>
      <w:tr w:rsidR="00CA0EF0" w:rsidRPr="00361E30" w14:paraId="78108D20" w14:textId="77777777" w:rsidTr="003C13F4">
        <w:tc>
          <w:tcPr>
            <w:tcW w:w="1998" w:type="dxa"/>
            <w:vAlign w:val="center"/>
          </w:tcPr>
          <w:p w14:paraId="694D42C5" w14:textId="77777777" w:rsidR="00CA0EF0" w:rsidRPr="00361E30" w:rsidRDefault="00CA0EF0" w:rsidP="003C13F4">
            <w:pPr>
              <w:spacing w:after="0"/>
              <w:jc w:val="left"/>
              <w:rPr>
                <w:rFonts w:ascii="Calibri" w:hAnsi="Calibri"/>
              </w:rPr>
            </w:pPr>
            <w:r w:rsidRPr="00361E30">
              <w:rPr>
                <w:rFonts w:ascii="Calibri" w:hAnsi="Calibri"/>
              </w:rPr>
              <w:t>Moore</w:t>
            </w:r>
          </w:p>
        </w:tc>
        <w:tc>
          <w:tcPr>
            <w:tcW w:w="900" w:type="dxa"/>
            <w:vAlign w:val="center"/>
          </w:tcPr>
          <w:p w14:paraId="54077D4C" w14:textId="77777777" w:rsidR="00CA0EF0" w:rsidRPr="00361E30" w:rsidRDefault="00CA0EF0" w:rsidP="007F7E67">
            <w:pPr>
              <w:spacing w:after="0"/>
              <w:jc w:val="center"/>
              <w:rPr>
                <w:rFonts w:ascii="Calibri" w:hAnsi="Calibri"/>
              </w:rPr>
            </w:pPr>
            <w:r w:rsidRPr="00361E30">
              <w:rPr>
                <w:rFonts w:ascii="Calibri" w:hAnsi="Calibri"/>
              </w:rPr>
              <w:t>20</w:t>
            </w:r>
            <w:r w:rsidR="007F7E67" w:rsidRPr="00361E30">
              <w:rPr>
                <w:rFonts w:ascii="Calibri" w:hAnsi="Calibri"/>
              </w:rPr>
              <w:t>12</w:t>
            </w:r>
          </w:p>
        </w:tc>
        <w:tc>
          <w:tcPr>
            <w:tcW w:w="1260" w:type="dxa"/>
            <w:vAlign w:val="center"/>
          </w:tcPr>
          <w:p w14:paraId="3E5E9E82" w14:textId="77777777" w:rsidR="00CA0EF0" w:rsidRPr="00361E30" w:rsidRDefault="00CA0EF0" w:rsidP="003C13F4">
            <w:pPr>
              <w:spacing w:after="0"/>
              <w:jc w:val="center"/>
              <w:rPr>
                <w:rFonts w:ascii="Calibri" w:hAnsi="Calibri"/>
              </w:rPr>
            </w:pPr>
            <w:r w:rsidRPr="00361E30">
              <w:rPr>
                <w:rFonts w:ascii="Calibri" w:hAnsi="Calibri"/>
              </w:rPr>
              <w:t>Canada</w:t>
            </w:r>
          </w:p>
        </w:tc>
        <w:tc>
          <w:tcPr>
            <w:tcW w:w="900" w:type="dxa"/>
            <w:vAlign w:val="center"/>
          </w:tcPr>
          <w:p w14:paraId="4EF3A928" w14:textId="77777777" w:rsidR="00CA0EF0" w:rsidRPr="00361E30" w:rsidRDefault="00CA0EF0" w:rsidP="003C13F4">
            <w:pPr>
              <w:spacing w:after="0"/>
              <w:jc w:val="center"/>
              <w:rPr>
                <w:rFonts w:eastAsia="Times New Roman"/>
              </w:rPr>
            </w:pPr>
          </w:p>
        </w:tc>
        <w:tc>
          <w:tcPr>
            <w:tcW w:w="900" w:type="dxa"/>
            <w:vAlign w:val="center"/>
          </w:tcPr>
          <w:p w14:paraId="74AD4BC1" w14:textId="77777777" w:rsidR="00CA0EF0" w:rsidRPr="00361E30" w:rsidRDefault="00CA0EF0" w:rsidP="003C13F4">
            <w:pPr>
              <w:spacing w:after="0"/>
              <w:jc w:val="center"/>
              <w:rPr>
                <w:rFonts w:eastAsia="Times New Roman"/>
              </w:rPr>
            </w:pPr>
          </w:p>
        </w:tc>
        <w:tc>
          <w:tcPr>
            <w:tcW w:w="900" w:type="dxa"/>
            <w:vAlign w:val="center"/>
          </w:tcPr>
          <w:p w14:paraId="37401E5B" w14:textId="77777777" w:rsidR="00CA0EF0" w:rsidRPr="00361E30" w:rsidRDefault="00CA0EF0" w:rsidP="003C13F4">
            <w:pPr>
              <w:spacing w:after="0"/>
              <w:jc w:val="center"/>
              <w:rPr>
                <w:rFonts w:eastAsia="Times New Roman"/>
              </w:rPr>
            </w:pPr>
            <w:r w:rsidRPr="00361E30">
              <w:rPr>
                <w:rFonts w:eastAsia="Times New Roman" w:cstheme="minorHAnsi"/>
              </w:rPr>
              <w:t>√</w:t>
            </w:r>
          </w:p>
        </w:tc>
        <w:tc>
          <w:tcPr>
            <w:tcW w:w="900" w:type="dxa"/>
            <w:vAlign w:val="center"/>
          </w:tcPr>
          <w:p w14:paraId="31D94A9F" w14:textId="77777777" w:rsidR="00CA0EF0" w:rsidRPr="00361E30" w:rsidRDefault="00CA0EF0" w:rsidP="003C13F4">
            <w:pPr>
              <w:spacing w:after="0"/>
              <w:jc w:val="center"/>
              <w:rPr>
                <w:rFonts w:eastAsia="Times New Roman"/>
              </w:rPr>
            </w:pPr>
          </w:p>
        </w:tc>
      </w:tr>
      <w:tr w:rsidR="00CA0EF0" w:rsidRPr="00361E30" w14:paraId="5344251A" w14:textId="77777777" w:rsidTr="003C13F4">
        <w:tc>
          <w:tcPr>
            <w:tcW w:w="1998" w:type="dxa"/>
            <w:vAlign w:val="center"/>
          </w:tcPr>
          <w:p w14:paraId="2E02FCE3" w14:textId="77777777" w:rsidR="00CA0EF0" w:rsidRPr="00361E30" w:rsidRDefault="00CA0EF0" w:rsidP="003C13F4">
            <w:pPr>
              <w:spacing w:after="0"/>
              <w:jc w:val="left"/>
              <w:rPr>
                <w:rFonts w:ascii="Calibri" w:hAnsi="Calibri"/>
              </w:rPr>
            </w:pPr>
            <w:r w:rsidRPr="00361E30">
              <w:rPr>
                <w:rFonts w:ascii="Calibri" w:hAnsi="Calibri"/>
              </w:rPr>
              <w:t>Nakamura</w:t>
            </w:r>
          </w:p>
        </w:tc>
        <w:tc>
          <w:tcPr>
            <w:tcW w:w="900" w:type="dxa"/>
            <w:vAlign w:val="center"/>
          </w:tcPr>
          <w:p w14:paraId="43AC5879" w14:textId="77777777" w:rsidR="00CA0EF0" w:rsidRPr="00361E30" w:rsidRDefault="00CA0EF0" w:rsidP="003C13F4">
            <w:pPr>
              <w:spacing w:after="0"/>
              <w:jc w:val="center"/>
              <w:rPr>
                <w:rFonts w:ascii="Calibri" w:hAnsi="Calibri"/>
              </w:rPr>
            </w:pPr>
            <w:r w:rsidRPr="00361E30">
              <w:rPr>
                <w:rFonts w:ascii="Calibri" w:hAnsi="Calibri"/>
              </w:rPr>
              <w:t>2012</w:t>
            </w:r>
          </w:p>
        </w:tc>
        <w:tc>
          <w:tcPr>
            <w:tcW w:w="1260" w:type="dxa"/>
            <w:vAlign w:val="center"/>
          </w:tcPr>
          <w:p w14:paraId="45CAE2CA" w14:textId="77777777" w:rsidR="00CA0EF0" w:rsidRPr="00361E30" w:rsidRDefault="00CA0EF0" w:rsidP="003C13F4">
            <w:pPr>
              <w:spacing w:after="0"/>
              <w:jc w:val="center"/>
              <w:rPr>
                <w:rFonts w:ascii="Calibri" w:hAnsi="Calibri"/>
              </w:rPr>
            </w:pPr>
            <w:r w:rsidRPr="00361E30">
              <w:rPr>
                <w:rFonts w:ascii="Calibri" w:hAnsi="Calibri"/>
              </w:rPr>
              <w:t>USA</w:t>
            </w:r>
          </w:p>
        </w:tc>
        <w:tc>
          <w:tcPr>
            <w:tcW w:w="900" w:type="dxa"/>
            <w:vAlign w:val="center"/>
          </w:tcPr>
          <w:p w14:paraId="136B2824" w14:textId="77777777" w:rsidR="00CA0EF0" w:rsidRPr="00361E30" w:rsidRDefault="00CA0EF0" w:rsidP="003C13F4">
            <w:pPr>
              <w:spacing w:after="0"/>
              <w:jc w:val="center"/>
              <w:rPr>
                <w:rFonts w:eastAsia="Times New Roman"/>
              </w:rPr>
            </w:pPr>
            <w:r w:rsidRPr="00361E30">
              <w:rPr>
                <w:rFonts w:eastAsia="Times New Roman" w:cstheme="minorHAnsi"/>
              </w:rPr>
              <w:t>√</w:t>
            </w:r>
          </w:p>
        </w:tc>
        <w:tc>
          <w:tcPr>
            <w:tcW w:w="900" w:type="dxa"/>
            <w:vAlign w:val="center"/>
          </w:tcPr>
          <w:p w14:paraId="10EFAEDE" w14:textId="77777777" w:rsidR="00CA0EF0" w:rsidRPr="00361E30" w:rsidRDefault="00CA0EF0" w:rsidP="003C13F4">
            <w:pPr>
              <w:spacing w:after="0"/>
              <w:jc w:val="center"/>
              <w:rPr>
                <w:rFonts w:eastAsia="Times New Roman"/>
              </w:rPr>
            </w:pPr>
          </w:p>
        </w:tc>
        <w:tc>
          <w:tcPr>
            <w:tcW w:w="900" w:type="dxa"/>
            <w:vAlign w:val="center"/>
          </w:tcPr>
          <w:p w14:paraId="5614408E" w14:textId="77777777" w:rsidR="00CA0EF0" w:rsidRPr="00361E30" w:rsidRDefault="00CA0EF0" w:rsidP="003C13F4">
            <w:pPr>
              <w:spacing w:after="0"/>
              <w:jc w:val="center"/>
              <w:rPr>
                <w:rFonts w:eastAsia="Times New Roman"/>
              </w:rPr>
            </w:pPr>
          </w:p>
        </w:tc>
        <w:tc>
          <w:tcPr>
            <w:tcW w:w="900" w:type="dxa"/>
            <w:vAlign w:val="center"/>
          </w:tcPr>
          <w:p w14:paraId="61FD737B" w14:textId="77777777" w:rsidR="00CA0EF0" w:rsidRPr="00361E30" w:rsidRDefault="00CA0EF0" w:rsidP="003C13F4">
            <w:pPr>
              <w:spacing w:after="0"/>
              <w:jc w:val="center"/>
              <w:rPr>
                <w:rFonts w:eastAsia="Times New Roman"/>
              </w:rPr>
            </w:pPr>
          </w:p>
        </w:tc>
      </w:tr>
      <w:tr w:rsidR="00CA0EF0" w:rsidRPr="00361E30" w14:paraId="09706075" w14:textId="77777777" w:rsidTr="003C13F4">
        <w:tc>
          <w:tcPr>
            <w:tcW w:w="1998" w:type="dxa"/>
            <w:vAlign w:val="center"/>
          </w:tcPr>
          <w:p w14:paraId="7850341A" w14:textId="77777777" w:rsidR="00CA0EF0" w:rsidRPr="00361E30" w:rsidRDefault="00CA0EF0" w:rsidP="003C13F4">
            <w:pPr>
              <w:spacing w:after="0"/>
              <w:jc w:val="left"/>
              <w:rPr>
                <w:rFonts w:ascii="Calibri" w:hAnsi="Calibri"/>
              </w:rPr>
            </w:pPr>
            <w:r w:rsidRPr="00361E30">
              <w:rPr>
                <w:rFonts w:ascii="Calibri" w:hAnsi="Calibri"/>
              </w:rPr>
              <w:t>Scheetz</w:t>
            </w:r>
          </w:p>
        </w:tc>
        <w:tc>
          <w:tcPr>
            <w:tcW w:w="900" w:type="dxa"/>
            <w:vAlign w:val="center"/>
          </w:tcPr>
          <w:p w14:paraId="37EBCB99" w14:textId="77777777" w:rsidR="00CA0EF0" w:rsidRPr="00361E30" w:rsidRDefault="00CA0EF0" w:rsidP="003C13F4">
            <w:pPr>
              <w:spacing w:after="0"/>
              <w:jc w:val="center"/>
              <w:rPr>
                <w:rFonts w:ascii="Calibri" w:hAnsi="Calibri"/>
              </w:rPr>
            </w:pPr>
            <w:r w:rsidRPr="00361E30">
              <w:rPr>
                <w:rFonts w:ascii="Calibri" w:hAnsi="Calibri"/>
              </w:rPr>
              <w:t>2004</w:t>
            </w:r>
          </w:p>
        </w:tc>
        <w:tc>
          <w:tcPr>
            <w:tcW w:w="1260" w:type="dxa"/>
            <w:vAlign w:val="center"/>
          </w:tcPr>
          <w:p w14:paraId="6BEE73B0" w14:textId="77777777" w:rsidR="00CA0EF0" w:rsidRPr="00361E30" w:rsidRDefault="00CA0EF0" w:rsidP="003C13F4">
            <w:pPr>
              <w:spacing w:after="0"/>
              <w:jc w:val="center"/>
              <w:rPr>
                <w:rFonts w:ascii="Calibri" w:hAnsi="Calibri"/>
              </w:rPr>
            </w:pPr>
            <w:r w:rsidRPr="00361E30">
              <w:rPr>
                <w:rFonts w:ascii="Calibri" w:hAnsi="Calibri"/>
              </w:rPr>
              <w:t>USA</w:t>
            </w:r>
          </w:p>
        </w:tc>
        <w:tc>
          <w:tcPr>
            <w:tcW w:w="900" w:type="dxa"/>
            <w:vAlign w:val="center"/>
          </w:tcPr>
          <w:p w14:paraId="35D90F3D" w14:textId="77777777" w:rsidR="00CA0EF0" w:rsidRPr="00361E30" w:rsidRDefault="00CA0EF0" w:rsidP="003C13F4">
            <w:pPr>
              <w:spacing w:after="0"/>
              <w:jc w:val="center"/>
              <w:rPr>
                <w:rFonts w:eastAsia="Times New Roman"/>
              </w:rPr>
            </w:pPr>
          </w:p>
        </w:tc>
        <w:tc>
          <w:tcPr>
            <w:tcW w:w="900" w:type="dxa"/>
            <w:vAlign w:val="center"/>
          </w:tcPr>
          <w:p w14:paraId="632A6B01" w14:textId="77777777" w:rsidR="00CA0EF0" w:rsidRPr="00361E30" w:rsidRDefault="00CA0EF0" w:rsidP="003C13F4">
            <w:pPr>
              <w:spacing w:after="0"/>
              <w:jc w:val="center"/>
              <w:rPr>
                <w:rFonts w:eastAsia="Times New Roman"/>
              </w:rPr>
            </w:pPr>
            <w:r w:rsidRPr="00361E30">
              <w:rPr>
                <w:rFonts w:eastAsia="Times New Roman" w:cstheme="minorHAnsi"/>
              </w:rPr>
              <w:t>√</w:t>
            </w:r>
          </w:p>
        </w:tc>
        <w:tc>
          <w:tcPr>
            <w:tcW w:w="900" w:type="dxa"/>
            <w:vAlign w:val="center"/>
          </w:tcPr>
          <w:p w14:paraId="6D57E904" w14:textId="77777777" w:rsidR="00CA0EF0" w:rsidRPr="00361E30" w:rsidRDefault="00CA0EF0" w:rsidP="003C13F4">
            <w:pPr>
              <w:spacing w:after="0"/>
              <w:jc w:val="center"/>
              <w:rPr>
                <w:rFonts w:eastAsia="Times New Roman"/>
              </w:rPr>
            </w:pPr>
          </w:p>
        </w:tc>
        <w:tc>
          <w:tcPr>
            <w:tcW w:w="900" w:type="dxa"/>
            <w:vAlign w:val="center"/>
          </w:tcPr>
          <w:p w14:paraId="60932E9E" w14:textId="77777777" w:rsidR="00CA0EF0" w:rsidRPr="00361E30" w:rsidRDefault="00CA0EF0" w:rsidP="003C13F4">
            <w:pPr>
              <w:spacing w:after="0"/>
              <w:jc w:val="center"/>
              <w:rPr>
                <w:rFonts w:eastAsia="Times New Roman"/>
              </w:rPr>
            </w:pPr>
          </w:p>
        </w:tc>
      </w:tr>
      <w:tr w:rsidR="00CA0EF0" w:rsidRPr="00361E30" w14:paraId="06515382" w14:textId="77777777" w:rsidTr="003C13F4">
        <w:tc>
          <w:tcPr>
            <w:tcW w:w="1998" w:type="dxa"/>
            <w:tcBorders>
              <w:bottom w:val="single" w:sz="4" w:space="0" w:color="auto"/>
            </w:tcBorders>
            <w:vAlign w:val="center"/>
          </w:tcPr>
          <w:p w14:paraId="3731220D" w14:textId="77777777" w:rsidR="00CA0EF0" w:rsidRPr="00361E30" w:rsidRDefault="00CA0EF0" w:rsidP="003C13F4">
            <w:pPr>
              <w:spacing w:after="0"/>
              <w:jc w:val="left"/>
              <w:rPr>
                <w:rFonts w:ascii="Calibri" w:hAnsi="Calibri"/>
              </w:rPr>
            </w:pPr>
            <w:r w:rsidRPr="00361E30">
              <w:rPr>
                <w:rFonts w:ascii="Calibri" w:hAnsi="Calibri"/>
              </w:rPr>
              <w:t>Scheetz</w:t>
            </w:r>
          </w:p>
        </w:tc>
        <w:tc>
          <w:tcPr>
            <w:tcW w:w="900" w:type="dxa"/>
            <w:tcBorders>
              <w:bottom w:val="single" w:sz="4" w:space="0" w:color="auto"/>
            </w:tcBorders>
            <w:vAlign w:val="center"/>
          </w:tcPr>
          <w:p w14:paraId="72F41361" w14:textId="77777777" w:rsidR="00CA0EF0" w:rsidRPr="00361E30" w:rsidRDefault="00CA0EF0" w:rsidP="003C13F4">
            <w:pPr>
              <w:spacing w:after="0"/>
              <w:jc w:val="center"/>
              <w:rPr>
                <w:rFonts w:ascii="Calibri" w:hAnsi="Calibri"/>
              </w:rPr>
            </w:pPr>
            <w:r w:rsidRPr="00361E30">
              <w:rPr>
                <w:rFonts w:ascii="Calibri" w:hAnsi="Calibri"/>
              </w:rPr>
              <w:t>2003</w:t>
            </w:r>
          </w:p>
        </w:tc>
        <w:tc>
          <w:tcPr>
            <w:tcW w:w="1260" w:type="dxa"/>
            <w:tcBorders>
              <w:bottom w:val="single" w:sz="4" w:space="0" w:color="auto"/>
            </w:tcBorders>
            <w:vAlign w:val="center"/>
          </w:tcPr>
          <w:p w14:paraId="18985518" w14:textId="77777777" w:rsidR="00CA0EF0" w:rsidRPr="00361E30" w:rsidRDefault="00CA0EF0" w:rsidP="003C13F4">
            <w:pPr>
              <w:spacing w:after="0"/>
              <w:jc w:val="center"/>
              <w:rPr>
                <w:rFonts w:ascii="Calibri" w:hAnsi="Calibri"/>
              </w:rPr>
            </w:pPr>
            <w:r w:rsidRPr="00361E30">
              <w:rPr>
                <w:rFonts w:ascii="Calibri" w:hAnsi="Calibri"/>
              </w:rPr>
              <w:t>USA</w:t>
            </w:r>
          </w:p>
        </w:tc>
        <w:tc>
          <w:tcPr>
            <w:tcW w:w="900" w:type="dxa"/>
            <w:tcBorders>
              <w:bottom w:val="single" w:sz="4" w:space="0" w:color="auto"/>
            </w:tcBorders>
            <w:vAlign w:val="center"/>
          </w:tcPr>
          <w:p w14:paraId="27054014" w14:textId="77777777" w:rsidR="00CA0EF0" w:rsidRPr="00361E30" w:rsidRDefault="00CA0EF0" w:rsidP="003C13F4">
            <w:pPr>
              <w:spacing w:after="0"/>
              <w:jc w:val="center"/>
              <w:rPr>
                <w:rFonts w:eastAsia="Times New Roman"/>
              </w:rPr>
            </w:pPr>
            <w:r w:rsidRPr="00361E30">
              <w:rPr>
                <w:rFonts w:eastAsia="Times New Roman" w:cstheme="minorHAnsi"/>
              </w:rPr>
              <w:t>√</w:t>
            </w:r>
          </w:p>
        </w:tc>
        <w:tc>
          <w:tcPr>
            <w:tcW w:w="900" w:type="dxa"/>
            <w:tcBorders>
              <w:bottom w:val="single" w:sz="4" w:space="0" w:color="auto"/>
            </w:tcBorders>
            <w:vAlign w:val="center"/>
          </w:tcPr>
          <w:p w14:paraId="0F780840" w14:textId="77777777" w:rsidR="00CA0EF0" w:rsidRPr="00361E30" w:rsidRDefault="00CA0EF0" w:rsidP="003C13F4">
            <w:pPr>
              <w:spacing w:after="0"/>
              <w:jc w:val="center"/>
              <w:rPr>
                <w:rFonts w:eastAsia="Times New Roman"/>
              </w:rPr>
            </w:pPr>
          </w:p>
        </w:tc>
        <w:tc>
          <w:tcPr>
            <w:tcW w:w="900" w:type="dxa"/>
            <w:tcBorders>
              <w:bottom w:val="single" w:sz="4" w:space="0" w:color="auto"/>
            </w:tcBorders>
            <w:vAlign w:val="center"/>
          </w:tcPr>
          <w:p w14:paraId="0AE12F95" w14:textId="77777777" w:rsidR="00CA0EF0" w:rsidRPr="00361E30" w:rsidRDefault="00CA0EF0" w:rsidP="003C13F4">
            <w:pPr>
              <w:spacing w:after="0"/>
              <w:jc w:val="center"/>
              <w:rPr>
                <w:rFonts w:eastAsia="Times New Roman"/>
              </w:rPr>
            </w:pPr>
          </w:p>
        </w:tc>
        <w:tc>
          <w:tcPr>
            <w:tcW w:w="900" w:type="dxa"/>
            <w:tcBorders>
              <w:bottom w:val="single" w:sz="4" w:space="0" w:color="auto"/>
            </w:tcBorders>
            <w:vAlign w:val="center"/>
          </w:tcPr>
          <w:p w14:paraId="7BEB20AC" w14:textId="77777777" w:rsidR="00CA0EF0" w:rsidRPr="00361E30" w:rsidRDefault="00CA0EF0" w:rsidP="003C13F4">
            <w:pPr>
              <w:spacing w:after="0"/>
              <w:jc w:val="center"/>
              <w:rPr>
                <w:rFonts w:eastAsia="Times New Roman"/>
              </w:rPr>
            </w:pPr>
          </w:p>
        </w:tc>
      </w:tr>
    </w:tbl>
    <w:p w14:paraId="78FD60CA" w14:textId="77777777" w:rsidR="00CA0EF0" w:rsidRPr="00361E30" w:rsidRDefault="00CA0EF0" w:rsidP="003C13F4">
      <w:pPr>
        <w:pStyle w:val="TableTitle"/>
      </w:pPr>
      <w:bookmarkStart w:id="70" w:name="_Toc528321039"/>
      <w:r w:rsidRPr="00361E30">
        <w:t>Table 2.4: Summary of studies comparing trauma care in older and younger patients</w:t>
      </w:r>
      <w:bookmarkEnd w:id="70"/>
    </w:p>
    <w:p w14:paraId="2B7718ED" w14:textId="77777777" w:rsidR="00CA0EF0" w:rsidRPr="00361E30" w:rsidRDefault="00CA0EF0" w:rsidP="003C13F4">
      <w:pPr>
        <w:pStyle w:val="Heading2"/>
      </w:pPr>
      <w:bookmarkStart w:id="71" w:name="_Toc1902255"/>
      <w:r w:rsidRPr="00361E30">
        <w:lastRenderedPageBreak/>
        <w:t>2.4.4</w:t>
      </w:r>
      <w:r w:rsidRPr="00361E30">
        <w:tab/>
        <w:t>Differences in Trauma Care Provided to Older and Younger Patients</w:t>
      </w:r>
      <w:bookmarkEnd w:id="71"/>
    </w:p>
    <w:p w14:paraId="1303F32C" w14:textId="77777777" w:rsidR="00CA0EF0" w:rsidRPr="00361E30" w:rsidRDefault="00CA0EF0" w:rsidP="003C13F4">
      <w:r w:rsidRPr="00361E30">
        <w:t xml:space="preserve">Nine studies reported differences in trauma care provided to older and younger patients (Table 2.4). Of these, two investigated the accuracy of pre-hospital triage when applied to older trauma patients, while one assessed the accuracy of Emergency Department triage when applied to older patients </w:t>
      </w:r>
      <w:r w:rsidRPr="00361E30">
        <w:rPr>
          <w:noProof/>
        </w:rPr>
        <w:t>(Lukin et al. 2015, Nakamura et al.</w:t>
      </w:r>
      <w:r w:rsidR="009A5594" w:rsidRPr="00361E30">
        <w:rPr>
          <w:noProof/>
        </w:rPr>
        <w:t xml:space="preserve"> 2012, Scheetz</w:t>
      </w:r>
      <w:r w:rsidRPr="00361E30">
        <w:rPr>
          <w:noProof/>
        </w:rPr>
        <w:t xml:space="preserve"> 2003)</w:t>
      </w:r>
      <w:r w:rsidRPr="00361E30">
        <w:t xml:space="preserve">. Two investigated the probability of receiving definitive care at a trauma centre with increasing age, three reported on the likelihood of older head injured patients being transferred to a neurosurgical centre and one reported on the odds of older patients having a surgical operation following trauma </w:t>
      </w:r>
      <w:r w:rsidRPr="00361E30">
        <w:rPr>
          <w:noProof/>
        </w:rPr>
        <w:t>(Grant et al. 2000, Kirkman et al. 2013, Lane</w:t>
      </w:r>
      <w:r w:rsidR="00F13800" w:rsidRPr="00361E30">
        <w:rPr>
          <w:noProof/>
        </w:rPr>
        <w:t xml:space="preserve"> et al.</w:t>
      </w:r>
      <w:r w:rsidR="007F7E67" w:rsidRPr="00361E30">
        <w:rPr>
          <w:noProof/>
        </w:rPr>
        <w:t xml:space="preserve"> 2003, Moore</w:t>
      </w:r>
      <w:r w:rsidRPr="00361E30">
        <w:rPr>
          <w:noProof/>
        </w:rPr>
        <w:t xml:space="preserve"> et al. 2012, Scheetz 2004)</w:t>
      </w:r>
      <w:r w:rsidRPr="00361E30">
        <w:t>. Appendix 3 provides details of the findings of these studies.</w:t>
      </w:r>
    </w:p>
    <w:p w14:paraId="1994A5DF" w14:textId="77777777" w:rsidR="00CA0EF0" w:rsidRPr="00361E30" w:rsidRDefault="00CA0EF0" w:rsidP="003C13F4">
      <w:pPr>
        <w:pStyle w:val="Heading3"/>
      </w:pPr>
      <w:r w:rsidRPr="00361E30">
        <w:t xml:space="preserve">2.4.4.1 </w:t>
      </w:r>
      <w:r w:rsidRPr="00361E30">
        <w:tab/>
        <w:t xml:space="preserve">Accuracy of Pre-Hospital and Emergency Department Triage </w:t>
      </w:r>
    </w:p>
    <w:p w14:paraId="76AC090A" w14:textId="77777777" w:rsidR="00CA0EF0" w:rsidRPr="00361E30" w:rsidRDefault="00CA0EF0" w:rsidP="003C13F4">
      <w:pPr>
        <w:autoSpaceDE w:val="0"/>
        <w:autoSpaceDN w:val="0"/>
        <w:adjustRightInd w:val="0"/>
        <w:spacing w:after="0"/>
        <w:rPr>
          <w:rFonts w:cs="FranklinGothic-Book"/>
        </w:rPr>
      </w:pPr>
      <w:r w:rsidRPr="00361E30">
        <w:t>Nakamura et al</w:t>
      </w:r>
      <w:r w:rsidR="00FC3457" w:rsidRPr="00361E30">
        <w:t xml:space="preserve"> (2012)</w:t>
      </w:r>
      <w:r w:rsidRPr="00361E30">
        <w:t xml:space="preserve"> compared rates of under-triage of major trauma patients attended by EMS 911 services in 6 regions of the Western United States, when different triage criteria were applied. Under-triage was defined as patients with an injury severity score of ≥16 who were either not triaged as major trauma or not transported to a major trauma centre. The researchers found significantly greater under-triage of older patients, even after adjusting for clinical covariates, such as injury severity or physiological status</w:t>
      </w:r>
      <w:r w:rsidRPr="00361E30">
        <w:rPr>
          <w:rFonts w:cs="FranklinGothic-Book"/>
        </w:rPr>
        <w:t xml:space="preserve">. Rates of under-triage started to rise after age 60 years. In patients aged &gt;90 years, 60% had been under-triaged </w:t>
      </w:r>
      <w:r w:rsidRPr="00361E30">
        <w:rPr>
          <w:rFonts w:cs="FranklinGothic-Book"/>
          <w:noProof/>
        </w:rPr>
        <w:t>(Nakamura et al. 2012)</w:t>
      </w:r>
      <w:r w:rsidRPr="00361E30">
        <w:rPr>
          <w:rFonts w:cs="FranklinGothic-Book"/>
        </w:rPr>
        <w:t>. Scheetz (2003) investigated the rates of under-triage of older patients injured in motor vehicle collisions (MVCs). The authors found a wide variation in the ability of pre-hospital triage tools to identify seriously injured patients (ISS ≥16). The rates of under-triage were lowest in young males (8%) and highest in older males (18%), while in younger and older females, the rates were between these va</w:t>
      </w:r>
      <w:r w:rsidR="009A5594" w:rsidRPr="00361E30">
        <w:rPr>
          <w:rFonts w:cs="FranklinGothic-Book"/>
        </w:rPr>
        <w:t>lues (12% and 15% respectively)</w:t>
      </w:r>
      <w:r w:rsidRPr="00361E30">
        <w:rPr>
          <w:rFonts w:cs="FranklinGothic-Book"/>
        </w:rPr>
        <w:t>.</w:t>
      </w:r>
    </w:p>
    <w:p w14:paraId="40E3CB34" w14:textId="77777777" w:rsidR="00CA0EF0" w:rsidRPr="00361E30" w:rsidRDefault="00CA0EF0" w:rsidP="003C13F4">
      <w:pPr>
        <w:autoSpaceDE w:val="0"/>
        <w:autoSpaceDN w:val="0"/>
        <w:adjustRightInd w:val="0"/>
        <w:spacing w:after="0"/>
        <w:ind w:firstLine="720"/>
      </w:pPr>
      <w:r w:rsidRPr="00361E30">
        <w:rPr>
          <w:rFonts w:cs="FranklinGothic-Book"/>
        </w:rPr>
        <w:t>A 2017 Australian study by Lukin et al</w:t>
      </w:r>
      <w:r w:rsidR="00F516F0" w:rsidRPr="00361E30">
        <w:rPr>
          <w:rFonts w:cs="FranklinGothic-Book"/>
        </w:rPr>
        <w:t>. (2015)</w:t>
      </w:r>
      <w:r w:rsidRPr="00361E30">
        <w:rPr>
          <w:rFonts w:cs="FranklinGothic-Book"/>
        </w:rPr>
        <w:t xml:space="preserve"> compared the performance of the Australian Triage Score (ATS) when applied to younger and older major trauma patients. Patients aged 55 – 74 years and those aged </w:t>
      </w:r>
      <w:r w:rsidRPr="00361E30">
        <w:rPr>
          <w:rFonts w:cstheme="minorHAnsi"/>
        </w:rPr>
        <w:t>≥</w:t>
      </w:r>
      <w:r w:rsidRPr="00361E30">
        <w:rPr>
          <w:rFonts w:cs="FranklinGothic-Book"/>
        </w:rPr>
        <w:t xml:space="preserve">75 years were significantly less likely to be triaged to the highest (most acute) triage categories (ATS categories 1 and 2), after adjusting for injury severity score (ISS), revised trauma score (RTS), injury characteristics and acute care factors. The adjusted odds of being triaged to ATS categories 1 and 2 were 0.68 (95% CI 0.57 to 0.81) for patients aged 55 to 74 years old and 0.46 (95% CI 0.37 to 0.56) for those aged </w:t>
      </w:r>
      <w:r w:rsidRPr="00361E30">
        <w:rPr>
          <w:rFonts w:cstheme="minorHAnsi"/>
        </w:rPr>
        <w:t>≥</w:t>
      </w:r>
      <w:r w:rsidR="00F516F0" w:rsidRPr="00361E30">
        <w:rPr>
          <w:rFonts w:cs="FranklinGothic-Book"/>
        </w:rPr>
        <w:t>75 years</w:t>
      </w:r>
      <w:r w:rsidRPr="00361E30">
        <w:rPr>
          <w:rFonts w:cs="FranklinGothic-Book"/>
        </w:rPr>
        <w:t>.</w:t>
      </w:r>
    </w:p>
    <w:p w14:paraId="7DF76C6B" w14:textId="77777777" w:rsidR="00CA0EF0" w:rsidRPr="00361E30" w:rsidRDefault="00CA0EF0" w:rsidP="003C13F4">
      <w:pPr>
        <w:ind w:firstLine="720"/>
      </w:pPr>
      <w:r w:rsidRPr="00361E30">
        <w:t>The under-triage of older trauma patients seen in these studies may be due to a misinterpretation of their physiology and vital signs and an underestimation of the mechanism of injury, as discussed in Sections 1.3.3 and 1.4 (Chapter 1).</w:t>
      </w:r>
    </w:p>
    <w:p w14:paraId="18073F9B" w14:textId="77777777" w:rsidR="00CA0EF0" w:rsidRPr="00361E30" w:rsidRDefault="00CA0EF0" w:rsidP="003C13F4">
      <w:pPr>
        <w:pStyle w:val="Heading3"/>
      </w:pPr>
      <w:r w:rsidRPr="00361E30">
        <w:lastRenderedPageBreak/>
        <w:t xml:space="preserve">2.4.4.2 </w:t>
      </w:r>
      <w:r w:rsidRPr="00361E30">
        <w:tab/>
        <w:t xml:space="preserve">The Likelihood of Receiving Definitive Treatment at a Trauma Centre </w:t>
      </w:r>
    </w:p>
    <w:p w14:paraId="691FE52A" w14:textId="77777777" w:rsidR="00CA0EF0" w:rsidRPr="00361E30" w:rsidRDefault="00CA0EF0" w:rsidP="003C13F4">
      <w:r w:rsidRPr="00361E30">
        <w:t xml:space="preserve">Three studies showed that older trauma patients were significantly less likely to be admitted to a trauma centre following major trauma </w:t>
      </w:r>
      <w:r w:rsidRPr="00361E30">
        <w:rPr>
          <w:noProof/>
        </w:rPr>
        <w:t>(Lane et al. 2003, Moore</w:t>
      </w:r>
      <w:r w:rsidR="007F7E67" w:rsidRPr="00361E30">
        <w:rPr>
          <w:noProof/>
        </w:rPr>
        <w:t xml:space="preserve"> et al.</w:t>
      </w:r>
      <w:r w:rsidRPr="00361E30">
        <w:rPr>
          <w:noProof/>
        </w:rPr>
        <w:t xml:space="preserve"> 2012, Scheetz 2004)</w:t>
      </w:r>
      <w:r w:rsidR="009A5594" w:rsidRPr="00361E30">
        <w:t>. Scheetz</w:t>
      </w:r>
      <w:r w:rsidRPr="00361E30">
        <w:t xml:space="preserve"> (2004) reviewed the management of major trauma patients presenting to hospitals in New Jersey. They found a significant difference in admission rates to Level 1 trauma centres between patients of different ages and genders. Older females (aged ≥65 years) were least likely to receive definitive care at a Level 1 trauma centre, while young males (aged &lt;65 years) were most likely (60% versus 82%; p &lt; 0.001). Lane et al</w:t>
      </w:r>
      <w:r w:rsidR="00F13800" w:rsidRPr="00361E30">
        <w:t>.</w:t>
      </w:r>
      <w:r w:rsidRPr="00361E30">
        <w:t xml:space="preserve"> (2003), analysing data from the Pennsylvania Trauma Registry, found that the probability of being admitted to a trauma centre was significantly lower for older patients (aged ≥65 years) with an ISS of ≥16 than for younger patients with comparable injury severity scores (36.9% versus 47%; p &lt;0.001). Moore’s study of a Canadian trauma system also found that, for any given injury severity, older trauma patients were significantly less likely to be admitted to a major trauma centre than younger patients </w:t>
      </w:r>
      <w:r w:rsidRPr="00361E30">
        <w:rPr>
          <w:noProof/>
        </w:rPr>
        <w:t>(Moore et al. 2012)</w:t>
      </w:r>
      <w:r w:rsidRPr="00361E30">
        <w:t>.</w:t>
      </w:r>
    </w:p>
    <w:p w14:paraId="07A75D85" w14:textId="77777777" w:rsidR="00CA0EF0" w:rsidRPr="00361E30" w:rsidRDefault="00CA0EF0" w:rsidP="003C13F4">
      <w:pPr>
        <w:ind w:firstLine="720"/>
      </w:pPr>
      <w:r w:rsidRPr="00361E30">
        <w:t xml:space="preserve">This suggests a systematic bias against older patients </w:t>
      </w:r>
      <w:r w:rsidR="00B62F3A" w:rsidRPr="00361E30">
        <w:t>regarding</w:t>
      </w:r>
      <w:r w:rsidRPr="00361E30">
        <w:t xml:space="preserve"> specialised trauma care. There is also a correlation between pre-hospital triage accuracy (Section 2.4.4.1) and admission to a major trauma centre </w:t>
      </w:r>
      <w:r w:rsidR="009A5594" w:rsidRPr="00361E30">
        <w:rPr>
          <w:noProof/>
        </w:rPr>
        <w:t>(Scheetz</w:t>
      </w:r>
      <w:r w:rsidRPr="00361E30">
        <w:rPr>
          <w:noProof/>
        </w:rPr>
        <w:t xml:space="preserve"> 2003, Scheetz 2004)</w:t>
      </w:r>
      <w:r w:rsidRPr="00361E30">
        <w:t>. The significance of these findings should be viewed in tandem with the findings of studies reporting the impact of trauma centre admission on mortality in older people. As discussed in Section 2.4.3.2, it is not clear that this improves survival in older trauma patients.</w:t>
      </w:r>
    </w:p>
    <w:p w14:paraId="3ABB61F4" w14:textId="77777777" w:rsidR="00CA0EF0" w:rsidRPr="00361E30" w:rsidRDefault="00CA0EF0" w:rsidP="003C13F4">
      <w:pPr>
        <w:pStyle w:val="Heading3"/>
      </w:pPr>
      <w:r w:rsidRPr="00361E30">
        <w:t xml:space="preserve">2.4.4.3 </w:t>
      </w:r>
      <w:r w:rsidRPr="00361E30">
        <w:tab/>
        <w:t>Neurosurgical care for older head injured patients</w:t>
      </w:r>
    </w:p>
    <w:p w14:paraId="41A98EAE" w14:textId="77777777" w:rsidR="00CA0EF0" w:rsidRPr="00361E30" w:rsidRDefault="00CA0EF0" w:rsidP="003C13F4">
      <w:r w:rsidRPr="00361E30">
        <w:t xml:space="preserve">Three studies investigating the likelihood of admission of patients with serious brain injury to a neurosurgical centre found that older patients were less likely to be admitted for any given severity of brain injury, compared to younger patients </w:t>
      </w:r>
      <w:r w:rsidRPr="00361E30">
        <w:rPr>
          <w:noProof/>
        </w:rPr>
        <w:t>(Grant et al. 2000, Kirkman et al. 2013, Moore et al. 2012)</w:t>
      </w:r>
      <w:r w:rsidRPr="00361E30">
        <w:t>. Grant et al</w:t>
      </w:r>
      <w:r w:rsidR="00132576" w:rsidRPr="00361E30">
        <w:t xml:space="preserve"> (2000)</w:t>
      </w:r>
      <w:r w:rsidRPr="00361E30">
        <w:t xml:space="preserve"> reviewed 11,545 seriously injured patients in Scotland between 1996 and </w:t>
      </w:r>
      <w:r w:rsidR="00B62F3A" w:rsidRPr="00361E30">
        <w:t>1998 and</w:t>
      </w:r>
      <w:r w:rsidRPr="00361E30">
        <w:t xml:space="preserve"> found that the odds of being referred to a neurosurgical centre for definitive care in patients with significant brain injuries who were not in coma was </w:t>
      </w:r>
      <w:r w:rsidRPr="00361E30">
        <w:rPr>
          <w:rFonts w:cs="AdvTimes"/>
        </w:rPr>
        <w:t>0.53 (95%CI: 0.36-0.76) in patients aged 65 years and older co</w:t>
      </w:r>
      <w:r w:rsidR="00132576" w:rsidRPr="00361E30">
        <w:rPr>
          <w:rFonts w:cs="AdvTimes"/>
        </w:rPr>
        <w:t>mpared to those aged &lt; 65 years</w:t>
      </w:r>
      <w:r w:rsidRPr="00361E30">
        <w:rPr>
          <w:rFonts w:cs="AdvTimes"/>
        </w:rPr>
        <w:t>. Kirkman et al</w:t>
      </w:r>
      <w:r w:rsidR="00F13800" w:rsidRPr="00361E30">
        <w:rPr>
          <w:rFonts w:cs="AdvTimes"/>
        </w:rPr>
        <w:t>. (2013)</w:t>
      </w:r>
      <w:r w:rsidRPr="00361E30">
        <w:rPr>
          <w:rFonts w:cs="AdvTimes"/>
        </w:rPr>
        <w:t xml:space="preserve"> compared patients with isolated cerebral </w:t>
      </w:r>
      <w:r w:rsidR="00B62F3A" w:rsidRPr="00361E30">
        <w:rPr>
          <w:rFonts w:cs="AdvTimes"/>
        </w:rPr>
        <w:t>contusions and</w:t>
      </w:r>
      <w:r w:rsidRPr="00361E30">
        <w:rPr>
          <w:rFonts w:cs="AdvTimes"/>
        </w:rPr>
        <w:t xml:space="preserve"> found that older patients (aged 65 years and over) were significantly less likely to be referred to a neurosurgical centre for their injuries compared to those aged &lt;65 years.</w:t>
      </w:r>
      <w:r w:rsidRPr="00361E30">
        <w:t xml:space="preserve"> Moore et al </w:t>
      </w:r>
      <w:r w:rsidR="007F7E67" w:rsidRPr="00361E30">
        <w:t xml:space="preserve">(2012) </w:t>
      </w:r>
      <w:r w:rsidRPr="00361E30">
        <w:t>found that patients aged ≥65 years with severe head injuries were significantly less likely to receive definitive care in a Level 1 trauma centre with neurosurgery on site, compared to similar patients aged &lt;65 years (71% vs 81% of patients; p&lt;0.001).</w:t>
      </w:r>
    </w:p>
    <w:p w14:paraId="20D3762A" w14:textId="77777777" w:rsidR="00CA0EF0" w:rsidRPr="00361E30" w:rsidRDefault="00CA0EF0" w:rsidP="003C13F4">
      <w:pPr>
        <w:ind w:firstLine="720"/>
      </w:pPr>
      <w:r w:rsidRPr="00361E30">
        <w:lastRenderedPageBreak/>
        <w:t xml:space="preserve">The impact of this lower referral rate on outcome is, however, unclear.  Kirkman’s study suggested an increase in survival for patients with cerebral contusions who were admitted to neurosurgical centres, but the analysis included patients of all ages </w:t>
      </w:r>
      <w:r w:rsidR="00F13800" w:rsidRPr="00361E30">
        <w:rPr>
          <w:noProof/>
        </w:rPr>
        <w:t>(Kirkman</w:t>
      </w:r>
      <w:r w:rsidRPr="00361E30">
        <w:rPr>
          <w:noProof/>
        </w:rPr>
        <w:t xml:space="preserve"> et al. 2013)</w:t>
      </w:r>
      <w:r w:rsidRPr="00361E30">
        <w:t xml:space="preserve">. Conversely, Moore’s study of the performance of trauma centres in relation to older patients demonstrated that </w:t>
      </w:r>
      <w:r w:rsidR="00B62F3A" w:rsidRPr="00361E30">
        <w:t>most</w:t>
      </w:r>
      <w:r w:rsidRPr="00361E30">
        <w:t xml:space="preserve"> neurosurgical centres in Canada had outcomes no better than non-neurosurgical centres in relation to older head injured patients </w:t>
      </w:r>
      <w:r w:rsidRPr="00361E30">
        <w:rPr>
          <w:noProof/>
        </w:rPr>
        <w:t>(Moore et al. 2012)</w:t>
      </w:r>
      <w:r w:rsidRPr="00361E30">
        <w:t>.</w:t>
      </w:r>
    </w:p>
    <w:p w14:paraId="6B68F1A3" w14:textId="77777777" w:rsidR="00CA0EF0" w:rsidRPr="00361E30" w:rsidRDefault="00CA0EF0" w:rsidP="003C13F4">
      <w:pPr>
        <w:pStyle w:val="Heading3"/>
      </w:pPr>
      <w:r w:rsidRPr="00361E30">
        <w:t xml:space="preserve">2.4.4.4 </w:t>
      </w:r>
      <w:r w:rsidRPr="00361E30">
        <w:tab/>
        <w:t>Surgical intervention for trauma in older patients</w:t>
      </w:r>
    </w:p>
    <w:p w14:paraId="340AE5E3" w14:textId="77777777" w:rsidR="00CA0EF0" w:rsidRPr="00361E30" w:rsidRDefault="00CA0EF0" w:rsidP="003C13F4">
      <w:pPr>
        <w:pStyle w:val="ListParagraph"/>
        <w:rPr>
          <w:rFonts w:cs="AdvHlc"/>
        </w:rPr>
      </w:pPr>
      <w:r w:rsidRPr="00361E30">
        <w:t xml:space="preserve">Giannoudis’ finding that older patients presenting to a Level 1 trauma centre are less likely to be offered surgical intervention concurs with the general trend of less aggressive care for older trauma patients. As mentioned in Section 2.4.3.4, there is some evidence that the reduced likelihood of operating on older trauma patients may be associated with an increased risk of death </w:t>
      </w:r>
      <w:r w:rsidRPr="00361E30">
        <w:rPr>
          <w:noProof/>
        </w:rPr>
        <w:t>(Aitken</w:t>
      </w:r>
      <w:r w:rsidR="00E84970" w:rsidRPr="00361E30">
        <w:rPr>
          <w:noProof/>
        </w:rPr>
        <w:t xml:space="preserve"> et al.</w:t>
      </w:r>
      <w:r w:rsidRPr="00361E30">
        <w:rPr>
          <w:noProof/>
        </w:rPr>
        <w:t xml:space="preserve"> 2</w:t>
      </w:r>
      <w:r w:rsidR="00E84970" w:rsidRPr="00361E30">
        <w:rPr>
          <w:noProof/>
        </w:rPr>
        <w:t>010, Richmond et al.</w:t>
      </w:r>
      <w:r w:rsidRPr="00361E30">
        <w:rPr>
          <w:noProof/>
        </w:rPr>
        <w:t xml:space="preserve"> 2002)</w:t>
      </w:r>
      <w:r w:rsidRPr="00361E30">
        <w:rPr>
          <w:rFonts w:cs="AdvHlc"/>
        </w:rPr>
        <w:t xml:space="preserve">. </w:t>
      </w:r>
    </w:p>
    <w:p w14:paraId="2122100E" w14:textId="77777777" w:rsidR="00CA0EF0" w:rsidRPr="00361E30" w:rsidRDefault="00CA0EF0" w:rsidP="003C13F4">
      <w:pPr>
        <w:pStyle w:val="Heading2"/>
      </w:pPr>
      <w:bookmarkStart w:id="72" w:name="_Toc1902256"/>
      <w:r w:rsidRPr="00361E30">
        <w:t>2.4.5</w:t>
      </w:r>
      <w:r w:rsidRPr="00361E30">
        <w:tab/>
        <w:t>Recommendations and Implications for the Empirical Study</w:t>
      </w:r>
      <w:bookmarkEnd w:id="72"/>
    </w:p>
    <w:p w14:paraId="32CEB3B7" w14:textId="77777777" w:rsidR="00CA0EF0" w:rsidRPr="00361E30" w:rsidRDefault="00CA0EF0" w:rsidP="003C13F4">
      <w:pPr>
        <w:rPr>
          <w:rFonts w:eastAsia="Times New Roman"/>
        </w:rPr>
      </w:pPr>
      <w:r w:rsidRPr="00361E30">
        <w:rPr>
          <w:rFonts w:eastAsia="Times New Roman"/>
        </w:rPr>
        <w:t>This systematic review helped to clarify current knowledge of the care process factors impacting on mortality rates in older trauma patients. Phase 1 of the proposed PhD research project for which this systematic review was undertaken tested current predictive models of mortality in major trauma in older populations (aged 65 and over</w:t>
      </w:r>
      <w:r w:rsidR="00B62F3A" w:rsidRPr="00361E30">
        <w:rPr>
          <w:rFonts w:eastAsia="Times New Roman"/>
        </w:rPr>
        <w:t>) and</w:t>
      </w:r>
      <w:r w:rsidRPr="00361E30">
        <w:rPr>
          <w:rFonts w:eastAsia="Times New Roman"/>
        </w:rPr>
        <w:t xml:space="preserve"> developed a more accurate and reliable predictive model for this age group, using data from the TARN dataset. This systematic review identified a number of care process factors that were subsequently tested in the development of this predictive model of mortality in older trauma patients. The following care process factors identified in the systematic review were included in Phase 1 of the PhD project, although it was not possible to test all due to limitations of the database:</w:t>
      </w:r>
    </w:p>
    <w:p w14:paraId="3ED14A06" w14:textId="77777777" w:rsidR="00CA0EF0" w:rsidRPr="00361E30" w:rsidRDefault="00CA0EF0" w:rsidP="003C13F4">
      <w:pPr>
        <w:pStyle w:val="ListParagraph"/>
        <w:numPr>
          <w:ilvl w:val="0"/>
          <w:numId w:val="41"/>
        </w:numPr>
        <w:rPr>
          <w:rFonts w:eastAsia="Times New Roman"/>
        </w:rPr>
      </w:pPr>
      <w:r w:rsidRPr="00361E30">
        <w:rPr>
          <w:rFonts w:eastAsia="Times New Roman"/>
        </w:rPr>
        <w:t xml:space="preserve">Accuracy of pre-hospital triage </w:t>
      </w:r>
    </w:p>
    <w:p w14:paraId="7E119A26" w14:textId="77777777" w:rsidR="00CA0EF0" w:rsidRPr="00361E30" w:rsidRDefault="00CA0EF0" w:rsidP="003C13F4">
      <w:pPr>
        <w:pStyle w:val="ListParagraph"/>
        <w:numPr>
          <w:ilvl w:val="0"/>
          <w:numId w:val="41"/>
        </w:numPr>
        <w:rPr>
          <w:rFonts w:eastAsia="Times New Roman"/>
        </w:rPr>
      </w:pPr>
      <w:r w:rsidRPr="00361E30">
        <w:rPr>
          <w:rFonts w:eastAsia="Times New Roman"/>
        </w:rPr>
        <w:t>Admission to a Major Trauma Centre (MTC) compared to a Trauma Unit (TU)</w:t>
      </w:r>
    </w:p>
    <w:p w14:paraId="04539912" w14:textId="77777777" w:rsidR="00CA0EF0" w:rsidRPr="00361E30" w:rsidRDefault="00CA0EF0" w:rsidP="003C13F4">
      <w:pPr>
        <w:pStyle w:val="ListParagraph"/>
        <w:numPr>
          <w:ilvl w:val="0"/>
          <w:numId w:val="41"/>
        </w:numPr>
        <w:rPr>
          <w:rFonts w:eastAsia="Times New Roman"/>
        </w:rPr>
      </w:pPr>
      <w:r w:rsidRPr="00361E30">
        <w:rPr>
          <w:rFonts w:eastAsia="Times New Roman"/>
        </w:rPr>
        <w:t>Admission to a dedicated neurosurgical centre, for patients with severe head injuries</w:t>
      </w:r>
    </w:p>
    <w:p w14:paraId="1624055C" w14:textId="77777777" w:rsidR="00CA0EF0" w:rsidRPr="00361E30" w:rsidRDefault="00CA0EF0" w:rsidP="003C13F4">
      <w:pPr>
        <w:pStyle w:val="ListParagraph"/>
        <w:numPr>
          <w:ilvl w:val="0"/>
          <w:numId w:val="41"/>
        </w:numPr>
        <w:rPr>
          <w:rFonts w:eastAsia="Times New Roman"/>
        </w:rPr>
      </w:pPr>
      <w:r w:rsidRPr="00361E30">
        <w:rPr>
          <w:rFonts w:eastAsia="Times New Roman"/>
        </w:rPr>
        <w:t>Admission to ICU, for severely injured patients</w:t>
      </w:r>
    </w:p>
    <w:p w14:paraId="7EEE4846" w14:textId="77777777" w:rsidR="00CA0EF0" w:rsidRPr="00361E30" w:rsidRDefault="00CA0EF0" w:rsidP="003C13F4">
      <w:pPr>
        <w:pStyle w:val="ListParagraph"/>
        <w:numPr>
          <w:ilvl w:val="0"/>
          <w:numId w:val="41"/>
        </w:numPr>
        <w:rPr>
          <w:rFonts w:eastAsia="Times New Roman"/>
        </w:rPr>
      </w:pPr>
      <w:r w:rsidRPr="00361E30">
        <w:rPr>
          <w:rFonts w:eastAsia="Times New Roman"/>
        </w:rPr>
        <w:t>Emergency laparotomy, for patients with severe abdominal injuries</w:t>
      </w:r>
    </w:p>
    <w:p w14:paraId="1657ABEE" w14:textId="77777777" w:rsidR="00CA0EF0" w:rsidRPr="00361E30" w:rsidRDefault="00CA0EF0" w:rsidP="003C13F4">
      <w:pPr>
        <w:pStyle w:val="Heading1"/>
      </w:pPr>
      <w:bookmarkStart w:id="73" w:name="_Toc1902257"/>
      <w:r w:rsidRPr="00361E30">
        <w:t>2.5</w:t>
      </w:r>
      <w:r w:rsidRPr="00361E30">
        <w:tab/>
        <w:t>Qualitative Studies of Trauma in Older People</w:t>
      </w:r>
      <w:bookmarkEnd w:id="73"/>
    </w:p>
    <w:p w14:paraId="3C6B7EBC" w14:textId="77777777" w:rsidR="00CA0EF0" w:rsidRPr="00361E30" w:rsidRDefault="00CA0EF0" w:rsidP="003C13F4">
      <w:r w:rsidRPr="00361E30">
        <w:t>The methodology of this review, including search strategy, research question, inclusion and exclusion criteria and data synthesis, are described in Section 2.2.</w:t>
      </w:r>
    </w:p>
    <w:p w14:paraId="02E9D1C2" w14:textId="77777777" w:rsidR="00CA0EF0" w:rsidRPr="00361E30" w:rsidRDefault="00CA0EF0" w:rsidP="003C13F4">
      <w:pPr>
        <w:ind w:firstLine="720"/>
      </w:pPr>
      <w:r w:rsidRPr="00361E30">
        <w:lastRenderedPageBreak/>
        <w:t>While no qualitative studies specifically exploring the factors influencing outcomes major trauma in older people were identified, two issues were considered to be relevant to the qualitative study in Phase 2. The first was the experience of older patients in the Emergency Department. The second was the circumstances surrounding falls in older people and the consequences of having fallen.</w:t>
      </w:r>
    </w:p>
    <w:p w14:paraId="5F20C2B0" w14:textId="77777777" w:rsidR="00CA0EF0" w:rsidRPr="00361E30" w:rsidRDefault="00CA0EF0" w:rsidP="003C13F4">
      <w:pPr>
        <w:pStyle w:val="Heading2"/>
      </w:pPr>
      <w:bookmarkStart w:id="74" w:name="_Toc1902258"/>
      <w:r w:rsidRPr="00361E30">
        <w:t>2.5.1</w:t>
      </w:r>
      <w:r w:rsidRPr="00361E30">
        <w:tab/>
        <w:t>Older Peoples’ Experiences in the Emergency Department</w:t>
      </w:r>
      <w:bookmarkEnd w:id="74"/>
    </w:p>
    <w:p w14:paraId="06D9B129" w14:textId="77777777" w:rsidR="00CA0EF0" w:rsidRPr="00361E30" w:rsidRDefault="00CA0EF0" w:rsidP="003C13F4">
      <w:r w:rsidRPr="00361E30">
        <w:t>Four qualitative studies specifically investigated the experiences of older people in the Em</w:t>
      </w:r>
      <w:r w:rsidR="002F446A" w:rsidRPr="00361E30">
        <w:t>ergency Department. Baraff et al. (1992</w:t>
      </w:r>
      <w:r w:rsidRPr="00361E30">
        <w:t xml:space="preserve">) conducted a series of focus groups with older patients attending different Emergency Departments in the United States. The themes that emerged included general themes about the patient experience as well as recommendations from participants to improve the service. Participants discussed feelings of anxiety regarding their illness, a lack of knowledge of how the ED works and some negative interactions with staff, particularly in relation to poor communication and a feeling of neglect. They also complained about the ED environment, which was generally too cold and noisy, and waiting times.  Further exploring the issue of waiting times, Kihlgren (2004) conducted an observational study of 20 patients aged </w:t>
      </w:r>
      <w:r w:rsidRPr="00361E30">
        <w:rPr>
          <w:rFonts w:cstheme="minorHAnsi"/>
        </w:rPr>
        <w:t>≥</w:t>
      </w:r>
      <w:r w:rsidRPr="00361E30">
        <w:t xml:space="preserve">75 years old attending a single Emergency Department in Sweden. The authors identified six issues: unpleasant waiting, unnecessary waiting, lack of good routines during the waiting stage, suffering during the waiting stage, bad feelings during the waiting stage and nursing care during the waiting stage. While nursing care during waiting was considered technically adequate, sometimes nurses’ attitudes focussed more on the medical aspects of the patients’ condition, with nurses perceived as showing inadequate empathy and caring. </w:t>
      </w:r>
    </w:p>
    <w:p w14:paraId="686E267E" w14:textId="77777777" w:rsidR="00CA0EF0" w:rsidRPr="00361E30" w:rsidRDefault="00CA0EF0" w:rsidP="003C13F4">
      <w:pPr>
        <w:ind w:firstLine="720"/>
      </w:pPr>
      <w:r w:rsidRPr="00361E30">
        <w:t>Watson et al</w:t>
      </w:r>
      <w:r w:rsidR="00826D9C" w:rsidRPr="00361E30">
        <w:t xml:space="preserve"> (1999)</w:t>
      </w:r>
      <w:r w:rsidRPr="00361E30">
        <w:t xml:space="preserve"> conducted semi-structured interviews with 12 patients aged 66 to 88 years, attending Emergency Departments in the United States. Five major themes emerged from the data, including needs for information; observations of waiting time; perceptions of professional competency and caring service; concerns about process and facility design; and personal tolerance. Participants generally found staff to be competent and caring, though some found that they were sometimes ‘talked down to’. As with Baraff’s study, participants found that the physical environment was not suited to older people.</w:t>
      </w:r>
    </w:p>
    <w:p w14:paraId="64C79D3E" w14:textId="77777777" w:rsidR="00CA0EF0" w:rsidRPr="00361E30" w:rsidRDefault="00CA0EF0" w:rsidP="003C13F4">
      <w:pPr>
        <w:ind w:firstLine="720"/>
      </w:pPr>
      <w:r w:rsidRPr="00361E30">
        <w:t>Ny</w:t>
      </w:r>
      <w:r w:rsidR="00F74113">
        <w:t>de</w:t>
      </w:r>
      <w:r w:rsidRPr="00361E30">
        <w:t xml:space="preserve">n et al (2003) explored the needs of older ED patients in Sweden, categorising these according to Marslow’s hierarchy, and found that many were unfulfilled </w:t>
      </w:r>
      <w:r w:rsidR="00FC3457" w:rsidRPr="00361E30">
        <w:rPr>
          <w:noProof/>
        </w:rPr>
        <w:t>(Nydén</w:t>
      </w:r>
      <w:r w:rsidRPr="00361E30">
        <w:rPr>
          <w:noProof/>
        </w:rPr>
        <w:t xml:space="preserve"> et al. 2003)</w:t>
      </w:r>
      <w:r w:rsidRPr="00361E30">
        <w:t xml:space="preserve">. For example, patients’ pain was not always dealt with (physiological needs), and lack of communication meant that they did not feel a part of what was going on (need for belonging). </w:t>
      </w:r>
      <w:r w:rsidRPr="00361E30">
        <w:lastRenderedPageBreak/>
        <w:t xml:space="preserve">Most patients did not feel the need to be intimately involved in decision making about their own health, leaving this up to the healthcare providers (self-actualisation). </w:t>
      </w:r>
    </w:p>
    <w:p w14:paraId="58E83BD3" w14:textId="77777777" w:rsidR="00CA0EF0" w:rsidRPr="00361E30" w:rsidRDefault="00CA0EF0" w:rsidP="003C13F4">
      <w:pPr>
        <w:pStyle w:val="Heading2"/>
        <w:rPr>
          <w:rFonts w:eastAsia="Times New Roman"/>
          <w:noProof/>
        </w:rPr>
      </w:pPr>
      <w:bookmarkStart w:id="75" w:name="_Toc1902259"/>
      <w:r w:rsidRPr="00361E30">
        <w:rPr>
          <w:rFonts w:eastAsia="Times New Roman"/>
          <w:noProof/>
        </w:rPr>
        <w:t>2.5.2</w:t>
      </w:r>
      <w:r w:rsidRPr="00361E30">
        <w:rPr>
          <w:rFonts w:eastAsia="Times New Roman"/>
          <w:noProof/>
        </w:rPr>
        <w:tab/>
        <w:t>Falls and Older People – Qualitative Research</w:t>
      </w:r>
      <w:bookmarkEnd w:id="75"/>
    </w:p>
    <w:p w14:paraId="604BE17F" w14:textId="77777777" w:rsidR="00CA0EF0" w:rsidRPr="00361E30" w:rsidRDefault="00CA0EF0" w:rsidP="003C13F4">
      <w:r w:rsidRPr="00361E30">
        <w:t xml:space="preserve">Five qualitative studies were identified that investigated falls in older people. Two of these investigated the circumstance surrounding these falls, while one explored the relationship between falls and frailty, and two explored participants’ attitudes towards falls prevention and safety respectively </w:t>
      </w:r>
      <w:r w:rsidRPr="00361E30">
        <w:rPr>
          <w:noProof/>
        </w:rPr>
        <w:t>(Berland et al., 2012, Connell et al. 1997, Faes et al. 2010, Nyman et al.</w:t>
      </w:r>
      <w:r w:rsidR="000A6550" w:rsidRPr="00361E30">
        <w:rPr>
          <w:noProof/>
        </w:rPr>
        <w:t xml:space="preserve"> 2013, Yardley </w:t>
      </w:r>
      <w:r w:rsidRPr="00361E30">
        <w:rPr>
          <w:noProof/>
        </w:rPr>
        <w:t>et al. 2006)</w:t>
      </w:r>
      <w:r w:rsidRPr="00361E30">
        <w:t xml:space="preserve">. </w:t>
      </w:r>
    </w:p>
    <w:p w14:paraId="5A16A8CA" w14:textId="77777777" w:rsidR="00CA0EF0" w:rsidRPr="00361E30" w:rsidRDefault="00CA0EF0" w:rsidP="003C13F4">
      <w:r w:rsidRPr="00361E30">
        <w:tab/>
        <w:t>Connell et al</w:t>
      </w:r>
      <w:r w:rsidR="00A670AA" w:rsidRPr="00361E30">
        <w:t xml:space="preserve"> (1997)</w:t>
      </w:r>
      <w:r w:rsidRPr="00361E30">
        <w:t xml:space="preserve"> conducted an </w:t>
      </w:r>
      <w:r w:rsidR="00B62F3A" w:rsidRPr="00361E30">
        <w:t>in-depth</w:t>
      </w:r>
      <w:r w:rsidRPr="00361E30">
        <w:t xml:space="preserve"> observational study of 15 community dwelling, healthy older people (aged 70 – 81 years) in Atlanta (USA), reporting on environmental and behavioural circumstances leading to their falls. The authors found seven patterns of falls: collisions in the dark, failing to avoid temporary hazards, preoccupation with temporary conditions, frictional variations between shoes and floor coverings, excessive environmental demands, habitual environmental use and inappropriate environmental use. They concluded that there was a dynamic interaction between environment and behaviour th</w:t>
      </w:r>
      <w:r w:rsidR="00A670AA" w:rsidRPr="00361E30">
        <w:t>at led to falls in older people</w:t>
      </w:r>
      <w:r w:rsidRPr="00361E30">
        <w:t>. Nyman et al</w:t>
      </w:r>
      <w:r w:rsidR="00834438" w:rsidRPr="00361E30">
        <w:t xml:space="preserve"> (2013)</w:t>
      </w:r>
      <w:r w:rsidRPr="00361E30">
        <w:t xml:space="preserve"> conducted focus groups with 44 patients in the United Kingdom who together had sustained 88 falls outdoors. The authors suggested that falls were more likely when crossing a road, in a familiar area, when bystanders were around, and with an unreported or unknown attribution. This study specifically looked at outdoor falls, which are more likely in healthy as opposed to infirm older people.</w:t>
      </w:r>
    </w:p>
    <w:p w14:paraId="32563D8D" w14:textId="77777777" w:rsidR="00CA0EF0" w:rsidRPr="00361E30" w:rsidRDefault="00CA0EF0" w:rsidP="003C13F4">
      <w:r w:rsidRPr="00361E30">
        <w:tab/>
        <w:t>Faes et al</w:t>
      </w:r>
      <w:r w:rsidR="00C36882" w:rsidRPr="00361E30">
        <w:t xml:space="preserve"> (2010)</w:t>
      </w:r>
      <w:r w:rsidRPr="00361E30">
        <w:t xml:space="preserve"> conducted 10 semi-structured interviews with frail older people with cognitive impairment who had experienced falls, and their caregivers. The majority of participants could not ascribe a reason for their fall, and both the elders and their carers expressed a fear of further </w:t>
      </w:r>
      <w:r w:rsidR="00B62F3A" w:rsidRPr="00361E30">
        <w:t>falls and</w:t>
      </w:r>
      <w:r w:rsidRPr="00361E30">
        <w:t xml:space="preserve"> described social isolation of the older peo</w:t>
      </w:r>
      <w:r w:rsidR="00C36882" w:rsidRPr="00361E30">
        <w:t>ple as a consequence of falling</w:t>
      </w:r>
      <w:r w:rsidRPr="00361E30">
        <w:t>. Nyman et al</w:t>
      </w:r>
      <w:r w:rsidR="00834438" w:rsidRPr="00361E30">
        <w:t xml:space="preserve"> (2013)</w:t>
      </w:r>
      <w:r w:rsidRPr="00361E30">
        <w:t xml:space="preserve"> also reported a fear of falling among their study participants, as a consequence of their initial fall. </w:t>
      </w:r>
    </w:p>
    <w:p w14:paraId="318420D7" w14:textId="77777777" w:rsidR="00CA0EF0" w:rsidRPr="00361E30" w:rsidRDefault="00CA0EF0" w:rsidP="003C13F4">
      <w:r w:rsidRPr="00361E30">
        <w:tab/>
        <w:t>Yardley et al</w:t>
      </w:r>
      <w:r w:rsidR="000A6550" w:rsidRPr="00361E30">
        <w:t xml:space="preserve"> (2006)</w:t>
      </w:r>
      <w:r w:rsidRPr="00361E30">
        <w:t xml:space="preserve"> conducted focus groups with 66 older people living in sheltered accommodation, discussing falls prevention strategies. Many participants viewed ‘falls prevention’ as hazard reduction and limitation of independence. The authors suggested that older people may see falls prevention as a potential threat to their identity and autonomy, leading to a rejection of these preventative strategies. Berland et al</w:t>
      </w:r>
      <w:r w:rsidR="0027792F" w:rsidRPr="00361E30">
        <w:t xml:space="preserve"> (2012)</w:t>
      </w:r>
      <w:r w:rsidRPr="00361E30">
        <w:t xml:space="preserve"> interviewed 20 home care nurses about patient safety and falls. The authors found that patient safety was not viewed as primary prevention and there was a lack of investigation into the causes of falls, </w:t>
      </w:r>
      <w:r w:rsidRPr="00361E30">
        <w:lastRenderedPageBreak/>
        <w:t>concluding that healthcare personnel were more concerned with the treatment of falls, rather than fall prevention and that patient’s autonomy was placed before patient safety.</w:t>
      </w:r>
    </w:p>
    <w:p w14:paraId="34ECB10C" w14:textId="77777777" w:rsidR="00CA0EF0" w:rsidRPr="00361E30" w:rsidRDefault="00CA0EF0" w:rsidP="003C13F4">
      <w:pPr>
        <w:pStyle w:val="Heading2"/>
      </w:pPr>
      <w:bookmarkStart w:id="76" w:name="_Toc1902260"/>
      <w:r w:rsidRPr="00361E30">
        <w:t>2.5.3</w:t>
      </w:r>
      <w:r w:rsidRPr="00361E30">
        <w:tab/>
        <w:t>Recommendations and Implications for the Empirical Study</w:t>
      </w:r>
      <w:bookmarkEnd w:id="76"/>
    </w:p>
    <w:p w14:paraId="7750E422" w14:textId="77777777" w:rsidR="00CA0EF0" w:rsidRPr="00361E30" w:rsidRDefault="00CA0EF0" w:rsidP="003C13F4">
      <w:r w:rsidRPr="00361E30">
        <w:t>While none of the qualitative studies identified were directly related to factors influencing outcome in older trauma patients, some useful information was gathered, which helped to frame the topic guide for the qualitative interviews in this study. The following topic areas, identified in the review, were included in the topic guide:</w:t>
      </w:r>
    </w:p>
    <w:p w14:paraId="754CF731" w14:textId="77777777" w:rsidR="00CA0EF0" w:rsidRPr="00361E30" w:rsidRDefault="00CA0EF0" w:rsidP="003C13F4">
      <w:pPr>
        <w:pStyle w:val="ListParagraph"/>
        <w:numPr>
          <w:ilvl w:val="0"/>
          <w:numId w:val="42"/>
        </w:numPr>
      </w:pPr>
      <w:r w:rsidRPr="00361E30">
        <w:t>Characteristics of older trauma patients, including their level of functional independence, their fear of injury and their social support.</w:t>
      </w:r>
    </w:p>
    <w:p w14:paraId="24B402F8" w14:textId="77777777" w:rsidR="00CA0EF0" w:rsidRPr="00361E30" w:rsidRDefault="00CA0EF0" w:rsidP="003C13F4">
      <w:pPr>
        <w:pStyle w:val="ListParagraph"/>
        <w:numPr>
          <w:ilvl w:val="0"/>
          <w:numId w:val="42"/>
        </w:numPr>
      </w:pPr>
      <w:r w:rsidRPr="00361E30">
        <w:t>Interactions between healthcare providers and older patients, including empathy, experience, communication and competence when dealing with older people.</w:t>
      </w:r>
    </w:p>
    <w:p w14:paraId="28E2BACA" w14:textId="77777777" w:rsidR="00CA0EF0" w:rsidRPr="00361E30" w:rsidRDefault="00CA0EF0" w:rsidP="003C13F4">
      <w:pPr>
        <w:pStyle w:val="ListParagraph"/>
        <w:numPr>
          <w:ilvl w:val="0"/>
          <w:numId w:val="42"/>
        </w:numPr>
      </w:pPr>
      <w:r w:rsidRPr="00361E30">
        <w:t>The importance of holistic care and a caring approach to older people.</w:t>
      </w:r>
    </w:p>
    <w:p w14:paraId="1D2490EE" w14:textId="77777777" w:rsidR="00CA0EF0" w:rsidRPr="00361E30" w:rsidRDefault="00CA0EF0" w:rsidP="003C13F4">
      <w:pPr>
        <w:pStyle w:val="Heading1"/>
      </w:pPr>
      <w:bookmarkStart w:id="77" w:name="_Toc1902261"/>
      <w:r w:rsidRPr="00361E30">
        <w:t>2.6</w:t>
      </w:r>
      <w:r w:rsidRPr="00361E30">
        <w:tab/>
        <w:t>Conclusion</w:t>
      </w:r>
      <w:bookmarkEnd w:id="77"/>
    </w:p>
    <w:p w14:paraId="1ED8C11F" w14:textId="77777777" w:rsidR="00CA0EF0" w:rsidRPr="00361E30" w:rsidRDefault="00CA0EF0" w:rsidP="003C13F4">
      <w:r w:rsidRPr="00361E30">
        <w:t xml:space="preserve">The literature reviews in this chapter provided a comprehensive list of patient characteristics and care process factors that have been previously studies with regard to their impact on survival in older trauma patients. The variables identified in these literature reviews, in conjunction with the variables currently used in the TARN PS14 predictive model, were used in the development of the regression model used to predict outcomes in older people (Phase 1 of the study: Chapter 3, </w:t>
      </w:r>
      <w:r w:rsidR="00B62F3A" w:rsidRPr="00361E30">
        <w:t>Section 3.3.3</w:t>
      </w:r>
      <w:r w:rsidRPr="00361E30">
        <w:t>).</w:t>
      </w:r>
    </w:p>
    <w:p w14:paraId="7C7580C0" w14:textId="77777777" w:rsidR="00CA0EF0" w:rsidRPr="00361E30" w:rsidRDefault="00CA0EF0" w:rsidP="003C13F4">
      <w:r w:rsidRPr="00361E30">
        <w:tab/>
        <w:t>The narrative review of qualitative studies identified important issues related to the patient experience and quality of life that were used when developing the semi-structured interviews used in Phase 2 of this thesis (Chapter 3, Section 3.3.4).</w:t>
      </w:r>
    </w:p>
    <w:p w14:paraId="42D93252" w14:textId="77777777" w:rsidR="00CA0EF0" w:rsidRPr="00361E30" w:rsidRDefault="00CA0EF0" w:rsidP="003C13F4">
      <w:r w:rsidRPr="00361E30">
        <w:tab/>
      </w:r>
      <w:r w:rsidRPr="00361E30">
        <w:br w:type="page"/>
      </w:r>
    </w:p>
    <w:p w14:paraId="216C5546" w14:textId="77777777" w:rsidR="00CA0EF0" w:rsidRPr="00361E30" w:rsidRDefault="00CA0EF0" w:rsidP="003C13F4">
      <w:pPr>
        <w:pStyle w:val="ChapterHeading"/>
      </w:pPr>
      <w:bookmarkStart w:id="78" w:name="_Toc1902262"/>
      <w:r w:rsidRPr="00361E30">
        <w:lastRenderedPageBreak/>
        <w:t>Chapter 3: Methodology and Research Methods</w:t>
      </w:r>
      <w:bookmarkEnd w:id="78"/>
    </w:p>
    <w:p w14:paraId="54101DF8" w14:textId="77777777" w:rsidR="00CA0EF0" w:rsidRPr="00361E30" w:rsidRDefault="00CA0EF0" w:rsidP="003C13F4">
      <w:pPr>
        <w:pStyle w:val="Heading1"/>
      </w:pPr>
      <w:bookmarkStart w:id="79" w:name="_Toc1902263"/>
      <w:r w:rsidRPr="00361E30">
        <w:t>3.1</w:t>
      </w:r>
      <w:r w:rsidRPr="00361E30">
        <w:tab/>
        <w:t>Introduction</w:t>
      </w:r>
      <w:bookmarkEnd w:id="79"/>
    </w:p>
    <w:p w14:paraId="095A8E23" w14:textId="77777777" w:rsidR="00CA0EF0" w:rsidRPr="00361E30" w:rsidRDefault="00CA0EF0" w:rsidP="003C13F4">
      <w:r w:rsidRPr="00361E30">
        <w:t xml:space="preserve">As discussed in Chapters 1 and 2, trauma in older people is an increasing challenge to healthcare providers worldwide </w:t>
      </w:r>
      <w:r w:rsidRPr="00361E30">
        <w:rPr>
          <w:noProof/>
        </w:rPr>
        <w:t>(Krug</w:t>
      </w:r>
      <w:r w:rsidR="00F13800" w:rsidRPr="00361E30">
        <w:rPr>
          <w:noProof/>
        </w:rPr>
        <w:t xml:space="preserve"> et al.</w:t>
      </w:r>
      <w:r w:rsidRPr="00361E30">
        <w:rPr>
          <w:noProof/>
        </w:rPr>
        <w:t xml:space="preserve"> 2000, Søreide et al. 2007, Ärnlöv and Larsson 2014)</w:t>
      </w:r>
      <w:r w:rsidRPr="00361E30">
        <w:t xml:space="preserve">. While great progress has been made in understanding trauma and its consequences, the models used to predict outcomes in major trauma are less accurate when applied to older people compared to their younger counterparts </w:t>
      </w:r>
      <w:r w:rsidRPr="00361E30">
        <w:rPr>
          <w:noProof/>
        </w:rPr>
        <w:t>(Bouamra et al. 2006a, Champion et al. 1989</w:t>
      </w:r>
      <w:r w:rsidR="0052214F" w:rsidRPr="00361E30">
        <w:rPr>
          <w:noProof/>
        </w:rPr>
        <w:t>a</w:t>
      </w:r>
      <w:r w:rsidRPr="00361E30">
        <w:rPr>
          <w:noProof/>
        </w:rPr>
        <w:t>)</w:t>
      </w:r>
      <w:r w:rsidRPr="00361E30">
        <w:t xml:space="preserve">. Little is known about the variables affecting outcome in older trauma patients compared to younger patients </w:t>
      </w:r>
      <w:r w:rsidRPr="00361E30">
        <w:rPr>
          <w:noProof/>
        </w:rPr>
        <w:t>(Demetriades</w:t>
      </w:r>
      <w:r w:rsidR="006E3532" w:rsidRPr="00361E30">
        <w:rPr>
          <w:noProof/>
        </w:rPr>
        <w:t xml:space="preserve"> et al.</w:t>
      </w:r>
      <w:r w:rsidRPr="00361E30">
        <w:rPr>
          <w:noProof/>
        </w:rPr>
        <w:t xml:space="preserve"> 2002, Giannoudis et al. 2009, Kirkman et al. 2013)</w:t>
      </w:r>
      <w:r w:rsidRPr="00361E30">
        <w:t>. These variables can be divided into patient characteristics and care process factors (including care pathways and institutional structure and culture, among others). This study aim</w:t>
      </w:r>
      <w:r w:rsidR="00C2706E">
        <w:t>ed</w:t>
      </w:r>
      <w:r w:rsidRPr="00361E30">
        <w:t xml:space="preserve"> to identify and assess the impact of patient characteristics and care process factors on mortality in older people suffering major trauma.</w:t>
      </w:r>
    </w:p>
    <w:p w14:paraId="720B7C6D" w14:textId="77777777" w:rsidR="00CA0EF0" w:rsidRPr="00361E30" w:rsidRDefault="00CA0EF0" w:rsidP="003C13F4">
      <w:pPr>
        <w:ind w:firstLine="720"/>
      </w:pPr>
      <w:r w:rsidRPr="00361E30">
        <w:t>While variations in patient characteristics and care process factors can be used to predict outcomes in individual patients, they can also be used to predict individual hospital survival rates from trauma, taking into account the variations in patients (casemix) and provision of care (care process factors) between hospitals. The variance between actual and predicted hospital survival rates can then be used as a measure of the predictive accuracy of the model for determining outcome from major trauma. A wide variation in hospital survival rates from that predicted suggests that the model is not accounting for important factors affecting survival, while a model that produces minimal variance between actual and predicted survival would be seen as a model that includes the majority of important predictive factors for survival in that patient population.</w:t>
      </w:r>
    </w:p>
    <w:p w14:paraId="3DB145C7" w14:textId="77777777" w:rsidR="00CA0EF0" w:rsidRPr="00361E30" w:rsidRDefault="00CA0EF0" w:rsidP="003C13F4">
      <w:pPr>
        <w:pStyle w:val="Heading1"/>
      </w:pPr>
      <w:bookmarkStart w:id="80" w:name="_Toc1902264"/>
      <w:r w:rsidRPr="00361E30">
        <w:t>3.2</w:t>
      </w:r>
      <w:r w:rsidRPr="00361E30">
        <w:tab/>
        <w:t>Overview of Methodology and Study Design</w:t>
      </w:r>
      <w:bookmarkEnd w:id="80"/>
    </w:p>
    <w:p w14:paraId="54CEB796" w14:textId="77777777" w:rsidR="00CA0EF0" w:rsidRPr="00361E30" w:rsidRDefault="00CA0EF0" w:rsidP="003C13F4">
      <w:r w:rsidRPr="00361E30">
        <w:t xml:space="preserve">This study used a sequential mixed methods design. Mixed methods research has been described as any research design that consists of “two separate components of data collection and analysis within a single study: at least one quantitative method with structured data collection and statistical analysis, and at least one qualitative method with less structured data collection and thematic analysis” </w:t>
      </w:r>
      <w:r w:rsidRPr="00361E30">
        <w:rPr>
          <w:noProof/>
        </w:rPr>
        <w:t>(O'Cathain et al. 2008)</w:t>
      </w:r>
      <w:r w:rsidRPr="00361E30">
        <w:t xml:space="preserve">. An important aspect of such studies is the integration of data and findings from the qualitative and quantitative arms of the study </w:t>
      </w:r>
      <w:r w:rsidRPr="00361E30">
        <w:rPr>
          <w:noProof/>
        </w:rPr>
        <w:t>(O’Cathain, Murphy et al., 2010)</w:t>
      </w:r>
      <w:r w:rsidRPr="00361E30">
        <w:t xml:space="preserve">. Many researchers have justified the use of mixed methods research as allowing studies to address research questions more comprehensively. Qualitative research methods can help conceptualise models used in quantitative research, for example </w:t>
      </w:r>
      <w:r w:rsidRPr="00361E30">
        <w:lastRenderedPageBreak/>
        <w:t xml:space="preserve">providing a deeper understanding of the concepts and assumptions underlying predictive models in regression analysis </w:t>
      </w:r>
      <w:r w:rsidRPr="00361E30">
        <w:rPr>
          <w:noProof/>
        </w:rPr>
        <w:t>(O’Cathain, Knowles et al., 2013)</w:t>
      </w:r>
      <w:r w:rsidRPr="00361E30">
        <w:t>. They can also provide explanatory concept</w:t>
      </w:r>
      <w:r w:rsidR="0086439C">
        <w:t>s</w:t>
      </w:r>
      <w:r w:rsidRPr="00361E30">
        <w:t xml:space="preserve"> for quantitative findings, particularly those which do not fit the original quantitative hypothesis on face value </w:t>
      </w:r>
      <w:r w:rsidRPr="00361E30">
        <w:rPr>
          <w:noProof/>
        </w:rPr>
        <w:t>(Fry et al. 1981)</w:t>
      </w:r>
      <w:r w:rsidRPr="00361E30">
        <w:t xml:space="preserve">. In so doing qualitative research methods can generate further hypotheses for testing, using quantitative analysis </w:t>
      </w:r>
      <w:r w:rsidR="002145A9" w:rsidRPr="00361E30">
        <w:rPr>
          <w:noProof/>
        </w:rPr>
        <w:t xml:space="preserve">(O’Cathain </w:t>
      </w:r>
      <w:r w:rsidRPr="00361E30">
        <w:rPr>
          <w:noProof/>
        </w:rPr>
        <w:t>et al. 2010)</w:t>
      </w:r>
      <w:r w:rsidRPr="00361E30">
        <w:t>.</w:t>
      </w:r>
    </w:p>
    <w:p w14:paraId="1965DC99" w14:textId="77777777" w:rsidR="00CA0EF0" w:rsidRPr="00361E30" w:rsidRDefault="00CA0EF0" w:rsidP="003C13F4">
      <w:pPr>
        <w:pStyle w:val="Heading2"/>
      </w:pPr>
      <w:bookmarkStart w:id="81" w:name="_Toc1902265"/>
      <w:r w:rsidRPr="00361E30">
        <w:t>3.2.1</w:t>
      </w:r>
      <w:r w:rsidRPr="00361E30">
        <w:tab/>
        <w:t>Qualitative Residual Analysis</w:t>
      </w:r>
      <w:bookmarkEnd w:id="81"/>
    </w:p>
    <w:p w14:paraId="73CC8AA8" w14:textId="77777777" w:rsidR="00CA0EF0" w:rsidRPr="00361E30" w:rsidRDefault="00CA0EF0" w:rsidP="003C13F4">
      <w:pPr>
        <w:ind w:firstLine="720"/>
      </w:pPr>
      <w:r w:rsidRPr="00361E30">
        <w:t>In this study, qualitative residual analysis (QRA) was adopted to fully explore the impact of patient characteristics and care process factors on outcomes in older trauma patients and on hospital survival rates for this group of patients. This study design was first described by Fry</w:t>
      </w:r>
      <w:r w:rsidR="00457606" w:rsidRPr="00361E30">
        <w:t xml:space="preserve"> et al</w:t>
      </w:r>
      <w:r w:rsidRPr="00361E30">
        <w:t xml:space="preserve"> </w:t>
      </w:r>
      <w:r w:rsidR="006C4158" w:rsidRPr="00361E30">
        <w:t>(</w:t>
      </w:r>
      <w:r w:rsidRPr="00361E30">
        <w:t>1981</w:t>
      </w:r>
      <w:r w:rsidR="006C4158" w:rsidRPr="00361E30">
        <w:t>)</w:t>
      </w:r>
      <w:r w:rsidRPr="00361E30">
        <w:t xml:space="preserve"> as ‘ethnographic residual analysis’. While ethnography was used in Fry’s original study, ethnography is not always used, and where interviews and focus groups alone are used the approach is known as qualitative residual analysis, as described by Onwuegbuzie </w:t>
      </w:r>
      <w:r w:rsidR="006C4158" w:rsidRPr="00361E30">
        <w:rPr>
          <w:noProof/>
        </w:rPr>
        <w:t>(</w:t>
      </w:r>
      <w:r w:rsidR="00EF5010" w:rsidRPr="00361E30">
        <w:rPr>
          <w:noProof/>
        </w:rPr>
        <w:t>Onwuegbuzie and Teddlie</w:t>
      </w:r>
      <w:r w:rsidRPr="00361E30">
        <w:rPr>
          <w:noProof/>
        </w:rPr>
        <w:t xml:space="preserve"> 2003)</w:t>
      </w:r>
      <w:r w:rsidRPr="00361E30">
        <w:t>. QRA is a sequential mixed methods approach which uses regression modelling to test the predictive accuracy of known variables in determining a pre-determined outcome (in this case hospital survival rates from major trauma), then applies qualitative methods to explore potential additional factors that may contribute to the prediction model and finally applies these additional variables to the existing model to ascertain whether they help to reduce the unexplained variance in outcomes between groups to which the model is being applied (in this case, trauma receiving hospitals). The strength of this approach is that it acknowledges the role of previously identified variables in the predictive model, but explores the potential for identification of additional, previously unrecognised variables through qualitative research methods. Ultimately the methodology also allows for quantitative testing of the impact of any new variables on the predictive accuracy of the model.</w:t>
      </w:r>
    </w:p>
    <w:p w14:paraId="08F04E43" w14:textId="77777777" w:rsidR="00CA0EF0" w:rsidRPr="00361E30" w:rsidRDefault="00CA0EF0" w:rsidP="003C13F4">
      <w:pPr>
        <w:pStyle w:val="Heading2"/>
      </w:pPr>
      <w:bookmarkStart w:id="82" w:name="_Toc1902266"/>
      <w:r w:rsidRPr="00361E30">
        <w:t>3.2.2</w:t>
      </w:r>
      <w:r w:rsidRPr="00361E30">
        <w:tab/>
        <w:t>Justification of the Research Methodology and Design</w:t>
      </w:r>
      <w:bookmarkEnd w:id="82"/>
    </w:p>
    <w:p w14:paraId="05F7244E" w14:textId="77777777" w:rsidR="00CA0EF0" w:rsidRPr="00361E30" w:rsidRDefault="00CA0EF0" w:rsidP="003C13F4">
      <w:r w:rsidRPr="00361E30">
        <w:t xml:space="preserve">Proponents of QRA argue that not all of the relationships between different factors affecting outcomes can be adequately explained using a quantitative approach, partly because of the narrow (‘research-centric’) perspective of quantitative research methods, which may leave the investigators blind to possible explanations that lie outside of the particular conceptual framework of current scientific knowledge, and partly because of the lack of contextual knowledge of the phenomenon under consideration </w:t>
      </w:r>
      <w:r w:rsidRPr="00361E30">
        <w:rPr>
          <w:noProof/>
        </w:rPr>
        <w:t>(</w:t>
      </w:r>
      <w:r w:rsidR="00C832C7" w:rsidRPr="00361E30">
        <w:rPr>
          <w:noProof/>
        </w:rPr>
        <w:t>Ritchie 2013</w:t>
      </w:r>
      <w:r w:rsidRPr="00361E30">
        <w:rPr>
          <w:noProof/>
        </w:rPr>
        <w:t>, Mason 2002)</w:t>
      </w:r>
      <w:r w:rsidRPr="00361E30">
        <w:t>. To use the example of risk factors for mortality from trauma in older people, current quantitative methods in this field tend to measure factors that are ‘</w:t>
      </w:r>
      <w:r w:rsidR="00B62F3A" w:rsidRPr="00361E30">
        <w:t>measurable</w:t>
      </w:r>
      <w:r w:rsidRPr="00361E30">
        <w:t xml:space="preserve">’, such as age, mechanism of injury, injury severity and so on </w:t>
      </w:r>
      <w:r w:rsidRPr="00361E30">
        <w:rPr>
          <w:noProof/>
        </w:rPr>
        <w:t>(Champion et al. 1989</w:t>
      </w:r>
      <w:r w:rsidR="0052214F" w:rsidRPr="00361E30">
        <w:rPr>
          <w:noProof/>
        </w:rPr>
        <w:t>b</w:t>
      </w:r>
      <w:r w:rsidRPr="00361E30">
        <w:rPr>
          <w:noProof/>
        </w:rPr>
        <w:t>, Giannoudis et al.</w:t>
      </w:r>
      <w:r w:rsidR="00F13800" w:rsidRPr="00361E30">
        <w:rPr>
          <w:noProof/>
        </w:rPr>
        <w:t xml:space="preserve"> 2009, Laupland</w:t>
      </w:r>
      <w:r w:rsidRPr="00361E30">
        <w:rPr>
          <w:noProof/>
        </w:rPr>
        <w:t xml:space="preserve"> et al. </w:t>
      </w:r>
      <w:r w:rsidRPr="00361E30">
        <w:rPr>
          <w:noProof/>
        </w:rPr>
        <w:lastRenderedPageBreak/>
        <w:t>2005, Yeung et al. 2008)</w:t>
      </w:r>
      <w:r w:rsidRPr="00361E30">
        <w:t>. However, other social and institutional factors which may be relevant (for example, patients’ ability to cope with major life events, socio-economic status, patients’ health beliefs and expectations, health providers’ attitudes to older people and their institutions’ ability to cope with this patient demographic) are not explored. In addition, research is informed by previous studies, so that the trend is to further investigate what has already been reported, leading to a vicious cycle of repetitive reporting of the same small group of ‘</w:t>
      </w:r>
      <w:r w:rsidR="00B62F3A" w:rsidRPr="00361E30">
        <w:t>measurable</w:t>
      </w:r>
      <w:r w:rsidRPr="00361E30">
        <w:t>’ factors from one study to another.</w:t>
      </w:r>
    </w:p>
    <w:p w14:paraId="75386E25" w14:textId="77777777" w:rsidR="00CA0EF0" w:rsidRPr="00361E30" w:rsidRDefault="00CA0EF0" w:rsidP="003C13F4">
      <w:pPr>
        <w:ind w:firstLine="720"/>
      </w:pPr>
      <w:r w:rsidRPr="00361E30">
        <w:t xml:space="preserve">Qualitative residual analysis is not widely used in health services research or in emergency care research. It has been used in two studies in emergency care in the United Kingdom: Mason’s study of Emergency Department waiting times and O’Cathain’s exploration of variation in avoidable emergency admission rates between emergency and urgent care systems </w:t>
      </w:r>
      <w:r w:rsidRPr="00361E30">
        <w:rPr>
          <w:noProof/>
        </w:rPr>
        <w:t>(Locker</w:t>
      </w:r>
      <w:r w:rsidR="00B249F5" w:rsidRPr="00361E30">
        <w:rPr>
          <w:noProof/>
        </w:rPr>
        <w:t xml:space="preserve"> et al.</w:t>
      </w:r>
      <w:r w:rsidRPr="00361E30">
        <w:rPr>
          <w:noProof/>
        </w:rPr>
        <w:t xml:space="preserve"> 2005, O'Cathain</w:t>
      </w:r>
      <w:r w:rsidR="0085688E" w:rsidRPr="00361E30">
        <w:rPr>
          <w:noProof/>
        </w:rPr>
        <w:t xml:space="preserve"> et al. 2013, O'Cathain et al. 2014, O'Cathain et al. 2008, Weber et al.</w:t>
      </w:r>
      <w:r w:rsidRPr="00361E30">
        <w:rPr>
          <w:noProof/>
        </w:rPr>
        <w:t xml:space="preserve"> 2011)</w:t>
      </w:r>
      <w:r w:rsidRPr="00361E30">
        <w:t xml:space="preserve">. In the latter study, this design allowed the researchers to initially assess the effect of factors such as social deprivation and access to general practice, then utilised qualitative methods to identify other potential factors affecting avoidable emergency admissions such as level of integration between different services in the emergency and urgent care system. Finally, any variables identified as important in the qualitative phase of the study were then tested in the original predictive model where possible, to see if they significantly improved the ability to explain variation between systems. Such an approach was a powerful tool for identifying hitherto unrecognised factors which may have impacted on avoidable admissions </w:t>
      </w:r>
      <w:r w:rsidRPr="00361E30">
        <w:rPr>
          <w:noProof/>
        </w:rPr>
        <w:t>(O’Cathain, Knowles et al., 2013)</w:t>
      </w:r>
      <w:r w:rsidRPr="00361E30">
        <w:t xml:space="preserve">. </w:t>
      </w:r>
    </w:p>
    <w:p w14:paraId="10E668EC" w14:textId="77777777" w:rsidR="00CA0EF0" w:rsidRPr="00361E30" w:rsidRDefault="00CA0EF0" w:rsidP="003C13F4">
      <w:pPr>
        <w:ind w:firstLine="720"/>
      </w:pPr>
      <w:r w:rsidRPr="00361E30">
        <w:t xml:space="preserve">Other methodologies were considered for this PhD thesis, but these were not as well fitted to addressing the research question as QRA. A purely quantitative approach (applying known variables to the </w:t>
      </w:r>
      <w:r w:rsidR="00B62F3A" w:rsidRPr="00361E30">
        <w:t>model and</w:t>
      </w:r>
      <w:r w:rsidRPr="00361E30">
        <w:t xml:space="preserve"> adjusting the model to optimise its accuracy based on these variables) would not have allowed identification or testing of variables not previously recognised as important in predicting outcomes in trauma patients. Similarly, qualitative methods (such as semi-structured interviews) could have been used to explore which additional variables may have been important to the model, using the qualitative method as an exploratory tool to identify factors that may affect trauma outcomes in older people. However, this approach would have been more generally hypothesis generating for further quantitative study, and therefore not needed as the systematic review had identified many factors for review in the initial quantitative phase of the study. The use of a mixed methods design, and specifically QRA, allowed the targeting of qualitative analysis to those hospitals with outcomes (survival rates) significantly higher or lower than predicted (outliers). The context of these interviews </w:t>
      </w:r>
      <w:r w:rsidR="00283746" w:rsidRPr="00361E30">
        <w:t>was</w:t>
      </w:r>
      <w:r w:rsidRPr="00361E30">
        <w:t xml:space="preserve"> therefore more likely to identify variables specifically </w:t>
      </w:r>
      <w:r w:rsidRPr="00361E30">
        <w:lastRenderedPageBreak/>
        <w:t xml:space="preserve">pertinent to variations in outcome relevant to the particular circumstances of this study setting (the management of older trauma patients in hospitals in England). </w:t>
      </w:r>
    </w:p>
    <w:p w14:paraId="7253D35D" w14:textId="77777777" w:rsidR="00CA0EF0" w:rsidRPr="00361E30" w:rsidRDefault="00CA0EF0" w:rsidP="003C13F4">
      <w:pPr>
        <w:pStyle w:val="Heading2"/>
      </w:pPr>
      <w:bookmarkStart w:id="83" w:name="_Toc1902267"/>
      <w:r w:rsidRPr="00361E30">
        <w:t>3.2.3</w:t>
      </w:r>
      <w:r w:rsidRPr="00361E30">
        <w:tab/>
        <w:t>The Research Question</w:t>
      </w:r>
      <w:bookmarkEnd w:id="83"/>
    </w:p>
    <w:p w14:paraId="14E08861" w14:textId="77777777" w:rsidR="00CA0EF0" w:rsidRPr="00361E30" w:rsidRDefault="00CA0EF0" w:rsidP="003C13F4">
      <w:r w:rsidRPr="00361E30">
        <w:t>The main research question for this study was:</w:t>
      </w:r>
    </w:p>
    <w:p w14:paraId="04DCB2CE" w14:textId="77777777" w:rsidR="00CA0EF0" w:rsidRPr="00361E30" w:rsidRDefault="00CA0EF0" w:rsidP="003C13F4">
      <w:r w:rsidRPr="00361E30">
        <w:t>‘What are the factors (including patient characteristics and care process factors) that affect survival rates in older people suffering major trauma that are treated in trauma receiving hospitals in England and Wales?’</w:t>
      </w:r>
    </w:p>
    <w:p w14:paraId="21C439D7" w14:textId="77777777" w:rsidR="00CA0EF0" w:rsidRPr="00361E30" w:rsidRDefault="00CA0EF0" w:rsidP="003C13F4">
      <w:pPr>
        <w:pStyle w:val="Heading2"/>
      </w:pPr>
      <w:bookmarkStart w:id="84" w:name="_Toc1902268"/>
      <w:r w:rsidRPr="00361E30">
        <w:t>3.2.4</w:t>
      </w:r>
      <w:r w:rsidRPr="00361E30">
        <w:tab/>
        <w:t>Aims and Objectives</w:t>
      </w:r>
      <w:bookmarkEnd w:id="84"/>
    </w:p>
    <w:p w14:paraId="7FEBBF00" w14:textId="77777777" w:rsidR="00CA0EF0" w:rsidRPr="00361E30" w:rsidRDefault="00CA0EF0" w:rsidP="003C13F4">
      <w:r w:rsidRPr="00361E30">
        <w:t xml:space="preserve">The aim of this study was to identify the patient characteristics and care process factors that contribute to differences in survival rates at trauma receiving hospitals for older trauma </w:t>
      </w:r>
      <w:r w:rsidR="00283746" w:rsidRPr="00361E30">
        <w:t>patients and</w:t>
      </w:r>
      <w:r w:rsidRPr="00361E30">
        <w:t xml:space="preserve"> develop a model that most accurately predicts these survival rates.</w:t>
      </w:r>
    </w:p>
    <w:p w14:paraId="120B514C" w14:textId="77777777" w:rsidR="00CA0EF0" w:rsidRPr="00361E30" w:rsidRDefault="00CA0EF0" w:rsidP="003C13F4">
      <w:pPr>
        <w:pStyle w:val="ListParagraph"/>
      </w:pPr>
      <w:r w:rsidRPr="00361E30">
        <w:rPr>
          <w:rFonts w:cs="Calibri"/>
        </w:rPr>
        <w:t>The objectives of this study were:</w:t>
      </w:r>
    </w:p>
    <w:p w14:paraId="573A9278" w14:textId="77777777" w:rsidR="00CA0EF0" w:rsidRPr="00361E30" w:rsidRDefault="00CA0EF0" w:rsidP="003C13F4">
      <w:pPr>
        <w:numPr>
          <w:ilvl w:val="0"/>
          <w:numId w:val="11"/>
        </w:numPr>
        <w:rPr>
          <w:rFonts w:cs="Calibri"/>
        </w:rPr>
      </w:pPr>
      <w:r w:rsidRPr="00361E30">
        <w:rPr>
          <w:rFonts w:cs="Calibri"/>
        </w:rPr>
        <w:t>To develop a prognostic model for older people presenting with major trauma, utilising existing prognostic models, while incorporating additional relevant patient variables.</w:t>
      </w:r>
    </w:p>
    <w:p w14:paraId="7D11F8D4" w14:textId="77777777" w:rsidR="00CA0EF0" w:rsidRPr="00361E30" w:rsidRDefault="00CA0EF0" w:rsidP="003C13F4">
      <w:pPr>
        <w:numPr>
          <w:ilvl w:val="0"/>
          <w:numId w:val="11"/>
        </w:numPr>
        <w:rPr>
          <w:rFonts w:cs="Calibri"/>
        </w:rPr>
      </w:pPr>
      <w:r w:rsidRPr="00361E30">
        <w:rPr>
          <w:rFonts w:cs="Calibri"/>
        </w:rPr>
        <w:t>To refine this model by adding additional relevant care process factors available on the TARN database and determine whether the addition of these factors improved the predictive accuracy of the model.</w:t>
      </w:r>
    </w:p>
    <w:p w14:paraId="3583EB28" w14:textId="77777777" w:rsidR="00CA0EF0" w:rsidRPr="00361E30" w:rsidRDefault="00CA0EF0" w:rsidP="003C13F4">
      <w:pPr>
        <w:numPr>
          <w:ilvl w:val="0"/>
          <w:numId w:val="11"/>
        </w:numPr>
        <w:rPr>
          <w:rFonts w:cs="Calibri"/>
        </w:rPr>
      </w:pPr>
      <w:r w:rsidRPr="00361E30">
        <w:rPr>
          <w:rFonts w:cs="Calibri"/>
        </w:rPr>
        <w:t>To compare survival rates of older trauma patients at trauma receiving hospitals in England, using the new predictive model developed, identifying hospitals with significantly higher or lower survival rates than predicted by the model.</w:t>
      </w:r>
    </w:p>
    <w:p w14:paraId="20E1270A" w14:textId="77777777" w:rsidR="00CA0EF0" w:rsidRPr="00361E30" w:rsidRDefault="00CA0EF0" w:rsidP="003C13F4">
      <w:pPr>
        <w:numPr>
          <w:ilvl w:val="0"/>
          <w:numId w:val="11"/>
        </w:numPr>
        <w:rPr>
          <w:rFonts w:cs="Calibri"/>
        </w:rPr>
      </w:pPr>
      <w:r w:rsidRPr="00361E30">
        <w:rPr>
          <w:rFonts w:cs="Calibri"/>
        </w:rPr>
        <w:t>To identify additional factors that may influence survival rates of older trauma patients at trauma receiving hospitals with significantly higher and lower survival rates than predicted by the model (outliers), using qualitative research methods.</w:t>
      </w:r>
    </w:p>
    <w:p w14:paraId="78A36560" w14:textId="77777777" w:rsidR="00CA0EF0" w:rsidRPr="00361E30" w:rsidRDefault="00CA0EF0" w:rsidP="003C13F4">
      <w:pPr>
        <w:numPr>
          <w:ilvl w:val="0"/>
          <w:numId w:val="11"/>
        </w:numPr>
        <w:rPr>
          <w:rFonts w:cs="Calibri"/>
        </w:rPr>
      </w:pPr>
      <w:r w:rsidRPr="00361E30">
        <w:rPr>
          <w:rFonts w:cs="Calibri"/>
        </w:rPr>
        <w:t>To utilise the variables identified in the qualitative phase of the study to further refine the model and determine whether this improves its accuracy in predicting survival rates of trauma receiving hospitals for older trauma patients.</w:t>
      </w:r>
    </w:p>
    <w:p w14:paraId="2F74FD4D" w14:textId="77777777" w:rsidR="00CA0EF0" w:rsidRPr="00361E30" w:rsidRDefault="00CA0EF0" w:rsidP="003C13F4">
      <w:pPr>
        <w:pStyle w:val="Heading1"/>
      </w:pPr>
      <w:bookmarkStart w:id="85" w:name="_Toc1902269"/>
      <w:r w:rsidRPr="00361E30">
        <w:lastRenderedPageBreak/>
        <w:t>3.3</w:t>
      </w:r>
      <w:r w:rsidRPr="00361E30">
        <w:tab/>
        <w:t>Study Design</w:t>
      </w:r>
      <w:bookmarkEnd w:id="85"/>
    </w:p>
    <w:p w14:paraId="36263C54" w14:textId="77777777" w:rsidR="00CA0EF0" w:rsidRPr="00361E30" w:rsidRDefault="00CA0EF0" w:rsidP="003C13F4">
      <w:pPr>
        <w:pStyle w:val="Heading2"/>
      </w:pPr>
      <w:bookmarkStart w:id="86" w:name="_Toc1902270"/>
      <w:r w:rsidRPr="00361E30">
        <w:t>3.3.1</w:t>
      </w:r>
      <w:r w:rsidRPr="00361E30">
        <w:tab/>
        <w:t>Synopsis of Study Design</w:t>
      </w:r>
      <w:bookmarkEnd w:id="86"/>
    </w:p>
    <w:p w14:paraId="73E535AF" w14:textId="77777777" w:rsidR="00CA0EF0" w:rsidRPr="00361E30" w:rsidRDefault="00CA0EF0" w:rsidP="003C13F4">
      <w:r w:rsidRPr="00361E30">
        <w:t>The study utilised QRA, a three-phase sequential mixed methods design. The phases of the study were as follows:</w:t>
      </w:r>
    </w:p>
    <w:p w14:paraId="3B496C3E" w14:textId="77777777" w:rsidR="00CA0EF0" w:rsidRPr="00361E30" w:rsidRDefault="00CA0EF0" w:rsidP="003C13F4">
      <w:pPr>
        <w:pStyle w:val="ListParagraph"/>
        <w:numPr>
          <w:ilvl w:val="0"/>
          <w:numId w:val="36"/>
        </w:numPr>
      </w:pPr>
      <w:r w:rsidRPr="00361E30">
        <w:rPr>
          <w:u w:val="single"/>
        </w:rPr>
        <w:t>Phase 1:</w:t>
      </w:r>
      <w:r w:rsidRPr="00361E30">
        <w:t xml:space="preserve"> Develop a more accurate model for predicting survival rates for older trauma patients admitted to trauma receiving hospitals in England and Wales.</w:t>
      </w:r>
    </w:p>
    <w:p w14:paraId="0ACA4F22" w14:textId="77777777" w:rsidR="00CA0EF0" w:rsidRPr="00361E30" w:rsidRDefault="00CA0EF0" w:rsidP="003C13F4">
      <w:pPr>
        <w:pStyle w:val="ListParagraph"/>
        <w:numPr>
          <w:ilvl w:val="0"/>
          <w:numId w:val="36"/>
        </w:numPr>
      </w:pPr>
      <w:r w:rsidRPr="00361E30">
        <w:rPr>
          <w:u w:val="single"/>
        </w:rPr>
        <w:t>Phase 2:</w:t>
      </w:r>
      <w:r w:rsidRPr="00361E30">
        <w:t xml:space="preserve"> Utilising the model developed in Phase 1, identify two hospitals with high residuals (that is, one hospital with higher and one with lower than predicted survival rates), and conduct semi-structured interviews at each of these hospitals to explore health professionals’ perceptions of the factors affecting major trauma outcomes in older patients in their hospitals.</w:t>
      </w:r>
    </w:p>
    <w:p w14:paraId="0E4A7F35" w14:textId="77777777" w:rsidR="00CA0EF0" w:rsidRPr="00361E30" w:rsidRDefault="00CA0EF0" w:rsidP="003C13F4">
      <w:pPr>
        <w:pStyle w:val="ListParagraph"/>
        <w:numPr>
          <w:ilvl w:val="0"/>
          <w:numId w:val="36"/>
        </w:numPr>
      </w:pPr>
      <w:r w:rsidRPr="00361E30">
        <w:rPr>
          <w:u w:val="single"/>
        </w:rPr>
        <w:t>Phase 3:</w:t>
      </w:r>
      <w:r w:rsidRPr="00361E30">
        <w:t xml:space="preserve"> Using the variables identified in Phase 2, further develop the model to test whether the addition of these variables improved its predictive accuracy for hospital survival rates for older trauma patients.</w:t>
      </w:r>
    </w:p>
    <w:p w14:paraId="5AFEBC0A" w14:textId="77777777" w:rsidR="00CA0EF0" w:rsidRPr="00361E30" w:rsidRDefault="00CA0EF0" w:rsidP="003C13F4">
      <w:r w:rsidRPr="00361E30">
        <w:t xml:space="preserve">The initial phase of the study utilised TARN data to identify risk factors that impact on mortality in patients aged 65 years and older, assessing the accuracy of current predictive models for mortality in trauma when applied to this age group and developing a more accurate predictive model using logistic regression modelling. This phase of the study involved building on the findings of the systematic review on patient factors affecting mortality in older trauma patients (Chapter 2), through analysis of the TARN database using multivariate logistic regression to identify significant risk factors of mortality in this age group. Factors identified in the systematic review were tested – where possible - to develop a more accurate model for predicting hospital survival rates for older trauma patients. </w:t>
      </w:r>
    </w:p>
    <w:p w14:paraId="7980B6C7" w14:textId="77777777" w:rsidR="00CA0EF0" w:rsidRPr="00361E30" w:rsidRDefault="00CA0EF0" w:rsidP="003C13F4">
      <w:pPr>
        <w:ind w:firstLine="720"/>
      </w:pPr>
      <w:r w:rsidRPr="00361E30">
        <w:t xml:space="preserve">Once the most accurate predictive model for survival in older trauma patients was selected, this model was used to compare hospital survival rates in trauma receiving hospitals in England, in relation to older trauma patients. It was further refined by adding care process factors that are known or suspected to affect survival, as informed by the systematic review of care process factors discussed in Chapter 2 (such as triage category and type of hospital). The model with the best predictive accuracy was then applied to hospitals in England and used to identify ‘outliers’ (hospitals </w:t>
      </w:r>
      <w:r w:rsidR="00C10F07">
        <w:t>in which</w:t>
      </w:r>
      <w:r w:rsidRPr="00361E30">
        <w:t xml:space="preserve"> adjusted survival rates were more than 2 standard deviations greater or less than that predicted by the model). These can be viewed as hospitals with ‘high residuals’ (the variance between actual survival rates and those predicted by the model were not accounted for by variables included in the model). These ‘outliers’ were then used in the second phase of the study.</w:t>
      </w:r>
    </w:p>
    <w:p w14:paraId="59F0E6C1" w14:textId="77777777" w:rsidR="00CA0EF0" w:rsidRPr="00361E30" w:rsidRDefault="00CA0EF0" w:rsidP="003C13F4">
      <w:pPr>
        <w:ind w:firstLine="720"/>
      </w:pPr>
      <w:r w:rsidRPr="00361E30">
        <w:lastRenderedPageBreak/>
        <w:t xml:space="preserve">The second phase of the study was a qualitative investigation, employing semi-structured interviews with staff in hospitals selected for their large residuals (that is, those hospitals with significantly higher of lower survival rates than predicted from the model), to explore health professionals’ perceptions of the factors affecting major trauma outcomes in older patients in their hospitals. </w:t>
      </w:r>
    </w:p>
    <w:p w14:paraId="09D15AB3" w14:textId="77777777" w:rsidR="00CA0EF0" w:rsidRPr="00361E30" w:rsidRDefault="00CA0EF0" w:rsidP="003C13F4">
      <w:pPr>
        <w:ind w:firstLine="720"/>
      </w:pPr>
      <w:r w:rsidRPr="00361E30">
        <w:t xml:space="preserve">In the final phase of the study, the patient characteristics and care process factors identified from the semi-structured interviews were applied the predictive model to see if they improved the predictive accuracy of the model. </w:t>
      </w:r>
    </w:p>
    <w:p w14:paraId="3F913DAC" w14:textId="77777777" w:rsidR="00CA0EF0" w:rsidRPr="00361E30" w:rsidRDefault="00CA0EF0" w:rsidP="003C13F4">
      <w:pPr>
        <w:pStyle w:val="Heading2"/>
      </w:pPr>
      <w:bookmarkStart w:id="87" w:name="_Toc1902271"/>
      <w:r w:rsidRPr="00361E30">
        <w:t>3.3.2</w:t>
      </w:r>
      <w:r w:rsidRPr="00361E30">
        <w:tab/>
        <w:t>The Sampling Strategy</w:t>
      </w:r>
      <w:bookmarkEnd w:id="87"/>
    </w:p>
    <w:p w14:paraId="41F7D59D" w14:textId="77777777" w:rsidR="00CA0EF0" w:rsidRPr="00361E30" w:rsidRDefault="00CA0EF0" w:rsidP="003C13F4">
      <w:pPr>
        <w:pStyle w:val="Heading3"/>
      </w:pPr>
      <w:r w:rsidRPr="00361E30">
        <w:t xml:space="preserve">3.3.2.1 </w:t>
      </w:r>
      <w:r w:rsidRPr="00361E30">
        <w:tab/>
        <w:t>Developing a New Predictive Model for Older Trauma Patients</w:t>
      </w:r>
    </w:p>
    <w:p w14:paraId="5BCAB19D" w14:textId="77777777" w:rsidR="00CA0EF0" w:rsidRPr="00361E30" w:rsidRDefault="00CA0EF0" w:rsidP="003C13F4">
      <w:r w:rsidRPr="00361E30">
        <w:t xml:space="preserve">When developing a new predictive model for older trauma patients, all eligible patients entered into the TARN database from all participating hospitals over a </w:t>
      </w:r>
      <w:r w:rsidR="00283746" w:rsidRPr="00361E30">
        <w:t>two-year</w:t>
      </w:r>
      <w:r w:rsidRPr="00361E30">
        <w:t xml:space="preserve"> period from 1</w:t>
      </w:r>
      <w:r w:rsidRPr="00361E30">
        <w:rPr>
          <w:vertAlign w:val="superscript"/>
        </w:rPr>
        <w:t>st</w:t>
      </w:r>
      <w:r w:rsidRPr="00361E30">
        <w:t xml:space="preserve"> June 2013 to 31</w:t>
      </w:r>
      <w:r w:rsidRPr="00361E30">
        <w:rPr>
          <w:vertAlign w:val="superscript"/>
        </w:rPr>
        <w:t>st</w:t>
      </w:r>
      <w:r w:rsidRPr="00361E30">
        <w:t xml:space="preserve"> May 2015 were included. The TARN database was described in detail in Chapter 1 (Section 1.6.1), </w:t>
      </w:r>
      <w:r w:rsidR="00283746" w:rsidRPr="00361E30">
        <w:t>and in</w:t>
      </w:r>
      <w:r w:rsidRPr="00361E30">
        <w:t xml:space="preserve"> this chapter (Section 3.3.3.1). The detailed inclusion and exclusion criteria for this phase of the study are discussed in Section 3.3.3.3.</w:t>
      </w:r>
    </w:p>
    <w:p w14:paraId="0A0CBC1D" w14:textId="77777777" w:rsidR="00CA0EF0" w:rsidRPr="00361E30" w:rsidRDefault="00CA0EF0" w:rsidP="003C13F4">
      <w:r w:rsidRPr="00361E30">
        <w:t>When refining the model, multilevel (Phase 1, Step2 – see Section 3.3.3.5) modelling was used. This Phase of the analysis was limited to hospitals with at least 50 submission over the study period, and hospitals where submissions were considered to meet the quality criteria for TARN. In addition, only hospitals in England were compared with regard to survival rates. The rationale for this difference in sampling is explained in Section 3.3.2.2 below.</w:t>
      </w:r>
    </w:p>
    <w:p w14:paraId="2599637A" w14:textId="77777777" w:rsidR="00CA0EF0" w:rsidRPr="00361E30" w:rsidRDefault="00CA0EF0" w:rsidP="003C13F4">
      <w:pPr>
        <w:pStyle w:val="Heading3"/>
      </w:pPr>
      <w:r w:rsidRPr="00361E30">
        <w:t xml:space="preserve">3.3.2.2 </w:t>
      </w:r>
      <w:r w:rsidRPr="00361E30">
        <w:tab/>
        <w:t>Comparing Survival Rates Between Hospitals</w:t>
      </w:r>
    </w:p>
    <w:p w14:paraId="088A08FB" w14:textId="77777777" w:rsidR="00CA0EF0" w:rsidRPr="00361E30" w:rsidRDefault="00CA0EF0" w:rsidP="003C13F4">
      <w:r w:rsidRPr="00361E30">
        <w:t>When comparing hospital adjusted survival rates between participating hospitals, this was limited to hospitals with at least 50 submission</w:t>
      </w:r>
      <w:r w:rsidR="007C7813">
        <w:t>s</w:t>
      </w:r>
      <w:r w:rsidRPr="00361E30">
        <w:t xml:space="preserve"> over the study period, and hospitals where submissions were considered to meet the quality criteria for TARN. In addition, only hospitals in England were compared with regard to survival rates.</w:t>
      </w:r>
    </w:p>
    <w:p w14:paraId="32872780" w14:textId="77777777" w:rsidR="00CA0EF0" w:rsidRPr="00361E30" w:rsidRDefault="00CA0EF0" w:rsidP="003C13F4">
      <w:pPr>
        <w:ind w:firstLine="720"/>
      </w:pPr>
      <w:r w:rsidRPr="00361E30">
        <w:t xml:space="preserve">The rationale for the difference in inclusion criteria when developing the model versus when refining the model (using multilevel modelling) and comparing hospital survival rates was that, when developing the model, the main statistical measures of model accuracy were based on its ability to predict outcomes in individual patients (Section 3.3.3.4.2). In this context, inclusion of all patients with adequate data, regardless of the hospital in which they were treated, maximised the sample size. This ensured a more accurate and precise assessment of model performance, and minimised variance. However, when using multilevel modelling and when assessing hospital survival rates, the quality of hospital submissions (as </w:t>
      </w:r>
      <w:r w:rsidRPr="00361E30">
        <w:lastRenderedPageBreak/>
        <w:t>defined in Section 3.3.3.6.1) were important. Inclusion of hospitals with poor quality submissions was likely to produce spurious survival rates, thus invalidating both the multilevel model and the comparison of hospital survival rates. In addition, differences in designation and nomenclature of hospitals prevented valid comparisons of different kinds of hospitals across countries, as described in Section 3.3.3.6.1. In the circumstances, comparisons of hospital survival rates were limited to one country (England) and to only those hospitals where submissions fulfilled the TARN quality criteria.</w:t>
      </w:r>
    </w:p>
    <w:p w14:paraId="06033AB0" w14:textId="77777777" w:rsidR="00CA0EF0" w:rsidRPr="00361E30" w:rsidRDefault="00CA0EF0" w:rsidP="003C13F4">
      <w:pPr>
        <w:pStyle w:val="Heading2"/>
      </w:pPr>
      <w:bookmarkStart w:id="88" w:name="_Toc1902272"/>
      <w:r w:rsidRPr="00361E30">
        <w:t>3.3.3</w:t>
      </w:r>
      <w:r w:rsidRPr="00361E30">
        <w:tab/>
        <w:t>Phase 1: Identifying the Most Accurate Predictive Model</w:t>
      </w:r>
      <w:bookmarkEnd w:id="88"/>
    </w:p>
    <w:p w14:paraId="44EF159A" w14:textId="77777777" w:rsidR="00CA0EF0" w:rsidRPr="00361E30" w:rsidRDefault="00CA0EF0" w:rsidP="003C13F4">
      <w:r w:rsidRPr="00361E30">
        <w:t xml:space="preserve">This section discusses the method of developing of the best predictive model for survival in older trauma patients, using the TARN dataset. </w:t>
      </w:r>
    </w:p>
    <w:p w14:paraId="231CA078" w14:textId="77777777" w:rsidR="00CA0EF0" w:rsidRPr="00361E30" w:rsidRDefault="00CA0EF0" w:rsidP="003C13F4">
      <w:pPr>
        <w:pStyle w:val="Heading3"/>
      </w:pPr>
      <w:r w:rsidRPr="00361E30">
        <w:t xml:space="preserve">3.3.3.1 </w:t>
      </w:r>
      <w:r w:rsidRPr="00361E30">
        <w:tab/>
        <w:t>The TARN Dataset</w:t>
      </w:r>
    </w:p>
    <w:p w14:paraId="1C44E82C" w14:textId="77777777" w:rsidR="00CA0EF0" w:rsidRPr="00361E30" w:rsidRDefault="00CA0EF0" w:rsidP="003C13F4">
      <w:r w:rsidRPr="00361E30">
        <w:t xml:space="preserve">The Trauma Audit and Research Network is a national trauma registry that collects data from trauma receiving hospitals in England, Wales, the Republic of Ireland and selected European countries, and provides information to participating hospitals on their performance with regard to major trauma, in the form of survival rates for trauma patients, adjusted for injury severity, physiological status and demographic characteristics (including age and gender). This is described in more detail in Chapter 1. Patients included in the TARN dataset must fulfil at least one of the following criteria: length of hospital stay ≥72 hours or admitted to a high dependency area or death in hospital or trauma transferred to another hospital for specialist/critical care </w:t>
      </w:r>
      <w:r w:rsidRPr="00361E30">
        <w:rPr>
          <w:noProof/>
        </w:rPr>
        <w:t>(Lecky</w:t>
      </w:r>
      <w:r w:rsidR="00B249F5" w:rsidRPr="00361E30">
        <w:rPr>
          <w:noProof/>
        </w:rPr>
        <w:t xml:space="preserve"> et al.</w:t>
      </w:r>
      <w:r w:rsidRPr="00361E30">
        <w:rPr>
          <w:noProof/>
        </w:rPr>
        <w:t xml:space="preserve"> 2014)</w:t>
      </w:r>
      <w:r w:rsidRPr="00361E30">
        <w:t>.</w:t>
      </w:r>
    </w:p>
    <w:p w14:paraId="1A8BABE4" w14:textId="77777777" w:rsidR="00CA0EF0" w:rsidRPr="00361E30" w:rsidRDefault="00CA0EF0" w:rsidP="003C13F4">
      <w:pPr>
        <w:ind w:firstLine="720"/>
      </w:pPr>
      <w:r w:rsidRPr="00361E30">
        <w:t>The dataset consists of a combination of patient characteristics (age, gender, Charlson Comorbidity Score), physiological data (systolic blood pressure, respiratory rate, heart rate, and Glasgow Scale), injury characteristics (details of specific injuries and abbreviated injury scores) and care process factors (including the type of hospital to which patients are admitted, time taken to definitive care, intensive care admission and investigations, length of stay, and final outcome).</w:t>
      </w:r>
    </w:p>
    <w:p w14:paraId="7B4DFD60" w14:textId="77777777" w:rsidR="00CA0EF0" w:rsidRDefault="00CA0EF0" w:rsidP="003C13F4">
      <w:pPr>
        <w:ind w:firstLine="720"/>
      </w:pPr>
      <w:r w:rsidRPr="00361E30">
        <w:t xml:space="preserve">TARN is the longest running trauma registry in the world, with continuous data collection since 1993, and has data on 766,045 patients in total, of which 673,569 meet the current TARN inclusion criteria. There are 218 Hospitals regularly contributing data to the dataset, including 175 hospitals in England (29 trauma centres and 176 trauma units) </w:t>
      </w:r>
      <w:r w:rsidRPr="00361E30">
        <w:rPr>
          <w:noProof/>
        </w:rPr>
        <w:t>(Woodford et al. 2014)</w:t>
      </w:r>
      <w:r w:rsidRPr="00361E30">
        <w:t>.</w:t>
      </w:r>
    </w:p>
    <w:p w14:paraId="79FE4AE0" w14:textId="77777777" w:rsidR="00B431F6" w:rsidRDefault="00D05677" w:rsidP="003C13F4">
      <w:pPr>
        <w:ind w:firstLine="720"/>
      </w:pPr>
      <w:r>
        <w:t xml:space="preserve">Prior to detailed analysis, the data obtained from TARN </w:t>
      </w:r>
      <w:r w:rsidR="001560CA">
        <w:t>were</w:t>
      </w:r>
      <w:r>
        <w:t xml:space="preserve"> analysed for accuracy and reliability, and cleaned where possible. Cleaning of data included the following:</w:t>
      </w:r>
    </w:p>
    <w:p w14:paraId="2B8B6F15" w14:textId="77777777" w:rsidR="00D05677" w:rsidRDefault="00D05677" w:rsidP="00D05677">
      <w:pPr>
        <w:pStyle w:val="ListParagraph"/>
        <w:numPr>
          <w:ilvl w:val="0"/>
          <w:numId w:val="50"/>
        </w:numPr>
      </w:pPr>
      <w:r>
        <w:lastRenderedPageBreak/>
        <w:t>Duplicate records were identified and either deleted or merged. True duplicates were deleted. However, some patients had more than one record because they were transferred from the initial receiving hospital to a secondary hospital for specialist care. In these instances, the records were merged.</w:t>
      </w:r>
    </w:p>
    <w:p w14:paraId="1F314E46" w14:textId="77777777" w:rsidR="00D05677" w:rsidRDefault="00D05677" w:rsidP="00D05677">
      <w:pPr>
        <w:pStyle w:val="ListParagraph"/>
        <w:numPr>
          <w:ilvl w:val="0"/>
          <w:numId w:val="50"/>
        </w:numPr>
      </w:pPr>
      <w:r>
        <w:t xml:space="preserve">Missing data were identified. For some </w:t>
      </w:r>
      <w:r w:rsidR="000049A1">
        <w:t xml:space="preserve">variables, such as Glasgow coma score, systolic blood pressure and respiratory rate, missing data </w:t>
      </w:r>
      <w:r w:rsidR="008A51FC">
        <w:t>were</w:t>
      </w:r>
      <w:r w:rsidR="000049A1">
        <w:t xml:space="preserve"> imputed using multiple imputation techniques. Patients in whom outcome was missing were excluded from the analysis.</w:t>
      </w:r>
    </w:p>
    <w:p w14:paraId="41949E82" w14:textId="77777777" w:rsidR="000049A1" w:rsidRDefault="000049A1" w:rsidP="00D05677">
      <w:pPr>
        <w:pStyle w:val="ListParagraph"/>
        <w:numPr>
          <w:ilvl w:val="0"/>
          <w:numId w:val="50"/>
        </w:numPr>
      </w:pPr>
      <w:r>
        <w:t>Data that was obviously inaccurate were deleted, or corrected where possible. For example, the Glasgow coma score ranges from 3 to 15, but some patients had scores recorded outside of this range. For most of these patients, the score was deleted. However, for patients who were known to be intubated, their GCS was recorded as ‘intubated’ (a legitimate category in the TARN model), even if the recorded GCS was out of the 3 – 15 range or missing.</w:t>
      </w:r>
    </w:p>
    <w:p w14:paraId="7D91BB36" w14:textId="77777777" w:rsidR="000049A1" w:rsidRPr="00361E30" w:rsidRDefault="000049A1" w:rsidP="00D05677">
      <w:pPr>
        <w:pStyle w:val="ListParagraph"/>
        <w:numPr>
          <w:ilvl w:val="0"/>
          <w:numId w:val="50"/>
        </w:numPr>
      </w:pPr>
      <w:r>
        <w:t xml:space="preserve">For some continuous variables, data </w:t>
      </w:r>
      <w:r w:rsidR="008A51FC">
        <w:t>were</w:t>
      </w:r>
      <w:r>
        <w:t xml:space="preserve"> categorised in groups used by trauma registries such as TARN in their models. For example, Respiratory rate was grouped in the following categories: 10 – 29 bpm (normal); </w:t>
      </w:r>
      <w:r>
        <w:rPr>
          <w:rFonts w:cstheme="minorHAnsi"/>
        </w:rPr>
        <w:t>≥</w:t>
      </w:r>
      <w:r>
        <w:t>30 bpm; 6 – 9 bpm; 1 – 5 bpm and 0 bpm. These categories coincide with those used to calculate the revised trauma score and have been used in other trauma prediction models.</w:t>
      </w:r>
    </w:p>
    <w:p w14:paraId="5AC80C96" w14:textId="77777777" w:rsidR="00CA0EF0" w:rsidRPr="00361E30" w:rsidRDefault="00CA0EF0" w:rsidP="003C13F4">
      <w:pPr>
        <w:pStyle w:val="Heading3"/>
      </w:pPr>
      <w:r w:rsidRPr="00361E30">
        <w:t xml:space="preserve">3.3.3.2 </w:t>
      </w:r>
      <w:r w:rsidRPr="00361E30">
        <w:tab/>
        <w:t>Outcome Measures</w:t>
      </w:r>
    </w:p>
    <w:p w14:paraId="4797CE01" w14:textId="77777777" w:rsidR="00CA0EF0" w:rsidRPr="00361E30" w:rsidRDefault="00CA0EF0" w:rsidP="003C13F4">
      <w:r w:rsidRPr="00361E30">
        <w:t xml:space="preserve">30-day survival (or survival to discharge, if discharged before 30 days) was used as the main outcome for this analysis as this provided a standardised outcome measure, which is the one most often used in quantitative studies of major trauma outcomes at TARN and in other trauma registries </w:t>
      </w:r>
      <w:r w:rsidRPr="00361E30">
        <w:rPr>
          <w:noProof/>
        </w:rPr>
        <w:t>(Lecky</w:t>
      </w:r>
      <w:r w:rsidR="00B249F5" w:rsidRPr="00361E30">
        <w:rPr>
          <w:noProof/>
        </w:rPr>
        <w:t xml:space="preserve"> et al.</w:t>
      </w:r>
      <w:r w:rsidRPr="00361E30">
        <w:rPr>
          <w:noProof/>
        </w:rPr>
        <w:t xml:space="preserve"> 2014)</w:t>
      </w:r>
      <w:r w:rsidRPr="00361E30">
        <w:t>. The use of 30-day survival also reduced the risk of including patients with late deaths due to a non-trauma cause. Survival to 30 days (or survival to discharge, if discharged before 30 days) also allowed direct comparisons between the cohort in this study and the rest of the TARN dataset. While ‘true’ 30 day survival (survival at 30 days, regardless of discharge status) would have been a more standardised outcome, this resulted in a loss of patients from the database, as some patients do not have an NHS number, and the 30-day outcome of patients discharged before 30 days is tracked using data from the Office of National Statistics (ONS data), which requires patients’ NHS numbers. In addition, Bouamra et al</w:t>
      </w:r>
      <w:r w:rsidR="0027792F" w:rsidRPr="00361E30">
        <w:t xml:space="preserve"> (2015)</w:t>
      </w:r>
      <w:r w:rsidRPr="00361E30">
        <w:t xml:space="preserve"> demonstrated that the use of ‘true’ </w:t>
      </w:r>
      <w:r w:rsidR="00283746" w:rsidRPr="00361E30">
        <w:t>30-day</w:t>
      </w:r>
      <w:r w:rsidRPr="00361E30">
        <w:t xml:space="preserve"> survival did not improve the accuracy of the PS14 predictive model beyond that seen when survival at 30 days or discharge was used as the outcome. For the purposes of this thesis, ‘survival’ refers to survival to 30 days (or survival to discharge, if discharged before 30 days), unless otherwise stated.</w:t>
      </w:r>
    </w:p>
    <w:p w14:paraId="25C6CB57" w14:textId="77777777" w:rsidR="00CA0EF0" w:rsidRPr="00361E30" w:rsidRDefault="00CA0EF0" w:rsidP="003C13F4">
      <w:pPr>
        <w:pStyle w:val="Heading3"/>
      </w:pPr>
      <w:r w:rsidRPr="00361E30">
        <w:lastRenderedPageBreak/>
        <w:t xml:space="preserve">3.3.3.3 </w:t>
      </w:r>
      <w:r w:rsidRPr="00361E30">
        <w:tab/>
        <w:t>Inclusion and Exclusion Criteria</w:t>
      </w:r>
    </w:p>
    <w:p w14:paraId="56738D50" w14:textId="77777777" w:rsidR="00CA0EF0" w:rsidRPr="00361E30" w:rsidRDefault="00CA0EF0" w:rsidP="003C13F4">
      <w:r w:rsidRPr="00361E30">
        <w:t xml:space="preserve">The patient sample was taken from a dataset of all patients entered into the TARN database from all participating hospitals over a </w:t>
      </w:r>
      <w:r w:rsidR="00283746" w:rsidRPr="00361E30">
        <w:t>two-year</w:t>
      </w:r>
      <w:r w:rsidRPr="00361E30">
        <w:t xml:space="preserve"> period from 1</w:t>
      </w:r>
      <w:r w:rsidRPr="00361E30">
        <w:rPr>
          <w:vertAlign w:val="superscript"/>
        </w:rPr>
        <w:t>st</w:t>
      </w:r>
      <w:r w:rsidRPr="00361E30">
        <w:t xml:space="preserve"> June 2013 to 31</w:t>
      </w:r>
      <w:r w:rsidRPr="00361E30">
        <w:rPr>
          <w:vertAlign w:val="superscript"/>
        </w:rPr>
        <w:t>st</w:t>
      </w:r>
      <w:r w:rsidRPr="00361E30">
        <w:t xml:space="preserve"> May 2015. </w:t>
      </w:r>
    </w:p>
    <w:p w14:paraId="2A01258F" w14:textId="77777777" w:rsidR="00CA0EF0" w:rsidRPr="00361E30" w:rsidRDefault="00CA0EF0" w:rsidP="003C13F4">
      <w:pPr>
        <w:ind w:firstLine="720"/>
      </w:pPr>
      <w:r w:rsidRPr="00361E30">
        <w:t>Subjects were included in the study cohort if:</w:t>
      </w:r>
    </w:p>
    <w:p w14:paraId="090A9D38" w14:textId="77777777" w:rsidR="00CA0EF0" w:rsidRPr="00361E30" w:rsidRDefault="00CA0EF0" w:rsidP="003C13F4">
      <w:pPr>
        <w:pStyle w:val="ListParagraph"/>
        <w:numPr>
          <w:ilvl w:val="0"/>
          <w:numId w:val="17"/>
        </w:numPr>
      </w:pPr>
      <w:r w:rsidRPr="00361E30">
        <w:t>They were aged ≥65 years of age at the time of their hospital admission</w:t>
      </w:r>
    </w:p>
    <w:p w14:paraId="773E1EA5" w14:textId="77777777" w:rsidR="00CA0EF0" w:rsidRPr="00361E30" w:rsidRDefault="00CA0EF0" w:rsidP="003C13F4">
      <w:pPr>
        <w:pStyle w:val="ListParagraph"/>
        <w:numPr>
          <w:ilvl w:val="0"/>
          <w:numId w:val="17"/>
        </w:numPr>
      </w:pPr>
      <w:r w:rsidRPr="00361E30">
        <w:t>Their main injuries were primarily due to blunt force trauma</w:t>
      </w:r>
    </w:p>
    <w:p w14:paraId="252A8DB7" w14:textId="77777777" w:rsidR="00CA0EF0" w:rsidRPr="00361E30" w:rsidRDefault="00CA0EF0" w:rsidP="003C13F4">
      <w:pPr>
        <w:pStyle w:val="ListParagraph"/>
        <w:numPr>
          <w:ilvl w:val="0"/>
          <w:numId w:val="17"/>
        </w:numPr>
      </w:pPr>
      <w:r w:rsidRPr="00361E30">
        <w:t>They fulfilled the criteria for inclusion into the TARN database (Section 3.3.3.1)</w:t>
      </w:r>
    </w:p>
    <w:p w14:paraId="6C8B5D00" w14:textId="77777777" w:rsidR="00CA0EF0" w:rsidRPr="00361E30" w:rsidRDefault="00CA0EF0" w:rsidP="003C13F4">
      <w:r w:rsidRPr="00361E30">
        <w:t>Patients were excluded from the study cohort if:</w:t>
      </w:r>
    </w:p>
    <w:p w14:paraId="397BB9B1" w14:textId="77777777" w:rsidR="00CA0EF0" w:rsidRPr="00361E30" w:rsidRDefault="00CA0EF0" w:rsidP="003C13F4">
      <w:pPr>
        <w:pStyle w:val="ListParagraph"/>
        <w:numPr>
          <w:ilvl w:val="0"/>
          <w:numId w:val="16"/>
        </w:numPr>
      </w:pPr>
      <w:r w:rsidRPr="00361E30">
        <w:t>They were aged &lt; 65 years</w:t>
      </w:r>
    </w:p>
    <w:p w14:paraId="5A8F9C55" w14:textId="77777777" w:rsidR="00CA0EF0" w:rsidRPr="00361E30" w:rsidRDefault="00CA0EF0" w:rsidP="003C13F4">
      <w:pPr>
        <w:pStyle w:val="ListParagraph"/>
        <w:numPr>
          <w:ilvl w:val="0"/>
          <w:numId w:val="16"/>
        </w:numPr>
      </w:pPr>
      <w:r w:rsidRPr="00361E30">
        <w:t xml:space="preserve">Their main injuries were primarily due to penetrating trauma, burns or inhalation. These injuries are rare in older patients and are accepted to require different outcome prediction models/care pathways to the 99% of major injury from blunt mechanism </w:t>
      </w:r>
      <w:r w:rsidRPr="00361E30">
        <w:rPr>
          <w:noProof/>
        </w:rPr>
        <w:t>(Champion et al. 1990)</w:t>
      </w:r>
      <w:r w:rsidRPr="00361E30">
        <w:t>.</w:t>
      </w:r>
    </w:p>
    <w:p w14:paraId="526D4B55" w14:textId="77777777" w:rsidR="00CA0EF0" w:rsidRPr="00361E30" w:rsidRDefault="00CA0EF0" w:rsidP="003C13F4">
      <w:pPr>
        <w:pStyle w:val="ListParagraph"/>
        <w:numPr>
          <w:ilvl w:val="0"/>
          <w:numId w:val="16"/>
        </w:numPr>
      </w:pPr>
      <w:r w:rsidRPr="00361E30">
        <w:t xml:space="preserve">They did not fulfil other criteria for inclusion into the TARN database. The injuries excluded from the TARN dataset would not have been defined as major </w:t>
      </w:r>
      <w:r w:rsidR="00283746" w:rsidRPr="00361E30">
        <w:t>trauma and</w:t>
      </w:r>
      <w:r w:rsidRPr="00361E30">
        <w:t xml:space="preserve"> would not have been relevant to this study </w:t>
      </w:r>
      <w:r w:rsidRPr="00361E30">
        <w:rPr>
          <w:noProof/>
        </w:rPr>
        <w:t>(Lecky, et al. 2014)</w:t>
      </w:r>
      <w:r w:rsidRPr="00361E30">
        <w:t>.</w:t>
      </w:r>
    </w:p>
    <w:p w14:paraId="45EFEFA5" w14:textId="77777777" w:rsidR="00CA0EF0" w:rsidRPr="00361E30" w:rsidRDefault="00CA0EF0" w:rsidP="003C13F4">
      <w:r w:rsidRPr="00361E30">
        <w:t xml:space="preserve">The prediction model was developed on the entire dataset of patients aged ≥65 years. Validation of the model was achieved using the original dataset and applying bootstrapping methodology, as described by Bouamra et al </w:t>
      </w:r>
      <w:r w:rsidRPr="00361E30">
        <w:rPr>
          <w:noProof/>
        </w:rPr>
        <w:t>(2006a)</w:t>
      </w:r>
      <w:r w:rsidRPr="00361E30">
        <w:t>.</w:t>
      </w:r>
    </w:p>
    <w:p w14:paraId="20C958C5" w14:textId="77777777" w:rsidR="00CA0EF0" w:rsidRPr="00361E30" w:rsidRDefault="00CA0EF0" w:rsidP="003C13F4">
      <w:pPr>
        <w:pStyle w:val="Heading3"/>
      </w:pPr>
      <w:r w:rsidRPr="00361E30">
        <w:t xml:space="preserve">3.3.3.4 </w:t>
      </w:r>
      <w:r w:rsidRPr="00361E30">
        <w:tab/>
        <w:t>Phase 1 Step 1: Developing a Model from TARN Patient Characteristics</w:t>
      </w:r>
    </w:p>
    <w:p w14:paraId="675F5083" w14:textId="77777777" w:rsidR="00CA0EF0" w:rsidRDefault="00CA0EF0" w:rsidP="003C13F4">
      <w:r w:rsidRPr="00361E30">
        <w:t xml:space="preserve">Logistic regression was chosen as the technique to assess the association of variables with outcome, as survival is a binary outcome, suited to this method. This method of analysis is used by trauma registries internationally </w:t>
      </w:r>
      <w:r w:rsidRPr="00361E30">
        <w:rPr>
          <w:noProof/>
        </w:rPr>
        <w:t>(Champion et al. 1990, Lecky et al. 2014)</w:t>
      </w:r>
      <w:r w:rsidRPr="00361E30">
        <w:t xml:space="preserve">. </w:t>
      </w:r>
    </w:p>
    <w:p w14:paraId="4EA08E5A" w14:textId="77777777" w:rsidR="001F0E43" w:rsidRDefault="001F0E43" w:rsidP="003C13F4"/>
    <w:p w14:paraId="0081E798" w14:textId="77777777" w:rsidR="001F0E43" w:rsidRPr="00361E30" w:rsidRDefault="001F0E43" w:rsidP="003C13F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8"/>
        <w:gridCol w:w="855"/>
        <w:gridCol w:w="855"/>
        <w:gridCol w:w="4184"/>
      </w:tblGrid>
      <w:tr w:rsidR="00CA0EF0" w:rsidRPr="00361E30" w14:paraId="42505A4B" w14:textId="77777777" w:rsidTr="003C13F4">
        <w:trPr>
          <w:cantSplit/>
          <w:trHeight w:val="2285"/>
        </w:trPr>
        <w:tc>
          <w:tcPr>
            <w:tcW w:w="3348" w:type="dxa"/>
            <w:tcBorders>
              <w:top w:val="single" w:sz="4" w:space="0" w:color="auto"/>
              <w:bottom w:val="single" w:sz="4" w:space="0" w:color="auto"/>
            </w:tcBorders>
          </w:tcPr>
          <w:p w14:paraId="129E5DFB" w14:textId="77777777" w:rsidR="00CA0EF0" w:rsidRPr="00361E30" w:rsidRDefault="00CA0EF0" w:rsidP="003C13F4">
            <w:pPr>
              <w:spacing w:line="240" w:lineRule="auto"/>
              <w:jc w:val="left"/>
              <w:rPr>
                <w:b/>
                <w:lang w:val="en-GB"/>
              </w:rPr>
            </w:pPr>
            <w:r w:rsidRPr="00361E30">
              <w:rPr>
                <w:b/>
                <w:lang w:val="en-GB"/>
              </w:rPr>
              <w:lastRenderedPageBreak/>
              <w:t>Patient Characteristic</w:t>
            </w:r>
          </w:p>
        </w:tc>
        <w:tc>
          <w:tcPr>
            <w:tcW w:w="855" w:type="dxa"/>
            <w:tcBorders>
              <w:top w:val="single" w:sz="4" w:space="0" w:color="auto"/>
              <w:bottom w:val="single" w:sz="4" w:space="0" w:color="auto"/>
            </w:tcBorders>
            <w:textDirection w:val="btLr"/>
            <w:vAlign w:val="center"/>
          </w:tcPr>
          <w:p w14:paraId="60881CA8" w14:textId="77777777" w:rsidR="00CA0EF0" w:rsidRPr="00361E30" w:rsidRDefault="00CA0EF0" w:rsidP="003C13F4">
            <w:pPr>
              <w:spacing w:line="240" w:lineRule="auto"/>
              <w:ind w:left="113" w:right="113"/>
              <w:jc w:val="left"/>
              <w:rPr>
                <w:b/>
                <w:lang w:val="en-GB"/>
              </w:rPr>
            </w:pPr>
            <w:r w:rsidRPr="00361E30">
              <w:rPr>
                <w:b/>
                <w:lang w:val="en-GB"/>
              </w:rPr>
              <w:t>Identified in the Systematic Review?</w:t>
            </w:r>
          </w:p>
        </w:tc>
        <w:tc>
          <w:tcPr>
            <w:tcW w:w="855" w:type="dxa"/>
            <w:tcBorders>
              <w:top w:val="single" w:sz="4" w:space="0" w:color="auto"/>
              <w:bottom w:val="single" w:sz="4" w:space="0" w:color="auto"/>
            </w:tcBorders>
            <w:textDirection w:val="btLr"/>
            <w:vAlign w:val="center"/>
          </w:tcPr>
          <w:p w14:paraId="60C04065" w14:textId="77777777" w:rsidR="00CA0EF0" w:rsidRPr="00361E30" w:rsidRDefault="00CA0EF0" w:rsidP="003C13F4">
            <w:pPr>
              <w:spacing w:line="240" w:lineRule="auto"/>
              <w:ind w:left="113" w:right="113"/>
              <w:jc w:val="left"/>
              <w:rPr>
                <w:b/>
                <w:lang w:val="en-GB"/>
              </w:rPr>
            </w:pPr>
            <w:r w:rsidRPr="00361E30">
              <w:rPr>
                <w:b/>
                <w:lang w:val="en-GB"/>
              </w:rPr>
              <w:t>Already Included in TARN PS14 Model?</w:t>
            </w:r>
          </w:p>
        </w:tc>
        <w:tc>
          <w:tcPr>
            <w:tcW w:w="4184" w:type="dxa"/>
            <w:tcBorders>
              <w:top w:val="single" w:sz="4" w:space="0" w:color="auto"/>
              <w:bottom w:val="single" w:sz="4" w:space="0" w:color="auto"/>
            </w:tcBorders>
          </w:tcPr>
          <w:p w14:paraId="4A733F4D" w14:textId="77777777" w:rsidR="00CA0EF0" w:rsidRPr="00361E30" w:rsidRDefault="00CA0EF0" w:rsidP="003C13F4">
            <w:pPr>
              <w:spacing w:line="240" w:lineRule="auto"/>
              <w:jc w:val="left"/>
              <w:rPr>
                <w:b/>
                <w:lang w:val="en-GB"/>
              </w:rPr>
            </w:pPr>
            <w:r w:rsidRPr="00361E30">
              <w:rPr>
                <w:b/>
                <w:lang w:val="en-GB"/>
              </w:rPr>
              <w:t>Comments</w:t>
            </w:r>
          </w:p>
        </w:tc>
      </w:tr>
      <w:tr w:rsidR="00CA0EF0" w:rsidRPr="00361E30" w14:paraId="0FD741C3" w14:textId="77777777" w:rsidTr="003C13F4">
        <w:tc>
          <w:tcPr>
            <w:tcW w:w="9242" w:type="dxa"/>
            <w:gridSpan w:val="4"/>
            <w:tcBorders>
              <w:top w:val="single" w:sz="4" w:space="0" w:color="auto"/>
              <w:bottom w:val="single" w:sz="4" w:space="0" w:color="auto"/>
            </w:tcBorders>
            <w:shd w:val="clear" w:color="auto" w:fill="BFBFBF" w:themeFill="background1" w:themeFillShade="BF"/>
            <w:vAlign w:val="center"/>
          </w:tcPr>
          <w:p w14:paraId="1FA4C99D" w14:textId="77777777" w:rsidR="00CA0EF0" w:rsidRPr="00361E30" w:rsidRDefault="00CA0EF0" w:rsidP="003C13F4">
            <w:pPr>
              <w:spacing w:line="240" w:lineRule="auto"/>
              <w:jc w:val="left"/>
              <w:rPr>
                <w:lang w:val="en-GB"/>
              </w:rPr>
            </w:pPr>
            <w:r w:rsidRPr="00361E30">
              <w:rPr>
                <w:lang w:val="en-GB"/>
              </w:rPr>
              <w:t>Demographic variables</w:t>
            </w:r>
          </w:p>
        </w:tc>
      </w:tr>
      <w:tr w:rsidR="00CA0EF0" w:rsidRPr="00361E30" w14:paraId="044BCC7B" w14:textId="77777777" w:rsidTr="003C13F4">
        <w:tc>
          <w:tcPr>
            <w:tcW w:w="3348" w:type="dxa"/>
            <w:tcBorders>
              <w:top w:val="single" w:sz="4" w:space="0" w:color="auto"/>
            </w:tcBorders>
            <w:vAlign w:val="center"/>
          </w:tcPr>
          <w:p w14:paraId="50029262" w14:textId="77777777" w:rsidR="00CA0EF0" w:rsidRPr="00361E30" w:rsidRDefault="00CA0EF0" w:rsidP="003C13F4">
            <w:pPr>
              <w:spacing w:line="240" w:lineRule="auto"/>
              <w:jc w:val="left"/>
              <w:rPr>
                <w:lang w:val="en-GB"/>
              </w:rPr>
            </w:pPr>
            <w:r w:rsidRPr="00361E30">
              <w:rPr>
                <w:lang w:val="en-GB"/>
              </w:rPr>
              <w:t>Age</w:t>
            </w:r>
          </w:p>
        </w:tc>
        <w:tc>
          <w:tcPr>
            <w:tcW w:w="855" w:type="dxa"/>
            <w:tcBorders>
              <w:top w:val="single" w:sz="4" w:space="0" w:color="auto"/>
            </w:tcBorders>
            <w:vAlign w:val="center"/>
          </w:tcPr>
          <w:p w14:paraId="0DB68A74" w14:textId="77777777" w:rsidR="00CA0EF0" w:rsidRPr="00361E30" w:rsidRDefault="00CA0EF0" w:rsidP="003C13F4">
            <w:pPr>
              <w:spacing w:line="240" w:lineRule="auto"/>
              <w:jc w:val="left"/>
              <w:rPr>
                <w:lang w:val="en-GB"/>
              </w:rPr>
            </w:pPr>
            <w:r w:rsidRPr="00361E30">
              <w:rPr>
                <w:lang w:val="en-GB"/>
              </w:rPr>
              <w:t>Yes</w:t>
            </w:r>
          </w:p>
        </w:tc>
        <w:tc>
          <w:tcPr>
            <w:tcW w:w="855" w:type="dxa"/>
            <w:tcBorders>
              <w:top w:val="single" w:sz="4" w:space="0" w:color="auto"/>
            </w:tcBorders>
            <w:vAlign w:val="center"/>
          </w:tcPr>
          <w:p w14:paraId="2EEA373E" w14:textId="77777777" w:rsidR="00CA0EF0" w:rsidRPr="00361E30" w:rsidRDefault="00CA0EF0" w:rsidP="003C13F4">
            <w:pPr>
              <w:spacing w:line="240" w:lineRule="auto"/>
              <w:jc w:val="left"/>
              <w:rPr>
                <w:lang w:val="en-GB"/>
              </w:rPr>
            </w:pPr>
            <w:r w:rsidRPr="00361E30">
              <w:rPr>
                <w:lang w:val="en-GB"/>
              </w:rPr>
              <w:t>Yes</w:t>
            </w:r>
          </w:p>
        </w:tc>
        <w:tc>
          <w:tcPr>
            <w:tcW w:w="4184" w:type="dxa"/>
            <w:tcBorders>
              <w:top w:val="single" w:sz="4" w:space="0" w:color="auto"/>
            </w:tcBorders>
            <w:vAlign w:val="center"/>
          </w:tcPr>
          <w:p w14:paraId="6A561AB7" w14:textId="77777777" w:rsidR="00CA0EF0" w:rsidRPr="00361E30" w:rsidRDefault="00CA0EF0" w:rsidP="003C13F4">
            <w:pPr>
              <w:spacing w:line="240" w:lineRule="auto"/>
              <w:jc w:val="left"/>
              <w:rPr>
                <w:lang w:val="en-GB"/>
              </w:rPr>
            </w:pPr>
            <w:r w:rsidRPr="00361E30">
              <w:rPr>
                <w:lang w:val="en-GB"/>
              </w:rPr>
              <w:t>Assessed as a continuous and categorical variable</w:t>
            </w:r>
          </w:p>
        </w:tc>
      </w:tr>
      <w:tr w:rsidR="00CA0EF0" w:rsidRPr="00361E30" w14:paraId="7C8EF287" w14:textId="77777777" w:rsidTr="003C13F4">
        <w:tc>
          <w:tcPr>
            <w:tcW w:w="3348" w:type="dxa"/>
            <w:vAlign w:val="center"/>
          </w:tcPr>
          <w:p w14:paraId="6AF030AC" w14:textId="77777777" w:rsidR="00CA0EF0" w:rsidRPr="00361E30" w:rsidRDefault="00CA0EF0" w:rsidP="003C13F4">
            <w:pPr>
              <w:spacing w:line="240" w:lineRule="auto"/>
              <w:jc w:val="left"/>
              <w:rPr>
                <w:lang w:val="en-GB"/>
              </w:rPr>
            </w:pPr>
            <w:r w:rsidRPr="00361E30">
              <w:rPr>
                <w:lang w:val="en-GB"/>
              </w:rPr>
              <w:t>Gender</w:t>
            </w:r>
          </w:p>
        </w:tc>
        <w:tc>
          <w:tcPr>
            <w:tcW w:w="855" w:type="dxa"/>
            <w:vAlign w:val="center"/>
          </w:tcPr>
          <w:p w14:paraId="1B8813D9" w14:textId="77777777" w:rsidR="00CA0EF0" w:rsidRPr="00361E30" w:rsidRDefault="00CA0EF0" w:rsidP="003C13F4">
            <w:pPr>
              <w:spacing w:line="240" w:lineRule="auto"/>
              <w:jc w:val="left"/>
              <w:rPr>
                <w:lang w:val="en-GB"/>
              </w:rPr>
            </w:pPr>
            <w:r w:rsidRPr="00361E30">
              <w:rPr>
                <w:lang w:val="en-GB"/>
              </w:rPr>
              <w:t>Yes</w:t>
            </w:r>
          </w:p>
        </w:tc>
        <w:tc>
          <w:tcPr>
            <w:tcW w:w="855" w:type="dxa"/>
            <w:vAlign w:val="center"/>
          </w:tcPr>
          <w:p w14:paraId="4E6E2BE5" w14:textId="77777777" w:rsidR="00CA0EF0" w:rsidRPr="00361E30" w:rsidRDefault="00CA0EF0" w:rsidP="003C13F4">
            <w:pPr>
              <w:spacing w:line="240" w:lineRule="auto"/>
              <w:jc w:val="left"/>
              <w:rPr>
                <w:lang w:val="en-GB"/>
              </w:rPr>
            </w:pPr>
            <w:r w:rsidRPr="00361E30">
              <w:rPr>
                <w:lang w:val="en-GB"/>
              </w:rPr>
              <w:t>Yes</w:t>
            </w:r>
          </w:p>
        </w:tc>
        <w:tc>
          <w:tcPr>
            <w:tcW w:w="4184" w:type="dxa"/>
            <w:vAlign w:val="center"/>
          </w:tcPr>
          <w:p w14:paraId="7396D5A4" w14:textId="77777777" w:rsidR="00CA0EF0" w:rsidRPr="00361E30" w:rsidRDefault="00CA0EF0" w:rsidP="003C13F4">
            <w:pPr>
              <w:spacing w:line="240" w:lineRule="auto"/>
              <w:jc w:val="left"/>
              <w:rPr>
                <w:lang w:val="en-GB"/>
              </w:rPr>
            </w:pPr>
            <w:r w:rsidRPr="00361E30">
              <w:rPr>
                <w:lang w:val="en-GB"/>
              </w:rPr>
              <w:t>Interaction between age and gender also included</w:t>
            </w:r>
          </w:p>
        </w:tc>
      </w:tr>
      <w:tr w:rsidR="00CA0EF0" w:rsidRPr="00361E30" w14:paraId="5F58C28A" w14:textId="77777777" w:rsidTr="003C13F4">
        <w:tc>
          <w:tcPr>
            <w:tcW w:w="3348" w:type="dxa"/>
            <w:vAlign w:val="center"/>
          </w:tcPr>
          <w:p w14:paraId="12FB3249" w14:textId="77777777" w:rsidR="00CA0EF0" w:rsidRPr="00361E30" w:rsidRDefault="00CA0EF0" w:rsidP="003C13F4">
            <w:pPr>
              <w:spacing w:line="240" w:lineRule="auto"/>
              <w:jc w:val="left"/>
              <w:rPr>
                <w:lang w:val="en-GB"/>
              </w:rPr>
            </w:pPr>
            <w:r w:rsidRPr="00361E30">
              <w:rPr>
                <w:lang w:val="en-GB"/>
              </w:rPr>
              <w:t>Pre-injury clinical characteristics</w:t>
            </w:r>
          </w:p>
        </w:tc>
        <w:tc>
          <w:tcPr>
            <w:tcW w:w="855" w:type="dxa"/>
            <w:vAlign w:val="center"/>
          </w:tcPr>
          <w:p w14:paraId="49C4DD21" w14:textId="77777777" w:rsidR="00CA0EF0" w:rsidRPr="00361E30" w:rsidRDefault="00CA0EF0" w:rsidP="003C13F4">
            <w:pPr>
              <w:spacing w:line="240" w:lineRule="auto"/>
              <w:jc w:val="left"/>
              <w:rPr>
                <w:lang w:val="en-GB"/>
              </w:rPr>
            </w:pPr>
          </w:p>
        </w:tc>
        <w:tc>
          <w:tcPr>
            <w:tcW w:w="855" w:type="dxa"/>
            <w:vAlign w:val="center"/>
          </w:tcPr>
          <w:p w14:paraId="20642730" w14:textId="77777777" w:rsidR="00CA0EF0" w:rsidRPr="00361E30" w:rsidRDefault="00CA0EF0" w:rsidP="003C13F4">
            <w:pPr>
              <w:spacing w:line="240" w:lineRule="auto"/>
              <w:jc w:val="left"/>
              <w:rPr>
                <w:lang w:val="en-GB"/>
              </w:rPr>
            </w:pPr>
          </w:p>
        </w:tc>
        <w:tc>
          <w:tcPr>
            <w:tcW w:w="4184" w:type="dxa"/>
            <w:vAlign w:val="center"/>
          </w:tcPr>
          <w:p w14:paraId="3D401B01" w14:textId="77777777" w:rsidR="00CA0EF0" w:rsidRPr="00361E30" w:rsidRDefault="00CA0EF0" w:rsidP="003C13F4">
            <w:pPr>
              <w:spacing w:line="240" w:lineRule="auto"/>
              <w:jc w:val="left"/>
              <w:rPr>
                <w:lang w:val="en-GB"/>
              </w:rPr>
            </w:pPr>
          </w:p>
        </w:tc>
      </w:tr>
      <w:tr w:rsidR="00CA0EF0" w:rsidRPr="00361E30" w14:paraId="1893CCF6" w14:textId="77777777" w:rsidTr="003C13F4">
        <w:tc>
          <w:tcPr>
            <w:tcW w:w="3348" w:type="dxa"/>
            <w:vAlign w:val="center"/>
          </w:tcPr>
          <w:p w14:paraId="6B2C056B" w14:textId="77777777" w:rsidR="00CA0EF0" w:rsidRPr="00361E30" w:rsidRDefault="00CA0EF0" w:rsidP="003C13F4">
            <w:pPr>
              <w:spacing w:line="240" w:lineRule="auto"/>
              <w:jc w:val="left"/>
              <w:rPr>
                <w:lang w:val="en-GB"/>
              </w:rPr>
            </w:pPr>
            <w:r w:rsidRPr="00361E30">
              <w:rPr>
                <w:lang w:val="en-GB"/>
              </w:rPr>
              <w:t>Modified Charlson Comorbidity Index</w:t>
            </w:r>
          </w:p>
        </w:tc>
        <w:tc>
          <w:tcPr>
            <w:tcW w:w="855" w:type="dxa"/>
            <w:vAlign w:val="center"/>
          </w:tcPr>
          <w:p w14:paraId="12D8B92F" w14:textId="77777777" w:rsidR="00CA0EF0" w:rsidRPr="00361E30" w:rsidRDefault="00CA0EF0" w:rsidP="003C13F4">
            <w:pPr>
              <w:spacing w:line="240" w:lineRule="auto"/>
              <w:jc w:val="left"/>
              <w:rPr>
                <w:lang w:val="en-GB"/>
              </w:rPr>
            </w:pPr>
            <w:r w:rsidRPr="00361E30">
              <w:rPr>
                <w:lang w:val="en-GB"/>
              </w:rPr>
              <w:t>Yes</w:t>
            </w:r>
          </w:p>
        </w:tc>
        <w:tc>
          <w:tcPr>
            <w:tcW w:w="855" w:type="dxa"/>
            <w:vAlign w:val="center"/>
          </w:tcPr>
          <w:p w14:paraId="1F44F55A" w14:textId="77777777" w:rsidR="00CA0EF0" w:rsidRPr="00361E30" w:rsidRDefault="00CA0EF0" w:rsidP="003C13F4">
            <w:pPr>
              <w:spacing w:line="240" w:lineRule="auto"/>
              <w:jc w:val="left"/>
              <w:rPr>
                <w:lang w:val="en-GB"/>
              </w:rPr>
            </w:pPr>
            <w:r w:rsidRPr="00361E30">
              <w:rPr>
                <w:lang w:val="en-GB"/>
              </w:rPr>
              <w:t>Yes</w:t>
            </w:r>
          </w:p>
        </w:tc>
        <w:tc>
          <w:tcPr>
            <w:tcW w:w="4184" w:type="dxa"/>
            <w:vAlign w:val="center"/>
          </w:tcPr>
          <w:p w14:paraId="338536CB" w14:textId="77777777" w:rsidR="00CA0EF0" w:rsidRPr="00361E30" w:rsidRDefault="00CA0EF0" w:rsidP="003C13F4">
            <w:pPr>
              <w:spacing w:line="240" w:lineRule="auto"/>
              <w:jc w:val="left"/>
              <w:rPr>
                <w:lang w:val="en-GB"/>
              </w:rPr>
            </w:pPr>
            <w:r w:rsidRPr="00361E30">
              <w:rPr>
                <w:lang w:val="en-GB"/>
              </w:rPr>
              <w:t xml:space="preserve">The mCCI is a weighted score of a patient’s comorbidities </w:t>
            </w:r>
          </w:p>
        </w:tc>
      </w:tr>
      <w:tr w:rsidR="00CA0EF0" w:rsidRPr="00361E30" w14:paraId="05022AE4" w14:textId="77777777" w:rsidTr="003C13F4">
        <w:tc>
          <w:tcPr>
            <w:tcW w:w="3348" w:type="dxa"/>
            <w:tcBorders>
              <w:bottom w:val="single" w:sz="4" w:space="0" w:color="auto"/>
            </w:tcBorders>
            <w:vAlign w:val="center"/>
          </w:tcPr>
          <w:p w14:paraId="792AAA38" w14:textId="77777777" w:rsidR="00CA0EF0" w:rsidRPr="00361E30" w:rsidRDefault="00CA0EF0" w:rsidP="003C13F4">
            <w:pPr>
              <w:spacing w:line="240" w:lineRule="auto"/>
              <w:jc w:val="left"/>
              <w:rPr>
                <w:lang w:val="en-GB"/>
              </w:rPr>
            </w:pPr>
            <w:r w:rsidRPr="00361E30">
              <w:rPr>
                <w:lang w:val="en-GB"/>
              </w:rPr>
              <w:t>Pre-injury medication</w:t>
            </w:r>
          </w:p>
        </w:tc>
        <w:tc>
          <w:tcPr>
            <w:tcW w:w="855" w:type="dxa"/>
            <w:tcBorders>
              <w:bottom w:val="single" w:sz="4" w:space="0" w:color="auto"/>
            </w:tcBorders>
            <w:vAlign w:val="center"/>
          </w:tcPr>
          <w:p w14:paraId="74D110AA" w14:textId="77777777" w:rsidR="00CA0EF0" w:rsidRPr="00361E30" w:rsidRDefault="00CA0EF0" w:rsidP="003C13F4">
            <w:pPr>
              <w:spacing w:line="240" w:lineRule="auto"/>
              <w:jc w:val="left"/>
              <w:rPr>
                <w:lang w:val="en-GB"/>
              </w:rPr>
            </w:pPr>
            <w:r w:rsidRPr="00361E30">
              <w:rPr>
                <w:lang w:val="en-GB"/>
              </w:rPr>
              <w:t>Yes</w:t>
            </w:r>
          </w:p>
        </w:tc>
        <w:tc>
          <w:tcPr>
            <w:tcW w:w="855" w:type="dxa"/>
            <w:tcBorders>
              <w:bottom w:val="single" w:sz="4" w:space="0" w:color="auto"/>
            </w:tcBorders>
            <w:vAlign w:val="center"/>
          </w:tcPr>
          <w:p w14:paraId="1379405F" w14:textId="77777777" w:rsidR="00CA0EF0" w:rsidRPr="00361E30" w:rsidRDefault="00CA0EF0" w:rsidP="003C13F4">
            <w:pPr>
              <w:spacing w:line="240" w:lineRule="auto"/>
              <w:jc w:val="left"/>
              <w:rPr>
                <w:lang w:val="en-GB"/>
              </w:rPr>
            </w:pPr>
            <w:r w:rsidRPr="00361E30">
              <w:rPr>
                <w:lang w:val="en-GB"/>
              </w:rPr>
              <w:t>No</w:t>
            </w:r>
          </w:p>
        </w:tc>
        <w:tc>
          <w:tcPr>
            <w:tcW w:w="4184" w:type="dxa"/>
            <w:tcBorders>
              <w:bottom w:val="single" w:sz="4" w:space="0" w:color="auto"/>
            </w:tcBorders>
            <w:vAlign w:val="center"/>
          </w:tcPr>
          <w:p w14:paraId="2DA744AB" w14:textId="77777777" w:rsidR="00CA0EF0" w:rsidRPr="00361E30" w:rsidRDefault="00CA0EF0" w:rsidP="003C13F4">
            <w:pPr>
              <w:spacing w:line="240" w:lineRule="auto"/>
              <w:jc w:val="left"/>
              <w:rPr>
                <w:lang w:val="en-GB"/>
              </w:rPr>
            </w:pPr>
            <w:r w:rsidRPr="00361E30">
              <w:rPr>
                <w:lang w:val="en-GB"/>
              </w:rPr>
              <w:t>Warfarin was included. The recording of other medication in TARN was limited</w:t>
            </w:r>
          </w:p>
        </w:tc>
      </w:tr>
      <w:tr w:rsidR="00CA0EF0" w:rsidRPr="00361E30" w14:paraId="4FBC4B81" w14:textId="77777777" w:rsidTr="003C13F4">
        <w:tc>
          <w:tcPr>
            <w:tcW w:w="9242" w:type="dxa"/>
            <w:gridSpan w:val="4"/>
            <w:tcBorders>
              <w:top w:val="single" w:sz="4" w:space="0" w:color="auto"/>
              <w:bottom w:val="single" w:sz="4" w:space="0" w:color="auto"/>
            </w:tcBorders>
            <w:shd w:val="clear" w:color="auto" w:fill="BFBFBF" w:themeFill="background1" w:themeFillShade="BF"/>
            <w:vAlign w:val="center"/>
          </w:tcPr>
          <w:p w14:paraId="3F342D57" w14:textId="77777777" w:rsidR="00CA0EF0" w:rsidRPr="00361E30" w:rsidRDefault="00CA0EF0" w:rsidP="003C13F4">
            <w:pPr>
              <w:spacing w:line="240" w:lineRule="auto"/>
              <w:jc w:val="left"/>
              <w:rPr>
                <w:lang w:val="en-GB"/>
              </w:rPr>
            </w:pPr>
            <w:r w:rsidRPr="00361E30">
              <w:rPr>
                <w:lang w:val="en-GB"/>
              </w:rPr>
              <w:t>Injury characteristics</w:t>
            </w:r>
          </w:p>
        </w:tc>
      </w:tr>
      <w:tr w:rsidR="00CA0EF0" w:rsidRPr="00361E30" w14:paraId="4ACA2ABD" w14:textId="77777777" w:rsidTr="003C13F4">
        <w:tc>
          <w:tcPr>
            <w:tcW w:w="3348" w:type="dxa"/>
            <w:tcBorders>
              <w:top w:val="single" w:sz="4" w:space="0" w:color="auto"/>
            </w:tcBorders>
            <w:vAlign w:val="center"/>
          </w:tcPr>
          <w:p w14:paraId="05A97918" w14:textId="77777777" w:rsidR="00CA0EF0" w:rsidRPr="00361E30" w:rsidRDefault="00CA0EF0" w:rsidP="003C13F4">
            <w:pPr>
              <w:spacing w:line="240" w:lineRule="auto"/>
              <w:jc w:val="left"/>
              <w:rPr>
                <w:lang w:val="en-GB"/>
              </w:rPr>
            </w:pPr>
            <w:r w:rsidRPr="00361E30">
              <w:rPr>
                <w:lang w:val="en-GB"/>
              </w:rPr>
              <w:t>Injury Severity Score (ISS)</w:t>
            </w:r>
          </w:p>
        </w:tc>
        <w:tc>
          <w:tcPr>
            <w:tcW w:w="855" w:type="dxa"/>
            <w:tcBorders>
              <w:top w:val="single" w:sz="4" w:space="0" w:color="auto"/>
            </w:tcBorders>
            <w:vAlign w:val="center"/>
          </w:tcPr>
          <w:p w14:paraId="51975067" w14:textId="77777777" w:rsidR="00CA0EF0" w:rsidRPr="00361E30" w:rsidRDefault="00CA0EF0" w:rsidP="003C13F4">
            <w:pPr>
              <w:spacing w:line="240" w:lineRule="auto"/>
              <w:jc w:val="left"/>
              <w:rPr>
                <w:lang w:val="en-GB"/>
              </w:rPr>
            </w:pPr>
            <w:r w:rsidRPr="00361E30">
              <w:rPr>
                <w:lang w:val="en-GB"/>
              </w:rPr>
              <w:t>Yes</w:t>
            </w:r>
          </w:p>
        </w:tc>
        <w:tc>
          <w:tcPr>
            <w:tcW w:w="855" w:type="dxa"/>
            <w:tcBorders>
              <w:top w:val="single" w:sz="4" w:space="0" w:color="auto"/>
            </w:tcBorders>
            <w:vAlign w:val="center"/>
          </w:tcPr>
          <w:p w14:paraId="34F47295" w14:textId="77777777" w:rsidR="00CA0EF0" w:rsidRPr="00361E30" w:rsidRDefault="00CA0EF0" w:rsidP="003C13F4">
            <w:pPr>
              <w:spacing w:line="240" w:lineRule="auto"/>
              <w:jc w:val="left"/>
              <w:rPr>
                <w:lang w:val="en-GB"/>
              </w:rPr>
            </w:pPr>
            <w:r w:rsidRPr="00361E30">
              <w:rPr>
                <w:lang w:val="en-GB"/>
              </w:rPr>
              <w:t>Yes</w:t>
            </w:r>
          </w:p>
        </w:tc>
        <w:tc>
          <w:tcPr>
            <w:tcW w:w="4184" w:type="dxa"/>
            <w:tcBorders>
              <w:top w:val="single" w:sz="4" w:space="0" w:color="auto"/>
            </w:tcBorders>
            <w:vAlign w:val="center"/>
          </w:tcPr>
          <w:p w14:paraId="20DC9EF0" w14:textId="77777777" w:rsidR="00CA0EF0" w:rsidRPr="00361E30" w:rsidRDefault="00CA0EF0" w:rsidP="003C13F4">
            <w:pPr>
              <w:spacing w:line="240" w:lineRule="auto"/>
              <w:jc w:val="left"/>
              <w:rPr>
                <w:lang w:val="en-GB"/>
              </w:rPr>
            </w:pPr>
            <w:r w:rsidRPr="00361E30">
              <w:rPr>
                <w:lang w:val="en-GB"/>
              </w:rPr>
              <w:t>Included as both a continuous and categorical variable</w:t>
            </w:r>
          </w:p>
        </w:tc>
      </w:tr>
      <w:tr w:rsidR="00CA0EF0" w:rsidRPr="00361E30" w14:paraId="67392DD4" w14:textId="77777777" w:rsidTr="003C13F4">
        <w:tc>
          <w:tcPr>
            <w:tcW w:w="3348" w:type="dxa"/>
            <w:vAlign w:val="center"/>
          </w:tcPr>
          <w:p w14:paraId="48D66E6D" w14:textId="77777777" w:rsidR="00CA0EF0" w:rsidRPr="00361E30" w:rsidRDefault="00CA0EF0" w:rsidP="003C13F4">
            <w:pPr>
              <w:spacing w:line="240" w:lineRule="auto"/>
              <w:jc w:val="left"/>
              <w:rPr>
                <w:lang w:val="en-GB"/>
              </w:rPr>
            </w:pPr>
            <w:r w:rsidRPr="00361E30">
              <w:rPr>
                <w:lang w:val="en-GB"/>
              </w:rPr>
              <w:t xml:space="preserve">Injury pattern </w:t>
            </w:r>
          </w:p>
        </w:tc>
        <w:tc>
          <w:tcPr>
            <w:tcW w:w="855" w:type="dxa"/>
            <w:vAlign w:val="center"/>
          </w:tcPr>
          <w:p w14:paraId="6557164D" w14:textId="77777777" w:rsidR="00CA0EF0" w:rsidRPr="00361E30" w:rsidRDefault="00CA0EF0" w:rsidP="003C13F4">
            <w:pPr>
              <w:spacing w:line="240" w:lineRule="auto"/>
              <w:jc w:val="left"/>
              <w:rPr>
                <w:lang w:val="en-GB"/>
              </w:rPr>
            </w:pPr>
            <w:r w:rsidRPr="00361E30">
              <w:rPr>
                <w:lang w:val="en-GB"/>
              </w:rPr>
              <w:t>Yes</w:t>
            </w:r>
          </w:p>
        </w:tc>
        <w:tc>
          <w:tcPr>
            <w:tcW w:w="855" w:type="dxa"/>
            <w:vAlign w:val="center"/>
          </w:tcPr>
          <w:p w14:paraId="58FF657B" w14:textId="77777777" w:rsidR="00CA0EF0" w:rsidRPr="00361E30" w:rsidRDefault="00CA0EF0" w:rsidP="003C13F4">
            <w:pPr>
              <w:spacing w:line="240" w:lineRule="auto"/>
              <w:jc w:val="left"/>
              <w:rPr>
                <w:lang w:val="en-GB"/>
              </w:rPr>
            </w:pPr>
            <w:r w:rsidRPr="00361E30">
              <w:rPr>
                <w:lang w:val="en-GB"/>
              </w:rPr>
              <w:t>No</w:t>
            </w:r>
          </w:p>
        </w:tc>
        <w:tc>
          <w:tcPr>
            <w:tcW w:w="4184" w:type="dxa"/>
            <w:vAlign w:val="center"/>
          </w:tcPr>
          <w:p w14:paraId="58E513E5" w14:textId="77777777" w:rsidR="00CA0EF0" w:rsidRPr="00361E30" w:rsidRDefault="00CA0EF0" w:rsidP="003C13F4">
            <w:pPr>
              <w:spacing w:line="240" w:lineRule="auto"/>
              <w:jc w:val="left"/>
              <w:rPr>
                <w:lang w:val="en-GB"/>
              </w:rPr>
            </w:pPr>
            <w:r w:rsidRPr="00361E30">
              <w:rPr>
                <w:lang w:val="en-GB"/>
              </w:rPr>
              <w:t>Tested the significance of head injuries in the model</w:t>
            </w:r>
          </w:p>
        </w:tc>
      </w:tr>
      <w:tr w:rsidR="00CA0EF0" w:rsidRPr="00361E30" w14:paraId="2A900E2B" w14:textId="77777777" w:rsidTr="003C13F4">
        <w:tc>
          <w:tcPr>
            <w:tcW w:w="3348" w:type="dxa"/>
            <w:vAlign w:val="center"/>
          </w:tcPr>
          <w:p w14:paraId="179FFE9A" w14:textId="77777777" w:rsidR="00CA0EF0" w:rsidRPr="00361E30" w:rsidRDefault="00CA0EF0" w:rsidP="003C13F4">
            <w:pPr>
              <w:spacing w:line="240" w:lineRule="auto"/>
              <w:jc w:val="left"/>
              <w:rPr>
                <w:lang w:val="en-GB"/>
              </w:rPr>
            </w:pPr>
            <w:r w:rsidRPr="00361E30">
              <w:rPr>
                <w:lang w:val="en-GB"/>
              </w:rPr>
              <w:t>Number of injuries</w:t>
            </w:r>
          </w:p>
        </w:tc>
        <w:tc>
          <w:tcPr>
            <w:tcW w:w="855" w:type="dxa"/>
            <w:vAlign w:val="center"/>
          </w:tcPr>
          <w:p w14:paraId="6FF71297" w14:textId="77777777" w:rsidR="00CA0EF0" w:rsidRPr="00361E30" w:rsidRDefault="00CA0EF0" w:rsidP="003C13F4">
            <w:pPr>
              <w:spacing w:line="240" w:lineRule="auto"/>
              <w:jc w:val="left"/>
              <w:rPr>
                <w:lang w:val="en-GB"/>
              </w:rPr>
            </w:pPr>
            <w:r w:rsidRPr="00361E30">
              <w:rPr>
                <w:lang w:val="en-GB"/>
              </w:rPr>
              <w:t>Yes</w:t>
            </w:r>
          </w:p>
        </w:tc>
        <w:tc>
          <w:tcPr>
            <w:tcW w:w="855" w:type="dxa"/>
            <w:vAlign w:val="center"/>
          </w:tcPr>
          <w:p w14:paraId="749110FB" w14:textId="77777777" w:rsidR="00CA0EF0" w:rsidRPr="00361E30" w:rsidRDefault="00CA0EF0" w:rsidP="003C13F4">
            <w:pPr>
              <w:spacing w:line="240" w:lineRule="auto"/>
              <w:jc w:val="left"/>
              <w:rPr>
                <w:lang w:val="en-GB"/>
              </w:rPr>
            </w:pPr>
            <w:r w:rsidRPr="00361E30">
              <w:rPr>
                <w:lang w:val="en-GB"/>
              </w:rPr>
              <w:t>No</w:t>
            </w:r>
          </w:p>
        </w:tc>
        <w:tc>
          <w:tcPr>
            <w:tcW w:w="4184" w:type="dxa"/>
            <w:vAlign w:val="center"/>
          </w:tcPr>
          <w:p w14:paraId="7C455D33" w14:textId="77777777" w:rsidR="00CA0EF0" w:rsidRPr="00361E30" w:rsidRDefault="00CA0EF0" w:rsidP="003C13F4">
            <w:pPr>
              <w:spacing w:line="240" w:lineRule="auto"/>
              <w:jc w:val="left"/>
              <w:rPr>
                <w:lang w:val="en-GB"/>
              </w:rPr>
            </w:pPr>
          </w:p>
          <w:p w14:paraId="0C155CA6" w14:textId="77777777" w:rsidR="00CA0EF0" w:rsidRPr="00361E30" w:rsidRDefault="00CA0EF0" w:rsidP="003C13F4">
            <w:pPr>
              <w:spacing w:line="240" w:lineRule="auto"/>
              <w:jc w:val="left"/>
              <w:rPr>
                <w:lang w:val="en-GB"/>
              </w:rPr>
            </w:pPr>
          </w:p>
        </w:tc>
      </w:tr>
      <w:tr w:rsidR="00CA0EF0" w:rsidRPr="00361E30" w14:paraId="616B3916" w14:textId="77777777" w:rsidTr="003C13F4">
        <w:tc>
          <w:tcPr>
            <w:tcW w:w="3348" w:type="dxa"/>
            <w:tcBorders>
              <w:bottom w:val="single" w:sz="4" w:space="0" w:color="auto"/>
            </w:tcBorders>
            <w:vAlign w:val="center"/>
          </w:tcPr>
          <w:p w14:paraId="737C547F" w14:textId="77777777" w:rsidR="00CA0EF0" w:rsidRPr="00361E30" w:rsidRDefault="00CA0EF0" w:rsidP="003C13F4">
            <w:pPr>
              <w:spacing w:line="240" w:lineRule="auto"/>
              <w:jc w:val="left"/>
              <w:rPr>
                <w:lang w:val="en-GB"/>
              </w:rPr>
            </w:pPr>
            <w:r w:rsidRPr="00361E30">
              <w:rPr>
                <w:lang w:val="en-GB"/>
              </w:rPr>
              <w:t>Mechanism of injury</w:t>
            </w:r>
          </w:p>
        </w:tc>
        <w:tc>
          <w:tcPr>
            <w:tcW w:w="855" w:type="dxa"/>
            <w:tcBorders>
              <w:bottom w:val="single" w:sz="4" w:space="0" w:color="auto"/>
            </w:tcBorders>
            <w:vAlign w:val="center"/>
          </w:tcPr>
          <w:p w14:paraId="03C273EB" w14:textId="77777777" w:rsidR="00CA0EF0" w:rsidRPr="00361E30" w:rsidRDefault="00CA0EF0" w:rsidP="003C13F4">
            <w:pPr>
              <w:spacing w:line="240" w:lineRule="auto"/>
              <w:jc w:val="left"/>
              <w:rPr>
                <w:lang w:val="en-GB"/>
              </w:rPr>
            </w:pPr>
            <w:r w:rsidRPr="00361E30">
              <w:rPr>
                <w:lang w:val="en-GB"/>
              </w:rPr>
              <w:t>Yes</w:t>
            </w:r>
          </w:p>
        </w:tc>
        <w:tc>
          <w:tcPr>
            <w:tcW w:w="855" w:type="dxa"/>
            <w:tcBorders>
              <w:bottom w:val="single" w:sz="4" w:space="0" w:color="auto"/>
            </w:tcBorders>
            <w:vAlign w:val="center"/>
          </w:tcPr>
          <w:p w14:paraId="55E5A183" w14:textId="77777777" w:rsidR="00CA0EF0" w:rsidRPr="00361E30" w:rsidRDefault="00CA0EF0" w:rsidP="003C13F4">
            <w:pPr>
              <w:spacing w:line="240" w:lineRule="auto"/>
              <w:jc w:val="left"/>
              <w:rPr>
                <w:lang w:val="en-GB"/>
              </w:rPr>
            </w:pPr>
            <w:r w:rsidRPr="00361E30">
              <w:rPr>
                <w:lang w:val="en-GB"/>
              </w:rPr>
              <w:t>No</w:t>
            </w:r>
          </w:p>
        </w:tc>
        <w:tc>
          <w:tcPr>
            <w:tcW w:w="4184" w:type="dxa"/>
            <w:tcBorders>
              <w:bottom w:val="single" w:sz="4" w:space="0" w:color="auto"/>
            </w:tcBorders>
            <w:vAlign w:val="center"/>
          </w:tcPr>
          <w:p w14:paraId="6571FFB2" w14:textId="77777777" w:rsidR="00CA0EF0" w:rsidRPr="00361E30" w:rsidRDefault="00CA0EF0" w:rsidP="003C13F4">
            <w:pPr>
              <w:spacing w:line="240" w:lineRule="auto"/>
              <w:jc w:val="left"/>
              <w:rPr>
                <w:lang w:val="en-GB"/>
              </w:rPr>
            </w:pPr>
            <w:r w:rsidRPr="00361E30">
              <w:rPr>
                <w:lang w:val="en-GB"/>
              </w:rPr>
              <w:t>Particularly assessed the significance of falls in the model</w:t>
            </w:r>
          </w:p>
        </w:tc>
      </w:tr>
      <w:tr w:rsidR="00CA0EF0" w:rsidRPr="00361E30" w14:paraId="0611696C" w14:textId="77777777" w:rsidTr="003C13F4">
        <w:tc>
          <w:tcPr>
            <w:tcW w:w="9242" w:type="dxa"/>
            <w:gridSpan w:val="4"/>
            <w:tcBorders>
              <w:top w:val="single" w:sz="4" w:space="0" w:color="auto"/>
              <w:bottom w:val="single" w:sz="4" w:space="0" w:color="auto"/>
            </w:tcBorders>
            <w:shd w:val="clear" w:color="auto" w:fill="BFBFBF" w:themeFill="background1" w:themeFillShade="BF"/>
            <w:vAlign w:val="center"/>
          </w:tcPr>
          <w:p w14:paraId="6979F0A2" w14:textId="77777777" w:rsidR="00CA0EF0" w:rsidRPr="00361E30" w:rsidRDefault="00CA0EF0" w:rsidP="003C13F4">
            <w:pPr>
              <w:spacing w:line="240" w:lineRule="auto"/>
              <w:jc w:val="left"/>
              <w:rPr>
                <w:lang w:val="en-GB"/>
              </w:rPr>
            </w:pPr>
            <w:r w:rsidRPr="00361E30">
              <w:rPr>
                <w:lang w:val="en-GB"/>
              </w:rPr>
              <w:t>Physiological status of patients</w:t>
            </w:r>
          </w:p>
        </w:tc>
      </w:tr>
      <w:tr w:rsidR="00CA0EF0" w:rsidRPr="00361E30" w14:paraId="75C86C80" w14:textId="77777777" w:rsidTr="003C13F4">
        <w:tc>
          <w:tcPr>
            <w:tcW w:w="3348" w:type="dxa"/>
            <w:tcBorders>
              <w:top w:val="single" w:sz="4" w:space="0" w:color="auto"/>
            </w:tcBorders>
            <w:vAlign w:val="center"/>
          </w:tcPr>
          <w:p w14:paraId="6505FD4B" w14:textId="77777777" w:rsidR="00CA0EF0" w:rsidRPr="00361E30" w:rsidRDefault="00CA0EF0" w:rsidP="003C13F4">
            <w:pPr>
              <w:spacing w:line="240" w:lineRule="auto"/>
              <w:jc w:val="left"/>
              <w:rPr>
                <w:lang w:val="en-GB"/>
              </w:rPr>
            </w:pPr>
            <w:r w:rsidRPr="00361E30">
              <w:rPr>
                <w:lang w:val="en-GB"/>
              </w:rPr>
              <w:t>Glasgow Coma Score (GCS)</w:t>
            </w:r>
          </w:p>
        </w:tc>
        <w:tc>
          <w:tcPr>
            <w:tcW w:w="855" w:type="dxa"/>
            <w:tcBorders>
              <w:top w:val="single" w:sz="4" w:space="0" w:color="auto"/>
            </w:tcBorders>
            <w:vAlign w:val="center"/>
          </w:tcPr>
          <w:p w14:paraId="31D314C4" w14:textId="77777777" w:rsidR="00CA0EF0" w:rsidRPr="00361E30" w:rsidRDefault="00CA0EF0" w:rsidP="003C13F4">
            <w:pPr>
              <w:spacing w:line="240" w:lineRule="auto"/>
              <w:jc w:val="left"/>
              <w:rPr>
                <w:lang w:val="en-GB"/>
              </w:rPr>
            </w:pPr>
            <w:r w:rsidRPr="00361E30">
              <w:rPr>
                <w:lang w:val="en-GB"/>
              </w:rPr>
              <w:t>Yes</w:t>
            </w:r>
          </w:p>
        </w:tc>
        <w:tc>
          <w:tcPr>
            <w:tcW w:w="855" w:type="dxa"/>
            <w:tcBorders>
              <w:top w:val="single" w:sz="4" w:space="0" w:color="auto"/>
            </w:tcBorders>
            <w:vAlign w:val="center"/>
          </w:tcPr>
          <w:p w14:paraId="09D079F9" w14:textId="77777777" w:rsidR="00CA0EF0" w:rsidRPr="00361E30" w:rsidRDefault="00CA0EF0" w:rsidP="003C13F4">
            <w:pPr>
              <w:spacing w:line="240" w:lineRule="auto"/>
              <w:jc w:val="left"/>
              <w:rPr>
                <w:lang w:val="en-GB"/>
              </w:rPr>
            </w:pPr>
            <w:r w:rsidRPr="00361E30">
              <w:rPr>
                <w:lang w:val="en-GB"/>
              </w:rPr>
              <w:t>Yes</w:t>
            </w:r>
          </w:p>
        </w:tc>
        <w:tc>
          <w:tcPr>
            <w:tcW w:w="4184" w:type="dxa"/>
            <w:tcBorders>
              <w:top w:val="single" w:sz="4" w:space="0" w:color="auto"/>
            </w:tcBorders>
            <w:vAlign w:val="center"/>
          </w:tcPr>
          <w:p w14:paraId="1DE405F9" w14:textId="77777777" w:rsidR="00CA0EF0" w:rsidRPr="00361E30" w:rsidRDefault="00CA0EF0" w:rsidP="003C13F4">
            <w:pPr>
              <w:spacing w:line="240" w:lineRule="auto"/>
              <w:jc w:val="left"/>
              <w:rPr>
                <w:lang w:val="en-GB"/>
              </w:rPr>
            </w:pPr>
          </w:p>
          <w:p w14:paraId="4FC5E3FE" w14:textId="77777777" w:rsidR="00CA0EF0" w:rsidRPr="00361E30" w:rsidRDefault="00CA0EF0" w:rsidP="003C13F4">
            <w:pPr>
              <w:spacing w:line="240" w:lineRule="auto"/>
              <w:jc w:val="left"/>
              <w:rPr>
                <w:lang w:val="en-GB"/>
              </w:rPr>
            </w:pPr>
          </w:p>
        </w:tc>
      </w:tr>
      <w:tr w:rsidR="00CA0EF0" w:rsidRPr="00361E30" w14:paraId="71358309" w14:textId="77777777" w:rsidTr="003C13F4">
        <w:tc>
          <w:tcPr>
            <w:tcW w:w="3348" w:type="dxa"/>
            <w:vAlign w:val="center"/>
          </w:tcPr>
          <w:p w14:paraId="24F7538D" w14:textId="77777777" w:rsidR="00CA0EF0" w:rsidRPr="00361E30" w:rsidRDefault="00CA0EF0" w:rsidP="003C13F4">
            <w:pPr>
              <w:spacing w:line="240" w:lineRule="auto"/>
              <w:jc w:val="left"/>
              <w:rPr>
                <w:lang w:val="en-GB"/>
              </w:rPr>
            </w:pPr>
            <w:r w:rsidRPr="00361E30">
              <w:rPr>
                <w:lang w:val="en-GB"/>
              </w:rPr>
              <w:t>Systolic blood pressure (SBP)</w:t>
            </w:r>
          </w:p>
        </w:tc>
        <w:tc>
          <w:tcPr>
            <w:tcW w:w="855" w:type="dxa"/>
            <w:vAlign w:val="center"/>
          </w:tcPr>
          <w:p w14:paraId="3F4D152D" w14:textId="77777777" w:rsidR="00CA0EF0" w:rsidRPr="00361E30" w:rsidRDefault="00CA0EF0" w:rsidP="003C13F4">
            <w:pPr>
              <w:spacing w:line="240" w:lineRule="auto"/>
              <w:jc w:val="left"/>
              <w:rPr>
                <w:lang w:val="en-GB"/>
              </w:rPr>
            </w:pPr>
            <w:r w:rsidRPr="00361E30">
              <w:rPr>
                <w:lang w:val="en-GB"/>
              </w:rPr>
              <w:t>Yes</w:t>
            </w:r>
          </w:p>
        </w:tc>
        <w:tc>
          <w:tcPr>
            <w:tcW w:w="855" w:type="dxa"/>
            <w:vAlign w:val="center"/>
          </w:tcPr>
          <w:p w14:paraId="0B3227BB" w14:textId="77777777" w:rsidR="00CA0EF0" w:rsidRPr="00361E30" w:rsidRDefault="00CA0EF0" w:rsidP="003C13F4">
            <w:pPr>
              <w:spacing w:line="240" w:lineRule="auto"/>
              <w:jc w:val="left"/>
              <w:rPr>
                <w:lang w:val="en-GB"/>
              </w:rPr>
            </w:pPr>
            <w:r w:rsidRPr="00361E30">
              <w:rPr>
                <w:lang w:val="en-GB"/>
              </w:rPr>
              <w:t>No</w:t>
            </w:r>
          </w:p>
        </w:tc>
        <w:tc>
          <w:tcPr>
            <w:tcW w:w="4184" w:type="dxa"/>
            <w:vAlign w:val="center"/>
          </w:tcPr>
          <w:p w14:paraId="1E2AF63F" w14:textId="77777777" w:rsidR="00CA0EF0" w:rsidRPr="00361E30" w:rsidRDefault="00CA0EF0" w:rsidP="003C13F4">
            <w:pPr>
              <w:spacing w:line="240" w:lineRule="auto"/>
              <w:jc w:val="left"/>
              <w:rPr>
                <w:lang w:val="en-GB"/>
              </w:rPr>
            </w:pPr>
            <w:r w:rsidRPr="00361E30">
              <w:rPr>
                <w:lang w:val="en-GB"/>
              </w:rPr>
              <w:t xml:space="preserve">SBP was included in the original TRISS predictive model for major trauma </w:t>
            </w:r>
          </w:p>
        </w:tc>
      </w:tr>
      <w:tr w:rsidR="00CA0EF0" w:rsidRPr="00361E30" w14:paraId="3EBC9B77" w14:textId="77777777" w:rsidTr="003C13F4">
        <w:tc>
          <w:tcPr>
            <w:tcW w:w="3348" w:type="dxa"/>
            <w:tcBorders>
              <w:bottom w:val="single" w:sz="4" w:space="0" w:color="auto"/>
            </w:tcBorders>
            <w:vAlign w:val="center"/>
          </w:tcPr>
          <w:p w14:paraId="2CF0DA4B" w14:textId="77777777" w:rsidR="00CA0EF0" w:rsidRPr="00361E30" w:rsidRDefault="00CA0EF0" w:rsidP="003C13F4">
            <w:pPr>
              <w:spacing w:line="240" w:lineRule="auto"/>
              <w:jc w:val="left"/>
              <w:rPr>
                <w:lang w:val="en-GB"/>
              </w:rPr>
            </w:pPr>
            <w:r w:rsidRPr="00361E30">
              <w:rPr>
                <w:lang w:val="en-GB"/>
              </w:rPr>
              <w:t>Respiratory rate (RR)</w:t>
            </w:r>
          </w:p>
        </w:tc>
        <w:tc>
          <w:tcPr>
            <w:tcW w:w="855" w:type="dxa"/>
            <w:tcBorders>
              <w:bottom w:val="single" w:sz="4" w:space="0" w:color="auto"/>
            </w:tcBorders>
            <w:vAlign w:val="center"/>
          </w:tcPr>
          <w:p w14:paraId="2EF349FC" w14:textId="77777777" w:rsidR="00CA0EF0" w:rsidRPr="00361E30" w:rsidRDefault="00CA0EF0" w:rsidP="003C13F4">
            <w:pPr>
              <w:spacing w:line="240" w:lineRule="auto"/>
              <w:jc w:val="left"/>
              <w:rPr>
                <w:lang w:val="en-GB"/>
              </w:rPr>
            </w:pPr>
            <w:r w:rsidRPr="00361E30">
              <w:rPr>
                <w:lang w:val="en-GB"/>
              </w:rPr>
              <w:t>Yes</w:t>
            </w:r>
          </w:p>
        </w:tc>
        <w:tc>
          <w:tcPr>
            <w:tcW w:w="855" w:type="dxa"/>
            <w:tcBorders>
              <w:bottom w:val="single" w:sz="4" w:space="0" w:color="auto"/>
            </w:tcBorders>
            <w:vAlign w:val="center"/>
          </w:tcPr>
          <w:p w14:paraId="466A211D" w14:textId="77777777" w:rsidR="00CA0EF0" w:rsidRPr="00361E30" w:rsidRDefault="00CA0EF0" w:rsidP="003C13F4">
            <w:pPr>
              <w:spacing w:line="240" w:lineRule="auto"/>
              <w:jc w:val="left"/>
              <w:rPr>
                <w:lang w:val="en-GB"/>
              </w:rPr>
            </w:pPr>
            <w:r w:rsidRPr="00361E30">
              <w:rPr>
                <w:lang w:val="en-GB"/>
              </w:rPr>
              <w:t>No</w:t>
            </w:r>
          </w:p>
        </w:tc>
        <w:tc>
          <w:tcPr>
            <w:tcW w:w="4184" w:type="dxa"/>
            <w:tcBorders>
              <w:bottom w:val="single" w:sz="4" w:space="0" w:color="auto"/>
            </w:tcBorders>
            <w:vAlign w:val="center"/>
          </w:tcPr>
          <w:p w14:paraId="708523D5" w14:textId="77777777" w:rsidR="00CA0EF0" w:rsidRPr="00361E30" w:rsidRDefault="00CA0EF0" w:rsidP="003C13F4">
            <w:pPr>
              <w:spacing w:line="240" w:lineRule="auto"/>
              <w:jc w:val="left"/>
              <w:rPr>
                <w:lang w:val="en-GB"/>
              </w:rPr>
            </w:pPr>
            <w:r w:rsidRPr="00361E30">
              <w:rPr>
                <w:lang w:val="en-GB"/>
              </w:rPr>
              <w:t>RR was included in the original TRISS predictive model for major trauma</w:t>
            </w:r>
          </w:p>
        </w:tc>
      </w:tr>
    </w:tbl>
    <w:p w14:paraId="64A4EC16" w14:textId="77777777" w:rsidR="00CA0EF0" w:rsidRPr="00361E30" w:rsidRDefault="00CA0EF0" w:rsidP="003C13F4">
      <w:pPr>
        <w:pStyle w:val="TableTitle"/>
      </w:pPr>
      <w:bookmarkStart w:id="89" w:name="_Toc528321040"/>
      <w:r w:rsidRPr="00361E30">
        <w:t>Table 3.1: Patient characteristics tested in the multivariate model</w:t>
      </w:r>
      <w:bookmarkEnd w:id="89"/>
    </w:p>
    <w:p w14:paraId="2601E940" w14:textId="77777777" w:rsidR="00CA0EF0" w:rsidRPr="00361E30" w:rsidRDefault="00CA0EF0" w:rsidP="003C13F4">
      <w:pPr>
        <w:pStyle w:val="Heading4"/>
      </w:pPr>
      <w:r w:rsidRPr="00361E30">
        <w:t>Identification of Patient Characteristics for Inclusion in the Model</w:t>
      </w:r>
    </w:p>
    <w:p w14:paraId="325E0D40" w14:textId="77777777" w:rsidR="00CA0EF0" w:rsidRPr="00361E30" w:rsidRDefault="00CA0EF0" w:rsidP="003C13F4">
      <w:r w:rsidRPr="00361E30">
        <w:t>Patient characteristics utilised in the multivariate logistic regression analysis included those identified through the systematic review and available either within the TARN database or via a publicly accessible dataset (the Clinical Quality Commission [CQC] and National Hip Fracture [NHFD] Databases). Patient characteristics currently used in the TARN PS14 model were also tested in the model:</w:t>
      </w:r>
    </w:p>
    <w:p w14:paraId="5D2F1149" w14:textId="77777777" w:rsidR="00CA0EF0" w:rsidRPr="00361E30" w:rsidRDefault="00CA0EF0" w:rsidP="003C13F4">
      <w:pPr>
        <w:pStyle w:val="ListParagraph"/>
        <w:numPr>
          <w:ilvl w:val="0"/>
          <w:numId w:val="23"/>
        </w:numPr>
        <w:spacing w:after="0"/>
        <w:contextualSpacing w:val="0"/>
        <w:rPr>
          <w:rFonts w:eastAsia="Times New Roman"/>
        </w:rPr>
      </w:pPr>
      <w:r w:rsidRPr="00361E30">
        <w:rPr>
          <w:rFonts w:eastAsia="Times New Roman"/>
        </w:rPr>
        <w:t>Demographic variables: age and gender. This included identification of any interactions between age and gender in older patients</w:t>
      </w:r>
      <w:r w:rsidR="0027792F" w:rsidRPr="00361E30">
        <w:rPr>
          <w:rFonts w:eastAsia="Times New Roman"/>
        </w:rPr>
        <w:t>, as described by Bouamra et al (2015)</w:t>
      </w:r>
      <w:r w:rsidRPr="00361E30">
        <w:rPr>
          <w:rFonts w:eastAsia="Times New Roman"/>
        </w:rPr>
        <w:t>.</w:t>
      </w:r>
    </w:p>
    <w:p w14:paraId="71B710D5" w14:textId="77777777" w:rsidR="00CA0EF0" w:rsidRPr="00361E30" w:rsidRDefault="00CA0EF0" w:rsidP="003C13F4">
      <w:pPr>
        <w:pStyle w:val="ListParagraph"/>
        <w:numPr>
          <w:ilvl w:val="0"/>
          <w:numId w:val="23"/>
        </w:numPr>
        <w:spacing w:after="0"/>
        <w:contextualSpacing w:val="0"/>
        <w:rPr>
          <w:rFonts w:eastAsia="Times New Roman"/>
        </w:rPr>
      </w:pPr>
      <w:r w:rsidRPr="00361E30">
        <w:rPr>
          <w:rFonts w:eastAsia="Times New Roman"/>
        </w:rPr>
        <w:lastRenderedPageBreak/>
        <w:t xml:space="preserve">Injury related variables: injury severity, Glasgow coma score, systolic blood pressure, mechanism of injury (particularly motor vehicle collisions and falls), injury pattern and injury severity score. </w:t>
      </w:r>
    </w:p>
    <w:p w14:paraId="170DAA20" w14:textId="77777777" w:rsidR="00CA0EF0" w:rsidRPr="00361E30" w:rsidRDefault="00CA0EF0" w:rsidP="003C13F4">
      <w:pPr>
        <w:pStyle w:val="ListParagraph"/>
        <w:numPr>
          <w:ilvl w:val="0"/>
          <w:numId w:val="23"/>
        </w:numPr>
        <w:spacing w:after="0"/>
        <w:contextualSpacing w:val="0"/>
        <w:rPr>
          <w:rFonts w:eastAsia="Times New Roman"/>
        </w:rPr>
      </w:pPr>
      <w:r w:rsidRPr="00361E30">
        <w:rPr>
          <w:rFonts w:eastAsia="Times New Roman"/>
        </w:rPr>
        <w:t xml:space="preserve">Premorbid clinical characteristics of patients: comorbidities and medication </w:t>
      </w:r>
      <w:r w:rsidRPr="00361E30">
        <w:rPr>
          <w:rFonts w:eastAsia="Times New Roman"/>
          <w:noProof/>
        </w:rPr>
        <w:t>(Bouamra et al. 2006a)</w:t>
      </w:r>
      <w:r w:rsidRPr="00361E30">
        <w:rPr>
          <w:rFonts w:eastAsia="Times New Roman"/>
        </w:rPr>
        <w:t xml:space="preserve">. </w:t>
      </w:r>
    </w:p>
    <w:p w14:paraId="02445316" w14:textId="77777777" w:rsidR="00CA0EF0" w:rsidRPr="00361E30" w:rsidRDefault="00CA0EF0" w:rsidP="003C13F4">
      <w:r w:rsidRPr="00361E30">
        <w:t>Table 3.1 lists the patient characteristics tested in the model, mentioning if they were included as part of the original TARN model or as variables identified in the systematic review.</w:t>
      </w:r>
    </w:p>
    <w:p w14:paraId="12343515" w14:textId="77777777" w:rsidR="00CA0EF0" w:rsidRPr="00361E30" w:rsidRDefault="00CA0EF0" w:rsidP="003C13F4">
      <w:pPr>
        <w:pStyle w:val="Heading4"/>
      </w:pPr>
      <w:r w:rsidRPr="00361E30">
        <w:t>Statistical Analysis</w:t>
      </w:r>
    </w:p>
    <w:p w14:paraId="77E5220C" w14:textId="77777777" w:rsidR="00CA0EF0" w:rsidRPr="00361E30" w:rsidRDefault="00CA0EF0" w:rsidP="003C13F4">
      <w:r w:rsidRPr="00361E30">
        <w:t xml:space="preserve">Univariate logistic regression analysis was performed on each risk factor initially. Those showing a moderate correlation with survival (a </w:t>
      </w:r>
      <w:r w:rsidR="00CE038B">
        <w:t>p</w:t>
      </w:r>
      <w:r w:rsidRPr="00361E30">
        <w:t xml:space="preserve"> value of &lt;0.2) was then included in the multivariate logistic regression analysis. This approach has been used in other studies of trauma outcomes using multivariate logistic regression </w:t>
      </w:r>
      <w:r w:rsidRPr="00361E30">
        <w:rPr>
          <w:noProof/>
        </w:rPr>
        <w:t>(Aitken</w:t>
      </w:r>
      <w:r w:rsidR="00E84970" w:rsidRPr="00361E30">
        <w:rPr>
          <w:noProof/>
        </w:rPr>
        <w:t xml:space="preserve"> et al.</w:t>
      </w:r>
      <w:r w:rsidRPr="00361E30">
        <w:rPr>
          <w:noProof/>
        </w:rPr>
        <w:t xml:space="preserve"> 2010, Hannan et al. 1995a)</w:t>
      </w:r>
      <w:r w:rsidRPr="00361E30">
        <w:t>.</w:t>
      </w:r>
    </w:p>
    <w:p w14:paraId="2C5818C7" w14:textId="77777777" w:rsidR="00CA0EF0" w:rsidRPr="00361E30" w:rsidRDefault="00CA0EF0" w:rsidP="003C13F4">
      <w:pPr>
        <w:ind w:firstLine="720"/>
      </w:pPr>
      <w:r w:rsidRPr="00361E30">
        <w:t xml:space="preserve">Multivariate logistic regression analysis was then used to identify patient characteristics with a significant impact on survival in older major trauma patients, after controlling for other covariates. Linearity of correlation and independence of covariates (multicollinearity) were assessed (see Sections 3.3.3.4.3 and 3.3.3.4.4). For factors included in the multivariate logistic regression analysis, a p value of &lt; .05 was taken as statistically significant. A significance level of p &lt; .05 is most commonly used to define statistically significant effects of covariates in studies of survival in older trauma patients </w:t>
      </w:r>
      <w:r w:rsidR="00E84970" w:rsidRPr="00361E30">
        <w:rPr>
          <w:noProof/>
        </w:rPr>
        <w:t>(Aitken et</w:t>
      </w:r>
      <w:r w:rsidRPr="00361E30">
        <w:rPr>
          <w:noProof/>
        </w:rPr>
        <w:t xml:space="preserve"> al. 2010, Hannan et al. 1995a, Yeung et al. 2008)</w:t>
      </w:r>
      <w:r w:rsidRPr="00361E30">
        <w:t>.</w:t>
      </w:r>
    </w:p>
    <w:p w14:paraId="4ABB4BDB" w14:textId="77777777" w:rsidR="00CA0EF0" w:rsidRPr="00361E30" w:rsidRDefault="00CA0EF0" w:rsidP="003C13F4">
      <w:pPr>
        <w:ind w:firstLine="720"/>
      </w:pPr>
      <w:r w:rsidRPr="00361E30">
        <w:t>The accuracy of the model was assessed using the area under the receiver operator curve (AUROC), which assesses the ability of the model to distinguish between positive and negative outcomes. The R</w:t>
      </w:r>
      <w:r w:rsidRPr="00361E30">
        <w:rPr>
          <w:vertAlign w:val="superscript"/>
        </w:rPr>
        <w:t>2</w:t>
      </w:r>
      <w:r w:rsidRPr="00361E30">
        <w:t xml:space="preserve"> statistic for the model (the degree to which the variance of survival is explained by the model) was also calculated. Finally, the </w:t>
      </w:r>
      <w:r w:rsidRPr="00361E30">
        <w:rPr>
          <w:rFonts w:cs="Times-Roman"/>
        </w:rPr>
        <w:t xml:space="preserve">Hosmer – Lemeshow (H-L) goodness of fit statistic was estimated. The H-L statistic measures the degree to which the predicted outcomes, as calculated by the model, fit with the actual outcomes in the study cohort. </w:t>
      </w:r>
      <w:r w:rsidRPr="00361E30">
        <w:t xml:space="preserve">When analysing the accuracy of the predictive model, missing data </w:t>
      </w:r>
      <w:r w:rsidR="008A51FC">
        <w:t>were</w:t>
      </w:r>
      <w:r w:rsidRPr="00361E30">
        <w:t xml:space="preserve"> imputed, using a multiple imputation method, and randomly generated imputation sets for each missing data point.</w:t>
      </w:r>
    </w:p>
    <w:p w14:paraId="0E59E7EE" w14:textId="77777777" w:rsidR="00CA0EF0" w:rsidRPr="00361E30" w:rsidRDefault="00CA0EF0" w:rsidP="003C13F4">
      <w:pPr>
        <w:ind w:firstLine="720"/>
      </w:pPr>
      <w:r w:rsidRPr="00361E30">
        <w:t>The general formula for the model developed through this process can be represented by the following equation:</w:t>
      </w:r>
    </w:p>
    <w:p w14:paraId="2A2340FF" w14:textId="77777777" w:rsidR="00CA0EF0" w:rsidRPr="00361E30" w:rsidRDefault="00CA0EF0" w:rsidP="003C13F4">
      <w:pPr>
        <w:pStyle w:val="ListParagraph"/>
        <w:rPr>
          <w:i/>
        </w:rPr>
      </w:pPr>
      <w:r w:rsidRPr="00361E30">
        <w:tab/>
      </w:r>
      <w:r w:rsidRPr="00361E30">
        <w:rPr>
          <w:i/>
        </w:rPr>
        <w:t>Ps = (1/1 + e</w:t>
      </w:r>
      <w:r w:rsidRPr="00361E30">
        <w:rPr>
          <w:i/>
          <w:vertAlign w:val="superscript"/>
        </w:rPr>
        <w:t>-b</w:t>
      </w:r>
      <w:r w:rsidRPr="00361E30">
        <w:rPr>
          <w:i/>
        </w:rPr>
        <w:t>)</w:t>
      </w:r>
    </w:p>
    <w:p w14:paraId="25813E92" w14:textId="77777777" w:rsidR="00CA0EF0" w:rsidRPr="00361E30" w:rsidRDefault="00CA0EF0" w:rsidP="003C13F4">
      <w:r w:rsidRPr="00361E30">
        <w:lastRenderedPageBreak/>
        <w:t>Ps represents the probability of survival and b is calculated from the following equation:</w:t>
      </w:r>
    </w:p>
    <w:p w14:paraId="6A4A28E6" w14:textId="77777777" w:rsidR="00CA0EF0" w:rsidRPr="00361E30" w:rsidRDefault="00CA0EF0" w:rsidP="003C13F4">
      <w:pPr>
        <w:pStyle w:val="ListParagraph"/>
        <w:rPr>
          <w:i/>
        </w:rPr>
      </w:pPr>
      <w:r w:rsidRPr="00361E30">
        <w:tab/>
      </w:r>
      <w:r w:rsidRPr="00361E30">
        <w:rPr>
          <w:i/>
        </w:rPr>
        <w:t>b = b</w:t>
      </w:r>
      <w:r w:rsidRPr="00361E30">
        <w:rPr>
          <w:i/>
          <w:vertAlign w:val="subscript"/>
        </w:rPr>
        <w:t>0</w:t>
      </w:r>
      <w:r w:rsidRPr="00361E30">
        <w:rPr>
          <w:i/>
        </w:rPr>
        <w:t xml:space="preserve"> + b</w:t>
      </w:r>
      <w:r w:rsidRPr="00361E30">
        <w:rPr>
          <w:i/>
          <w:vertAlign w:val="subscript"/>
        </w:rPr>
        <w:t>1</w:t>
      </w:r>
      <w:r w:rsidRPr="00361E30">
        <w:rPr>
          <w:i/>
        </w:rPr>
        <w:t>(A) + b</w:t>
      </w:r>
      <w:r w:rsidRPr="00361E30">
        <w:rPr>
          <w:i/>
          <w:vertAlign w:val="subscript"/>
        </w:rPr>
        <w:t>2</w:t>
      </w:r>
      <w:r w:rsidRPr="00361E30">
        <w:rPr>
          <w:i/>
        </w:rPr>
        <w:t>(B)..b</w:t>
      </w:r>
      <w:r w:rsidRPr="00361E30">
        <w:rPr>
          <w:i/>
          <w:vertAlign w:val="subscript"/>
        </w:rPr>
        <w:t>n</w:t>
      </w:r>
      <w:r w:rsidRPr="00361E30">
        <w:rPr>
          <w:i/>
        </w:rPr>
        <w:t>(N)</w:t>
      </w:r>
    </w:p>
    <w:p w14:paraId="3A0FF2CC" w14:textId="77777777" w:rsidR="00CA0EF0" w:rsidRPr="00361E30" w:rsidRDefault="00CA0EF0" w:rsidP="003C13F4">
      <w:pPr>
        <w:ind w:firstLine="720"/>
      </w:pPr>
      <w:r w:rsidRPr="00361E30">
        <w:t>A, B ..N represent covariates with a significant correlation with probability of survival on multivariate logistic regression analysis, and b</w:t>
      </w:r>
      <w:r w:rsidRPr="00361E30">
        <w:rPr>
          <w:vertAlign w:val="subscript"/>
        </w:rPr>
        <w:t>0</w:t>
      </w:r>
      <w:r w:rsidRPr="00361E30">
        <w:t>, b</w:t>
      </w:r>
      <w:r w:rsidRPr="00361E30">
        <w:rPr>
          <w:vertAlign w:val="subscript"/>
        </w:rPr>
        <w:t>1</w:t>
      </w:r>
      <w:r w:rsidRPr="00361E30">
        <w:t>..b</w:t>
      </w:r>
      <w:r w:rsidRPr="00361E30">
        <w:rPr>
          <w:vertAlign w:val="subscript"/>
        </w:rPr>
        <w:t>n</w:t>
      </w:r>
      <w:r w:rsidRPr="00361E30">
        <w:t xml:space="preserve"> are the regression coefficients calculated for each covariate using the prediction cohort of older trauma patients in the dataset (Sections 3.3.2.1 and 3.3.3.3).</w:t>
      </w:r>
    </w:p>
    <w:p w14:paraId="10E23D86" w14:textId="77777777" w:rsidR="00CA0EF0" w:rsidRPr="00361E30" w:rsidRDefault="00CA0EF0" w:rsidP="003C13F4">
      <w:pPr>
        <w:ind w:firstLine="720"/>
      </w:pPr>
      <w:r w:rsidRPr="00361E30">
        <w:t>The performance of the new predictive model was assessed against the current TARN predictive model of survival, when used on patients aged ≥65 years. This was achieved by comparing predicted with observed outcomes for individual patients (see above). Bootstrapping was used to allow external validation of the model against the original TARN dataset.</w:t>
      </w:r>
    </w:p>
    <w:p w14:paraId="525F071C" w14:textId="77777777" w:rsidR="00CA0EF0" w:rsidRPr="00361E30" w:rsidRDefault="00CA0EF0" w:rsidP="003C13F4">
      <w:pPr>
        <w:pStyle w:val="Heading4"/>
      </w:pPr>
      <w:r w:rsidRPr="00361E30">
        <w:t>Testing linearity of association between continuous variables and outcome</w:t>
      </w:r>
    </w:p>
    <w:p w14:paraId="22A09750" w14:textId="77777777" w:rsidR="00CA0EF0" w:rsidRPr="00361E30" w:rsidRDefault="00CA0EF0" w:rsidP="003C13F4">
      <w:r w:rsidRPr="00361E30">
        <w:t>Logistic regression analysis assumes a linear relationship between continuous variables and outcomes. In the case of logistic regression, the outcome is the log of the probability of a positive outcome (in this case, Ln [survival]) (6). For continuous variables, this assumption was tested by applying polynomial transformation to the variable. If the untransformed model was the ‘best fit’ to a linear relationship, this was indicated on the polynomial transformation output (7). In addition, the relationship between continuous variables and Ln[mortality] was also assessed visually by examining the plots of each variable against Ln[mortality]. For the graphical representations, Ln[mortality] was used rather than Ln[survival] as this form of the outcome had a direct linear relationship with the continuous outcome (that is, it increased with increasing age, CCI and ISS), and therefore provided a simpler visual representation of linearity (a straight line with a positive gradient), compared to the relationship with Ln[survival] (8).</w:t>
      </w:r>
    </w:p>
    <w:p w14:paraId="05D99F40" w14:textId="77777777" w:rsidR="00CA0EF0" w:rsidRPr="00361E30" w:rsidRDefault="00CA0EF0" w:rsidP="003C13F4">
      <w:pPr>
        <w:pStyle w:val="Heading4"/>
      </w:pPr>
      <w:r w:rsidRPr="00361E30">
        <w:t>Assessing for multi-collinearity</w:t>
      </w:r>
    </w:p>
    <w:p w14:paraId="08BEFCCC" w14:textId="77777777" w:rsidR="00CA0EF0" w:rsidRPr="00361E30" w:rsidRDefault="00CA0EF0" w:rsidP="003C13F4">
      <w:r w:rsidRPr="00361E30">
        <w:t xml:space="preserve">Multi-collinearity between variables was assessed using the variance-covariance matrix (vce) and the variance inflation factor (vif). The variance-covariance matrix is a post-hoc estimation of collinearity between variables, assessing correlation between coefficients rather than between the variables themselves. This is considered a better assessment of collinearity in multiple logistic regression (9). The vif gives an estimate of the degree of inflation of the regression coefficients produced by the model due to collinearity. A vce correlation coefficient of more than 0.8 is generally considered significant, though the correlation coefficient needs </w:t>
      </w:r>
      <w:r w:rsidRPr="00361E30">
        <w:lastRenderedPageBreak/>
        <w:t xml:space="preserve">to be interpreted in light of the overall relationships between variables (8). A vif of &gt;10 suggests significant collinearity and inflation of coefficients between variables (9). </w:t>
      </w:r>
    </w:p>
    <w:p w14:paraId="21F4C779" w14:textId="77777777" w:rsidR="00CA0EF0" w:rsidRPr="00361E30" w:rsidRDefault="00CA0EF0" w:rsidP="003C13F4">
      <w:pPr>
        <w:pStyle w:val="Heading4"/>
      </w:pPr>
      <w:r w:rsidRPr="00361E30">
        <w:t>Sample Size Estimation</w:t>
      </w:r>
    </w:p>
    <w:p w14:paraId="46952A9F" w14:textId="77777777" w:rsidR="00CA0EF0" w:rsidRPr="00361E30" w:rsidRDefault="00CA0EF0" w:rsidP="003C13F4">
      <w:r w:rsidRPr="00361E30">
        <w:t xml:space="preserve">As a rule of thumb, multivariate logistic regression analysis requires at least 10 events (in this case deaths) per independent variable included in the regression model, counting each individual category within a categorical variable as a separate independent variable </w:t>
      </w:r>
      <w:r w:rsidR="009769C3" w:rsidRPr="00361E30">
        <w:rPr>
          <w:noProof/>
        </w:rPr>
        <w:t>(Schwab</w:t>
      </w:r>
      <w:r w:rsidRPr="00361E30">
        <w:rPr>
          <w:noProof/>
        </w:rPr>
        <w:t xml:space="preserve"> 2002)</w:t>
      </w:r>
      <w:r w:rsidRPr="00361E30">
        <w:t>. Ultimately, 11 covariates were included for consideration following the systematic review of patient factors (Chapter 2). Of the variables included in the initial analysis, the following were presented as categories: age (3 categories); gender (2 categories), Charlson Comorbidity Index (5 categories), Number of comorbidities (3 categories), injury severity score (4 categories), abbreviated injury score for head injuries (2 categories), number of injuries (3 categories), mechanism of injury (4 categories), Glasgow coma score (7 categories), systolic blood pressure (2 categories) and respiratory rate (5 categories). Thus the maximum potential number of independent variables in the model (counting categories in each variable separately) was 40. Thus the minimum sample size required for analysis was 400 patients. The sample used included 46,000 patients, and the crude mortality rate for older patients was 9.7%. Thus, the sample size far exceeded the minimum estimated sample size. It was recognised, however that such a large sample size could potentially identify factors with statistically significant associations with survival in older patients, but in which the clinical association was unimportant. Throughout, the results of statistical analysis was therefore considered alongside the clinical significance of these findings.</w:t>
      </w:r>
    </w:p>
    <w:p w14:paraId="63910268" w14:textId="77777777" w:rsidR="00CA0EF0" w:rsidRPr="00361E30" w:rsidRDefault="00CA0EF0" w:rsidP="003C13F4">
      <w:pPr>
        <w:pStyle w:val="Heading3"/>
      </w:pPr>
      <w:r w:rsidRPr="00361E30">
        <w:t xml:space="preserve">3.3.3.5 </w:t>
      </w:r>
      <w:r w:rsidRPr="00361E30">
        <w:tab/>
        <w:t>Phase 1 Step 2: Refining the Model, Using Care Process Factors</w:t>
      </w:r>
    </w:p>
    <w:p w14:paraId="4D163828" w14:textId="77777777" w:rsidR="00CA0EF0" w:rsidRPr="00361E30" w:rsidRDefault="00CA0EF0" w:rsidP="003C13F4">
      <w:r w:rsidRPr="00361E30">
        <w:t xml:space="preserve">The model was further refined by adding care process factors (such as hospital designation, proportion of trauma patients aged ≥65 years, Care Quality </w:t>
      </w:r>
      <w:r w:rsidR="00283746" w:rsidRPr="00361E30">
        <w:t>Commission</w:t>
      </w:r>
      <w:r w:rsidRPr="00361E30">
        <w:t xml:space="preserve"> [CQC] rating and others). These variables were a combination of those identified in the systematic review (Chapter 2) and other care process factors thought to be potentially important in determining outcome in older trauma patients, after discussion with TARN staff, other experts and PhD supervisors. While some of these factors were available on the TARN </w:t>
      </w:r>
      <w:r w:rsidR="00283746" w:rsidRPr="00361E30">
        <w:t>database</w:t>
      </w:r>
      <w:r w:rsidRPr="00361E30">
        <w:t xml:space="preserve">, others (such as CQC ratings and National Hip Fracture Database [NHFD] ratings) were available publicly on the websites of these </w:t>
      </w:r>
      <w:r w:rsidR="00283746" w:rsidRPr="00361E30">
        <w:t>organisations</w:t>
      </w:r>
      <w:r w:rsidRPr="00361E30">
        <w:t>. Multilevel modelling was used to test the association between institutional level factors (such as type of hospital) and outcome.</w:t>
      </w:r>
    </w:p>
    <w:p w14:paraId="68753158" w14:textId="77777777" w:rsidR="00CA0EF0" w:rsidRPr="00361E30" w:rsidRDefault="00CA0EF0" w:rsidP="003C13F4">
      <w:pPr>
        <w:spacing w:after="0"/>
        <w:rPr>
          <w:rFonts w:eastAsia="Times New Roman"/>
        </w:rPr>
      </w:pPr>
      <w:r w:rsidRPr="00361E30">
        <w:tab/>
      </w:r>
      <w:r w:rsidRPr="00361E30">
        <w:rPr>
          <w:rFonts w:eastAsia="Times New Roman"/>
        </w:rPr>
        <w:t>Table 3.2 lists the care process factors tested in the model, mentioning if they were identified in the systematic review, and the reasons why some factors identified in the systematic review were not tested in the model.</w:t>
      </w:r>
    </w:p>
    <w:tbl>
      <w:tblPr>
        <w:tblStyle w:val="TableGrid"/>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8"/>
        <w:gridCol w:w="810"/>
        <w:gridCol w:w="900"/>
        <w:gridCol w:w="1080"/>
        <w:gridCol w:w="3690"/>
      </w:tblGrid>
      <w:tr w:rsidR="00CA0EF0" w:rsidRPr="00361E30" w14:paraId="329913AE" w14:textId="77777777" w:rsidTr="003C13F4">
        <w:trPr>
          <w:cantSplit/>
          <w:trHeight w:val="2285"/>
        </w:trPr>
        <w:tc>
          <w:tcPr>
            <w:tcW w:w="2538" w:type="dxa"/>
            <w:tcBorders>
              <w:top w:val="single" w:sz="4" w:space="0" w:color="auto"/>
              <w:bottom w:val="single" w:sz="4" w:space="0" w:color="auto"/>
            </w:tcBorders>
          </w:tcPr>
          <w:p w14:paraId="72F2DC80" w14:textId="77777777" w:rsidR="00CA0EF0" w:rsidRPr="00361E30" w:rsidRDefault="00CA0EF0" w:rsidP="003C13F4">
            <w:pPr>
              <w:spacing w:line="240" w:lineRule="auto"/>
              <w:jc w:val="left"/>
              <w:rPr>
                <w:b/>
                <w:lang w:val="en-GB"/>
              </w:rPr>
            </w:pPr>
            <w:r w:rsidRPr="00361E30">
              <w:rPr>
                <w:b/>
                <w:lang w:val="en-GB"/>
              </w:rPr>
              <w:lastRenderedPageBreak/>
              <w:t>Care Process Factor</w:t>
            </w:r>
          </w:p>
        </w:tc>
        <w:tc>
          <w:tcPr>
            <w:tcW w:w="810" w:type="dxa"/>
            <w:tcBorders>
              <w:top w:val="single" w:sz="4" w:space="0" w:color="auto"/>
              <w:bottom w:val="single" w:sz="4" w:space="0" w:color="auto"/>
            </w:tcBorders>
            <w:textDirection w:val="btLr"/>
            <w:vAlign w:val="center"/>
          </w:tcPr>
          <w:p w14:paraId="6A020B0A" w14:textId="77777777" w:rsidR="00CA0EF0" w:rsidRPr="00361E30" w:rsidRDefault="00CA0EF0" w:rsidP="003C13F4">
            <w:pPr>
              <w:spacing w:line="240" w:lineRule="auto"/>
              <w:ind w:left="113" w:right="113"/>
              <w:jc w:val="left"/>
              <w:rPr>
                <w:b/>
                <w:lang w:val="en-GB"/>
              </w:rPr>
            </w:pPr>
            <w:r w:rsidRPr="00361E30">
              <w:rPr>
                <w:b/>
                <w:lang w:val="en-GB"/>
              </w:rPr>
              <w:t>Identified in the Systematic Review?</w:t>
            </w:r>
          </w:p>
        </w:tc>
        <w:tc>
          <w:tcPr>
            <w:tcW w:w="900" w:type="dxa"/>
            <w:tcBorders>
              <w:top w:val="single" w:sz="4" w:space="0" w:color="auto"/>
              <w:bottom w:val="single" w:sz="4" w:space="0" w:color="auto"/>
            </w:tcBorders>
            <w:textDirection w:val="btLr"/>
            <w:vAlign w:val="center"/>
          </w:tcPr>
          <w:p w14:paraId="6B6E783D" w14:textId="77777777" w:rsidR="00CA0EF0" w:rsidRPr="00361E30" w:rsidRDefault="00CA0EF0" w:rsidP="003C13F4">
            <w:pPr>
              <w:spacing w:line="240" w:lineRule="auto"/>
              <w:ind w:left="113" w:right="113"/>
              <w:jc w:val="left"/>
              <w:rPr>
                <w:b/>
                <w:lang w:val="en-GB"/>
              </w:rPr>
            </w:pPr>
            <w:r w:rsidRPr="00361E30">
              <w:rPr>
                <w:b/>
                <w:lang w:val="en-GB"/>
              </w:rPr>
              <w:t>Tested in the model?</w:t>
            </w:r>
          </w:p>
        </w:tc>
        <w:tc>
          <w:tcPr>
            <w:tcW w:w="1080" w:type="dxa"/>
            <w:tcBorders>
              <w:top w:val="single" w:sz="4" w:space="0" w:color="auto"/>
              <w:bottom w:val="single" w:sz="4" w:space="0" w:color="auto"/>
            </w:tcBorders>
          </w:tcPr>
          <w:p w14:paraId="0807B4CC" w14:textId="77777777" w:rsidR="00CA0EF0" w:rsidRPr="00361E30" w:rsidRDefault="00CA0EF0" w:rsidP="003C13F4">
            <w:pPr>
              <w:spacing w:line="240" w:lineRule="auto"/>
              <w:jc w:val="left"/>
              <w:rPr>
                <w:b/>
                <w:lang w:val="en-GB"/>
              </w:rPr>
            </w:pPr>
            <w:r w:rsidRPr="00361E30">
              <w:rPr>
                <w:b/>
                <w:lang w:val="en-GB"/>
              </w:rPr>
              <w:t>Source of data</w:t>
            </w:r>
          </w:p>
        </w:tc>
        <w:tc>
          <w:tcPr>
            <w:tcW w:w="3690" w:type="dxa"/>
            <w:tcBorders>
              <w:top w:val="single" w:sz="4" w:space="0" w:color="auto"/>
              <w:bottom w:val="single" w:sz="4" w:space="0" w:color="auto"/>
            </w:tcBorders>
          </w:tcPr>
          <w:p w14:paraId="2AAFBAAC" w14:textId="77777777" w:rsidR="00CA0EF0" w:rsidRPr="00361E30" w:rsidRDefault="00CA0EF0" w:rsidP="003C13F4">
            <w:pPr>
              <w:spacing w:line="240" w:lineRule="auto"/>
              <w:jc w:val="left"/>
              <w:rPr>
                <w:b/>
                <w:lang w:val="en-GB"/>
              </w:rPr>
            </w:pPr>
            <w:r w:rsidRPr="00361E30">
              <w:rPr>
                <w:b/>
                <w:lang w:val="en-GB"/>
              </w:rPr>
              <w:t>Comments</w:t>
            </w:r>
          </w:p>
        </w:tc>
      </w:tr>
      <w:tr w:rsidR="00CA0EF0" w:rsidRPr="00361E30" w14:paraId="26B229C3" w14:textId="77777777" w:rsidTr="003C13F4">
        <w:tc>
          <w:tcPr>
            <w:tcW w:w="9018" w:type="dxa"/>
            <w:gridSpan w:val="5"/>
            <w:tcBorders>
              <w:top w:val="single" w:sz="4" w:space="0" w:color="auto"/>
              <w:bottom w:val="single" w:sz="4" w:space="0" w:color="auto"/>
            </w:tcBorders>
            <w:shd w:val="clear" w:color="auto" w:fill="BFBFBF" w:themeFill="background1" w:themeFillShade="BF"/>
            <w:vAlign w:val="center"/>
          </w:tcPr>
          <w:p w14:paraId="3594C0B8" w14:textId="77777777" w:rsidR="00CA0EF0" w:rsidRPr="00361E30" w:rsidRDefault="00CA0EF0" w:rsidP="003C13F4">
            <w:pPr>
              <w:spacing w:line="240" w:lineRule="auto"/>
              <w:jc w:val="left"/>
              <w:rPr>
                <w:lang w:val="en-GB"/>
              </w:rPr>
            </w:pPr>
            <w:r w:rsidRPr="00361E30">
              <w:rPr>
                <w:lang w:val="en-GB"/>
              </w:rPr>
              <w:t>Variables tested in the model</w:t>
            </w:r>
          </w:p>
        </w:tc>
      </w:tr>
      <w:tr w:rsidR="00CA0EF0" w:rsidRPr="00361E30" w14:paraId="22494F50" w14:textId="77777777" w:rsidTr="003C13F4">
        <w:tc>
          <w:tcPr>
            <w:tcW w:w="2538" w:type="dxa"/>
            <w:tcBorders>
              <w:top w:val="single" w:sz="4" w:space="0" w:color="auto"/>
            </w:tcBorders>
            <w:vAlign w:val="center"/>
          </w:tcPr>
          <w:p w14:paraId="1BF8EC4B" w14:textId="77777777" w:rsidR="00CA0EF0" w:rsidRPr="00361E30" w:rsidRDefault="00CA0EF0" w:rsidP="003C13F4">
            <w:pPr>
              <w:spacing w:line="240" w:lineRule="auto"/>
              <w:jc w:val="left"/>
              <w:rPr>
                <w:lang w:val="en-GB"/>
              </w:rPr>
            </w:pPr>
            <w:r w:rsidRPr="00361E30">
              <w:rPr>
                <w:lang w:val="en-GB"/>
              </w:rPr>
              <w:t>MTCs versus TUs</w:t>
            </w:r>
          </w:p>
        </w:tc>
        <w:tc>
          <w:tcPr>
            <w:tcW w:w="810" w:type="dxa"/>
            <w:tcBorders>
              <w:top w:val="single" w:sz="4" w:space="0" w:color="auto"/>
            </w:tcBorders>
            <w:vAlign w:val="center"/>
          </w:tcPr>
          <w:p w14:paraId="378DB38B" w14:textId="77777777" w:rsidR="00CA0EF0" w:rsidRPr="00361E30" w:rsidRDefault="00CA0EF0" w:rsidP="003C13F4">
            <w:pPr>
              <w:spacing w:line="240" w:lineRule="auto"/>
              <w:jc w:val="left"/>
              <w:rPr>
                <w:lang w:val="en-GB"/>
              </w:rPr>
            </w:pPr>
            <w:r w:rsidRPr="00361E30">
              <w:rPr>
                <w:lang w:val="en-GB"/>
              </w:rPr>
              <w:t>Yes</w:t>
            </w:r>
          </w:p>
        </w:tc>
        <w:tc>
          <w:tcPr>
            <w:tcW w:w="900" w:type="dxa"/>
            <w:tcBorders>
              <w:top w:val="single" w:sz="4" w:space="0" w:color="auto"/>
            </w:tcBorders>
            <w:vAlign w:val="center"/>
          </w:tcPr>
          <w:p w14:paraId="522D9B1C" w14:textId="77777777" w:rsidR="00CA0EF0" w:rsidRPr="00361E30" w:rsidRDefault="00CA0EF0" w:rsidP="003C13F4">
            <w:pPr>
              <w:spacing w:line="240" w:lineRule="auto"/>
              <w:jc w:val="left"/>
              <w:rPr>
                <w:lang w:val="en-GB"/>
              </w:rPr>
            </w:pPr>
            <w:r w:rsidRPr="00361E30">
              <w:rPr>
                <w:lang w:val="en-GB"/>
              </w:rPr>
              <w:t>Yes</w:t>
            </w:r>
          </w:p>
        </w:tc>
        <w:tc>
          <w:tcPr>
            <w:tcW w:w="1080" w:type="dxa"/>
            <w:tcBorders>
              <w:top w:val="single" w:sz="4" w:space="0" w:color="auto"/>
            </w:tcBorders>
            <w:vAlign w:val="center"/>
          </w:tcPr>
          <w:p w14:paraId="3AA4632E" w14:textId="77777777" w:rsidR="00CA0EF0" w:rsidRPr="00361E30" w:rsidRDefault="00CA0EF0" w:rsidP="003C13F4">
            <w:pPr>
              <w:spacing w:line="240" w:lineRule="auto"/>
              <w:jc w:val="left"/>
              <w:rPr>
                <w:lang w:val="en-GB"/>
              </w:rPr>
            </w:pPr>
            <w:r w:rsidRPr="00361E30">
              <w:rPr>
                <w:lang w:val="en-GB"/>
              </w:rPr>
              <w:t>TARN</w:t>
            </w:r>
          </w:p>
        </w:tc>
        <w:tc>
          <w:tcPr>
            <w:tcW w:w="3690" w:type="dxa"/>
            <w:tcBorders>
              <w:top w:val="single" w:sz="4" w:space="0" w:color="auto"/>
            </w:tcBorders>
            <w:vAlign w:val="center"/>
          </w:tcPr>
          <w:p w14:paraId="4F7DA5AA" w14:textId="77777777" w:rsidR="00CA0EF0" w:rsidRPr="00361E30" w:rsidRDefault="00CA0EF0" w:rsidP="003C13F4">
            <w:pPr>
              <w:spacing w:line="240" w:lineRule="auto"/>
              <w:jc w:val="left"/>
              <w:rPr>
                <w:lang w:val="en-GB"/>
              </w:rPr>
            </w:pPr>
            <w:r w:rsidRPr="00361E30">
              <w:rPr>
                <w:lang w:val="en-GB"/>
              </w:rPr>
              <w:t>MTC = major trauma centre; TU = trauma unit</w:t>
            </w:r>
          </w:p>
        </w:tc>
      </w:tr>
      <w:tr w:rsidR="00CA0EF0" w:rsidRPr="00361E30" w14:paraId="5CCB6146" w14:textId="77777777" w:rsidTr="003C13F4">
        <w:tc>
          <w:tcPr>
            <w:tcW w:w="2538" w:type="dxa"/>
            <w:vAlign w:val="center"/>
          </w:tcPr>
          <w:p w14:paraId="717480C2" w14:textId="77777777" w:rsidR="00CA0EF0" w:rsidRPr="00361E30" w:rsidRDefault="00CA0EF0" w:rsidP="003C13F4">
            <w:pPr>
              <w:spacing w:line="240" w:lineRule="auto"/>
              <w:jc w:val="left"/>
              <w:rPr>
                <w:lang w:val="en-GB"/>
              </w:rPr>
            </w:pPr>
            <w:r w:rsidRPr="00361E30">
              <w:rPr>
                <w:lang w:val="en-GB"/>
              </w:rPr>
              <w:t>ICU admission</w:t>
            </w:r>
          </w:p>
        </w:tc>
        <w:tc>
          <w:tcPr>
            <w:tcW w:w="810" w:type="dxa"/>
            <w:vAlign w:val="center"/>
          </w:tcPr>
          <w:p w14:paraId="1D7C845F" w14:textId="77777777" w:rsidR="00CA0EF0" w:rsidRPr="00361E30" w:rsidRDefault="00CA0EF0" w:rsidP="003C13F4">
            <w:pPr>
              <w:spacing w:line="240" w:lineRule="auto"/>
              <w:jc w:val="left"/>
              <w:rPr>
                <w:lang w:val="en-GB"/>
              </w:rPr>
            </w:pPr>
            <w:r w:rsidRPr="00361E30">
              <w:rPr>
                <w:lang w:val="en-GB"/>
              </w:rPr>
              <w:t>Yes</w:t>
            </w:r>
          </w:p>
        </w:tc>
        <w:tc>
          <w:tcPr>
            <w:tcW w:w="900" w:type="dxa"/>
            <w:vAlign w:val="center"/>
          </w:tcPr>
          <w:p w14:paraId="4CEEE795" w14:textId="77777777" w:rsidR="00CA0EF0" w:rsidRPr="00361E30" w:rsidRDefault="00CA0EF0" w:rsidP="003C13F4">
            <w:pPr>
              <w:spacing w:line="240" w:lineRule="auto"/>
              <w:jc w:val="left"/>
              <w:rPr>
                <w:lang w:val="en-GB"/>
              </w:rPr>
            </w:pPr>
            <w:r w:rsidRPr="00361E30">
              <w:rPr>
                <w:lang w:val="en-GB"/>
              </w:rPr>
              <w:t>Yes</w:t>
            </w:r>
          </w:p>
        </w:tc>
        <w:tc>
          <w:tcPr>
            <w:tcW w:w="1080" w:type="dxa"/>
            <w:vAlign w:val="center"/>
          </w:tcPr>
          <w:p w14:paraId="04372C61" w14:textId="77777777" w:rsidR="00CA0EF0" w:rsidRPr="00361E30" w:rsidRDefault="00CA0EF0" w:rsidP="003C13F4">
            <w:pPr>
              <w:spacing w:line="240" w:lineRule="auto"/>
              <w:jc w:val="left"/>
              <w:rPr>
                <w:lang w:val="en-GB"/>
              </w:rPr>
            </w:pPr>
            <w:r w:rsidRPr="00361E30">
              <w:rPr>
                <w:lang w:val="en-GB"/>
              </w:rPr>
              <w:t>TARN</w:t>
            </w:r>
          </w:p>
        </w:tc>
        <w:tc>
          <w:tcPr>
            <w:tcW w:w="3690" w:type="dxa"/>
            <w:vAlign w:val="center"/>
          </w:tcPr>
          <w:p w14:paraId="53AE3245" w14:textId="77777777" w:rsidR="00CA0EF0" w:rsidRPr="00361E30" w:rsidRDefault="00CA0EF0" w:rsidP="003C13F4">
            <w:pPr>
              <w:spacing w:line="240" w:lineRule="auto"/>
              <w:jc w:val="left"/>
              <w:rPr>
                <w:lang w:val="en-GB"/>
              </w:rPr>
            </w:pPr>
            <w:r w:rsidRPr="00361E30">
              <w:rPr>
                <w:lang w:val="en-GB"/>
              </w:rPr>
              <w:t>Hospitals categorised by the percentage of older patients admitted to ICU</w:t>
            </w:r>
          </w:p>
        </w:tc>
      </w:tr>
      <w:tr w:rsidR="00CA0EF0" w:rsidRPr="00361E30" w14:paraId="560C7F4D" w14:textId="77777777" w:rsidTr="003C13F4">
        <w:tc>
          <w:tcPr>
            <w:tcW w:w="2538" w:type="dxa"/>
            <w:vAlign w:val="center"/>
          </w:tcPr>
          <w:p w14:paraId="015F9CF7" w14:textId="77777777" w:rsidR="00CA0EF0" w:rsidRPr="00361E30" w:rsidRDefault="00CA0EF0" w:rsidP="003C13F4">
            <w:pPr>
              <w:spacing w:line="240" w:lineRule="auto"/>
              <w:jc w:val="left"/>
              <w:rPr>
                <w:lang w:val="en-GB"/>
              </w:rPr>
            </w:pPr>
            <w:r w:rsidRPr="00361E30">
              <w:rPr>
                <w:lang w:val="en-GB"/>
              </w:rPr>
              <w:t>Emergency laparotomy</w:t>
            </w:r>
          </w:p>
        </w:tc>
        <w:tc>
          <w:tcPr>
            <w:tcW w:w="810" w:type="dxa"/>
            <w:vAlign w:val="center"/>
          </w:tcPr>
          <w:p w14:paraId="4C155DBC" w14:textId="77777777" w:rsidR="00CA0EF0" w:rsidRPr="00361E30" w:rsidRDefault="00CA0EF0" w:rsidP="003C13F4">
            <w:pPr>
              <w:spacing w:line="240" w:lineRule="auto"/>
              <w:jc w:val="left"/>
              <w:rPr>
                <w:lang w:val="en-GB"/>
              </w:rPr>
            </w:pPr>
            <w:r w:rsidRPr="00361E30">
              <w:rPr>
                <w:lang w:val="en-GB"/>
              </w:rPr>
              <w:t>Yes</w:t>
            </w:r>
          </w:p>
        </w:tc>
        <w:tc>
          <w:tcPr>
            <w:tcW w:w="900" w:type="dxa"/>
            <w:vAlign w:val="center"/>
          </w:tcPr>
          <w:p w14:paraId="6AB9E35E" w14:textId="77777777" w:rsidR="00CA0EF0" w:rsidRPr="00361E30" w:rsidRDefault="00CA0EF0" w:rsidP="003C13F4">
            <w:pPr>
              <w:spacing w:line="240" w:lineRule="auto"/>
              <w:jc w:val="left"/>
              <w:rPr>
                <w:lang w:val="en-GB"/>
              </w:rPr>
            </w:pPr>
            <w:r w:rsidRPr="00361E30">
              <w:rPr>
                <w:lang w:val="en-GB"/>
              </w:rPr>
              <w:t>Yes</w:t>
            </w:r>
          </w:p>
        </w:tc>
        <w:tc>
          <w:tcPr>
            <w:tcW w:w="1080" w:type="dxa"/>
            <w:vAlign w:val="center"/>
          </w:tcPr>
          <w:p w14:paraId="78546BEE" w14:textId="77777777" w:rsidR="00CA0EF0" w:rsidRPr="00361E30" w:rsidRDefault="00CA0EF0" w:rsidP="003C13F4">
            <w:pPr>
              <w:spacing w:line="240" w:lineRule="auto"/>
              <w:jc w:val="left"/>
              <w:rPr>
                <w:lang w:val="en-GB"/>
              </w:rPr>
            </w:pPr>
            <w:r w:rsidRPr="00361E30">
              <w:rPr>
                <w:lang w:val="en-GB"/>
              </w:rPr>
              <w:t>TARN</w:t>
            </w:r>
          </w:p>
        </w:tc>
        <w:tc>
          <w:tcPr>
            <w:tcW w:w="3690" w:type="dxa"/>
            <w:vAlign w:val="center"/>
          </w:tcPr>
          <w:p w14:paraId="59BD810C" w14:textId="77777777" w:rsidR="00CA0EF0" w:rsidRPr="00361E30" w:rsidRDefault="00CA0EF0" w:rsidP="003C13F4">
            <w:pPr>
              <w:spacing w:line="240" w:lineRule="auto"/>
              <w:jc w:val="left"/>
              <w:rPr>
                <w:lang w:val="en-GB"/>
              </w:rPr>
            </w:pPr>
            <w:r w:rsidRPr="00361E30">
              <w:rPr>
                <w:lang w:val="en-GB"/>
              </w:rPr>
              <w:t>Hospitals categorised by percentage of older patients with serious abdominal injuries who had emergency laparotomy</w:t>
            </w:r>
          </w:p>
        </w:tc>
      </w:tr>
      <w:tr w:rsidR="00CA0EF0" w:rsidRPr="00361E30" w14:paraId="0AED4033" w14:textId="77777777" w:rsidTr="003C13F4">
        <w:tc>
          <w:tcPr>
            <w:tcW w:w="2538" w:type="dxa"/>
            <w:vAlign w:val="center"/>
          </w:tcPr>
          <w:p w14:paraId="387C93ED" w14:textId="77777777" w:rsidR="00CA0EF0" w:rsidRPr="00361E30" w:rsidRDefault="00CA0EF0" w:rsidP="003C13F4">
            <w:pPr>
              <w:spacing w:line="240" w:lineRule="auto"/>
              <w:jc w:val="left"/>
              <w:rPr>
                <w:lang w:val="en-GB"/>
              </w:rPr>
            </w:pPr>
            <w:r w:rsidRPr="00361E30">
              <w:rPr>
                <w:lang w:val="en-GB"/>
              </w:rPr>
              <w:t xml:space="preserve">Proportion of patients </w:t>
            </w:r>
            <w:r w:rsidRPr="00361E30">
              <w:rPr>
                <w:rFonts w:cstheme="minorHAnsi"/>
                <w:lang w:val="en-GB"/>
              </w:rPr>
              <w:t>≥</w:t>
            </w:r>
            <w:r w:rsidRPr="00361E30">
              <w:rPr>
                <w:lang w:val="en-GB"/>
              </w:rPr>
              <w:t>65 years</w:t>
            </w:r>
          </w:p>
        </w:tc>
        <w:tc>
          <w:tcPr>
            <w:tcW w:w="810" w:type="dxa"/>
            <w:vAlign w:val="center"/>
          </w:tcPr>
          <w:p w14:paraId="1E43B49B" w14:textId="77777777" w:rsidR="00CA0EF0" w:rsidRPr="00361E30" w:rsidRDefault="00CA0EF0" w:rsidP="003C13F4">
            <w:pPr>
              <w:spacing w:line="240" w:lineRule="auto"/>
              <w:jc w:val="left"/>
              <w:rPr>
                <w:lang w:val="en-GB"/>
              </w:rPr>
            </w:pPr>
            <w:r w:rsidRPr="00361E30">
              <w:rPr>
                <w:lang w:val="en-GB"/>
              </w:rPr>
              <w:t>No</w:t>
            </w:r>
          </w:p>
        </w:tc>
        <w:tc>
          <w:tcPr>
            <w:tcW w:w="900" w:type="dxa"/>
            <w:vAlign w:val="center"/>
          </w:tcPr>
          <w:p w14:paraId="2674590E" w14:textId="77777777" w:rsidR="00CA0EF0" w:rsidRPr="00361E30" w:rsidRDefault="00CA0EF0" w:rsidP="003C13F4">
            <w:pPr>
              <w:spacing w:line="240" w:lineRule="auto"/>
              <w:jc w:val="left"/>
              <w:rPr>
                <w:lang w:val="en-GB"/>
              </w:rPr>
            </w:pPr>
            <w:r w:rsidRPr="00361E30">
              <w:rPr>
                <w:lang w:val="en-GB"/>
              </w:rPr>
              <w:t>Yes</w:t>
            </w:r>
          </w:p>
        </w:tc>
        <w:tc>
          <w:tcPr>
            <w:tcW w:w="1080" w:type="dxa"/>
            <w:vAlign w:val="center"/>
          </w:tcPr>
          <w:p w14:paraId="58893125" w14:textId="77777777" w:rsidR="00CA0EF0" w:rsidRPr="00361E30" w:rsidRDefault="00CA0EF0" w:rsidP="003C13F4">
            <w:pPr>
              <w:spacing w:line="240" w:lineRule="auto"/>
              <w:jc w:val="left"/>
              <w:rPr>
                <w:lang w:val="en-GB"/>
              </w:rPr>
            </w:pPr>
            <w:r w:rsidRPr="00361E30">
              <w:rPr>
                <w:lang w:val="en-GB"/>
              </w:rPr>
              <w:t>TARN</w:t>
            </w:r>
          </w:p>
        </w:tc>
        <w:tc>
          <w:tcPr>
            <w:tcW w:w="3690" w:type="dxa"/>
            <w:vAlign w:val="center"/>
          </w:tcPr>
          <w:p w14:paraId="222F4816" w14:textId="77777777" w:rsidR="00CA0EF0" w:rsidRPr="00361E30" w:rsidRDefault="00CA0EF0" w:rsidP="003C13F4">
            <w:pPr>
              <w:spacing w:line="240" w:lineRule="auto"/>
              <w:jc w:val="left"/>
              <w:rPr>
                <w:lang w:val="en-GB"/>
              </w:rPr>
            </w:pPr>
            <w:r w:rsidRPr="00361E30">
              <w:rPr>
                <w:lang w:val="en-GB"/>
              </w:rPr>
              <w:t xml:space="preserve">Hospitals categorised by percentage of major trauma patients </w:t>
            </w:r>
            <w:r w:rsidRPr="00361E30">
              <w:rPr>
                <w:rFonts w:cstheme="minorHAnsi"/>
                <w:lang w:val="en-GB"/>
              </w:rPr>
              <w:t>≥</w:t>
            </w:r>
            <w:r w:rsidRPr="00361E30">
              <w:rPr>
                <w:lang w:val="en-GB"/>
              </w:rPr>
              <w:t>65 years</w:t>
            </w:r>
          </w:p>
        </w:tc>
      </w:tr>
      <w:tr w:rsidR="00CA0EF0" w:rsidRPr="00361E30" w14:paraId="13B1E9DF" w14:textId="77777777" w:rsidTr="003C13F4">
        <w:tc>
          <w:tcPr>
            <w:tcW w:w="2538" w:type="dxa"/>
            <w:vAlign w:val="center"/>
          </w:tcPr>
          <w:p w14:paraId="4AC48D96" w14:textId="77777777" w:rsidR="00CA0EF0" w:rsidRPr="00361E30" w:rsidRDefault="00CA0EF0" w:rsidP="003C13F4">
            <w:pPr>
              <w:spacing w:line="240" w:lineRule="auto"/>
              <w:jc w:val="left"/>
              <w:rPr>
                <w:lang w:val="en-GB"/>
              </w:rPr>
            </w:pPr>
            <w:r w:rsidRPr="00361E30">
              <w:rPr>
                <w:lang w:val="en-GB"/>
              </w:rPr>
              <w:t>CQC rating of hospital</w:t>
            </w:r>
          </w:p>
        </w:tc>
        <w:tc>
          <w:tcPr>
            <w:tcW w:w="810" w:type="dxa"/>
            <w:vAlign w:val="center"/>
          </w:tcPr>
          <w:p w14:paraId="7178A202" w14:textId="77777777" w:rsidR="00CA0EF0" w:rsidRPr="00361E30" w:rsidRDefault="00CA0EF0" w:rsidP="003C13F4">
            <w:pPr>
              <w:spacing w:line="240" w:lineRule="auto"/>
              <w:jc w:val="left"/>
              <w:rPr>
                <w:lang w:val="en-GB"/>
              </w:rPr>
            </w:pPr>
            <w:r w:rsidRPr="00361E30">
              <w:rPr>
                <w:lang w:val="en-GB"/>
              </w:rPr>
              <w:t>No</w:t>
            </w:r>
          </w:p>
        </w:tc>
        <w:tc>
          <w:tcPr>
            <w:tcW w:w="900" w:type="dxa"/>
            <w:vAlign w:val="center"/>
          </w:tcPr>
          <w:p w14:paraId="3BEC23DB" w14:textId="77777777" w:rsidR="00CA0EF0" w:rsidRPr="00361E30" w:rsidRDefault="00CA0EF0" w:rsidP="003C13F4">
            <w:pPr>
              <w:spacing w:line="240" w:lineRule="auto"/>
              <w:jc w:val="left"/>
              <w:rPr>
                <w:lang w:val="en-GB"/>
              </w:rPr>
            </w:pPr>
            <w:r w:rsidRPr="00361E30">
              <w:rPr>
                <w:lang w:val="en-GB"/>
              </w:rPr>
              <w:t>Yes</w:t>
            </w:r>
          </w:p>
        </w:tc>
        <w:tc>
          <w:tcPr>
            <w:tcW w:w="1080" w:type="dxa"/>
            <w:vAlign w:val="center"/>
          </w:tcPr>
          <w:p w14:paraId="6D286F95" w14:textId="77777777" w:rsidR="00CA0EF0" w:rsidRPr="00361E30" w:rsidRDefault="00CA0EF0" w:rsidP="003C13F4">
            <w:pPr>
              <w:spacing w:line="240" w:lineRule="auto"/>
              <w:jc w:val="left"/>
              <w:rPr>
                <w:lang w:val="en-GB"/>
              </w:rPr>
            </w:pPr>
            <w:r w:rsidRPr="00361E30">
              <w:rPr>
                <w:lang w:val="en-GB"/>
              </w:rPr>
              <w:t>CQC website</w:t>
            </w:r>
          </w:p>
        </w:tc>
        <w:tc>
          <w:tcPr>
            <w:tcW w:w="3690" w:type="dxa"/>
            <w:vAlign w:val="center"/>
          </w:tcPr>
          <w:p w14:paraId="434D9DF7" w14:textId="77777777" w:rsidR="00CA0EF0" w:rsidRPr="00361E30" w:rsidRDefault="00CA0EF0" w:rsidP="003C13F4">
            <w:pPr>
              <w:spacing w:line="240" w:lineRule="auto"/>
              <w:jc w:val="left"/>
              <w:rPr>
                <w:lang w:val="en-GB"/>
              </w:rPr>
            </w:pPr>
            <w:r w:rsidRPr="00361E30">
              <w:rPr>
                <w:lang w:val="en-GB"/>
              </w:rPr>
              <w:t>The CQC ratings are a global rating of hospital performance and quality</w:t>
            </w:r>
          </w:p>
        </w:tc>
      </w:tr>
      <w:tr w:rsidR="00CA0EF0" w:rsidRPr="00361E30" w14:paraId="6CF4334C" w14:textId="77777777" w:rsidTr="003C13F4">
        <w:tc>
          <w:tcPr>
            <w:tcW w:w="2538" w:type="dxa"/>
            <w:vAlign w:val="center"/>
          </w:tcPr>
          <w:p w14:paraId="2B65BB06" w14:textId="77777777" w:rsidR="00CA0EF0" w:rsidRPr="00361E30" w:rsidRDefault="00CA0EF0" w:rsidP="003C13F4">
            <w:pPr>
              <w:spacing w:line="240" w:lineRule="auto"/>
              <w:jc w:val="left"/>
              <w:rPr>
                <w:lang w:val="en-GB"/>
              </w:rPr>
            </w:pPr>
            <w:r w:rsidRPr="00361E30">
              <w:rPr>
                <w:lang w:val="en-GB"/>
              </w:rPr>
              <w:t>CQC rating of Emergency Services</w:t>
            </w:r>
          </w:p>
        </w:tc>
        <w:tc>
          <w:tcPr>
            <w:tcW w:w="810" w:type="dxa"/>
            <w:vAlign w:val="center"/>
          </w:tcPr>
          <w:p w14:paraId="78C492B1" w14:textId="77777777" w:rsidR="00CA0EF0" w:rsidRPr="00361E30" w:rsidRDefault="00CA0EF0" w:rsidP="003C13F4">
            <w:pPr>
              <w:spacing w:line="240" w:lineRule="auto"/>
              <w:jc w:val="left"/>
              <w:rPr>
                <w:lang w:val="en-GB"/>
              </w:rPr>
            </w:pPr>
            <w:r w:rsidRPr="00361E30">
              <w:rPr>
                <w:lang w:val="en-GB"/>
              </w:rPr>
              <w:t>No</w:t>
            </w:r>
          </w:p>
        </w:tc>
        <w:tc>
          <w:tcPr>
            <w:tcW w:w="900" w:type="dxa"/>
            <w:vAlign w:val="center"/>
          </w:tcPr>
          <w:p w14:paraId="283C9560" w14:textId="77777777" w:rsidR="00CA0EF0" w:rsidRPr="00361E30" w:rsidRDefault="00CA0EF0" w:rsidP="003C13F4">
            <w:pPr>
              <w:spacing w:line="240" w:lineRule="auto"/>
              <w:jc w:val="left"/>
              <w:rPr>
                <w:lang w:val="en-GB"/>
              </w:rPr>
            </w:pPr>
            <w:r w:rsidRPr="00361E30">
              <w:rPr>
                <w:lang w:val="en-GB"/>
              </w:rPr>
              <w:t>Yes</w:t>
            </w:r>
          </w:p>
        </w:tc>
        <w:tc>
          <w:tcPr>
            <w:tcW w:w="1080" w:type="dxa"/>
            <w:vAlign w:val="center"/>
          </w:tcPr>
          <w:p w14:paraId="373B4E21" w14:textId="77777777" w:rsidR="00CA0EF0" w:rsidRPr="00361E30" w:rsidRDefault="00CA0EF0" w:rsidP="003C13F4">
            <w:pPr>
              <w:spacing w:line="240" w:lineRule="auto"/>
              <w:jc w:val="left"/>
              <w:rPr>
                <w:lang w:val="en-GB"/>
              </w:rPr>
            </w:pPr>
            <w:r w:rsidRPr="00361E30">
              <w:rPr>
                <w:lang w:val="en-GB"/>
              </w:rPr>
              <w:t>CQC website</w:t>
            </w:r>
          </w:p>
        </w:tc>
        <w:tc>
          <w:tcPr>
            <w:tcW w:w="3690" w:type="dxa"/>
            <w:vAlign w:val="center"/>
          </w:tcPr>
          <w:p w14:paraId="7931220D" w14:textId="77777777" w:rsidR="00CA0EF0" w:rsidRPr="00361E30" w:rsidRDefault="00CA0EF0" w:rsidP="003C13F4">
            <w:pPr>
              <w:spacing w:line="240" w:lineRule="auto"/>
              <w:jc w:val="left"/>
              <w:rPr>
                <w:lang w:val="en-GB"/>
              </w:rPr>
            </w:pPr>
            <w:r w:rsidRPr="00361E30">
              <w:rPr>
                <w:lang w:val="en-GB"/>
              </w:rPr>
              <w:t>The CQC ratings are a global rating of ED performance and quality</w:t>
            </w:r>
          </w:p>
        </w:tc>
      </w:tr>
      <w:tr w:rsidR="00CA0EF0" w:rsidRPr="00361E30" w14:paraId="74313AEF" w14:textId="77777777" w:rsidTr="003C13F4">
        <w:tc>
          <w:tcPr>
            <w:tcW w:w="2538" w:type="dxa"/>
            <w:vAlign w:val="center"/>
          </w:tcPr>
          <w:p w14:paraId="6F60DE12" w14:textId="77777777" w:rsidR="00CA0EF0" w:rsidRPr="00361E30" w:rsidRDefault="00CA0EF0" w:rsidP="003C13F4">
            <w:pPr>
              <w:spacing w:line="240" w:lineRule="auto"/>
              <w:jc w:val="left"/>
              <w:rPr>
                <w:lang w:val="en-GB"/>
              </w:rPr>
            </w:pPr>
            <w:r w:rsidRPr="00361E30">
              <w:rPr>
                <w:lang w:val="en-GB"/>
              </w:rPr>
              <w:t>Hip Fracture mortality</w:t>
            </w:r>
          </w:p>
        </w:tc>
        <w:tc>
          <w:tcPr>
            <w:tcW w:w="810" w:type="dxa"/>
            <w:vAlign w:val="center"/>
          </w:tcPr>
          <w:p w14:paraId="7234554B" w14:textId="77777777" w:rsidR="00CA0EF0" w:rsidRPr="00361E30" w:rsidRDefault="00CA0EF0" w:rsidP="003C13F4">
            <w:pPr>
              <w:spacing w:line="240" w:lineRule="auto"/>
              <w:jc w:val="left"/>
              <w:rPr>
                <w:lang w:val="en-GB"/>
              </w:rPr>
            </w:pPr>
            <w:r w:rsidRPr="00361E30">
              <w:rPr>
                <w:lang w:val="en-GB"/>
              </w:rPr>
              <w:t>No</w:t>
            </w:r>
          </w:p>
        </w:tc>
        <w:tc>
          <w:tcPr>
            <w:tcW w:w="900" w:type="dxa"/>
            <w:vAlign w:val="center"/>
          </w:tcPr>
          <w:p w14:paraId="5CB908B8" w14:textId="77777777" w:rsidR="00CA0EF0" w:rsidRPr="00361E30" w:rsidRDefault="00CA0EF0" w:rsidP="003C13F4">
            <w:pPr>
              <w:spacing w:line="240" w:lineRule="auto"/>
              <w:jc w:val="left"/>
              <w:rPr>
                <w:lang w:val="en-GB"/>
              </w:rPr>
            </w:pPr>
            <w:r w:rsidRPr="00361E30">
              <w:rPr>
                <w:lang w:val="en-GB"/>
              </w:rPr>
              <w:t>Yes</w:t>
            </w:r>
          </w:p>
        </w:tc>
        <w:tc>
          <w:tcPr>
            <w:tcW w:w="1080" w:type="dxa"/>
            <w:vAlign w:val="center"/>
          </w:tcPr>
          <w:p w14:paraId="41905907" w14:textId="77777777" w:rsidR="00CA0EF0" w:rsidRPr="00361E30" w:rsidRDefault="00CA0EF0" w:rsidP="003C13F4">
            <w:pPr>
              <w:spacing w:line="240" w:lineRule="auto"/>
              <w:jc w:val="left"/>
              <w:rPr>
                <w:lang w:val="en-GB"/>
              </w:rPr>
            </w:pPr>
            <w:r w:rsidRPr="00361E30">
              <w:rPr>
                <w:lang w:val="en-GB"/>
              </w:rPr>
              <w:t>National Hip Fracture Database</w:t>
            </w:r>
          </w:p>
        </w:tc>
        <w:tc>
          <w:tcPr>
            <w:tcW w:w="3690" w:type="dxa"/>
            <w:vAlign w:val="center"/>
          </w:tcPr>
          <w:p w14:paraId="59B447BE" w14:textId="77777777" w:rsidR="00CA0EF0" w:rsidRPr="00361E30" w:rsidRDefault="00CA0EF0" w:rsidP="003C13F4">
            <w:pPr>
              <w:spacing w:line="240" w:lineRule="auto"/>
              <w:jc w:val="left"/>
              <w:rPr>
                <w:lang w:val="en-GB"/>
              </w:rPr>
            </w:pPr>
            <w:r w:rsidRPr="00361E30">
              <w:rPr>
                <w:lang w:val="en-GB"/>
              </w:rPr>
              <w:t>Hip fractures survival was tested as a proxy for quality of care for older, injured patients</w:t>
            </w:r>
          </w:p>
        </w:tc>
      </w:tr>
      <w:tr w:rsidR="00CA0EF0" w:rsidRPr="00361E30" w14:paraId="256B4D5E" w14:textId="77777777" w:rsidTr="003C13F4">
        <w:tc>
          <w:tcPr>
            <w:tcW w:w="2538" w:type="dxa"/>
            <w:tcBorders>
              <w:bottom w:val="single" w:sz="4" w:space="0" w:color="auto"/>
            </w:tcBorders>
            <w:vAlign w:val="center"/>
          </w:tcPr>
          <w:p w14:paraId="1FAEC6C8" w14:textId="77777777" w:rsidR="00CA0EF0" w:rsidRPr="00361E30" w:rsidRDefault="00CA0EF0" w:rsidP="003C13F4">
            <w:pPr>
              <w:spacing w:line="240" w:lineRule="auto"/>
              <w:jc w:val="left"/>
              <w:rPr>
                <w:lang w:val="en-GB"/>
              </w:rPr>
            </w:pPr>
            <w:r w:rsidRPr="00361E30">
              <w:rPr>
                <w:lang w:val="en-GB"/>
              </w:rPr>
              <w:t>Neurosurgery on site</w:t>
            </w:r>
          </w:p>
        </w:tc>
        <w:tc>
          <w:tcPr>
            <w:tcW w:w="810" w:type="dxa"/>
            <w:tcBorders>
              <w:bottom w:val="single" w:sz="4" w:space="0" w:color="auto"/>
            </w:tcBorders>
            <w:vAlign w:val="center"/>
          </w:tcPr>
          <w:p w14:paraId="0F0CA620" w14:textId="77777777" w:rsidR="00CA0EF0" w:rsidRPr="00361E30" w:rsidRDefault="00CA0EF0" w:rsidP="003C13F4">
            <w:pPr>
              <w:spacing w:line="240" w:lineRule="auto"/>
              <w:jc w:val="left"/>
              <w:rPr>
                <w:lang w:val="en-GB"/>
              </w:rPr>
            </w:pPr>
            <w:r w:rsidRPr="00361E30">
              <w:rPr>
                <w:lang w:val="en-GB"/>
              </w:rPr>
              <w:t>Yes</w:t>
            </w:r>
          </w:p>
        </w:tc>
        <w:tc>
          <w:tcPr>
            <w:tcW w:w="900" w:type="dxa"/>
            <w:tcBorders>
              <w:bottom w:val="single" w:sz="4" w:space="0" w:color="auto"/>
            </w:tcBorders>
            <w:vAlign w:val="center"/>
          </w:tcPr>
          <w:p w14:paraId="734DC754" w14:textId="77777777" w:rsidR="00CA0EF0" w:rsidRPr="00361E30" w:rsidRDefault="00CA0EF0" w:rsidP="003C13F4">
            <w:pPr>
              <w:spacing w:line="240" w:lineRule="auto"/>
              <w:jc w:val="left"/>
              <w:rPr>
                <w:lang w:val="en-GB"/>
              </w:rPr>
            </w:pPr>
            <w:r w:rsidRPr="00361E30">
              <w:rPr>
                <w:lang w:val="en-GB"/>
              </w:rPr>
              <w:t>Yes</w:t>
            </w:r>
          </w:p>
        </w:tc>
        <w:tc>
          <w:tcPr>
            <w:tcW w:w="1080" w:type="dxa"/>
            <w:tcBorders>
              <w:bottom w:val="single" w:sz="4" w:space="0" w:color="auto"/>
            </w:tcBorders>
            <w:vAlign w:val="center"/>
          </w:tcPr>
          <w:p w14:paraId="09E4DA14" w14:textId="77777777" w:rsidR="00CA0EF0" w:rsidRPr="00361E30" w:rsidRDefault="00CA0EF0" w:rsidP="003C13F4">
            <w:pPr>
              <w:spacing w:line="240" w:lineRule="auto"/>
              <w:jc w:val="left"/>
              <w:rPr>
                <w:lang w:val="en-GB"/>
              </w:rPr>
            </w:pPr>
            <w:r w:rsidRPr="00361E30">
              <w:rPr>
                <w:lang w:val="en-GB"/>
              </w:rPr>
              <w:t>TARN</w:t>
            </w:r>
          </w:p>
        </w:tc>
        <w:tc>
          <w:tcPr>
            <w:tcW w:w="3690" w:type="dxa"/>
            <w:tcBorders>
              <w:bottom w:val="single" w:sz="4" w:space="0" w:color="auto"/>
            </w:tcBorders>
            <w:vAlign w:val="center"/>
          </w:tcPr>
          <w:p w14:paraId="2B8EEEC9" w14:textId="77777777" w:rsidR="00CA0EF0" w:rsidRPr="00361E30" w:rsidRDefault="00CA0EF0" w:rsidP="003C13F4">
            <w:pPr>
              <w:spacing w:line="240" w:lineRule="auto"/>
              <w:jc w:val="left"/>
              <w:rPr>
                <w:lang w:val="en-GB"/>
              </w:rPr>
            </w:pPr>
            <w:r w:rsidRPr="00361E30">
              <w:rPr>
                <w:lang w:val="en-GB"/>
              </w:rPr>
              <w:t>Investigated the impact on mortality of having neurosurgery on site</w:t>
            </w:r>
          </w:p>
        </w:tc>
      </w:tr>
      <w:tr w:rsidR="00CA0EF0" w:rsidRPr="00361E30" w14:paraId="7D381E7A" w14:textId="77777777" w:rsidTr="003C13F4">
        <w:tc>
          <w:tcPr>
            <w:tcW w:w="9018" w:type="dxa"/>
            <w:gridSpan w:val="5"/>
            <w:tcBorders>
              <w:top w:val="single" w:sz="4" w:space="0" w:color="auto"/>
              <w:bottom w:val="single" w:sz="4" w:space="0" w:color="auto"/>
            </w:tcBorders>
            <w:shd w:val="clear" w:color="auto" w:fill="BFBFBF" w:themeFill="background1" w:themeFillShade="BF"/>
            <w:vAlign w:val="center"/>
          </w:tcPr>
          <w:p w14:paraId="2083D968" w14:textId="77777777" w:rsidR="00CA0EF0" w:rsidRPr="00361E30" w:rsidRDefault="00CA0EF0" w:rsidP="003C13F4">
            <w:pPr>
              <w:spacing w:line="240" w:lineRule="auto"/>
              <w:jc w:val="left"/>
              <w:rPr>
                <w:lang w:val="en-GB"/>
              </w:rPr>
            </w:pPr>
            <w:r w:rsidRPr="00361E30">
              <w:rPr>
                <w:lang w:val="en-GB"/>
              </w:rPr>
              <w:t>Variables not tested in the model</w:t>
            </w:r>
          </w:p>
        </w:tc>
      </w:tr>
      <w:tr w:rsidR="00CA0EF0" w:rsidRPr="00361E30" w14:paraId="4A5904BA" w14:textId="77777777" w:rsidTr="003C13F4">
        <w:tc>
          <w:tcPr>
            <w:tcW w:w="2538" w:type="dxa"/>
            <w:tcBorders>
              <w:top w:val="single" w:sz="4" w:space="0" w:color="auto"/>
            </w:tcBorders>
            <w:vAlign w:val="center"/>
          </w:tcPr>
          <w:p w14:paraId="6CF63B42" w14:textId="77777777" w:rsidR="00CA0EF0" w:rsidRPr="00361E30" w:rsidRDefault="00CA0EF0" w:rsidP="003C13F4">
            <w:pPr>
              <w:spacing w:line="240" w:lineRule="auto"/>
              <w:jc w:val="left"/>
              <w:rPr>
                <w:lang w:val="en-GB"/>
              </w:rPr>
            </w:pPr>
            <w:r w:rsidRPr="00361E30">
              <w:rPr>
                <w:lang w:val="en-GB"/>
              </w:rPr>
              <w:t>HEMS transport</w:t>
            </w:r>
          </w:p>
        </w:tc>
        <w:tc>
          <w:tcPr>
            <w:tcW w:w="810" w:type="dxa"/>
            <w:tcBorders>
              <w:top w:val="single" w:sz="4" w:space="0" w:color="auto"/>
            </w:tcBorders>
            <w:vAlign w:val="center"/>
          </w:tcPr>
          <w:p w14:paraId="3D4C4671" w14:textId="77777777" w:rsidR="00CA0EF0" w:rsidRPr="00361E30" w:rsidRDefault="00CA0EF0" w:rsidP="003C13F4">
            <w:pPr>
              <w:spacing w:line="240" w:lineRule="auto"/>
              <w:jc w:val="left"/>
              <w:rPr>
                <w:lang w:val="en-GB"/>
              </w:rPr>
            </w:pPr>
            <w:r w:rsidRPr="00361E30">
              <w:rPr>
                <w:lang w:val="en-GB"/>
              </w:rPr>
              <w:t>Yes</w:t>
            </w:r>
          </w:p>
        </w:tc>
        <w:tc>
          <w:tcPr>
            <w:tcW w:w="900" w:type="dxa"/>
            <w:tcBorders>
              <w:top w:val="single" w:sz="4" w:space="0" w:color="auto"/>
            </w:tcBorders>
            <w:vAlign w:val="center"/>
          </w:tcPr>
          <w:p w14:paraId="32373372" w14:textId="77777777" w:rsidR="00CA0EF0" w:rsidRPr="00361E30" w:rsidRDefault="00CA0EF0" w:rsidP="003C13F4">
            <w:pPr>
              <w:spacing w:line="240" w:lineRule="auto"/>
              <w:jc w:val="left"/>
              <w:rPr>
                <w:lang w:val="en-GB"/>
              </w:rPr>
            </w:pPr>
            <w:r w:rsidRPr="00361E30">
              <w:rPr>
                <w:lang w:val="en-GB"/>
              </w:rPr>
              <w:t>No</w:t>
            </w:r>
          </w:p>
        </w:tc>
        <w:tc>
          <w:tcPr>
            <w:tcW w:w="1080" w:type="dxa"/>
            <w:tcBorders>
              <w:top w:val="single" w:sz="4" w:space="0" w:color="auto"/>
            </w:tcBorders>
            <w:vAlign w:val="center"/>
          </w:tcPr>
          <w:p w14:paraId="0ABD6074" w14:textId="77777777" w:rsidR="00CA0EF0" w:rsidRPr="00361E30" w:rsidRDefault="00CA0EF0" w:rsidP="003C13F4">
            <w:pPr>
              <w:spacing w:line="240" w:lineRule="auto"/>
              <w:jc w:val="left"/>
              <w:rPr>
                <w:lang w:val="en-GB"/>
              </w:rPr>
            </w:pPr>
            <w:r w:rsidRPr="00361E30">
              <w:rPr>
                <w:lang w:val="en-GB"/>
              </w:rPr>
              <w:t>TARN</w:t>
            </w:r>
          </w:p>
        </w:tc>
        <w:tc>
          <w:tcPr>
            <w:tcW w:w="3690" w:type="dxa"/>
            <w:tcBorders>
              <w:top w:val="single" w:sz="4" w:space="0" w:color="auto"/>
            </w:tcBorders>
            <w:vAlign w:val="center"/>
          </w:tcPr>
          <w:p w14:paraId="1E29F2EC" w14:textId="77777777" w:rsidR="00CA0EF0" w:rsidRPr="00361E30" w:rsidRDefault="00CA0EF0" w:rsidP="003C13F4">
            <w:pPr>
              <w:spacing w:line="240" w:lineRule="auto"/>
              <w:jc w:val="left"/>
              <w:rPr>
                <w:lang w:val="en-GB"/>
              </w:rPr>
            </w:pPr>
            <w:r w:rsidRPr="00361E30">
              <w:rPr>
                <w:lang w:val="en-GB"/>
              </w:rPr>
              <w:t>The number of older patients transported to hospital by helicopter was very small, so unlikely to impact on the model accuracy</w:t>
            </w:r>
          </w:p>
        </w:tc>
      </w:tr>
      <w:tr w:rsidR="00CA0EF0" w:rsidRPr="00361E30" w14:paraId="54F8C436" w14:textId="77777777" w:rsidTr="003C13F4">
        <w:tc>
          <w:tcPr>
            <w:tcW w:w="2538" w:type="dxa"/>
            <w:tcBorders>
              <w:bottom w:val="single" w:sz="4" w:space="0" w:color="auto"/>
            </w:tcBorders>
            <w:vAlign w:val="center"/>
          </w:tcPr>
          <w:p w14:paraId="541727DD" w14:textId="77777777" w:rsidR="00CA0EF0" w:rsidRPr="00361E30" w:rsidRDefault="00CA0EF0" w:rsidP="003C13F4">
            <w:pPr>
              <w:spacing w:line="240" w:lineRule="auto"/>
              <w:jc w:val="left"/>
              <w:rPr>
                <w:lang w:val="en-GB"/>
              </w:rPr>
            </w:pPr>
            <w:r w:rsidRPr="00361E30">
              <w:rPr>
                <w:lang w:val="en-GB"/>
              </w:rPr>
              <w:t>Pre-hospital triage accuracy</w:t>
            </w:r>
          </w:p>
        </w:tc>
        <w:tc>
          <w:tcPr>
            <w:tcW w:w="810" w:type="dxa"/>
            <w:tcBorders>
              <w:bottom w:val="single" w:sz="4" w:space="0" w:color="auto"/>
            </w:tcBorders>
            <w:vAlign w:val="center"/>
          </w:tcPr>
          <w:p w14:paraId="17613064" w14:textId="77777777" w:rsidR="00CA0EF0" w:rsidRPr="00361E30" w:rsidRDefault="00CA0EF0" w:rsidP="003C13F4">
            <w:pPr>
              <w:spacing w:line="240" w:lineRule="auto"/>
              <w:jc w:val="left"/>
              <w:rPr>
                <w:lang w:val="en-GB"/>
              </w:rPr>
            </w:pPr>
            <w:r w:rsidRPr="00361E30">
              <w:rPr>
                <w:lang w:val="en-GB"/>
              </w:rPr>
              <w:t>Yes</w:t>
            </w:r>
          </w:p>
        </w:tc>
        <w:tc>
          <w:tcPr>
            <w:tcW w:w="900" w:type="dxa"/>
            <w:tcBorders>
              <w:bottom w:val="single" w:sz="4" w:space="0" w:color="auto"/>
            </w:tcBorders>
            <w:vAlign w:val="center"/>
          </w:tcPr>
          <w:p w14:paraId="068A1D69" w14:textId="77777777" w:rsidR="00CA0EF0" w:rsidRPr="00361E30" w:rsidRDefault="00CA0EF0" w:rsidP="003C13F4">
            <w:pPr>
              <w:spacing w:line="240" w:lineRule="auto"/>
              <w:jc w:val="left"/>
              <w:rPr>
                <w:lang w:val="en-GB"/>
              </w:rPr>
            </w:pPr>
            <w:r w:rsidRPr="00361E30">
              <w:rPr>
                <w:lang w:val="en-GB"/>
              </w:rPr>
              <w:t>No</w:t>
            </w:r>
          </w:p>
        </w:tc>
        <w:tc>
          <w:tcPr>
            <w:tcW w:w="1080" w:type="dxa"/>
            <w:tcBorders>
              <w:bottom w:val="single" w:sz="4" w:space="0" w:color="auto"/>
            </w:tcBorders>
            <w:vAlign w:val="center"/>
          </w:tcPr>
          <w:p w14:paraId="7B96F7A5" w14:textId="77777777" w:rsidR="00CA0EF0" w:rsidRPr="00361E30" w:rsidRDefault="00CA0EF0" w:rsidP="003C13F4">
            <w:pPr>
              <w:spacing w:line="240" w:lineRule="auto"/>
              <w:jc w:val="left"/>
              <w:rPr>
                <w:lang w:val="en-GB"/>
              </w:rPr>
            </w:pPr>
            <w:r w:rsidRPr="00361E30">
              <w:rPr>
                <w:lang w:val="en-GB"/>
              </w:rPr>
              <w:t>TARN</w:t>
            </w:r>
          </w:p>
        </w:tc>
        <w:tc>
          <w:tcPr>
            <w:tcW w:w="3690" w:type="dxa"/>
            <w:tcBorders>
              <w:bottom w:val="single" w:sz="4" w:space="0" w:color="auto"/>
            </w:tcBorders>
            <w:vAlign w:val="center"/>
          </w:tcPr>
          <w:p w14:paraId="69A75F1D" w14:textId="77777777" w:rsidR="00CA0EF0" w:rsidRPr="00361E30" w:rsidRDefault="00CA0EF0" w:rsidP="003C13F4">
            <w:pPr>
              <w:spacing w:line="240" w:lineRule="auto"/>
              <w:jc w:val="left"/>
              <w:rPr>
                <w:lang w:val="en-GB"/>
              </w:rPr>
            </w:pPr>
            <w:r w:rsidRPr="00361E30">
              <w:rPr>
                <w:lang w:val="en-GB"/>
              </w:rPr>
              <w:t>The recording of pre-hospital triage data in the TARN database was very inconsistent, to this variable could not be reliably tested in the model</w:t>
            </w:r>
          </w:p>
        </w:tc>
      </w:tr>
    </w:tbl>
    <w:p w14:paraId="668C1BF0" w14:textId="77777777" w:rsidR="00CA0EF0" w:rsidRPr="00361E30" w:rsidRDefault="00CA0EF0" w:rsidP="003C13F4">
      <w:pPr>
        <w:pStyle w:val="TableTitle"/>
      </w:pPr>
      <w:bookmarkStart w:id="90" w:name="_Toc528321041"/>
      <w:r w:rsidRPr="00361E30">
        <w:t>Table 3.2: Care process factors tested in the multivariate model (Phase1, Step 2)</w:t>
      </w:r>
      <w:bookmarkEnd w:id="90"/>
    </w:p>
    <w:p w14:paraId="2818BB9A" w14:textId="77777777" w:rsidR="00CA0EF0" w:rsidRPr="00361E30" w:rsidRDefault="00CA0EF0" w:rsidP="003C13F4">
      <w:pPr>
        <w:pStyle w:val="Heading4"/>
      </w:pPr>
      <w:r w:rsidRPr="00361E30">
        <w:t>Refining the Model – Statistical Analysis</w:t>
      </w:r>
    </w:p>
    <w:p w14:paraId="57E1CE9F" w14:textId="77777777" w:rsidR="00CA0EF0" w:rsidRPr="00361E30" w:rsidRDefault="00CA0EF0" w:rsidP="003C13F4">
      <w:r w:rsidRPr="00361E30">
        <w:t>Care process factors (variables that defined the characteristics of the hospitals providing care for older trauma patients rather than variables that described the characteristics of individual patients) were added to the predictive model, to assess whether they improved the performance of the model. The steps in this analysis were:</w:t>
      </w:r>
    </w:p>
    <w:p w14:paraId="0CC09523" w14:textId="77777777" w:rsidR="00CA0EF0" w:rsidRPr="00361E30" w:rsidRDefault="00CA0EF0" w:rsidP="003C13F4">
      <w:pPr>
        <w:pStyle w:val="ListParagraph"/>
        <w:numPr>
          <w:ilvl w:val="2"/>
          <w:numId w:val="27"/>
        </w:numPr>
      </w:pPr>
      <w:r w:rsidRPr="00361E30">
        <w:lastRenderedPageBreak/>
        <w:t>Each variable’s ability to predict the probability of survival was examined using univariate logistic regression. Variables with a moderate univariate association with survival (p=0.2) were tested in the multivariate model.</w:t>
      </w:r>
    </w:p>
    <w:p w14:paraId="53261E5B" w14:textId="77777777" w:rsidR="00CA0EF0" w:rsidRPr="00361E30" w:rsidRDefault="00CA0EF0" w:rsidP="003C13F4">
      <w:pPr>
        <w:pStyle w:val="ListParagraph"/>
        <w:numPr>
          <w:ilvl w:val="2"/>
          <w:numId w:val="27"/>
        </w:numPr>
      </w:pPr>
      <w:r w:rsidRPr="00361E30">
        <w:t>For integer and some ordinal variables assumptions of linearity were tested. Consideration of categorisation of these variables was also explored.</w:t>
      </w:r>
    </w:p>
    <w:p w14:paraId="78675D33" w14:textId="77777777" w:rsidR="00CA0EF0" w:rsidRPr="00361E30" w:rsidRDefault="00CA0EF0" w:rsidP="003C13F4">
      <w:pPr>
        <w:pStyle w:val="ListParagraph"/>
        <w:numPr>
          <w:ilvl w:val="2"/>
          <w:numId w:val="27"/>
        </w:numPr>
      </w:pPr>
      <w:r w:rsidRPr="00361E30">
        <w:t>Multilevel modelling, using a random intercept, was used to test the significance of these variables. Care process factors were added to the model as level 2 variables, using the Site ID (Hospital ID) as the grouping variable where the variable was a feature of the hospital itself, or as ‘patient’ level variables where the intervention was applied at an individual patient level.</w:t>
      </w:r>
    </w:p>
    <w:p w14:paraId="306F6D0E" w14:textId="77777777" w:rsidR="00CA0EF0" w:rsidRPr="00361E30" w:rsidRDefault="00CA0EF0" w:rsidP="003C13F4">
      <w:pPr>
        <w:pStyle w:val="ListParagraph"/>
        <w:numPr>
          <w:ilvl w:val="2"/>
          <w:numId w:val="27"/>
        </w:numPr>
      </w:pPr>
      <w:r w:rsidRPr="00361E30">
        <w:t>The impact of variables on the multivariate model was assessed by determining the significance of the association between these variables and survival in the multivariate model, and the impact of these variables on the overall performance of the model, as measured by the ‘C’ statistic, Nagelkerke’s R</w:t>
      </w:r>
      <w:r w:rsidRPr="00361E30">
        <w:rPr>
          <w:vertAlign w:val="superscript"/>
        </w:rPr>
        <w:t>2</w:t>
      </w:r>
      <w:r w:rsidRPr="00361E30">
        <w:t>, the Akaike information criteria and the H-L statistic for the models with these variables added.</w:t>
      </w:r>
    </w:p>
    <w:p w14:paraId="3DB791EB" w14:textId="77777777" w:rsidR="00CA0EF0" w:rsidRPr="00361E30" w:rsidRDefault="00CA0EF0" w:rsidP="003C13F4">
      <w:pPr>
        <w:pStyle w:val="ListParagraph"/>
        <w:numPr>
          <w:ilvl w:val="2"/>
          <w:numId w:val="27"/>
        </w:numPr>
      </w:pPr>
      <w:r w:rsidRPr="00361E30">
        <w:t xml:space="preserve">Using the best model developed, hospital survival rates were compared, and ‘outlying’ hospitals (those with actual survival rates significantly higher or lower than that predicted by the model) were identified (Section 3.3.3.6.4 below). </w:t>
      </w:r>
    </w:p>
    <w:p w14:paraId="4665CA6C" w14:textId="77777777" w:rsidR="00CA0EF0" w:rsidRPr="00361E30" w:rsidRDefault="00CA0EF0" w:rsidP="003C13F4">
      <w:pPr>
        <w:pStyle w:val="Heading3"/>
      </w:pPr>
      <w:r w:rsidRPr="00361E30">
        <w:t xml:space="preserve">3.3.3.6 </w:t>
      </w:r>
      <w:r w:rsidRPr="00361E30">
        <w:tab/>
        <w:t>Comparing Survival Rates Between Trauma Receiving Hospitals in England</w:t>
      </w:r>
    </w:p>
    <w:p w14:paraId="4A137A35" w14:textId="77777777" w:rsidR="00CA0EF0" w:rsidRPr="00361E30" w:rsidRDefault="00CA0EF0" w:rsidP="003C13F4">
      <w:pPr>
        <w:pStyle w:val="Heading4"/>
      </w:pPr>
      <w:r w:rsidRPr="00361E30">
        <w:t>Inclusion and Exclusion Criteria for Comparing Hospital Survival Rates</w:t>
      </w:r>
    </w:p>
    <w:p w14:paraId="68442F73" w14:textId="77777777" w:rsidR="00CA0EF0" w:rsidRPr="00361E30" w:rsidRDefault="00CA0EF0" w:rsidP="003C13F4">
      <w:r w:rsidRPr="00361E30">
        <w:t>As mentioned in Section 3.3.2.2, when comparing hospital survival rates, only those hospitals with more than 50 returns and those with good quality data were included. Hospitals with ‘good quality’ data were defined by comparing the ratio of the number of submissions made by individual hospitals to TARN to the number of major trauma cases fitting the TARN criteria entered into HES (hospital episode statistics) for that hospital. Hospitals in which there is a discrepancy of &gt;20% in the proportion of submissions made by individual hospitals to TARN compared to the number of major trauma cases fitting the TARN criteria entered into HES (hospital episode statistics) for that hospital, when comparing submission of deaths to survivors were classified as having ‘incomplete’ submissions.</w:t>
      </w:r>
    </w:p>
    <w:p w14:paraId="1ADD33B5" w14:textId="77777777" w:rsidR="00CA0EF0" w:rsidRPr="00361E30" w:rsidRDefault="00CA0EF0" w:rsidP="003C13F4">
      <w:pPr>
        <w:ind w:firstLine="720"/>
      </w:pPr>
      <w:r w:rsidRPr="00361E30">
        <w:lastRenderedPageBreak/>
        <w:t>In addition, only hospitals from England were included in the comparison of different hospitals. The trauma system in Wales does not differentiate between Trauma Units (TUs) and Major Trauma Centres (MTCs), not allowing for valid comparisons between different types of hospital.</w:t>
      </w:r>
    </w:p>
    <w:p w14:paraId="331573EE" w14:textId="77777777" w:rsidR="00CA0EF0" w:rsidRPr="00361E30" w:rsidRDefault="00CA0EF0" w:rsidP="003C13F4">
      <w:pPr>
        <w:pStyle w:val="Heading4"/>
      </w:pPr>
      <w:r w:rsidRPr="00361E30">
        <w:t>Sample Size</w:t>
      </w:r>
    </w:p>
    <w:p w14:paraId="590D4EBF" w14:textId="77777777" w:rsidR="00CA0EF0" w:rsidRPr="00361E30" w:rsidRDefault="00CA0EF0" w:rsidP="003C13F4">
      <w:r w:rsidRPr="00361E30">
        <w:t>Of the 218 hospitals on the TARN database during the period of study, 175 were situated in England, the remaining 43 being from Wales, Europe and the Republic of Ireland. Of these 175 hospitals, 80 were included in the final analysis. The remaining 95 hospitals had submitted data which did not meet the data quality criteria or had total submissions of less than 50 (for a definition of data quality, please refer to Section 3.3.3.6.1). Of the hospitals included in the analysis, 22 of 29 MTCs were included and 58 of 146 TUs. The data completion rate for TUs in England is known to be significantly lower than that for MTCs, so the relatively low number of TUs meeting the study’s inclusion criteria was expected.</w:t>
      </w:r>
    </w:p>
    <w:p w14:paraId="6E92D4B1" w14:textId="77777777" w:rsidR="00CA0EF0" w:rsidRPr="00361E30" w:rsidRDefault="00CA0EF0" w:rsidP="003C13F4">
      <w:pPr>
        <w:pStyle w:val="Heading4"/>
      </w:pPr>
      <w:r w:rsidRPr="00361E30">
        <w:t>Statistical Analysis – Comparing Hospital Survival Rates</w:t>
      </w:r>
    </w:p>
    <w:p w14:paraId="11F68C4E" w14:textId="77777777" w:rsidR="00CA0EF0" w:rsidRPr="00361E30" w:rsidRDefault="00CA0EF0" w:rsidP="003C13F4">
      <w:r w:rsidRPr="00361E30">
        <w:t xml:space="preserve">Using the best predictive model, the risk adjusted survival rate for each hospital was compared with its predicted survival rate (please refer to Chapter 2, Section 1.7.1.2), using the standardised ‘W’ statistics. The ‘W’ statistic is a measure of the actual difference between observed (actual) and expected (predicted) deaths for a hospital. This is presented as survivors per hundred patients treated. A positive value indicates that there are more survivors than expected from the prediction model (the hospital is doing better than predicted for its casemix), while a negative value indicates the converse </w:t>
      </w:r>
      <w:r w:rsidRPr="00361E30">
        <w:rPr>
          <w:noProof/>
        </w:rPr>
        <w:t>(Boyd</w:t>
      </w:r>
      <w:r w:rsidR="00C908AC" w:rsidRPr="00361E30">
        <w:rPr>
          <w:noProof/>
        </w:rPr>
        <w:t xml:space="preserve"> et al.</w:t>
      </w:r>
      <w:r w:rsidRPr="00361E30">
        <w:rPr>
          <w:noProof/>
        </w:rPr>
        <w:t xml:space="preserve"> 1987, Lecky et al. 2014)</w:t>
      </w:r>
      <w:r w:rsidRPr="00361E30">
        <w:t>. Chapter 1, Sections 1.7. provides a more thorough description of the TRISS methodology and the estimation of performance in relation to trauma care.</w:t>
      </w:r>
    </w:p>
    <w:p w14:paraId="3A714582" w14:textId="77777777" w:rsidR="00CA0EF0" w:rsidRPr="00361E30" w:rsidRDefault="00CA0EF0" w:rsidP="003C13F4">
      <w:pPr>
        <w:pStyle w:val="Heading4"/>
      </w:pPr>
      <w:r w:rsidRPr="00361E30">
        <w:t>Statistical Analysis – Identifying Outliers</w:t>
      </w:r>
    </w:p>
    <w:p w14:paraId="26845668" w14:textId="77777777" w:rsidR="00CA0EF0" w:rsidRPr="00361E30" w:rsidRDefault="00CA0EF0" w:rsidP="003C13F4">
      <w:r w:rsidRPr="00361E30">
        <w:t xml:space="preserve">Once the survival rate for each trauma-receiving hospital was measured, outliers were identified by means of a funnel plot. This estimated the standardised variance of hospitals’ actual survival rates from that predicted by the model. Subtracting observed from expected survival rates gives an “excess” survival rate – W score. Hospitals with excess survival rates more than 2 standard deviations from predicted survival rates are considered ‘outliers’ in the current TARN audit protocols </w:t>
      </w:r>
      <w:r w:rsidRPr="00361E30">
        <w:rPr>
          <w:noProof/>
        </w:rPr>
        <w:t>(Lecky et al. 2014, Woodford et al. 2014)</w:t>
      </w:r>
      <w:r w:rsidRPr="00361E30">
        <w:t xml:space="preserve">. In this study, ‘outliers’ were therefore defined as hospitals </w:t>
      </w:r>
      <w:r w:rsidR="00C10F07">
        <w:t>in which</w:t>
      </w:r>
      <w:r w:rsidRPr="00361E30">
        <w:t xml:space="preserve"> excess survival rates (as represented by their standardised Ws scores) were &gt; 2 standard deviations (SDs) from that predicted by the model. The cut-off of 2 SDs was used as this allowed identification of hospitals with survival rates that were both significantly above and below that expected from the model. TARN currently uses a </w:t>
      </w:r>
      <w:r w:rsidRPr="00361E30">
        <w:lastRenderedPageBreak/>
        <w:t>cut-off of 3SDs to identify “alarm” hospitals (notification and immediate action required) with excess survival rates significantly higher or lower than estimated and 2SDs to identify “alert” hospitals (notification required). Hospitals with less than 50 submissions were excluded from this analysis, as the precision of their estimated Ws scores was low, and the 95% confidence in intervals too wide to make reliable predictions of their performance. In addition, such hospitals were likely to have returned significantly incomplete submissions to TARN (large numbers of eligible patients may have been excluded from the analysis due to lack of submission of data). Hospitals with poor quality submissions (as defined in Section 3.3.3.6.1) were also excluded from the analysis.</w:t>
      </w:r>
    </w:p>
    <w:p w14:paraId="3DF3A6E1" w14:textId="77777777" w:rsidR="00CA0EF0" w:rsidRPr="00361E30" w:rsidRDefault="00CA0EF0" w:rsidP="003C13F4">
      <w:pPr>
        <w:pStyle w:val="Heading3"/>
      </w:pPr>
      <w:r w:rsidRPr="00361E30">
        <w:t xml:space="preserve">3.3.3.7 </w:t>
      </w:r>
      <w:r w:rsidRPr="00361E30">
        <w:tab/>
        <w:t>Minimisation of Bias</w:t>
      </w:r>
    </w:p>
    <w:p w14:paraId="4755CA13" w14:textId="77777777" w:rsidR="00CA0EF0" w:rsidRPr="00361E30" w:rsidRDefault="00CA0EF0" w:rsidP="003C13F4">
      <w:r w:rsidRPr="00361E30">
        <w:t xml:space="preserve">Phase 1 of the study was potentially subject to selection bias, interpretation bias and incorporation bias </w:t>
      </w:r>
      <w:r w:rsidRPr="00361E30">
        <w:rPr>
          <w:noProof/>
        </w:rPr>
        <w:t>(Coggon et al. 2009)</w:t>
      </w:r>
      <w:r w:rsidRPr="00361E30">
        <w:t>. The following factors were considered in attempting to minimise bias:</w:t>
      </w:r>
    </w:p>
    <w:p w14:paraId="4136078E" w14:textId="77777777" w:rsidR="00CA0EF0" w:rsidRPr="00361E30" w:rsidRDefault="00CA0EF0" w:rsidP="003C13F4">
      <w:r w:rsidRPr="00361E30">
        <w:rPr>
          <w:u w:val="single"/>
        </w:rPr>
        <w:t>Selection bias:</w:t>
      </w:r>
      <w:r w:rsidRPr="00361E30">
        <w:t xml:space="preserve"> All eligible patients entered into the TARN dataset within the specified time frame of the study were included in this phase of the study, thus eliminating the possibility of selection bias at the point of patient inclusion from the database. Furthermore, the use of bootstrapping for the validation of the final model reduced the potential for bias at this stage of analysis. </w:t>
      </w:r>
    </w:p>
    <w:p w14:paraId="50CCA575" w14:textId="77777777" w:rsidR="00CA0EF0" w:rsidRPr="00361E30" w:rsidRDefault="00CA0EF0" w:rsidP="003C13F4">
      <w:pPr>
        <w:ind w:firstLine="720"/>
      </w:pPr>
      <w:r w:rsidRPr="00361E30">
        <w:t xml:space="preserve">There was a potential for selection bias in relation to data submission by participating hospitals </w:t>
      </w:r>
      <w:r w:rsidRPr="00361E30">
        <w:rPr>
          <w:noProof/>
        </w:rPr>
        <w:t>(Lecky et al. 2000)</w:t>
      </w:r>
      <w:r w:rsidRPr="00361E30">
        <w:t xml:space="preserve">. The incomplete submission of data to TARN by participating hospitals has been acknowledged for some time, and this has the potential for influencing mortality and survival probabilities </w:t>
      </w:r>
      <w:r w:rsidRPr="00361E30">
        <w:rPr>
          <w:noProof/>
        </w:rPr>
        <w:t>(Lecky et al. 2014)</w:t>
      </w:r>
      <w:r w:rsidRPr="00361E30">
        <w:t xml:space="preserve">. For example, if hospitals are submitting a greater number of survivors than deaths, then the overall survival probability of the dataset will appear to be better than actual patient survival. In addition, incompleteness of data also affects the accuracy of predictive models and survival probabilities </w:t>
      </w:r>
      <w:r w:rsidRPr="00361E30">
        <w:rPr>
          <w:noProof/>
        </w:rPr>
        <w:t>(O'Reilly et al. 2012)</w:t>
      </w:r>
      <w:r w:rsidRPr="00361E30">
        <w:t xml:space="preserve">. Information on submission rates and data completeness are routinely collected as part of the TARN dataset. For example, submissions are compared with Hospital Episode Statistics (HES) data for trauma admissions. </w:t>
      </w:r>
    </w:p>
    <w:p w14:paraId="55F44F4C" w14:textId="77777777" w:rsidR="00CA0EF0" w:rsidRPr="00361E30" w:rsidRDefault="00CA0EF0" w:rsidP="003C13F4">
      <w:pPr>
        <w:ind w:firstLine="720"/>
      </w:pPr>
      <w:r w:rsidRPr="00361E30">
        <w:t xml:space="preserve">Sensitivity analysis was used to assess the effects of inclusion of patients from hospitals with poor quality data on the accuracy of the model (Phase 1, Step 1) </w:t>
      </w:r>
      <w:r w:rsidR="00B249F5" w:rsidRPr="00361E30">
        <w:rPr>
          <w:noProof/>
        </w:rPr>
        <w:t>(Lecky</w:t>
      </w:r>
      <w:r w:rsidRPr="00361E30">
        <w:rPr>
          <w:noProof/>
        </w:rPr>
        <w:t xml:space="preserve"> et al. 2014)</w:t>
      </w:r>
      <w:r w:rsidRPr="00361E30">
        <w:t>. This part of the analysis was re-run, excluding hospitals with poor quality returns (as described in Section 3.3.3.6.1). The results of the analysis with and without the inclusion of patients from hospitals with poor quality data were then compared.</w:t>
      </w:r>
    </w:p>
    <w:p w14:paraId="1892EFA0" w14:textId="77777777" w:rsidR="00CA0EF0" w:rsidRPr="00361E30" w:rsidRDefault="00CA0EF0" w:rsidP="003C13F4">
      <w:r w:rsidRPr="00361E30">
        <w:rPr>
          <w:u w:val="single"/>
        </w:rPr>
        <w:lastRenderedPageBreak/>
        <w:t>Interpretation bias:</w:t>
      </w:r>
      <w:r w:rsidRPr="00361E30">
        <w:t xml:space="preserve"> The use of multivariate logistic regression to determine the effects of covariates on survival allows for the incorporation of risk factors in the interpretation of trauma outcome data. There is, however, the possibility of interpretation bias </w:t>
      </w:r>
      <w:r w:rsidR="00283746" w:rsidRPr="00361E30">
        <w:t>because</w:t>
      </w:r>
      <w:r w:rsidRPr="00361E30">
        <w:t xml:space="preserve"> of unrecognised covariates (leading to confounding). In addition, multiple logistic regression assumes linearity of correlations and independence of covariates </w:t>
      </w:r>
      <w:r w:rsidR="00F80C71" w:rsidRPr="00361E30">
        <w:rPr>
          <w:noProof/>
        </w:rPr>
        <w:t>(Campbell</w:t>
      </w:r>
      <w:r w:rsidRPr="00361E30">
        <w:rPr>
          <w:noProof/>
        </w:rPr>
        <w:t xml:space="preserve"> 2006, Campbell</w:t>
      </w:r>
      <w:r w:rsidR="00F80C71" w:rsidRPr="00361E30">
        <w:rPr>
          <w:noProof/>
        </w:rPr>
        <w:t xml:space="preserve"> et al.</w:t>
      </w:r>
      <w:r w:rsidRPr="00361E30">
        <w:rPr>
          <w:noProof/>
        </w:rPr>
        <w:t xml:space="preserve"> 2010)</w:t>
      </w:r>
      <w:r w:rsidRPr="00361E30">
        <w:t>. Any non-linearity or interaction of covariates would also have led to interpretation bias. The initial inclusion of a wide range of potential covariates (as described in Sections 3.3.3.4.1 and 3.3.3.5 above) helped minimise the influence of unrecognised covariates. Non-linearity and interactions were assessed in each variable included in the analysis, and (where appropriate) accommodated for through advanced statistical techniques, such as the use of fractional polynomial transformation, in the prediction model.</w:t>
      </w:r>
    </w:p>
    <w:p w14:paraId="57FF9EDF" w14:textId="77777777" w:rsidR="00CA0EF0" w:rsidRPr="00361E30" w:rsidRDefault="00CA0EF0" w:rsidP="003C13F4">
      <w:r w:rsidRPr="00361E30">
        <w:rPr>
          <w:u w:val="single"/>
        </w:rPr>
        <w:t>Incorporation bias:</w:t>
      </w:r>
      <w:r w:rsidRPr="00361E30">
        <w:t xml:space="preserve"> The development and comparison of predictive models using multiple logistic regression analysis inevitably involves the incorporation of overlapping risk factors in different models (for example injury severity and injury pattern). This, in itself, does not lead to incorporation bias, as the impact of each risk factor is estimated in relation to the influence of all other covariates; the comparison between different models assesses the performance of each model as a whole rather than the performance of its constituent covariates. However, the impact of unrecognised covariates may lead to confounding due to incorporation bias, as these covariates may have effects on outcome prediction that can potentially reduce the impact of measured covariates on survival. As described above, the broad initial inclusion criteria for risk factors were aimed at identifying as many potential covariates at the outset of the analysis as possible, thus minimising the impact of confounding.</w:t>
      </w:r>
    </w:p>
    <w:p w14:paraId="047EB160" w14:textId="77777777" w:rsidR="00CA0EF0" w:rsidRPr="00361E30" w:rsidRDefault="00CA0EF0" w:rsidP="003C13F4">
      <w:pPr>
        <w:pStyle w:val="Heading2"/>
      </w:pPr>
      <w:bookmarkStart w:id="91" w:name="_Toc1902273"/>
      <w:r w:rsidRPr="00361E30">
        <w:t>3.3.4</w:t>
      </w:r>
      <w:r w:rsidRPr="00361E30">
        <w:tab/>
        <w:t>Phase 2: Exploring Factors Influencing Outcome at Outlying Hospitals</w:t>
      </w:r>
      <w:bookmarkEnd w:id="91"/>
    </w:p>
    <w:p w14:paraId="0B67539F" w14:textId="77777777" w:rsidR="00CA0EF0" w:rsidRPr="00361E30" w:rsidRDefault="00CA0EF0" w:rsidP="003C13F4">
      <w:r w:rsidRPr="00361E30">
        <w:rPr>
          <w:rFonts w:cs="Calibri"/>
        </w:rPr>
        <w:t xml:space="preserve">The aim of Phase 2 of this study was </w:t>
      </w:r>
      <w:r w:rsidRPr="00361E30">
        <w:t xml:space="preserve">to explore health professionals’ perceptions of the factors affecting major trauma outcomes in older patients </w:t>
      </w:r>
      <w:r w:rsidRPr="00361E30">
        <w:rPr>
          <w:rFonts w:cs="Calibri"/>
        </w:rPr>
        <w:t>at trauma receiving hospitals with significantly higher and lower survival rates than predicted by the model (outliers), using qualitative research methods. This</w:t>
      </w:r>
      <w:r w:rsidRPr="00361E30">
        <w:t xml:space="preserve"> involved the use of semi-structured interviews with hospital staff, discussing the factors that they considered important to the survival of older trauma patients in their hospitals. These interviews took place between June and August 2017.</w:t>
      </w:r>
    </w:p>
    <w:p w14:paraId="15FFA087" w14:textId="77777777" w:rsidR="00CA0EF0" w:rsidRPr="00361E30" w:rsidRDefault="00CA0EF0" w:rsidP="003C13F4">
      <w:pPr>
        <w:ind w:firstLine="720"/>
      </w:pPr>
      <w:r w:rsidRPr="00361E30">
        <w:t xml:space="preserve">Using qualitative residual analysis, hospitals identified in Phase 1 of the study as having adjusted survival rates for older trauma patients that were significantly higher or lower than predicted were used for the Phase 2 interviews (see Section 3.3.4.1). These outliers were most likely to provide examples of extreme practice as well as suitably contrasting contexts in which to explore health care providers’ perceptions of the cultural, organisational and </w:t>
      </w:r>
      <w:r w:rsidRPr="00361E30">
        <w:lastRenderedPageBreak/>
        <w:t>behavioural factors within trauma receiving hospitals that may affect outcomes in older trauma patients.</w:t>
      </w:r>
    </w:p>
    <w:p w14:paraId="0ABE2381" w14:textId="77777777" w:rsidR="00CA0EF0" w:rsidRPr="00361E30" w:rsidRDefault="00CA0EF0" w:rsidP="003C13F4">
      <w:pPr>
        <w:pStyle w:val="Heading3"/>
      </w:pPr>
      <w:r w:rsidRPr="00361E30">
        <w:t xml:space="preserve">3.3.4.1 </w:t>
      </w:r>
      <w:r w:rsidRPr="00361E30">
        <w:tab/>
        <w:t>Selection of Hospitals for Phase 2 of the Study</w:t>
      </w:r>
    </w:p>
    <w:p w14:paraId="3B64B1C7" w14:textId="77777777" w:rsidR="00CA0EF0" w:rsidRPr="00361E30" w:rsidRDefault="00CA0EF0" w:rsidP="003C13F4">
      <w:r w:rsidRPr="00361E30">
        <w:t xml:space="preserve">The hospitals used in Phase 2 of the study (the qualitative research, based on semi-structured interview) were selected from hospitals with excess survival rates that were at least 2 standard deviations more or less than the survival rates predicted by the model. These hospitals were considered ‘outliers’, with high residuals (high levels of variation not predicted by the model). Figure 3.1 shows the funnel plot of the hospitals included in this study. The dots lying outside the broken green (upper) and red (lower) lines represent hospitals </w:t>
      </w:r>
      <w:r w:rsidR="00C10F07">
        <w:t>in which</w:t>
      </w:r>
      <w:r w:rsidRPr="00361E30">
        <w:t xml:space="preserve"> results were more than 2 standard deviations from their predicted performance (taking into account their casemix). Of the 12 outlying hospitals (8 with survival rates significantly higher than predicted and 4 with lower rates), two were selected for interviews, one hospital with a higher survival rate and one with a lower rate than predicted by the model. While it may have been more informative to interview staff from a wider range of hospitals, practical considerations limited the number of hospitals that could be included in this phase of the study. The hospitals chosen were those with the largest sample size and lowest variance, as these results were more likely to reliably reflect the hospitals’ adjusted survival rates. The PhD student was blinded to the actual performance of each hospital (whether they had higher or lower survival rates than predicted) until the end of the analysis of Phase 2 as this information may have biased the data collection and analysis of the interviews.</w:t>
      </w:r>
    </w:p>
    <w:p w14:paraId="2104F5B0" w14:textId="77777777" w:rsidR="00CA0EF0" w:rsidRPr="00361E30" w:rsidRDefault="00CA0EF0" w:rsidP="003C13F4">
      <w:pPr>
        <w:pStyle w:val="ListParagraph"/>
        <w:ind w:firstLine="720"/>
      </w:pPr>
      <w:r w:rsidRPr="00361E30">
        <w:rPr>
          <w:noProof/>
          <w:lang w:eastAsia="en-GB"/>
        </w:rPr>
        <w:drawing>
          <wp:inline distT="0" distB="0" distL="0" distR="0" wp14:anchorId="68E82C35" wp14:editId="2DF4E6B7">
            <wp:extent cx="4524375" cy="3293110"/>
            <wp:effectExtent l="0" t="0" r="9525" b="2540"/>
            <wp:docPr id="5" name="image11.png" descr="C:\Users\champs\Google Drive\Ian Sammy PhD Thesis 2014\TARN Dataset\TARNDataset(ImputedData)20160404\TARNDataset(ImputedDataQualfilterOn)20160908\FunnelPlotQualiFilter20161024\FunnelPlotModel24aqQualFilterEnglish_mj==3(Size)20161024.tif"/>
            <wp:cNvGraphicFramePr/>
            <a:graphic xmlns:a="http://schemas.openxmlformats.org/drawingml/2006/main">
              <a:graphicData uri="http://schemas.openxmlformats.org/drawingml/2006/picture">
                <pic:pic xmlns:pic="http://schemas.openxmlformats.org/drawingml/2006/picture">
                  <pic:nvPicPr>
                    <pic:cNvPr id="3" name="image11.png" descr="C:\Users\champs\Google Drive\Ian Sammy PhD Thesis 2014\TARN Dataset\TARNDataset(ImputedData)20160404\TARNDataset(ImputedDataQualfilterOn)20160908\FunnelPlotQualiFilter20161024\FunnelPlotModel24aqQualFilterEnglish_mj==3(Size)20161024.tif"/>
                    <pic:cNvPicPr/>
                  </pic:nvPicPr>
                  <pic:blipFill>
                    <a:blip r:embed="rId15"/>
                    <a:srcRect/>
                    <a:stretch>
                      <a:fillRect/>
                    </a:stretch>
                  </pic:blipFill>
                  <pic:spPr>
                    <a:xfrm>
                      <a:off x="0" y="0"/>
                      <a:ext cx="4524375" cy="3293110"/>
                    </a:xfrm>
                    <a:prstGeom prst="rect">
                      <a:avLst/>
                    </a:prstGeom>
                    <a:ln/>
                  </pic:spPr>
                </pic:pic>
              </a:graphicData>
            </a:graphic>
          </wp:inline>
        </w:drawing>
      </w:r>
    </w:p>
    <w:p w14:paraId="565224F9" w14:textId="77777777" w:rsidR="00CA0EF0" w:rsidRPr="00361E30" w:rsidRDefault="00CA0EF0" w:rsidP="003C13F4">
      <w:pPr>
        <w:pStyle w:val="FigureTitle"/>
      </w:pPr>
      <w:bookmarkStart w:id="92" w:name="_Toc529090337"/>
      <w:r w:rsidRPr="00361E30">
        <w:t>Figure 3.1: Funnel Plot of hospitals included in this study, against performance.</w:t>
      </w:r>
      <w:bookmarkEnd w:id="92"/>
    </w:p>
    <w:p w14:paraId="28613B9A" w14:textId="77777777" w:rsidR="00CA0EF0" w:rsidRPr="00361E30" w:rsidRDefault="00CA0EF0" w:rsidP="003C13F4">
      <w:pPr>
        <w:pStyle w:val="Heading3"/>
      </w:pPr>
      <w:r w:rsidRPr="00361E30">
        <w:lastRenderedPageBreak/>
        <w:t xml:space="preserve">3.3.4.2 </w:t>
      </w:r>
      <w:r w:rsidRPr="00361E30">
        <w:tab/>
        <w:t>The Hospitals Chosen for the Semi-Structured Interviews</w:t>
      </w:r>
    </w:p>
    <w:p w14:paraId="35383FF0" w14:textId="77777777" w:rsidR="00CA0EF0" w:rsidRPr="00361E30" w:rsidRDefault="00CA0EF0" w:rsidP="003C13F4">
      <w:r w:rsidRPr="00361E30">
        <w:t>The hospitals chosen for the semi-structured interviews of staff were both major trauma centres (MTCs) attached to large teaching hospitals. Site 01 was the positive outlier (higher survival rates than predicted for older trauma patients) with the least variance due to its relatively large number of returns to TARN during the study period. Site 02 was the negative outlier with the second smallest variance in estimated survival rates, as the permission was not given to use the negative outlier with the least variance.</w:t>
      </w:r>
    </w:p>
    <w:p w14:paraId="49F9AE7B" w14:textId="77777777" w:rsidR="00CA0EF0" w:rsidRPr="00361E30" w:rsidRDefault="00CA0EF0" w:rsidP="003C13F4">
      <w:r w:rsidRPr="00361E30">
        <w:tab/>
        <w:t>Site 01 was a major trauma centre serving a mainly rural population with a broad mix of socio-economic status and a large population</w:t>
      </w:r>
      <w:r w:rsidR="00F84EF5">
        <w:t xml:space="preserve"> of older patients</w:t>
      </w:r>
      <w:r w:rsidRPr="00361E30">
        <w:t>. The hospital had all major specialties on site, including neurosurgery and cardiothoracic surgery.</w:t>
      </w:r>
    </w:p>
    <w:p w14:paraId="0AA78BCA" w14:textId="77777777" w:rsidR="00CA0EF0" w:rsidRPr="00361E30" w:rsidRDefault="00CA0EF0" w:rsidP="003C13F4">
      <w:r w:rsidRPr="00361E30">
        <w:tab/>
        <w:t xml:space="preserve">Site 02 was a major trauma centre serving a mainly urban population with a high deprivation index. This </w:t>
      </w:r>
      <w:r w:rsidR="00F84EF5">
        <w:t>hospital</w:t>
      </w:r>
      <w:r w:rsidRPr="00361E30">
        <w:t xml:space="preserve"> also served a large population</w:t>
      </w:r>
      <w:r w:rsidR="00F84EF5">
        <w:t xml:space="preserve"> of older people</w:t>
      </w:r>
      <w:r w:rsidRPr="00361E30">
        <w:t xml:space="preserve">. The hospital had all major specialties on site, except neurosurgery. The neurosurgery hospital was located adjacent to Site </w:t>
      </w:r>
      <w:r w:rsidR="005E3024" w:rsidRPr="00361E30">
        <w:t>02 but</w:t>
      </w:r>
      <w:r w:rsidRPr="00361E30">
        <w:t xml:space="preserve"> had its own managerial structure and separate clinical staff.</w:t>
      </w:r>
    </w:p>
    <w:p w14:paraId="58AA7576" w14:textId="77777777" w:rsidR="00CA0EF0" w:rsidRPr="00361E30" w:rsidRDefault="00CA0EF0" w:rsidP="003C13F4">
      <w:pPr>
        <w:pStyle w:val="Heading3"/>
      </w:pPr>
      <w:r w:rsidRPr="00361E30">
        <w:t xml:space="preserve">3.3.4.3 </w:t>
      </w:r>
      <w:r w:rsidRPr="00361E30">
        <w:tab/>
        <w:t>Choice of Qualitative Method</w:t>
      </w:r>
    </w:p>
    <w:p w14:paraId="1E6908BC" w14:textId="77777777" w:rsidR="00CA0EF0" w:rsidRPr="00361E30" w:rsidRDefault="00CA0EF0" w:rsidP="003C13F4">
      <w:r w:rsidRPr="00361E30">
        <w:t xml:space="preserve">The philosophical and theoretical rationale for the use of qualitative methods in understanding individual and organisational perspectives towards older people in general and older trauma patients in particular stems from an understanding of the human experience as shaped by social or cultural practices and social processes </w:t>
      </w:r>
      <w:r w:rsidR="0085688E" w:rsidRPr="00361E30">
        <w:rPr>
          <w:noProof/>
        </w:rPr>
        <w:t>(Blaikie 2009, Mason</w:t>
      </w:r>
      <w:r w:rsidRPr="00361E30">
        <w:rPr>
          <w:noProof/>
        </w:rPr>
        <w:t xml:space="preserve"> 2002)</w:t>
      </w:r>
      <w:r w:rsidRPr="00361E30">
        <w:t xml:space="preserve">. In this context, the treatment of older people within the health service is significantly shaped by the beliefs and expectations of individual health professionals and the organisational and institutional cultures of the health facilities that provide care for them </w:t>
      </w:r>
      <w:r w:rsidRPr="00361E30">
        <w:rPr>
          <w:noProof/>
        </w:rPr>
        <w:t>(Clarke</w:t>
      </w:r>
      <w:r w:rsidR="0052214F" w:rsidRPr="00361E30">
        <w:rPr>
          <w:noProof/>
        </w:rPr>
        <w:t xml:space="preserve"> et al.</w:t>
      </w:r>
      <w:r w:rsidRPr="00361E30">
        <w:rPr>
          <w:noProof/>
        </w:rPr>
        <w:t xml:space="preserve"> 2003, Higgins</w:t>
      </w:r>
      <w:r w:rsidR="005C2493" w:rsidRPr="00361E30">
        <w:rPr>
          <w:noProof/>
        </w:rPr>
        <w:t xml:space="preserve"> et al.</w:t>
      </w:r>
      <w:r w:rsidR="007F7E67" w:rsidRPr="00361E30">
        <w:rPr>
          <w:noProof/>
        </w:rPr>
        <w:t xml:space="preserve"> 2007, Melby and Ryan</w:t>
      </w:r>
      <w:r w:rsidRPr="00361E30">
        <w:rPr>
          <w:noProof/>
        </w:rPr>
        <w:t xml:space="preserve"> 2005)</w:t>
      </w:r>
      <w:r w:rsidRPr="00361E30">
        <w:t xml:space="preserve">. In addition, some authors have argued that attitudes and approaches to the management of older trauma patients may be influenced by systematic institutional and professional biases </w:t>
      </w:r>
      <w:r w:rsidRPr="00361E30">
        <w:rPr>
          <w:noProof/>
        </w:rPr>
        <w:t>(Giannoudis</w:t>
      </w:r>
      <w:r w:rsidR="004F1C52" w:rsidRPr="00361E30">
        <w:rPr>
          <w:noProof/>
        </w:rPr>
        <w:t xml:space="preserve"> et al.</w:t>
      </w:r>
      <w:r w:rsidRPr="00361E30">
        <w:rPr>
          <w:noProof/>
        </w:rPr>
        <w:t xml:space="preserve"> 2009, Kirkman et al. 2013, Scheetz 2004)</w:t>
      </w:r>
      <w:r w:rsidRPr="00361E30">
        <w:t>.</w:t>
      </w:r>
    </w:p>
    <w:p w14:paraId="3E80D81B" w14:textId="77777777" w:rsidR="00CA0EF0" w:rsidRPr="00361E30" w:rsidRDefault="00CA0EF0" w:rsidP="003C13F4">
      <w:pPr>
        <w:ind w:firstLine="720"/>
      </w:pPr>
      <w:r w:rsidRPr="00361E30">
        <w:t xml:space="preserve">As described by Mason, in her text ‘Qualitative Researching’, qualitative interviews allow social scientists to develop a more in-depth understanding of the attitudes, beliefs and practices of individuals and communities </w:t>
      </w:r>
      <w:r w:rsidRPr="00361E30">
        <w:rPr>
          <w:noProof/>
        </w:rPr>
        <w:t>(Mason 2002)</w:t>
      </w:r>
      <w:r w:rsidRPr="00361E30">
        <w:t xml:space="preserve">. As described above (Section 3.3.4.3), these factors required further exploration to develop a fuller understanding of the patient characteristics and care process factors that impact on outcome in older trauma patients, and how this is manifested. Interviews of key staff involved in direct patient management as well as those responsible for strategic planning of trauma services provided in-depth data on these issues. Semi-structured interviews were used to facilitate the exploration of local factors that might have influenced the approach to the older trauma patient in specific hospitals. An </w:t>
      </w:r>
      <w:r w:rsidRPr="00361E30">
        <w:lastRenderedPageBreak/>
        <w:t xml:space="preserve">understanding of individual healthcare providers’ perspectives on caring for older trauma patients, their shared attitudes towards older people and the organisational culture in relation to these patients were all important in developing a complete picture of the impact of local factors on outcome in older trauma patients </w:t>
      </w:r>
      <w:r w:rsidRPr="00361E30">
        <w:rPr>
          <w:noProof/>
        </w:rPr>
        <w:t>(Courtney</w:t>
      </w:r>
      <w:r w:rsidR="0081796A" w:rsidRPr="00361E30">
        <w:rPr>
          <w:noProof/>
        </w:rPr>
        <w:t xml:space="preserve"> et al.</w:t>
      </w:r>
      <w:r w:rsidRPr="00361E30">
        <w:rPr>
          <w:noProof/>
        </w:rPr>
        <w:t xml:space="preserve"> 2000)</w:t>
      </w:r>
      <w:r w:rsidRPr="00361E30">
        <w:t>. As described by Lovell (2006), the changes in attitude that are needed in health professionals towards older people must stem from both changes in individual attitudes and ‘profession</w:t>
      </w:r>
      <w:r w:rsidR="00B249F5" w:rsidRPr="00361E30">
        <w:t>al socialisation’</w:t>
      </w:r>
      <w:r w:rsidRPr="00361E30">
        <w:t>. The qualitative approach adopted in this phase of the research sought to better understand both individual attitudes and the professional culture of the organisations in which these individuals work.</w:t>
      </w:r>
    </w:p>
    <w:p w14:paraId="6FEF6C68" w14:textId="77777777" w:rsidR="00CA0EF0" w:rsidRPr="00361E30" w:rsidRDefault="00CA0EF0" w:rsidP="003C13F4">
      <w:pPr>
        <w:ind w:firstLine="720"/>
      </w:pPr>
      <w:r w:rsidRPr="00361E30">
        <w:t xml:space="preserve">Interviews allowed more in-depth exploration of individual staff members’ attitudes, experiences and beliefs, and avoided the pitfalls of group dynamics (such as domination of the groups by more powerful and outspoken members) that may have affected focus groups. Staff, rather than patients, were selected for these interviews, as it was thought that they would provide a better insight into the internal operation of the hospitals. Interviews with patients, while undoubtedly useful, would provide a client’s view of services, which may have </w:t>
      </w:r>
      <w:r w:rsidR="005E3024" w:rsidRPr="00361E30">
        <w:t>been</w:t>
      </w:r>
      <w:r w:rsidRPr="00361E30">
        <w:t xml:space="preserve"> more relevant to address somewhat different questions about services. </w:t>
      </w:r>
    </w:p>
    <w:p w14:paraId="4F1EC180" w14:textId="77777777" w:rsidR="00CA0EF0" w:rsidRPr="00361E30" w:rsidRDefault="00CA0EF0" w:rsidP="003C13F4">
      <w:pPr>
        <w:pStyle w:val="Heading3"/>
      </w:pPr>
      <w:r w:rsidRPr="00361E30">
        <w:t xml:space="preserve">3.3.4.4 </w:t>
      </w:r>
      <w:r w:rsidRPr="00361E30">
        <w:tab/>
        <w:t>Sampling Strategy</w:t>
      </w:r>
    </w:p>
    <w:p w14:paraId="69F21EBE" w14:textId="77777777" w:rsidR="00CA0EF0" w:rsidRPr="00361E30" w:rsidRDefault="00CA0EF0" w:rsidP="003C13F4">
      <w:r w:rsidRPr="00361E30">
        <w:t xml:space="preserve">The aim of Phase 2 of the study was to explore health professionals’ perceptions of the factors affecting major trauma outcomes in older patients in their hospital. It was thus important to obtain the views of a broad range of healthcare providers. Interviewees represented staff from different positions within the organisation, and those with different levels of training and responsibility. It was also important to include individuals with varied professional and life experiences. To do this, a purposive sampling technique was used to identify and recruit suitable candidates for interviews </w:t>
      </w:r>
      <w:r w:rsidRPr="00361E30">
        <w:rPr>
          <w:noProof/>
        </w:rPr>
        <w:t>(Mason 2002)</w:t>
      </w:r>
      <w:r w:rsidRPr="00361E30">
        <w:t xml:space="preserve">. </w:t>
      </w:r>
    </w:p>
    <w:p w14:paraId="089257A9" w14:textId="77777777" w:rsidR="00CA0EF0" w:rsidRPr="00361E30" w:rsidRDefault="00CA0EF0" w:rsidP="003C13F4">
      <w:pPr>
        <w:ind w:firstLine="720"/>
      </w:pPr>
      <w:r w:rsidRPr="00361E30">
        <w:t xml:space="preserve">There are two types of staff influencing the care offered in a hospital: operational staff, who offer hands-on care; and senior administrative staff who develop and implement strategy. Previous work investigating the perceived effectiveness of trauma teams has demonstrated differences of opinion between different levels of staff and different specialties, suggesting that those more removed from the direct operational responsibilities of the team may indeed have different perceptions to those on the ‘front line’ </w:t>
      </w:r>
      <w:r w:rsidRPr="00361E30">
        <w:rPr>
          <w:noProof/>
        </w:rPr>
        <w:t>(Cole and Crichton, 2006, Hemphill et al. 2009, Speck et al. 2012)</w:t>
      </w:r>
      <w:r w:rsidRPr="00361E30">
        <w:t xml:space="preserve">. Therefore, a purposive sampling technique was used to recruit participants from both operational and strategic level (senior administrative) staff, while obtaining a maximum variation of participants within each level. </w:t>
      </w:r>
    </w:p>
    <w:p w14:paraId="7139B2CD" w14:textId="77777777" w:rsidR="00CA0EF0" w:rsidRPr="00361E30" w:rsidRDefault="00CA0EF0" w:rsidP="003C13F4">
      <w:pPr>
        <w:ind w:firstLine="720"/>
      </w:pPr>
      <w:r w:rsidRPr="00361E30">
        <w:lastRenderedPageBreak/>
        <w:t>The intention was for the interviews to initially focus on staff members with direct operational responsibilities for older trauma patients in the context of the trauma team (these included Emergency Department staff who form part of the trauma team and other clinicians who are ‘called down’ to the Emergency Department when the trauma team is activated). The aim was to obtain a wide range of viewpoints; in this regard staff members from a variety of professions and specialties represented on the hospital trauma team were recruited, including doctors and nurses from different specialties (Emergency Department, Anaesthetics and ICU, and various surgical specialties) and of different seniorities. These people work together on a day-to-day basis, have a shared experience of the resuscitation of seriously injured patients and are representative of the team that is actively involved in the resuscitation of older trauma patients in the Emergency Department. They were selected because their shared experiences and attitudes toward these patients could help elucidate the organisational culture underlying this area of practice. It was also envisaged that interviewing these staff would identify a range of factors from within the hospital, and in the wider community served by that hospital that influenced survival rates in older trauma patients.</w:t>
      </w:r>
    </w:p>
    <w:p w14:paraId="4D8D5C75" w14:textId="77777777" w:rsidR="00CA0EF0" w:rsidRPr="00361E30" w:rsidRDefault="00CA0EF0" w:rsidP="003C13F4">
      <w:pPr>
        <w:ind w:firstLine="720"/>
      </w:pPr>
      <w:r w:rsidRPr="00361E30">
        <w:t>After interviews with hands-on staff, interviews with senior staff members who were responsible for the strategic development and maintenance of trauma services within the hospital were planned. These interviews were intended to provide more detailed information on the organisation’s overall strategy in relation to older trauma patients, and its approach to these patients. Senior staff included individuals such as the Medical Director; the Heads of Department for the Emergency Department and Geriatric Services; the Trauma Lead; the Emergency Department Nurse Manager; the Head of Rehabilitation Services. The responsibilities of these senior staff were anticipated to be somewhat removed from the operational experiences of the trauma team and so their perceptions of what is important in providing care for older trauma patients were expected to be different from those of clinical staff directly involved it the treatment of patients. In reality there was a significant overlap between the operational and strategic level staff, including hospital consultants, senior nursing staff and departmental managers. Appendix 4 lists the staff interviewed at each hospital.</w:t>
      </w:r>
    </w:p>
    <w:p w14:paraId="4320C341" w14:textId="77777777" w:rsidR="00CA0EF0" w:rsidRPr="00361E30" w:rsidRDefault="00CA0EF0" w:rsidP="003C13F4">
      <w:pPr>
        <w:pStyle w:val="Heading3"/>
      </w:pPr>
      <w:r w:rsidRPr="00361E30">
        <w:t xml:space="preserve">3.3.4.5 </w:t>
      </w:r>
      <w:r w:rsidRPr="00361E30">
        <w:tab/>
        <w:t>Recruitment of Hospitals and Interviewees</w:t>
      </w:r>
    </w:p>
    <w:p w14:paraId="5AEF6AC8" w14:textId="77777777" w:rsidR="00CA0EF0" w:rsidRPr="00361E30" w:rsidRDefault="00CA0EF0" w:rsidP="003C13F4">
      <w:r w:rsidRPr="00361E30">
        <w:t xml:space="preserve">The identification of hospitals and initial approach to them was made by TARN staff. Each trauma receiving hospital has a lead clinician responsible for trauma services throughout the hospital (the ‘Trauma Lead’). In the two hospitals chosen for the interviews, this was an orthopaedic surgeon at Site 01 and an Emergency Department consultant at Site 02. TARN staff provided the Trauma Lead with an introductory letter from the PhD student as well as the participant consent form and information sheet for Phase 3 of the study. The names of the </w:t>
      </w:r>
      <w:r w:rsidRPr="00361E30">
        <w:lastRenderedPageBreak/>
        <w:t xml:space="preserve">Trauma Leads were released to the PhD student only after they agreed that their hospitals could participate in the study. The PhD student then contacted the Trauma Lead of these hospitals, initially by email. After the Trauma Lead confirmed that the hospital would participate in the study, the PhD student then discussed with them the selection of individuals for interviews in that hospital. An initial set of suitable candidates was contacted by the Trauma Lead, who passed on to these individuals the information sheets and consent forms, as well as a letter from the PhD student explaining the purpose of the study and contact information (the email address) of the PhD student. Potential participants were asked to contact the PhD student directly if they wanted to participate in the study. Individuals were given 3 weeks to contact the PhD student, after which an alternative interviewee was identified by the Trauma Lead and contacted by the PhD student. Individual staff members were only recruited after institutional consent has been obtained. The process of obtaining consent from individual participants is described in Section 3.4.1.2 (‘Consent for the Qualitative Interviews – Phase 2’). </w:t>
      </w:r>
    </w:p>
    <w:p w14:paraId="2DE05027" w14:textId="77777777" w:rsidR="00CA0EF0" w:rsidRPr="00361E30" w:rsidRDefault="00CA0EF0" w:rsidP="003C13F4">
      <w:pPr>
        <w:ind w:firstLine="720"/>
      </w:pPr>
      <w:r w:rsidRPr="00361E30">
        <w:t>Appendix 3.1 lists the healthcare workers who took part in the interview. It was anticipated that the roles of relevant subjects would vary from hospital to hospital, and the Trauma Lead and Trauma Nurse Coordinator for each hospital were consulted to advise on the most appropriate participants for these interviews. Sampling was also partly dictated by the findings of early analysis of the early interviews. An iterative approach was adopted: ongoing data analysis revealed themes which influenced further staff selection and recruitment for subsequent interviews. For example, an interview with one of the trauma coordinators at Site 01 revealed that a physiotherapist working on the orthopaedic ward was significantly involved in care of patients with hip fractures and also older trauma patients and it was considered important to interview her as she had a perspective on both the rehabilitation of older trauma patients and the rehabilitation of patients with hip fractures, which turned out to be an important group to which older trauma patients could be compared.</w:t>
      </w:r>
    </w:p>
    <w:p w14:paraId="116FA550" w14:textId="77777777" w:rsidR="00CA0EF0" w:rsidRPr="00361E30" w:rsidRDefault="00CA0EF0" w:rsidP="003C13F4">
      <w:pPr>
        <w:ind w:firstLine="720"/>
      </w:pPr>
      <w:r w:rsidRPr="00361E30">
        <w:t xml:space="preserve">During data collection for Phase 2, both the participating hospitals and the PhD student were blinded to the hospital’s specific level of performance (whether they had more or less older trauma survivors than predicted) as this may have influenced both the researcher’s and the participants' approach to the interviews. It is recognised that these hospitals may (correctly or incorrectly) have assumed their level of performance with regard to older trauma patients, as they would have already known their performance with regard to all trauma patients. These hospitals might have then supposed that their survival rates for older trauma patients were similar to that for all trauma patients. However, previous research has </w:t>
      </w:r>
      <w:r w:rsidRPr="00361E30">
        <w:lastRenderedPageBreak/>
        <w:t xml:space="preserve">demonstrated that the link between hospital performance for all trauma patients and that for older trauma patients is tenuous </w:t>
      </w:r>
      <w:r w:rsidRPr="00361E30">
        <w:rPr>
          <w:noProof/>
        </w:rPr>
        <w:t>(Moore et al. 2012)</w:t>
      </w:r>
      <w:r w:rsidRPr="00361E30">
        <w:t xml:space="preserve">. </w:t>
      </w:r>
    </w:p>
    <w:p w14:paraId="0325A9EF" w14:textId="77777777" w:rsidR="00CA0EF0" w:rsidRPr="00361E30" w:rsidRDefault="00CA0EF0" w:rsidP="003C13F4">
      <w:pPr>
        <w:pStyle w:val="Heading3"/>
      </w:pPr>
      <w:r w:rsidRPr="00361E30">
        <w:t xml:space="preserve">3.3.4.6 </w:t>
      </w:r>
      <w:r w:rsidRPr="00361E30">
        <w:tab/>
        <w:t>Sample Size</w:t>
      </w:r>
    </w:p>
    <w:p w14:paraId="56F4EE52" w14:textId="77777777" w:rsidR="00CA0EF0" w:rsidRPr="00361E30" w:rsidRDefault="00CA0EF0" w:rsidP="003C13F4">
      <w:pPr>
        <w:ind w:firstLine="720"/>
      </w:pPr>
      <w:r w:rsidRPr="00361E30">
        <w:t xml:space="preserve">The ultimate aim of sampling was to attain data saturation. This was determined by ongoing data analysis, to the point where no new ideas and issues relevant to the research question were emerging </w:t>
      </w:r>
      <w:r w:rsidRPr="00361E30">
        <w:rPr>
          <w:noProof/>
        </w:rPr>
        <w:t>(Mason 2002)</w:t>
      </w:r>
      <w:r w:rsidRPr="00361E30">
        <w:t xml:space="preserve">. This had to be balanced against time and resource constraints. It was anticipated that approximately 6-8 ‘operational’ and 6-8 ‘strategic’ staff members per site would need to be individually interviewed to get a sufficiently diverse and informative sample for the purposes of this study. </w:t>
      </w:r>
    </w:p>
    <w:p w14:paraId="0D6797FC" w14:textId="77777777" w:rsidR="00CA0EF0" w:rsidRPr="00361E30" w:rsidRDefault="00CA0EF0" w:rsidP="003C13F4">
      <w:pPr>
        <w:pStyle w:val="Heading3"/>
      </w:pPr>
      <w:r w:rsidRPr="00361E30">
        <w:t xml:space="preserve">3.3.4.7 </w:t>
      </w:r>
      <w:r w:rsidRPr="00361E30">
        <w:tab/>
        <w:t>The Topic Guide</w:t>
      </w:r>
    </w:p>
    <w:p w14:paraId="5A3E6102" w14:textId="77777777" w:rsidR="00CA0EF0" w:rsidRPr="00361E30" w:rsidRDefault="00CA0EF0" w:rsidP="003C13F4">
      <w:r w:rsidRPr="00361E30">
        <w:t xml:space="preserve">The topic guides for Phase 2 of this study are presented in Appendix 5. These were initially formulated prior to the onset of this stage of the </w:t>
      </w:r>
      <w:r w:rsidR="005E3024" w:rsidRPr="00361E30">
        <w:t>study and</w:t>
      </w:r>
      <w:r w:rsidRPr="00361E30">
        <w:t xml:space="preserve"> developed over time as initial interviews were completed and analysed. These topic guides were informed by the research question.  The following broad themes were explored:</w:t>
      </w:r>
    </w:p>
    <w:p w14:paraId="261C67FD" w14:textId="77777777" w:rsidR="00CA0EF0" w:rsidRPr="00361E30" w:rsidRDefault="00CA0EF0" w:rsidP="003C13F4">
      <w:pPr>
        <w:pStyle w:val="ListParagraph"/>
        <w:numPr>
          <w:ilvl w:val="0"/>
          <w:numId w:val="22"/>
        </w:numPr>
      </w:pPr>
      <w:r w:rsidRPr="00361E30">
        <w:t>Participants’ views on the characteristics of older trauma patients presenting to their hospital and how these might compare to other parts of the country</w:t>
      </w:r>
    </w:p>
    <w:p w14:paraId="2ACE1BB8" w14:textId="77777777" w:rsidR="00CA0EF0" w:rsidRPr="00361E30" w:rsidRDefault="00CA0EF0" w:rsidP="003C13F4">
      <w:pPr>
        <w:pStyle w:val="ListParagraph"/>
        <w:numPr>
          <w:ilvl w:val="0"/>
          <w:numId w:val="22"/>
        </w:numPr>
      </w:pPr>
      <w:r w:rsidRPr="00361E30">
        <w:t>Participants’ assessment of their own experience and expertise in the management of older patients in general and older trauma patients in particular</w:t>
      </w:r>
    </w:p>
    <w:p w14:paraId="400A2E45" w14:textId="77777777" w:rsidR="00CA0EF0" w:rsidRPr="00361E30" w:rsidRDefault="00CA0EF0" w:rsidP="003C13F4">
      <w:pPr>
        <w:pStyle w:val="ListParagraph"/>
        <w:numPr>
          <w:ilvl w:val="0"/>
          <w:numId w:val="22"/>
        </w:numPr>
      </w:pPr>
      <w:r w:rsidRPr="00361E30">
        <w:t>Participants’ recollections and reflections on specific examples of trauma management involving older people in their hospital</w:t>
      </w:r>
    </w:p>
    <w:p w14:paraId="619DF165" w14:textId="77777777" w:rsidR="00CA0EF0" w:rsidRPr="00361E30" w:rsidRDefault="00CA0EF0" w:rsidP="003C13F4">
      <w:pPr>
        <w:pStyle w:val="ListParagraph"/>
        <w:numPr>
          <w:ilvl w:val="0"/>
          <w:numId w:val="22"/>
        </w:numPr>
      </w:pPr>
      <w:r w:rsidRPr="00361E30">
        <w:t>More general attitudes towards resuscitation and management of older patients, including opinions on potential benefits to patients, perceived futility, resource implications and perceived likely outcomes in this age group</w:t>
      </w:r>
    </w:p>
    <w:p w14:paraId="034291DA" w14:textId="77777777" w:rsidR="00CA0EF0" w:rsidRPr="00361E30" w:rsidRDefault="00CA0EF0" w:rsidP="003C13F4">
      <w:pPr>
        <w:pStyle w:val="ListParagraph"/>
        <w:numPr>
          <w:ilvl w:val="0"/>
          <w:numId w:val="22"/>
        </w:numPr>
      </w:pPr>
      <w:r w:rsidRPr="00361E30">
        <w:t>Understanding of the role of the trauma team and opinions on the effectiveness and appropriateness of trauma teams in the management of older trauma patients in their hospital</w:t>
      </w:r>
    </w:p>
    <w:p w14:paraId="2BE209B9" w14:textId="77777777" w:rsidR="00CA0EF0" w:rsidRPr="00361E30" w:rsidRDefault="00CA0EF0" w:rsidP="003C13F4">
      <w:r w:rsidRPr="00361E30">
        <w:t xml:space="preserve">As is expected with semi-structured interviews, the actual areas of emphasis and themes were dictated by participants, to some extent. In </w:t>
      </w:r>
      <w:r w:rsidR="005E3024" w:rsidRPr="00361E30">
        <w:t>addition,</w:t>
      </w:r>
      <w:r w:rsidRPr="00361E30">
        <w:t xml:space="preserve"> the specific objectives of the interviews and the themes explored developed with time and with ongoing analysis of collected data. One main deviation from the planned structure of the interviews occurred because the distinction between operational and strategic staff in practice was not as clear cut as anticipated. The interviews of operational and strategic staff were therefore conducted </w:t>
      </w:r>
      <w:r w:rsidRPr="00361E30">
        <w:lastRenderedPageBreak/>
        <w:t>concurrently rather than sequentially and there was a significant overlap in the topic guides for these two groups of individual interviewees.</w:t>
      </w:r>
      <w:r w:rsidRPr="00361E30">
        <w:tab/>
      </w:r>
    </w:p>
    <w:p w14:paraId="199BDA86" w14:textId="77777777" w:rsidR="00CA0EF0" w:rsidRPr="00361E30" w:rsidRDefault="00CA0EF0" w:rsidP="003C13F4">
      <w:pPr>
        <w:pStyle w:val="Heading3"/>
      </w:pPr>
      <w:r w:rsidRPr="00361E30">
        <w:t>3.3.4.8</w:t>
      </w:r>
      <w:r w:rsidRPr="00361E30">
        <w:tab/>
        <w:t>Data collection</w:t>
      </w:r>
    </w:p>
    <w:p w14:paraId="0B1B08C5" w14:textId="77777777" w:rsidR="00CA0EF0" w:rsidRPr="00361E30" w:rsidRDefault="005E3024" w:rsidP="003C13F4">
      <w:r w:rsidRPr="00361E30">
        <w:t>Most</w:t>
      </w:r>
      <w:r w:rsidR="00CA0EF0" w:rsidRPr="00361E30">
        <w:t xml:space="preserve"> interviews took place face-to-face within the participating hospitals. For most interviews, this was in a seminar room booked for the purpose, ensuring a degree of privacy and minimising the risk of interruption. However, some staff preferred to be interviewed in their offices, and there were a small number of interviews that took place over the telephone, due to non-availability of these participants when the PhD student was at their hospital.</w:t>
      </w:r>
    </w:p>
    <w:p w14:paraId="272C28FD" w14:textId="77777777" w:rsidR="00CA0EF0" w:rsidRPr="00361E30" w:rsidRDefault="00CA0EF0" w:rsidP="003C13F4">
      <w:r w:rsidRPr="00361E30">
        <w:tab/>
        <w:t xml:space="preserve">Interviews lasted between 34 and 67 minutes and were recorded using a hand-held </w:t>
      </w:r>
      <w:r w:rsidR="002735FC">
        <w:t>digital recorder</w:t>
      </w:r>
      <w:r w:rsidRPr="00361E30">
        <w:t xml:space="preserve">. Telephone interviews were also recorded using the same </w:t>
      </w:r>
      <w:r w:rsidR="002735FC">
        <w:t>device</w:t>
      </w:r>
      <w:r w:rsidRPr="00361E30">
        <w:t xml:space="preserve">, with the interviewee on speakerphone. The </w:t>
      </w:r>
      <w:r w:rsidR="002735FC">
        <w:t>digital recorder</w:t>
      </w:r>
      <w:r w:rsidRPr="00361E30">
        <w:t xml:space="preserve"> used for these interviews was password protected and encrypted. The interviewer also made notes of key issues that arose during the interviews and reflections on the interactions between interviewer and interviewee and the potential influence of the interviewer on the process.</w:t>
      </w:r>
    </w:p>
    <w:p w14:paraId="642D26F5" w14:textId="77777777" w:rsidR="00CA0EF0" w:rsidRPr="00361E30" w:rsidRDefault="00CA0EF0" w:rsidP="003C13F4">
      <w:pPr>
        <w:pStyle w:val="Heading3"/>
      </w:pPr>
      <w:r w:rsidRPr="00361E30">
        <w:t>3.3.4.9</w:t>
      </w:r>
      <w:r w:rsidRPr="00361E30">
        <w:tab/>
        <w:t>Analysis of data</w:t>
      </w:r>
    </w:p>
    <w:p w14:paraId="333C75EC" w14:textId="77777777" w:rsidR="00CA0EF0" w:rsidRPr="00361E30" w:rsidRDefault="00CA0EF0" w:rsidP="003C13F4">
      <w:r w:rsidRPr="00361E30">
        <w:t xml:space="preserve">As mentioned above, data analysis occurred in parallel with data collection, and results of analysis were used to further refine the research question and the interview topic guide. Data were collected through a combination of audio recording and interview notes. Prior to analysis, verbatim transcription of audio recordings was undertaken by a designated transcriber. The data </w:t>
      </w:r>
      <w:r w:rsidR="008A51FC">
        <w:t>were</w:t>
      </w:r>
      <w:r w:rsidRPr="00361E30">
        <w:t xml:space="preserve"> analysed </w:t>
      </w:r>
      <w:r w:rsidR="002735FC">
        <w:t>with the assistance of</w:t>
      </w:r>
      <w:r w:rsidRPr="00361E30">
        <w:t xml:space="preserve"> N-Vivo 11.</w:t>
      </w:r>
    </w:p>
    <w:p w14:paraId="3184AE4F" w14:textId="77777777" w:rsidR="00CA0EF0" w:rsidRPr="00361E30" w:rsidRDefault="00CA0EF0" w:rsidP="003C13F4">
      <w:r w:rsidRPr="00361E30">
        <w:t xml:space="preserve">Framework analysis was used to code and interpret the data from the interviews </w:t>
      </w:r>
      <w:r w:rsidRPr="00361E30">
        <w:rPr>
          <w:noProof/>
        </w:rPr>
        <w:t>(</w:t>
      </w:r>
      <w:r w:rsidR="00300BAC" w:rsidRPr="00361E30">
        <w:rPr>
          <w:noProof/>
        </w:rPr>
        <w:t>Ritchie 2013, Gale et al.</w:t>
      </w:r>
      <w:r w:rsidRPr="00361E30">
        <w:rPr>
          <w:noProof/>
        </w:rPr>
        <w:t xml:space="preserve"> 2013)</w:t>
      </w:r>
      <w:r w:rsidRPr="00361E30">
        <w:t>. The five stages of framework analysis were followed.</w:t>
      </w:r>
    </w:p>
    <w:p w14:paraId="4A1FE2CB" w14:textId="77777777" w:rsidR="00CA0EF0" w:rsidRPr="00361E30" w:rsidRDefault="00CA0EF0" w:rsidP="003C13F4">
      <w:r w:rsidRPr="00361E30">
        <w:rPr>
          <w:u w:val="single"/>
        </w:rPr>
        <w:t>Familiarisation</w:t>
      </w:r>
      <w:r w:rsidRPr="00361E30">
        <w:t>: Following data transcription, data analysis started with familiarisation with the data by reading a sample of interview scripts. Each transcript was read and re-read by the interviewer, and some sections were studied in greater detail where the discussion needed further interpretation. This was particularly important where interviewees were either discussing technical aspects of their work, or discussing personal experiences with patients, often related to the emotional impact of these recollections, where it was important not to misinterpret their responses.</w:t>
      </w:r>
    </w:p>
    <w:p w14:paraId="444C5445" w14:textId="77777777" w:rsidR="00CA0EF0" w:rsidRPr="00361E30" w:rsidRDefault="00CA0EF0" w:rsidP="003C13F4">
      <w:r w:rsidRPr="00361E30">
        <w:rPr>
          <w:u w:val="single"/>
        </w:rPr>
        <w:t>Identifying a thematic framework</w:t>
      </w:r>
      <w:r w:rsidRPr="00361E30">
        <w:t xml:space="preserve">: Following this an initial framework was constructed using a combination of a priori themes (including ‘management of older trauma patients’, ‘appropriateness of resuscitation’, ’characteristics of older people’, and ‘attitudes and biases towards ageing’) and emergent themes (including ‘relatives and carers’, ‘interviewees roles’, </w:t>
      </w:r>
      <w:r w:rsidRPr="00361E30">
        <w:lastRenderedPageBreak/>
        <w:t xml:space="preserve">‘older people are not all the same’, ‘attitude and personality’ and ‘coordination of care’). As the framework was developed, the transcripts were then coded onto this framework. It should be noted, however, that the development of the framework and the coding of transcripts was an iterative process, with ongoing development of the framework as themes emerged. </w:t>
      </w:r>
    </w:p>
    <w:p w14:paraId="3F49C2B1" w14:textId="77777777" w:rsidR="00CA0EF0" w:rsidRPr="00361E30" w:rsidRDefault="00CA0EF0" w:rsidP="003C13F4">
      <w:r w:rsidRPr="00361E30">
        <w:rPr>
          <w:u w:val="single"/>
        </w:rPr>
        <w:t>Indexing</w:t>
      </w:r>
      <w:r w:rsidRPr="00361E30">
        <w:t>: Transcripts were then indexed against the framework developed, using the main themes and sub-themes developed to code each transcript.</w:t>
      </w:r>
    </w:p>
    <w:p w14:paraId="0BBEE229" w14:textId="77777777" w:rsidR="00CA0EF0" w:rsidRPr="00361E30" w:rsidRDefault="00CA0EF0" w:rsidP="003C13F4">
      <w:r w:rsidRPr="00361E30">
        <w:rPr>
          <w:u w:val="single"/>
        </w:rPr>
        <w:t>Charting</w:t>
      </w:r>
      <w:r w:rsidRPr="00361E30">
        <w:t>: The data from the interviews were charted across three main themes (‘characteristic of older people’, ‘attitudes towards older people’ and ‘management of older people’), with the main comparisons being between Site 01 and Site 02. However, the coding used allowed for comparisons between different specialists, between different categories of staff and between those primarily involved in resuscitation as opposed to those involved in rehabilitation. The distinction between ‘operational’ and ‘strategic’ staff proved less clear than expected and while comparisons were made between these levels of staff, they did not provide much in the way of explaining differences in views on older trauma patients.</w:t>
      </w:r>
    </w:p>
    <w:p w14:paraId="34F6FAEA" w14:textId="77777777" w:rsidR="00CA0EF0" w:rsidRPr="00361E30" w:rsidRDefault="00CA0EF0" w:rsidP="003C13F4">
      <w:r w:rsidRPr="00361E30">
        <w:rPr>
          <w:u w:val="single"/>
        </w:rPr>
        <w:t>Mapping and interpretation</w:t>
      </w:r>
      <w:r w:rsidRPr="00361E30">
        <w:t>: The themes identified were explored, comparing data from Site 01 and Site 02, and also comparing similar staff at both sites and resuscitation and rehabilitation staff. Schematic representations of the data and its analysis were produced from N-Vivo software that explored the relationships between themes and the comparisons between Site 01 and Site 02, as well as between different levels of staff, particularly comparing resuscitation and rehabilitation staff.</w:t>
      </w:r>
    </w:p>
    <w:p w14:paraId="0204A972" w14:textId="77777777" w:rsidR="00CA0EF0" w:rsidRPr="00361E30" w:rsidRDefault="00CA0EF0" w:rsidP="003C13F4">
      <w:pPr>
        <w:ind w:firstLine="720"/>
      </w:pPr>
      <w:r w:rsidRPr="00361E30">
        <w:t xml:space="preserve">In the context of the original research question (regarding patient characteristics and care process factors that impact on outcome in older patients), a thematic approach was used to develop arguments and concepts around the topic </w:t>
      </w:r>
      <w:r w:rsidRPr="00361E30">
        <w:rPr>
          <w:noProof/>
        </w:rPr>
        <w:t>(Gale et al. 2013)</w:t>
      </w:r>
      <w:r w:rsidRPr="00361E30">
        <w:t xml:space="preserve">. Thematic analysis highlighted common themes across different individuals and different groups (as well as identifying contrasting themes requiring further explanation). </w:t>
      </w:r>
    </w:p>
    <w:p w14:paraId="07E52401" w14:textId="77777777" w:rsidR="00CA0EF0" w:rsidRPr="00361E30" w:rsidRDefault="00CA0EF0" w:rsidP="003C13F4">
      <w:pPr>
        <w:pStyle w:val="Heading3"/>
      </w:pPr>
      <w:r w:rsidRPr="00361E30">
        <w:t xml:space="preserve">3.3.4.10 Reflexivity: The Impact of the Researcher on the Research </w:t>
      </w:r>
    </w:p>
    <w:p w14:paraId="7CA2E692" w14:textId="77777777" w:rsidR="00CA0EF0" w:rsidRPr="00361E30" w:rsidRDefault="00CA0EF0" w:rsidP="003C13F4">
      <w:r w:rsidRPr="00361E30">
        <w:t xml:space="preserve">It is important to reflect on the impact of the researcher on the research process and outcome in qualitative research </w:t>
      </w:r>
      <w:r w:rsidRPr="00361E30">
        <w:rPr>
          <w:noProof/>
        </w:rPr>
        <w:t>(Mason 2002)</w:t>
      </w:r>
      <w:r w:rsidRPr="00361E30">
        <w:t xml:space="preserve">. As a senior Emergency Physician, trained in the United Kingdom, I came to this study with my own opinions about the research topic. On the one hand, it was important to recognise this influence in my research and its analysis. On the other, it would be naïve to believe that I could create an environment within which I would be able to act as the ‘neutral observer’ </w:t>
      </w:r>
      <w:r w:rsidR="005A481E" w:rsidRPr="00361E30">
        <w:rPr>
          <w:noProof/>
        </w:rPr>
        <w:t>(Silverman</w:t>
      </w:r>
      <w:r w:rsidRPr="00361E30">
        <w:rPr>
          <w:noProof/>
        </w:rPr>
        <w:t xml:space="preserve"> 2013)</w:t>
      </w:r>
      <w:r w:rsidRPr="00361E30">
        <w:t>. This is discussed in greater detail in Chapter 9 (Discussion).</w:t>
      </w:r>
    </w:p>
    <w:p w14:paraId="10746652" w14:textId="77777777" w:rsidR="00CA0EF0" w:rsidRPr="00361E30" w:rsidRDefault="00CA0EF0" w:rsidP="003C13F4">
      <w:pPr>
        <w:pStyle w:val="Heading2"/>
      </w:pPr>
      <w:bookmarkStart w:id="93" w:name="_Toc1902274"/>
      <w:r w:rsidRPr="00361E30">
        <w:lastRenderedPageBreak/>
        <w:t>3.3.5</w:t>
      </w:r>
      <w:r w:rsidRPr="00361E30">
        <w:tab/>
        <w:t>Phase 3: Closing the Loop: Applying Variables from Phase 2 to the Model</w:t>
      </w:r>
      <w:bookmarkEnd w:id="93"/>
      <w:r w:rsidRPr="00361E30">
        <w:t xml:space="preserve"> </w:t>
      </w:r>
    </w:p>
    <w:p w14:paraId="5C8602B9" w14:textId="77777777" w:rsidR="00CA0EF0" w:rsidRPr="00361E30" w:rsidRDefault="00CA0EF0" w:rsidP="003C13F4">
      <w:pPr>
        <w:ind w:firstLine="720"/>
      </w:pPr>
      <w:r w:rsidRPr="00361E30">
        <w:t>Factors identified in Phase 2 as potentially impacting on patient outcome were tested in the predictive model derived in Phase 1 of the study (where possible). This assessed whether these factors significantly improved the predictive value of the model. In addition, survival rates between hospitals in England were calculated using the model with these additional factors added, to determine whether these new factors added to the explanatory power of the model in predicting hospital survival rates.</w:t>
      </w:r>
    </w:p>
    <w:p w14:paraId="1C23501F" w14:textId="77777777" w:rsidR="00CA0EF0" w:rsidRPr="00361E30" w:rsidRDefault="00CA0EF0" w:rsidP="003C13F4">
      <w:pPr>
        <w:ind w:firstLine="720"/>
      </w:pPr>
    </w:p>
    <w:tbl>
      <w:tblPr>
        <w:tblStyle w:val="TableGrid"/>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8"/>
        <w:gridCol w:w="675"/>
        <w:gridCol w:w="675"/>
        <w:gridCol w:w="720"/>
        <w:gridCol w:w="4410"/>
      </w:tblGrid>
      <w:tr w:rsidR="00CA0EF0" w:rsidRPr="00361E30" w14:paraId="676E14C0" w14:textId="77777777" w:rsidTr="003C13F4">
        <w:trPr>
          <w:cantSplit/>
          <w:trHeight w:val="2285"/>
        </w:trPr>
        <w:tc>
          <w:tcPr>
            <w:tcW w:w="2538" w:type="dxa"/>
            <w:tcBorders>
              <w:top w:val="single" w:sz="4" w:space="0" w:color="auto"/>
              <w:bottom w:val="single" w:sz="4" w:space="0" w:color="auto"/>
            </w:tcBorders>
          </w:tcPr>
          <w:p w14:paraId="11C571BB" w14:textId="77777777" w:rsidR="00CA0EF0" w:rsidRPr="00361E30" w:rsidRDefault="00CA0EF0" w:rsidP="003C13F4">
            <w:pPr>
              <w:spacing w:line="240" w:lineRule="auto"/>
              <w:jc w:val="left"/>
              <w:rPr>
                <w:b/>
                <w:lang w:val="en-GB"/>
              </w:rPr>
            </w:pPr>
            <w:r w:rsidRPr="00361E30">
              <w:rPr>
                <w:b/>
                <w:lang w:val="en-GB"/>
              </w:rPr>
              <w:t>Care Process Factor</w:t>
            </w:r>
          </w:p>
        </w:tc>
        <w:tc>
          <w:tcPr>
            <w:tcW w:w="675" w:type="dxa"/>
            <w:tcBorders>
              <w:top w:val="single" w:sz="4" w:space="0" w:color="auto"/>
              <w:bottom w:val="single" w:sz="4" w:space="0" w:color="auto"/>
            </w:tcBorders>
            <w:textDirection w:val="btLr"/>
            <w:vAlign w:val="center"/>
          </w:tcPr>
          <w:p w14:paraId="5EA8DCD0" w14:textId="77777777" w:rsidR="00CA0EF0" w:rsidRPr="00361E30" w:rsidRDefault="00CA0EF0" w:rsidP="003C13F4">
            <w:pPr>
              <w:spacing w:line="240" w:lineRule="auto"/>
              <w:ind w:left="113" w:right="113"/>
              <w:jc w:val="left"/>
              <w:rPr>
                <w:b/>
                <w:lang w:val="en-GB"/>
              </w:rPr>
            </w:pPr>
            <w:r w:rsidRPr="00361E30">
              <w:rPr>
                <w:b/>
                <w:lang w:val="en-GB"/>
              </w:rPr>
              <w:t>Identified in the Interviews (Phase 2)?</w:t>
            </w:r>
          </w:p>
        </w:tc>
        <w:tc>
          <w:tcPr>
            <w:tcW w:w="675" w:type="dxa"/>
            <w:tcBorders>
              <w:top w:val="single" w:sz="4" w:space="0" w:color="auto"/>
              <w:bottom w:val="single" w:sz="4" w:space="0" w:color="auto"/>
            </w:tcBorders>
            <w:textDirection w:val="btLr"/>
            <w:vAlign w:val="center"/>
          </w:tcPr>
          <w:p w14:paraId="0F2BF527" w14:textId="77777777" w:rsidR="00CA0EF0" w:rsidRPr="00361E30" w:rsidRDefault="00CA0EF0" w:rsidP="003C13F4">
            <w:pPr>
              <w:spacing w:line="240" w:lineRule="auto"/>
              <w:ind w:left="113" w:right="113"/>
              <w:jc w:val="left"/>
              <w:rPr>
                <w:b/>
                <w:lang w:val="en-GB"/>
              </w:rPr>
            </w:pPr>
            <w:r w:rsidRPr="00361E30">
              <w:rPr>
                <w:b/>
                <w:lang w:val="en-GB"/>
              </w:rPr>
              <w:t>Tested in the model?</w:t>
            </w:r>
          </w:p>
        </w:tc>
        <w:tc>
          <w:tcPr>
            <w:tcW w:w="720" w:type="dxa"/>
            <w:tcBorders>
              <w:top w:val="single" w:sz="4" w:space="0" w:color="auto"/>
              <w:bottom w:val="single" w:sz="4" w:space="0" w:color="auto"/>
            </w:tcBorders>
            <w:textDirection w:val="btLr"/>
            <w:vAlign w:val="center"/>
          </w:tcPr>
          <w:p w14:paraId="246887A0" w14:textId="77777777" w:rsidR="00CA0EF0" w:rsidRPr="00361E30" w:rsidRDefault="00CA0EF0" w:rsidP="003C13F4">
            <w:pPr>
              <w:spacing w:line="240" w:lineRule="auto"/>
              <w:ind w:left="113" w:right="113"/>
              <w:jc w:val="left"/>
              <w:rPr>
                <w:b/>
                <w:lang w:val="en-GB"/>
              </w:rPr>
            </w:pPr>
            <w:r w:rsidRPr="00361E30">
              <w:rPr>
                <w:b/>
                <w:lang w:val="en-GB"/>
              </w:rPr>
              <w:t>Source of data</w:t>
            </w:r>
          </w:p>
        </w:tc>
        <w:tc>
          <w:tcPr>
            <w:tcW w:w="4410" w:type="dxa"/>
            <w:tcBorders>
              <w:top w:val="single" w:sz="4" w:space="0" w:color="auto"/>
              <w:bottom w:val="single" w:sz="4" w:space="0" w:color="auto"/>
            </w:tcBorders>
          </w:tcPr>
          <w:p w14:paraId="5927D047" w14:textId="77777777" w:rsidR="00CA0EF0" w:rsidRPr="00361E30" w:rsidRDefault="00CA0EF0" w:rsidP="003C13F4">
            <w:pPr>
              <w:spacing w:line="240" w:lineRule="auto"/>
              <w:jc w:val="left"/>
              <w:rPr>
                <w:b/>
                <w:lang w:val="en-GB"/>
              </w:rPr>
            </w:pPr>
            <w:r w:rsidRPr="00361E30">
              <w:rPr>
                <w:b/>
                <w:lang w:val="en-GB"/>
              </w:rPr>
              <w:t>Comments</w:t>
            </w:r>
          </w:p>
        </w:tc>
      </w:tr>
      <w:tr w:rsidR="00CA0EF0" w:rsidRPr="00361E30" w14:paraId="0D4D26B0" w14:textId="77777777" w:rsidTr="003C13F4">
        <w:tc>
          <w:tcPr>
            <w:tcW w:w="9018" w:type="dxa"/>
            <w:gridSpan w:val="5"/>
            <w:tcBorders>
              <w:top w:val="single" w:sz="4" w:space="0" w:color="auto"/>
              <w:bottom w:val="single" w:sz="4" w:space="0" w:color="auto"/>
            </w:tcBorders>
            <w:shd w:val="clear" w:color="auto" w:fill="BFBFBF" w:themeFill="background1" w:themeFillShade="BF"/>
            <w:vAlign w:val="center"/>
          </w:tcPr>
          <w:p w14:paraId="051EE53E" w14:textId="77777777" w:rsidR="00CA0EF0" w:rsidRPr="00361E30" w:rsidRDefault="00CA0EF0" w:rsidP="003C13F4">
            <w:pPr>
              <w:spacing w:line="240" w:lineRule="auto"/>
              <w:jc w:val="left"/>
              <w:rPr>
                <w:lang w:val="en-GB"/>
              </w:rPr>
            </w:pPr>
            <w:r w:rsidRPr="00361E30">
              <w:rPr>
                <w:lang w:val="en-GB"/>
              </w:rPr>
              <w:t>Variables tested in the model</w:t>
            </w:r>
          </w:p>
        </w:tc>
      </w:tr>
      <w:tr w:rsidR="00CA0EF0" w:rsidRPr="00361E30" w14:paraId="3B8D4E1A" w14:textId="77777777" w:rsidTr="003C13F4">
        <w:tc>
          <w:tcPr>
            <w:tcW w:w="2538" w:type="dxa"/>
            <w:tcBorders>
              <w:top w:val="single" w:sz="4" w:space="0" w:color="auto"/>
            </w:tcBorders>
            <w:vAlign w:val="center"/>
          </w:tcPr>
          <w:p w14:paraId="63D1D306" w14:textId="77777777" w:rsidR="00CA0EF0" w:rsidRPr="00361E30" w:rsidRDefault="00CA0EF0" w:rsidP="003C13F4">
            <w:pPr>
              <w:spacing w:line="240" w:lineRule="auto"/>
              <w:jc w:val="left"/>
              <w:rPr>
                <w:lang w:val="en-GB"/>
              </w:rPr>
            </w:pPr>
            <w:r w:rsidRPr="00361E30">
              <w:rPr>
                <w:lang w:val="en-GB"/>
              </w:rPr>
              <w:t>Trauma Wards</w:t>
            </w:r>
          </w:p>
        </w:tc>
        <w:tc>
          <w:tcPr>
            <w:tcW w:w="675" w:type="dxa"/>
            <w:tcBorders>
              <w:top w:val="single" w:sz="4" w:space="0" w:color="auto"/>
            </w:tcBorders>
            <w:vAlign w:val="center"/>
          </w:tcPr>
          <w:p w14:paraId="03998A04" w14:textId="77777777" w:rsidR="00CA0EF0" w:rsidRPr="00361E30" w:rsidRDefault="00CA0EF0" w:rsidP="003C13F4">
            <w:pPr>
              <w:spacing w:line="240" w:lineRule="auto"/>
              <w:jc w:val="left"/>
              <w:rPr>
                <w:lang w:val="en-GB"/>
              </w:rPr>
            </w:pPr>
            <w:r w:rsidRPr="00361E30">
              <w:rPr>
                <w:lang w:val="en-GB"/>
              </w:rPr>
              <w:t>Yes</w:t>
            </w:r>
          </w:p>
        </w:tc>
        <w:tc>
          <w:tcPr>
            <w:tcW w:w="675" w:type="dxa"/>
            <w:tcBorders>
              <w:top w:val="single" w:sz="4" w:space="0" w:color="auto"/>
            </w:tcBorders>
            <w:vAlign w:val="center"/>
          </w:tcPr>
          <w:p w14:paraId="34506018" w14:textId="77777777" w:rsidR="00CA0EF0" w:rsidRPr="00361E30" w:rsidRDefault="00CA0EF0" w:rsidP="003C13F4">
            <w:pPr>
              <w:spacing w:line="240" w:lineRule="auto"/>
              <w:jc w:val="left"/>
              <w:rPr>
                <w:lang w:val="en-GB"/>
              </w:rPr>
            </w:pPr>
            <w:r w:rsidRPr="00361E30">
              <w:rPr>
                <w:lang w:val="en-GB"/>
              </w:rPr>
              <w:t>Yes</w:t>
            </w:r>
          </w:p>
        </w:tc>
        <w:tc>
          <w:tcPr>
            <w:tcW w:w="720" w:type="dxa"/>
            <w:tcBorders>
              <w:top w:val="single" w:sz="4" w:space="0" w:color="auto"/>
            </w:tcBorders>
            <w:vAlign w:val="center"/>
          </w:tcPr>
          <w:p w14:paraId="0A834BBE" w14:textId="77777777" w:rsidR="00CA0EF0" w:rsidRPr="00361E30" w:rsidRDefault="00CA0EF0" w:rsidP="003C13F4">
            <w:pPr>
              <w:spacing w:line="240" w:lineRule="auto"/>
              <w:jc w:val="left"/>
              <w:rPr>
                <w:lang w:val="en-GB"/>
              </w:rPr>
            </w:pPr>
            <w:r w:rsidRPr="00361E30">
              <w:rPr>
                <w:lang w:val="en-GB"/>
              </w:rPr>
              <w:t>TARN</w:t>
            </w:r>
          </w:p>
        </w:tc>
        <w:tc>
          <w:tcPr>
            <w:tcW w:w="4410" w:type="dxa"/>
            <w:tcBorders>
              <w:top w:val="single" w:sz="4" w:space="0" w:color="auto"/>
            </w:tcBorders>
            <w:vAlign w:val="center"/>
          </w:tcPr>
          <w:p w14:paraId="69FD7563" w14:textId="77777777" w:rsidR="00CA0EF0" w:rsidRPr="00361E30" w:rsidRDefault="00CA0EF0" w:rsidP="003C13F4">
            <w:pPr>
              <w:spacing w:line="240" w:lineRule="auto"/>
              <w:jc w:val="left"/>
              <w:rPr>
                <w:lang w:val="en-GB"/>
              </w:rPr>
            </w:pPr>
            <w:r w:rsidRPr="00361E30">
              <w:rPr>
                <w:lang w:val="en-GB"/>
              </w:rPr>
              <w:t>This variable was defined as whether a hospital had a trauma ward or not.</w:t>
            </w:r>
          </w:p>
        </w:tc>
      </w:tr>
      <w:tr w:rsidR="00CA0EF0" w:rsidRPr="00361E30" w14:paraId="33FBA8D5" w14:textId="77777777" w:rsidTr="003C13F4">
        <w:tc>
          <w:tcPr>
            <w:tcW w:w="2538" w:type="dxa"/>
            <w:vAlign w:val="center"/>
          </w:tcPr>
          <w:p w14:paraId="36FA0DF1" w14:textId="77777777" w:rsidR="00CA0EF0" w:rsidRPr="00361E30" w:rsidRDefault="00CA0EF0" w:rsidP="003C13F4">
            <w:pPr>
              <w:spacing w:line="240" w:lineRule="auto"/>
              <w:jc w:val="left"/>
              <w:rPr>
                <w:lang w:val="en-GB"/>
              </w:rPr>
            </w:pPr>
            <w:r w:rsidRPr="00361E30">
              <w:rPr>
                <w:lang w:val="en-GB"/>
              </w:rPr>
              <w:t>Neurosurgery on site</w:t>
            </w:r>
          </w:p>
        </w:tc>
        <w:tc>
          <w:tcPr>
            <w:tcW w:w="675" w:type="dxa"/>
            <w:vAlign w:val="center"/>
          </w:tcPr>
          <w:p w14:paraId="31F5AFDE" w14:textId="77777777" w:rsidR="00CA0EF0" w:rsidRPr="00361E30" w:rsidRDefault="00CA0EF0" w:rsidP="003C13F4">
            <w:pPr>
              <w:spacing w:line="240" w:lineRule="auto"/>
              <w:jc w:val="left"/>
              <w:rPr>
                <w:lang w:val="en-GB"/>
              </w:rPr>
            </w:pPr>
            <w:r w:rsidRPr="00361E30">
              <w:rPr>
                <w:lang w:val="en-GB"/>
              </w:rPr>
              <w:t>Yes</w:t>
            </w:r>
          </w:p>
        </w:tc>
        <w:tc>
          <w:tcPr>
            <w:tcW w:w="675" w:type="dxa"/>
            <w:vAlign w:val="center"/>
          </w:tcPr>
          <w:p w14:paraId="39689EE8" w14:textId="77777777" w:rsidR="00CA0EF0" w:rsidRPr="00361E30" w:rsidRDefault="00CA0EF0" w:rsidP="003C13F4">
            <w:pPr>
              <w:spacing w:line="240" w:lineRule="auto"/>
              <w:jc w:val="left"/>
              <w:rPr>
                <w:lang w:val="en-GB"/>
              </w:rPr>
            </w:pPr>
            <w:r w:rsidRPr="00361E30">
              <w:rPr>
                <w:lang w:val="en-GB"/>
              </w:rPr>
              <w:t>Yes</w:t>
            </w:r>
          </w:p>
        </w:tc>
        <w:tc>
          <w:tcPr>
            <w:tcW w:w="720" w:type="dxa"/>
            <w:vAlign w:val="center"/>
          </w:tcPr>
          <w:p w14:paraId="7DA4FA27" w14:textId="77777777" w:rsidR="00CA0EF0" w:rsidRPr="00361E30" w:rsidRDefault="00CA0EF0" w:rsidP="003C13F4">
            <w:pPr>
              <w:spacing w:line="240" w:lineRule="auto"/>
              <w:jc w:val="left"/>
              <w:rPr>
                <w:lang w:val="en-GB"/>
              </w:rPr>
            </w:pPr>
            <w:r w:rsidRPr="00361E30">
              <w:rPr>
                <w:lang w:val="en-GB"/>
              </w:rPr>
              <w:t>TARN</w:t>
            </w:r>
          </w:p>
        </w:tc>
        <w:tc>
          <w:tcPr>
            <w:tcW w:w="4410" w:type="dxa"/>
            <w:vAlign w:val="center"/>
          </w:tcPr>
          <w:p w14:paraId="3D1D9C22" w14:textId="77777777" w:rsidR="00CA0EF0" w:rsidRPr="00361E30" w:rsidRDefault="00CA0EF0" w:rsidP="003C13F4">
            <w:pPr>
              <w:spacing w:line="240" w:lineRule="auto"/>
              <w:jc w:val="left"/>
              <w:rPr>
                <w:lang w:val="en-GB"/>
              </w:rPr>
            </w:pPr>
            <w:r w:rsidRPr="00361E30">
              <w:rPr>
                <w:lang w:val="en-GB"/>
              </w:rPr>
              <w:t xml:space="preserve">This variable was tested as a proxy for ‘differences in approach of different </w:t>
            </w:r>
            <w:r w:rsidR="005E3024" w:rsidRPr="00361E30">
              <w:rPr>
                <w:lang w:val="en-GB"/>
              </w:rPr>
              <w:t>specialists</w:t>
            </w:r>
            <w:r w:rsidRPr="00361E30">
              <w:rPr>
                <w:lang w:val="en-GB"/>
              </w:rPr>
              <w:t>. It was already tested in the model during Phase 1, Step 2.</w:t>
            </w:r>
          </w:p>
        </w:tc>
      </w:tr>
      <w:tr w:rsidR="00CA0EF0" w:rsidRPr="00361E30" w14:paraId="30E7C0E9" w14:textId="77777777" w:rsidTr="003C13F4">
        <w:tc>
          <w:tcPr>
            <w:tcW w:w="2538" w:type="dxa"/>
            <w:vAlign w:val="center"/>
          </w:tcPr>
          <w:p w14:paraId="5888BD1B" w14:textId="77777777" w:rsidR="00CA0EF0" w:rsidRPr="00361E30" w:rsidRDefault="00CA0EF0" w:rsidP="003C13F4">
            <w:pPr>
              <w:spacing w:line="240" w:lineRule="auto"/>
              <w:jc w:val="left"/>
              <w:rPr>
                <w:lang w:val="en-GB"/>
              </w:rPr>
            </w:pPr>
            <w:r w:rsidRPr="00361E30">
              <w:rPr>
                <w:lang w:val="en-GB"/>
              </w:rPr>
              <w:t>Admission to a Trauma Ward</w:t>
            </w:r>
          </w:p>
        </w:tc>
        <w:tc>
          <w:tcPr>
            <w:tcW w:w="675" w:type="dxa"/>
            <w:vAlign w:val="center"/>
          </w:tcPr>
          <w:p w14:paraId="10CBAAD3" w14:textId="77777777" w:rsidR="00CA0EF0" w:rsidRPr="00361E30" w:rsidRDefault="00CA0EF0" w:rsidP="003C13F4">
            <w:pPr>
              <w:spacing w:line="240" w:lineRule="auto"/>
              <w:jc w:val="left"/>
              <w:rPr>
                <w:lang w:val="en-GB"/>
              </w:rPr>
            </w:pPr>
            <w:r w:rsidRPr="00361E30">
              <w:rPr>
                <w:lang w:val="en-GB"/>
              </w:rPr>
              <w:t>Yes</w:t>
            </w:r>
          </w:p>
        </w:tc>
        <w:tc>
          <w:tcPr>
            <w:tcW w:w="675" w:type="dxa"/>
            <w:vAlign w:val="center"/>
          </w:tcPr>
          <w:p w14:paraId="70651759" w14:textId="77777777" w:rsidR="00CA0EF0" w:rsidRPr="00361E30" w:rsidRDefault="00CA0EF0" w:rsidP="003C13F4">
            <w:pPr>
              <w:spacing w:line="240" w:lineRule="auto"/>
              <w:jc w:val="left"/>
              <w:rPr>
                <w:lang w:val="en-GB"/>
              </w:rPr>
            </w:pPr>
            <w:r w:rsidRPr="00361E30">
              <w:rPr>
                <w:lang w:val="en-GB"/>
              </w:rPr>
              <w:t>Yes</w:t>
            </w:r>
          </w:p>
        </w:tc>
        <w:tc>
          <w:tcPr>
            <w:tcW w:w="720" w:type="dxa"/>
            <w:vAlign w:val="center"/>
          </w:tcPr>
          <w:p w14:paraId="713DA219" w14:textId="77777777" w:rsidR="00CA0EF0" w:rsidRPr="00361E30" w:rsidRDefault="00CA0EF0" w:rsidP="003C13F4">
            <w:pPr>
              <w:spacing w:line="240" w:lineRule="auto"/>
              <w:jc w:val="left"/>
              <w:rPr>
                <w:lang w:val="en-GB"/>
              </w:rPr>
            </w:pPr>
            <w:r w:rsidRPr="00361E30">
              <w:rPr>
                <w:lang w:val="en-GB"/>
              </w:rPr>
              <w:t>TARN</w:t>
            </w:r>
          </w:p>
        </w:tc>
        <w:tc>
          <w:tcPr>
            <w:tcW w:w="4410" w:type="dxa"/>
            <w:vAlign w:val="center"/>
          </w:tcPr>
          <w:p w14:paraId="64808128" w14:textId="77777777" w:rsidR="00CA0EF0" w:rsidRPr="00361E30" w:rsidRDefault="00CA0EF0" w:rsidP="003C13F4">
            <w:pPr>
              <w:spacing w:line="240" w:lineRule="auto"/>
              <w:jc w:val="left"/>
              <w:rPr>
                <w:lang w:val="en-GB"/>
              </w:rPr>
            </w:pPr>
            <w:r w:rsidRPr="00361E30">
              <w:rPr>
                <w:lang w:val="en-GB"/>
              </w:rPr>
              <w:t>Admission of patients to a trauma ward was considered a different variable to the presence of a trauma ward in the hospital.</w:t>
            </w:r>
          </w:p>
        </w:tc>
      </w:tr>
      <w:tr w:rsidR="00CA0EF0" w:rsidRPr="00361E30" w14:paraId="2EA78650" w14:textId="77777777" w:rsidTr="003C13F4">
        <w:tc>
          <w:tcPr>
            <w:tcW w:w="2538" w:type="dxa"/>
            <w:tcBorders>
              <w:bottom w:val="single" w:sz="4" w:space="0" w:color="auto"/>
            </w:tcBorders>
            <w:vAlign w:val="center"/>
          </w:tcPr>
          <w:p w14:paraId="45E07B44" w14:textId="77777777" w:rsidR="00CA0EF0" w:rsidRPr="00361E30" w:rsidRDefault="00CA0EF0" w:rsidP="003C13F4">
            <w:pPr>
              <w:spacing w:line="240" w:lineRule="auto"/>
              <w:jc w:val="left"/>
              <w:rPr>
                <w:lang w:val="en-GB"/>
              </w:rPr>
            </w:pPr>
            <w:r w:rsidRPr="00361E30">
              <w:rPr>
                <w:lang w:val="en-GB"/>
              </w:rPr>
              <w:t>Rehabilitation Prescription</w:t>
            </w:r>
          </w:p>
        </w:tc>
        <w:tc>
          <w:tcPr>
            <w:tcW w:w="675" w:type="dxa"/>
            <w:tcBorders>
              <w:bottom w:val="single" w:sz="4" w:space="0" w:color="auto"/>
            </w:tcBorders>
            <w:vAlign w:val="center"/>
          </w:tcPr>
          <w:p w14:paraId="4FE5CAA0" w14:textId="77777777" w:rsidR="00CA0EF0" w:rsidRPr="00361E30" w:rsidRDefault="00CA0EF0" w:rsidP="003C13F4">
            <w:pPr>
              <w:spacing w:line="240" w:lineRule="auto"/>
              <w:jc w:val="left"/>
              <w:rPr>
                <w:lang w:val="en-GB"/>
              </w:rPr>
            </w:pPr>
            <w:r w:rsidRPr="00361E30">
              <w:rPr>
                <w:lang w:val="en-GB"/>
              </w:rPr>
              <w:t>Yes</w:t>
            </w:r>
          </w:p>
        </w:tc>
        <w:tc>
          <w:tcPr>
            <w:tcW w:w="675" w:type="dxa"/>
            <w:tcBorders>
              <w:bottom w:val="single" w:sz="4" w:space="0" w:color="auto"/>
            </w:tcBorders>
            <w:vAlign w:val="center"/>
          </w:tcPr>
          <w:p w14:paraId="3D9B3DAF" w14:textId="77777777" w:rsidR="00CA0EF0" w:rsidRPr="00361E30" w:rsidRDefault="00CA0EF0" w:rsidP="003C13F4">
            <w:pPr>
              <w:spacing w:line="240" w:lineRule="auto"/>
              <w:jc w:val="left"/>
              <w:rPr>
                <w:lang w:val="en-GB"/>
              </w:rPr>
            </w:pPr>
            <w:r w:rsidRPr="00361E30">
              <w:rPr>
                <w:lang w:val="en-GB"/>
              </w:rPr>
              <w:t>Yes</w:t>
            </w:r>
          </w:p>
        </w:tc>
        <w:tc>
          <w:tcPr>
            <w:tcW w:w="720" w:type="dxa"/>
            <w:tcBorders>
              <w:bottom w:val="single" w:sz="4" w:space="0" w:color="auto"/>
            </w:tcBorders>
            <w:vAlign w:val="center"/>
          </w:tcPr>
          <w:p w14:paraId="079A2916" w14:textId="77777777" w:rsidR="00CA0EF0" w:rsidRPr="00361E30" w:rsidRDefault="00CA0EF0" w:rsidP="003C13F4">
            <w:pPr>
              <w:spacing w:line="240" w:lineRule="auto"/>
              <w:jc w:val="left"/>
              <w:rPr>
                <w:lang w:val="en-GB"/>
              </w:rPr>
            </w:pPr>
            <w:r w:rsidRPr="00361E30">
              <w:rPr>
                <w:lang w:val="en-GB"/>
              </w:rPr>
              <w:t>TARN</w:t>
            </w:r>
          </w:p>
        </w:tc>
        <w:tc>
          <w:tcPr>
            <w:tcW w:w="4410" w:type="dxa"/>
            <w:tcBorders>
              <w:bottom w:val="single" w:sz="4" w:space="0" w:color="auto"/>
            </w:tcBorders>
            <w:vAlign w:val="center"/>
          </w:tcPr>
          <w:p w14:paraId="4026E18C" w14:textId="77777777" w:rsidR="00CA0EF0" w:rsidRPr="00361E30" w:rsidRDefault="00CA0EF0" w:rsidP="003C13F4">
            <w:pPr>
              <w:spacing w:line="240" w:lineRule="auto"/>
              <w:jc w:val="left"/>
              <w:rPr>
                <w:lang w:val="en-GB"/>
              </w:rPr>
            </w:pPr>
            <w:r w:rsidRPr="00361E30">
              <w:rPr>
                <w:lang w:val="en-GB"/>
              </w:rPr>
              <w:t>The ordering of a rehabilitation prescription was used as a proxy measure for ‘holistic care’ and ‘early rehabilitation’ both of which were identified as important themes in the semi-structured interviews.</w:t>
            </w:r>
          </w:p>
        </w:tc>
      </w:tr>
      <w:tr w:rsidR="00CA0EF0" w:rsidRPr="00361E30" w14:paraId="67B53A09" w14:textId="77777777" w:rsidTr="003C13F4">
        <w:tc>
          <w:tcPr>
            <w:tcW w:w="9018" w:type="dxa"/>
            <w:gridSpan w:val="5"/>
            <w:tcBorders>
              <w:top w:val="single" w:sz="4" w:space="0" w:color="auto"/>
              <w:bottom w:val="single" w:sz="4" w:space="0" w:color="auto"/>
            </w:tcBorders>
            <w:shd w:val="clear" w:color="auto" w:fill="BFBFBF" w:themeFill="background1" w:themeFillShade="BF"/>
            <w:vAlign w:val="center"/>
          </w:tcPr>
          <w:p w14:paraId="6BD8655B" w14:textId="77777777" w:rsidR="00CA0EF0" w:rsidRPr="00361E30" w:rsidRDefault="00CA0EF0" w:rsidP="003C13F4">
            <w:pPr>
              <w:spacing w:line="240" w:lineRule="auto"/>
              <w:jc w:val="left"/>
              <w:rPr>
                <w:lang w:val="en-GB"/>
              </w:rPr>
            </w:pPr>
            <w:r w:rsidRPr="00361E30">
              <w:rPr>
                <w:lang w:val="en-GB"/>
              </w:rPr>
              <w:t>Variables not tested in the model</w:t>
            </w:r>
          </w:p>
        </w:tc>
      </w:tr>
      <w:tr w:rsidR="00CA0EF0" w:rsidRPr="00361E30" w14:paraId="4DD53FA2" w14:textId="77777777" w:rsidTr="003C13F4">
        <w:tc>
          <w:tcPr>
            <w:tcW w:w="2538" w:type="dxa"/>
            <w:tcBorders>
              <w:top w:val="single" w:sz="4" w:space="0" w:color="auto"/>
            </w:tcBorders>
            <w:vAlign w:val="center"/>
          </w:tcPr>
          <w:p w14:paraId="2E804D5A" w14:textId="77777777" w:rsidR="00CA0EF0" w:rsidRPr="00361E30" w:rsidRDefault="00CA0EF0" w:rsidP="003C13F4">
            <w:pPr>
              <w:spacing w:line="240" w:lineRule="auto"/>
              <w:jc w:val="left"/>
              <w:rPr>
                <w:lang w:val="en-GB"/>
              </w:rPr>
            </w:pPr>
            <w:r w:rsidRPr="00361E30">
              <w:rPr>
                <w:lang w:val="en-GB"/>
              </w:rPr>
              <w:t>Frailty</w:t>
            </w:r>
          </w:p>
        </w:tc>
        <w:tc>
          <w:tcPr>
            <w:tcW w:w="675" w:type="dxa"/>
            <w:tcBorders>
              <w:top w:val="single" w:sz="4" w:space="0" w:color="auto"/>
            </w:tcBorders>
            <w:vAlign w:val="center"/>
          </w:tcPr>
          <w:p w14:paraId="0B24469F" w14:textId="77777777" w:rsidR="00CA0EF0" w:rsidRPr="00361E30" w:rsidRDefault="00CA0EF0" w:rsidP="003C13F4">
            <w:pPr>
              <w:spacing w:line="240" w:lineRule="auto"/>
              <w:jc w:val="left"/>
              <w:rPr>
                <w:lang w:val="en-GB"/>
              </w:rPr>
            </w:pPr>
            <w:r w:rsidRPr="00361E30">
              <w:rPr>
                <w:lang w:val="en-GB"/>
              </w:rPr>
              <w:t>Yes</w:t>
            </w:r>
          </w:p>
        </w:tc>
        <w:tc>
          <w:tcPr>
            <w:tcW w:w="675" w:type="dxa"/>
            <w:tcBorders>
              <w:top w:val="single" w:sz="4" w:space="0" w:color="auto"/>
            </w:tcBorders>
            <w:vAlign w:val="center"/>
          </w:tcPr>
          <w:p w14:paraId="09B5FBD6" w14:textId="77777777" w:rsidR="00CA0EF0" w:rsidRPr="00361E30" w:rsidRDefault="00CA0EF0" w:rsidP="003C13F4">
            <w:pPr>
              <w:spacing w:line="240" w:lineRule="auto"/>
              <w:jc w:val="left"/>
              <w:rPr>
                <w:lang w:val="en-GB"/>
              </w:rPr>
            </w:pPr>
            <w:r w:rsidRPr="00361E30">
              <w:rPr>
                <w:lang w:val="en-GB"/>
              </w:rPr>
              <w:t>No</w:t>
            </w:r>
          </w:p>
        </w:tc>
        <w:tc>
          <w:tcPr>
            <w:tcW w:w="720" w:type="dxa"/>
            <w:tcBorders>
              <w:top w:val="single" w:sz="4" w:space="0" w:color="auto"/>
            </w:tcBorders>
            <w:vAlign w:val="center"/>
          </w:tcPr>
          <w:p w14:paraId="258AEB74" w14:textId="77777777" w:rsidR="00CA0EF0" w:rsidRPr="00361E30" w:rsidRDefault="00CA0EF0" w:rsidP="003C13F4">
            <w:pPr>
              <w:spacing w:line="240" w:lineRule="auto"/>
              <w:jc w:val="left"/>
              <w:rPr>
                <w:lang w:val="en-GB"/>
              </w:rPr>
            </w:pPr>
          </w:p>
        </w:tc>
        <w:tc>
          <w:tcPr>
            <w:tcW w:w="4410" w:type="dxa"/>
            <w:tcBorders>
              <w:top w:val="single" w:sz="4" w:space="0" w:color="auto"/>
            </w:tcBorders>
            <w:vAlign w:val="center"/>
          </w:tcPr>
          <w:p w14:paraId="5D778925" w14:textId="77777777" w:rsidR="00CA0EF0" w:rsidRPr="00361E30" w:rsidRDefault="00CA0EF0" w:rsidP="003C13F4">
            <w:pPr>
              <w:spacing w:line="240" w:lineRule="auto"/>
              <w:jc w:val="left"/>
              <w:rPr>
                <w:lang w:val="en-GB"/>
              </w:rPr>
            </w:pPr>
            <w:r w:rsidRPr="00361E30">
              <w:rPr>
                <w:lang w:val="en-GB"/>
              </w:rPr>
              <w:t xml:space="preserve">Data on frailty was not routinely measured in older trauma patients in the TARN dataset. No suitable proxy measure was identified that could represent frailty in older trauma patients. </w:t>
            </w:r>
          </w:p>
        </w:tc>
      </w:tr>
      <w:tr w:rsidR="00CA0EF0" w:rsidRPr="00361E30" w14:paraId="5580955F" w14:textId="77777777" w:rsidTr="003C13F4">
        <w:tc>
          <w:tcPr>
            <w:tcW w:w="2538" w:type="dxa"/>
            <w:vAlign w:val="center"/>
          </w:tcPr>
          <w:p w14:paraId="08F718F9" w14:textId="77777777" w:rsidR="00CA0EF0" w:rsidRPr="00361E30" w:rsidRDefault="00CA0EF0" w:rsidP="003C13F4">
            <w:pPr>
              <w:spacing w:line="240" w:lineRule="auto"/>
              <w:jc w:val="left"/>
              <w:rPr>
                <w:lang w:val="en-GB"/>
              </w:rPr>
            </w:pPr>
            <w:r w:rsidRPr="00361E30">
              <w:rPr>
                <w:lang w:val="en-GB"/>
              </w:rPr>
              <w:t>Socio-economic status</w:t>
            </w:r>
          </w:p>
        </w:tc>
        <w:tc>
          <w:tcPr>
            <w:tcW w:w="675" w:type="dxa"/>
            <w:vAlign w:val="center"/>
          </w:tcPr>
          <w:p w14:paraId="0A85CA3F" w14:textId="77777777" w:rsidR="00CA0EF0" w:rsidRPr="00361E30" w:rsidRDefault="00CA0EF0" w:rsidP="003C13F4">
            <w:pPr>
              <w:spacing w:line="240" w:lineRule="auto"/>
              <w:jc w:val="left"/>
              <w:rPr>
                <w:lang w:val="en-GB"/>
              </w:rPr>
            </w:pPr>
            <w:r w:rsidRPr="00361E30">
              <w:rPr>
                <w:lang w:val="en-GB"/>
              </w:rPr>
              <w:t>Yes</w:t>
            </w:r>
          </w:p>
        </w:tc>
        <w:tc>
          <w:tcPr>
            <w:tcW w:w="675" w:type="dxa"/>
            <w:vAlign w:val="center"/>
          </w:tcPr>
          <w:p w14:paraId="49AC98CB" w14:textId="77777777" w:rsidR="00CA0EF0" w:rsidRPr="00361E30" w:rsidRDefault="00CA0EF0" w:rsidP="003C13F4">
            <w:pPr>
              <w:spacing w:line="240" w:lineRule="auto"/>
              <w:jc w:val="left"/>
              <w:rPr>
                <w:lang w:val="en-GB"/>
              </w:rPr>
            </w:pPr>
            <w:r w:rsidRPr="00361E30">
              <w:rPr>
                <w:lang w:val="en-GB"/>
              </w:rPr>
              <w:t>No</w:t>
            </w:r>
          </w:p>
        </w:tc>
        <w:tc>
          <w:tcPr>
            <w:tcW w:w="720" w:type="dxa"/>
            <w:vAlign w:val="center"/>
          </w:tcPr>
          <w:p w14:paraId="7D6E8FA4" w14:textId="77777777" w:rsidR="00CA0EF0" w:rsidRPr="00361E30" w:rsidRDefault="00CA0EF0" w:rsidP="003C13F4">
            <w:pPr>
              <w:spacing w:line="240" w:lineRule="auto"/>
              <w:jc w:val="left"/>
              <w:rPr>
                <w:lang w:val="en-GB"/>
              </w:rPr>
            </w:pPr>
          </w:p>
        </w:tc>
        <w:tc>
          <w:tcPr>
            <w:tcW w:w="4410" w:type="dxa"/>
            <w:vAlign w:val="center"/>
          </w:tcPr>
          <w:p w14:paraId="15897600" w14:textId="77777777" w:rsidR="00CA0EF0" w:rsidRPr="00361E30" w:rsidRDefault="00CA0EF0" w:rsidP="003C13F4">
            <w:pPr>
              <w:spacing w:line="240" w:lineRule="auto"/>
              <w:jc w:val="left"/>
              <w:rPr>
                <w:lang w:val="en-GB"/>
              </w:rPr>
            </w:pPr>
            <w:r w:rsidRPr="00361E30">
              <w:rPr>
                <w:lang w:val="en-GB"/>
              </w:rPr>
              <w:t>Data on socio-economic status was not routinely recorded in older trauma patients in the TARN dataset. Although some researchers have used postcode as a proxy for socio-economic status, previous work at TARN suggests that this is an imprecise method of estimating socio-economic status.</w:t>
            </w:r>
          </w:p>
        </w:tc>
      </w:tr>
      <w:tr w:rsidR="00CA0EF0" w:rsidRPr="00361E30" w14:paraId="482D6531" w14:textId="77777777" w:rsidTr="003C13F4">
        <w:tc>
          <w:tcPr>
            <w:tcW w:w="2538" w:type="dxa"/>
            <w:vAlign w:val="center"/>
          </w:tcPr>
          <w:p w14:paraId="40EF4044" w14:textId="77777777" w:rsidR="00CA0EF0" w:rsidRPr="00361E30" w:rsidRDefault="00CA0EF0" w:rsidP="003C13F4">
            <w:pPr>
              <w:spacing w:line="240" w:lineRule="auto"/>
              <w:jc w:val="left"/>
              <w:rPr>
                <w:lang w:val="en-GB"/>
              </w:rPr>
            </w:pPr>
            <w:r w:rsidRPr="00361E30">
              <w:rPr>
                <w:lang w:val="en-GB"/>
              </w:rPr>
              <w:t>Motivation</w:t>
            </w:r>
          </w:p>
        </w:tc>
        <w:tc>
          <w:tcPr>
            <w:tcW w:w="675" w:type="dxa"/>
            <w:vAlign w:val="center"/>
          </w:tcPr>
          <w:p w14:paraId="358159FA" w14:textId="77777777" w:rsidR="00CA0EF0" w:rsidRPr="00361E30" w:rsidRDefault="00CA0EF0" w:rsidP="003C13F4">
            <w:pPr>
              <w:spacing w:line="240" w:lineRule="auto"/>
              <w:jc w:val="left"/>
              <w:rPr>
                <w:lang w:val="en-GB"/>
              </w:rPr>
            </w:pPr>
            <w:r w:rsidRPr="00361E30">
              <w:rPr>
                <w:lang w:val="en-GB"/>
              </w:rPr>
              <w:t>Yes</w:t>
            </w:r>
          </w:p>
        </w:tc>
        <w:tc>
          <w:tcPr>
            <w:tcW w:w="675" w:type="dxa"/>
            <w:vAlign w:val="center"/>
          </w:tcPr>
          <w:p w14:paraId="3E65AD87" w14:textId="77777777" w:rsidR="00CA0EF0" w:rsidRPr="00361E30" w:rsidRDefault="00CA0EF0" w:rsidP="003C13F4">
            <w:pPr>
              <w:spacing w:line="240" w:lineRule="auto"/>
              <w:jc w:val="left"/>
              <w:rPr>
                <w:lang w:val="en-GB"/>
              </w:rPr>
            </w:pPr>
            <w:r w:rsidRPr="00361E30">
              <w:rPr>
                <w:lang w:val="en-GB"/>
              </w:rPr>
              <w:t>No</w:t>
            </w:r>
          </w:p>
        </w:tc>
        <w:tc>
          <w:tcPr>
            <w:tcW w:w="720" w:type="dxa"/>
            <w:vAlign w:val="center"/>
          </w:tcPr>
          <w:p w14:paraId="5DBEE87C" w14:textId="77777777" w:rsidR="00CA0EF0" w:rsidRPr="00361E30" w:rsidRDefault="00CA0EF0" w:rsidP="003C13F4">
            <w:pPr>
              <w:spacing w:line="240" w:lineRule="auto"/>
              <w:jc w:val="left"/>
              <w:rPr>
                <w:lang w:val="en-GB"/>
              </w:rPr>
            </w:pPr>
          </w:p>
        </w:tc>
        <w:tc>
          <w:tcPr>
            <w:tcW w:w="4410" w:type="dxa"/>
            <w:vAlign w:val="center"/>
          </w:tcPr>
          <w:p w14:paraId="7FE9D215" w14:textId="77777777" w:rsidR="00CA0EF0" w:rsidRPr="00361E30" w:rsidRDefault="00CA0EF0" w:rsidP="003C13F4">
            <w:pPr>
              <w:spacing w:line="240" w:lineRule="auto"/>
              <w:jc w:val="left"/>
              <w:rPr>
                <w:lang w:val="en-GB"/>
              </w:rPr>
            </w:pPr>
            <w:r w:rsidRPr="00361E30">
              <w:rPr>
                <w:lang w:val="en-GB"/>
              </w:rPr>
              <w:t>No obvious measure available</w:t>
            </w:r>
          </w:p>
        </w:tc>
      </w:tr>
      <w:tr w:rsidR="00CA0EF0" w:rsidRPr="00361E30" w14:paraId="69F32669" w14:textId="77777777" w:rsidTr="003C13F4">
        <w:tc>
          <w:tcPr>
            <w:tcW w:w="2538" w:type="dxa"/>
            <w:tcBorders>
              <w:bottom w:val="single" w:sz="4" w:space="0" w:color="auto"/>
            </w:tcBorders>
            <w:vAlign w:val="center"/>
          </w:tcPr>
          <w:p w14:paraId="108FE27E" w14:textId="77777777" w:rsidR="00CA0EF0" w:rsidRPr="00361E30" w:rsidRDefault="00CA0EF0" w:rsidP="003C13F4">
            <w:pPr>
              <w:spacing w:line="240" w:lineRule="auto"/>
              <w:jc w:val="left"/>
              <w:rPr>
                <w:lang w:val="en-GB"/>
              </w:rPr>
            </w:pPr>
            <w:r w:rsidRPr="00361E30">
              <w:rPr>
                <w:lang w:val="en-GB"/>
              </w:rPr>
              <w:t>Family dynamics</w:t>
            </w:r>
          </w:p>
        </w:tc>
        <w:tc>
          <w:tcPr>
            <w:tcW w:w="675" w:type="dxa"/>
            <w:tcBorders>
              <w:bottom w:val="single" w:sz="4" w:space="0" w:color="auto"/>
            </w:tcBorders>
            <w:vAlign w:val="center"/>
          </w:tcPr>
          <w:p w14:paraId="7AF0BF81" w14:textId="77777777" w:rsidR="00CA0EF0" w:rsidRPr="00361E30" w:rsidRDefault="00CA0EF0" w:rsidP="003C13F4">
            <w:pPr>
              <w:spacing w:line="240" w:lineRule="auto"/>
              <w:jc w:val="left"/>
              <w:rPr>
                <w:lang w:val="en-GB"/>
              </w:rPr>
            </w:pPr>
            <w:r w:rsidRPr="00361E30">
              <w:rPr>
                <w:lang w:val="en-GB"/>
              </w:rPr>
              <w:t>Yes</w:t>
            </w:r>
          </w:p>
        </w:tc>
        <w:tc>
          <w:tcPr>
            <w:tcW w:w="675" w:type="dxa"/>
            <w:tcBorders>
              <w:bottom w:val="single" w:sz="4" w:space="0" w:color="auto"/>
            </w:tcBorders>
            <w:vAlign w:val="center"/>
          </w:tcPr>
          <w:p w14:paraId="00EFBFDD" w14:textId="77777777" w:rsidR="00CA0EF0" w:rsidRPr="00361E30" w:rsidRDefault="00CA0EF0" w:rsidP="003C13F4">
            <w:pPr>
              <w:spacing w:line="240" w:lineRule="auto"/>
              <w:jc w:val="left"/>
              <w:rPr>
                <w:lang w:val="en-GB"/>
              </w:rPr>
            </w:pPr>
            <w:r w:rsidRPr="00361E30">
              <w:rPr>
                <w:lang w:val="en-GB"/>
              </w:rPr>
              <w:t>No</w:t>
            </w:r>
          </w:p>
        </w:tc>
        <w:tc>
          <w:tcPr>
            <w:tcW w:w="720" w:type="dxa"/>
            <w:tcBorders>
              <w:bottom w:val="single" w:sz="4" w:space="0" w:color="auto"/>
            </w:tcBorders>
            <w:vAlign w:val="center"/>
          </w:tcPr>
          <w:p w14:paraId="08A0287A" w14:textId="77777777" w:rsidR="00CA0EF0" w:rsidRPr="00361E30" w:rsidRDefault="00CA0EF0" w:rsidP="003C13F4">
            <w:pPr>
              <w:spacing w:line="240" w:lineRule="auto"/>
              <w:jc w:val="left"/>
              <w:rPr>
                <w:lang w:val="en-GB"/>
              </w:rPr>
            </w:pPr>
          </w:p>
        </w:tc>
        <w:tc>
          <w:tcPr>
            <w:tcW w:w="4410" w:type="dxa"/>
            <w:tcBorders>
              <w:bottom w:val="single" w:sz="4" w:space="0" w:color="auto"/>
            </w:tcBorders>
            <w:vAlign w:val="center"/>
          </w:tcPr>
          <w:p w14:paraId="033D83BA" w14:textId="77777777" w:rsidR="00CA0EF0" w:rsidRPr="00361E30" w:rsidRDefault="00CA0EF0" w:rsidP="003C13F4">
            <w:pPr>
              <w:spacing w:line="240" w:lineRule="auto"/>
              <w:jc w:val="left"/>
              <w:rPr>
                <w:lang w:val="en-GB"/>
              </w:rPr>
            </w:pPr>
            <w:r w:rsidRPr="00361E30">
              <w:rPr>
                <w:lang w:val="en-GB"/>
              </w:rPr>
              <w:t>No obvious measure available</w:t>
            </w:r>
          </w:p>
        </w:tc>
      </w:tr>
    </w:tbl>
    <w:p w14:paraId="3015764F" w14:textId="77777777" w:rsidR="00CA0EF0" w:rsidRDefault="00CA0EF0" w:rsidP="003C13F4">
      <w:pPr>
        <w:pStyle w:val="TableTitle"/>
      </w:pPr>
      <w:bookmarkStart w:id="94" w:name="_Toc528321042"/>
      <w:r w:rsidRPr="00361E30">
        <w:t>Table 3.3: Variables tested in the model during Phase 3 of the study</w:t>
      </w:r>
      <w:bookmarkEnd w:id="94"/>
    </w:p>
    <w:p w14:paraId="42687390" w14:textId="77777777" w:rsidR="001F5DE0" w:rsidRPr="00361E30" w:rsidRDefault="001F5DE0" w:rsidP="001F5DE0">
      <w:pPr>
        <w:ind w:firstLine="720"/>
      </w:pPr>
      <w:r w:rsidRPr="00361E30">
        <w:lastRenderedPageBreak/>
        <w:t>It should be noted that a negative result (no further improvement of predictive power of the model with the addition of these factors) did not necessarily mean that they did not impact on outcome, but possibly that the quantitative model was not sufficiently contextually nuanced to detect the impact of these factors on hospital survival rates. Furthermore, not all factors identified as potentially significant from the qualitative interviews were available through the TARN database or other available data sources for analysis.</w:t>
      </w:r>
    </w:p>
    <w:p w14:paraId="3C26445D" w14:textId="77777777" w:rsidR="001F5DE0" w:rsidRPr="00361E30" w:rsidRDefault="001F5DE0" w:rsidP="001F5DE0">
      <w:r w:rsidRPr="00361E30">
        <w:t>Table 3.3 lists the factors identified as important in the semi-structured interviews (Phase 2) and whether  they were tested in the model.</w:t>
      </w:r>
    </w:p>
    <w:p w14:paraId="23197097" w14:textId="77777777" w:rsidR="00CA0EF0" w:rsidRPr="00361E30" w:rsidRDefault="00CA0EF0" w:rsidP="003C13F4">
      <w:pPr>
        <w:pStyle w:val="Heading3"/>
      </w:pPr>
      <w:r w:rsidRPr="00361E30">
        <w:t xml:space="preserve">3.3.5.1 </w:t>
      </w:r>
      <w:r w:rsidRPr="00361E30">
        <w:tab/>
        <w:t>Inclusion and Exclusion Criteria</w:t>
      </w:r>
    </w:p>
    <w:p w14:paraId="22010B4D" w14:textId="77777777" w:rsidR="00CA0EF0" w:rsidRPr="00361E30" w:rsidRDefault="00CA0EF0" w:rsidP="003C13F4">
      <w:r w:rsidRPr="00361E30">
        <w:t>As for Phase 1, the refinement of the model was performed using all patients aged ≥65 years (Section 3.3.2.1). However, when comparing hospital survival rates, only English hospitals with more than 50 returns and those with good quality data (as defined in Section 3.3.3.6.1) were included. This approach was consistent with that used in Phase 1 of the study (Section 3.3.3)</w:t>
      </w:r>
    </w:p>
    <w:p w14:paraId="1D1B5687" w14:textId="77777777" w:rsidR="00CA0EF0" w:rsidRPr="00361E30" w:rsidRDefault="00CA0EF0" w:rsidP="003C13F4">
      <w:pPr>
        <w:pStyle w:val="Heading3"/>
      </w:pPr>
      <w:r w:rsidRPr="00361E30">
        <w:t xml:space="preserve">3.3.5.2 </w:t>
      </w:r>
      <w:r w:rsidRPr="00361E30">
        <w:tab/>
        <w:t>Phase 3: Statistical Analysis</w:t>
      </w:r>
    </w:p>
    <w:p w14:paraId="3CD32C72" w14:textId="77777777" w:rsidR="00CA0EF0" w:rsidRPr="00361E30" w:rsidRDefault="00CA0EF0" w:rsidP="003C13F4">
      <w:r w:rsidRPr="00361E30">
        <w:t xml:space="preserve">The model used in Phase 1 of the study was further refined by adding patient characteristics and care process factors identified in Phase 2 of the study as potentially important predictors of outcome in older major trauma patients. Variables were included if they emerged as important in the thematic analysis of interviews undertaken in Phase 2, and if the variable (or a reasonable proxy) was collected as part of the TARN dataset or available on an external dataset. </w:t>
      </w:r>
    </w:p>
    <w:p w14:paraId="0C5CDC1F" w14:textId="77777777" w:rsidR="00CA0EF0" w:rsidRPr="00361E30" w:rsidRDefault="00CA0EF0" w:rsidP="003C13F4">
      <w:pPr>
        <w:ind w:firstLine="720"/>
      </w:pPr>
      <w:r w:rsidRPr="00361E30">
        <w:t>Utilising TRISS methodology, hospitals’ performance was then compared through their adjusted survival rates (Section 3.3.3.6.3 Statistical Analysis – Comparing Hospital Survival Rates). This allowed the assessment of overall variance within the dataset, and the identification of outliers. These outliers were then compared to the outliers identified in Phase 1 (Section 3.3.3.6.4) to see if the new refined model improved predictive accuracy, leading to lower numbers of outliers and less overall variance in the dataset.</w:t>
      </w:r>
    </w:p>
    <w:p w14:paraId="61754868" w14:textId="77777777" w:rsidR="00CA0EF0" w:rsidRPr="00361E30" w:rsidRDefault="00CA0EF0" w:rsidP="003C13F4">
      <w:pPr>
        <w:ind w:firstLine="720"/>
      </w:pPr>
      <w:r w:rsidRPr="00361E30">
        <w:t>New variables tested in the model included patient characteristics (such as socio-economic status and frailty) and care process factors (variables that defined the characteristics of the hospitals providing care for older trauma patients rather than variables that described the characteristics of individual patients). The steps in this analysis were:</w:t>
      </w:r>
    </w:p>
    <w:p w14:paraId="6B67B1FE" w14:textId="77777777" w:rsidR="00CA0EF0" w:rsidRPr="00361E30" w:rsidRDefault="00CA0EF0" w:rsidP="003C13F4">
      <w:pPr>
        <w:pStyle w:val="ListParagraph"/>
        <w:numPr>
          <w:ilvl w:val="0"/>
          <w:numId w:val="28"/>
        </w:numPr>
      </w:pPr>
      <w:r w:rsidRPr="00361E30">
        <w:t>Each variable’s ability to predict the probability of survival was examined using univariate logistic regression. Variables with a moderate univariate association with survival (p=0.2) were tested in the multivariate model.</w:t>
      </w:r>
    </w:p>
    <w:p w14:paraId="042452EA" w14:textId="77777777" w:rsidR="00CA0EF0" w:rsidRPr="00361E30" w:rsidRDefault="00CA0EF0" w:rsidP="003C13F4">
      <w:pPr>
        <w:pStyle w:val="ListParagraph"/>
        <w:numPr>
          <w:ilvl w:val="0"/>
          <w:numId w:val="28"/>
        </w:numPr>
      </w:pPr>
      <w:r w:rsidRPr="00361E30">
        <w:lastRenderedPageBreak/>
        <w:t>For integer and ordinal variables assumptions of linearity were tested. Consideration of categorisation of these variables was also explored.</w:t>
      </w:r>
    </w:p>
    <w:p w14:paraId="008D9562" w14:textId="77777777" w:rsidR="00CA0EF0" w:rsidRPr="00361E30" w:rsidRDefault="00CA0EF0" w:rsidP="003C13F4">
      <w:pPr>
        <w:pStyle w:val="ListParagraph"/>
        <w:numPr>
          <w:ilvl w:val="0"/>
          <w:numId w:val="28"/>
        </w:numPr>
      </w:pPr>
      <w:r w:rsidRPr="00361E30">
        <w:t>Multivariate logistic regression modelling was used to test the association between new patient variables and survival, adding these in a stepwise fashion to the multivariate model derived in Phase 1 (Section 3.3.3.4).</w:t>
      </w:r>
    </w:p>
    <w:p w14:paraId="52A870D2" w14:textId="77777777" w:rsidR="00CA0EF0" w:rsidRPr="00361E30" w:rsidRDefault="00CA0EF0" w:rsidP="003C13F4">
      <w:pPr>
        <w:pStyle w:val="ListParagraph"/>
        <w:numPr>
          <w:ilvl w:val="0"/>
          <w:numId w:val="28"/>
        </w:numPr>
      </w:pPr>
      <w:r w:rsidRPr="00361E30">
        <w:t>Multilevel modelling, using a random intercept, was used to test the significance of new care process factors. Care process factors were added to the model as level 2 variables, using the Site ID (Hospital ID) as the grouping variable where the variable was a feature of the hospital itself, or as ‘patient’ level variables where the intervention was applied at an individual patient level.</w:t>
      </w:r>
    </w:p>
    <w:p w14:paraId="22FD062D" w14:textId="77777777" w:rsidR="00CA0EF0" w:rsidRPr="00361E30" w:rsidRDefault="00CA0EF0" w:rsidP="003C13F4">
      <w:pPr>
        <w:pStyle w:val="ListParagraph"/>
        <w:numPr>
          <w:ilvl w:val="0"/>
          <w:numId w:val="28"/>
        </w:numPr>
      </w:pPr>
      <w:r w:rsidRPr="00361E30">
        <w:t>The impact of variables on the multivariate model was assessed by determining the significance of the association between these variables and survival in the multivariate model, and the impact of these variables on the overall performance of the model, as measured by the ‘C’ statistic, Nagelkerke’s R</w:t>
      </w:r>
      <w:r w:rsidRPr="00361E30">
        <w:rPr>
          <w:vertAlign w:val="superscript"/>
        </w:rPr>
        <w:t>2</w:t>
      </w:r>
      <w:r w:rsidRPr="00361E30">
        <w:t>, the Akaike information criteria and the H-L statistic for the models with these variables added. The performance of this new model was then compared to the model derived in Phase 1 of the study (Section 3.3.3.4).</w:t>
      </w:r>
    </w:p>
    <w:p w14:paraId="5FE2C224" w14:textId="77777777" w:rsidR="00CA0EF0" w:rsidRPr="00361E30" w:rsidRDefault="00CA0EF0" w:rsidP="003C13F4">
      <w:pPr>
        <w:pStyle w:val="ListParagraph"/>
        <w:numPr>
          <w:ilvl w:val="0"/>
          <w:numId w:val="28"/>
        </w:numPr>
      </w:pPr>
      <w:r w:rsidRPr="00361E30">
        <w:t>Using the best multivariate model developed, ‘outlying’ hospitals (those with observed survival rates significantly higher or lower than predicted) were identified. These were compared with the outliers identified in Phase 1 of the study (Section 3.3.3.6.4), to see if the new model had an improved predictive accuracy for the hospitals with high residuals (those with standardised Ws scores more than 2 SDs greater or less than predicted).</w:t>
      </w:r>
    </w:p>
    <w:p w14:paraId="193EB818" w14:textId="77777777" w:rsidR="00CA0EF0" w:rsidRPr="00361E30" w:rsidRDefault="00CA0EF0" w:rsidP="003C13F4">
      <w:r w:rsidRPr="00361E30">
        <w:t xml:space="preserve">It should be noted that not all the variables identified as potentially important in Phase 2 were tested in Phase 3, as some were not recorded in the TARN dataset. </w:t>
      </w:r>
    </w:p>
    <w:p w14:paraId="16294278" w14:textId="77777777" w:rsidR="00CA0EF0" w:rsidRPr="00361E30" w:rsidRDefault="00CA0EF0" w:rsidP="003C13F4">
      <w:pPr>
        <w:pStyle w:val="Heading1"/>
      </w:pPr>
      <w:bookmarkStart w:id="95" w:name="_Toc1902275"/>
      <w:r w:rsidRPr="00361E30">
        <w:lastRenderedPageBreak/>
        <w:t>3.4</w:t>
      </w:r>
      <w:r w:rsidRPr="00361E30">
        <w:tab/>
        <w:t>Ethical Considerations</w:t>
      </w:r>
      <w:bookmarkEnd w:id="95"/>
      <w:r w:rsidRPr="00361E30">
        <w:t xml:space="preserve"> </w:t>
      </w:r>
    </w:p>
    <w:p w14:paraId="47E7AF97" w14:textId="77777777" w:rsidR="00CA0EF0" w:rsidRPr="00361E30" w:rsidRDefault="00CA0EF0" w:rsidP="003C13F4">
      <w:pPr>
        <w:pStyle w:val="Heading2"/>
      </w:pPr>
      <w:bookmarkStart w:id="96" w:name="_Toc1902276"/>
      <w:r w:rsidRPr="00361E30">
        <w:t>3.4.1</w:t>
      </w:r>
      <w:r w:rsidRPr="00361E30">
        <w:tab/>
        <w:t>Participant Consent</w:t>
      </w:r>
      <w:bookmarkEnd w:id="96"/>
    </w:p>
    <w:p w14:paraId="1E47FDF6" w14:textId="77777777" w:rsidR="00CA0EF0" w:rsidRPr="00361E30" w:rsidRDefault="00CA0EF0" w:rsidP="003C13F4">
      <w:pPr>
        <w:pStyle w:val="Heading3"/>
      </w:pPr>
      <w:r w:rsidRPr="00361E30">
        <w:t xml:space="preserve">3.4.1.1 </w:t>
      </w:r>
      <w:r w:rsidRPr="00361E30">
        <w:tab/>
        <w:t>Consent for the Quantitative Analysis (Phases 1 and 3)</w:t>
      </w:r>
    </w:p>
    <w:p w14:paraId="4AE6927E" w14:textId="77777777" w:rsidR="00CA0EF0" w:rsidRPr="00361E30" w:rsidRDefault="00CA0EF0" w:rsidP="003C13F4">
      <w:r w:rsidRPr="00361E30">
        <w:t xml:space="preserve">The initial phase of this study utilised aggregated, anonymised patient data on trauma patients in England and Wales who were treated in NHS hospitals. TARN already has in place agreements with all participating hospitals for the use of this data (in its anonymised form) for audit and research purposes. Individual member hospitals and hospital Trusts submit their data to TARN on the understanding that this data will be kept anonymous at the hospital level – hospitals have access to their data, but (apart from summary statistics published on the TARN website), hospitals are not identifiable to the public in general, or to other participating hospitals. This benchmarking activity and research on anonymised data is supported by HRA approval (PIAG Section 251) to process certain information without specific informed patient consent. No patient identifiers were available to researchers in this study, so individual patient consent was not required for use of the aggregated TARN data for research and audit purposes. While the quantitative analysis included comparisons between hospital survival rates, the hospitals remained anonymous during this phase of the analysis. The study thus complied with the institutional agreements between TARN and individual participating hospitals </w:t>
      </w:r>
      <w:r w:rsidR="005E3024" w:rsidRPr="00361E30">
        <w:t>regarding</w:t>
      </w:r>
      <w:r w:rsidRPr="00361E30">
        <w:t xml:space="preserve"> data sharing and data usage.</w:t>
      </w:r>
    </w:p>
    <w:p w14:paraId="0A8EDA99" w14:textId="77777777" w:rsidR="00CA0EF0" w:rsidRPr="00361E30" w:rsidRDefault="00CA0EF0" w:rsidP="003C13F4">
      <w:pPr>
        <w:pStyle w:val="Heading3"/>
      </w:pPr>
      <w:r w:rsidRPr="00361E30">
        <w:t xml:space="preserve">3.4.1.2 </w:t>
      </w:r>
      <w:r w:rsidRPr="00361E30">
        <w:tab/>
        <w:t>Consent for the Qualitative Interviews – Phase 2</w:t>
      </w:r>
    </w:p>
    <w:p w14:paraId="2564C57F" w14:textId="77777777" w:rsidR="00CA0EF0" w:rsidRPr="00361E30" w:rsidRDefault="00CA0EF0" w:rsidP="003C13F4">
      <w:pPr>
        <w:widowControl w:val="0"/>
        <w:spacing w:after="0"/>
      </w:pPr>
      <w:r w:rsidRPr="00361E30">
        <w:t xml:space="preserve">Phase 2 of the study involved identification of hospitals where survival rates for older trauma patients were significantly different from that predicted by the multivariate model. This required de-anonymisation of hospitals. This was done by TARN staff, as this is permitted under the current data handling agreement with participating Trusts (de-anonymised data on hospital survival rates are used to discuss performance with individual Trusts). Selection and recruitment for Phase 2 of the study is dealt with in more detail in Section 3.3.4.5. </w:t>
      </w:r>
    </w:p>
    <w:p w14:paraId="25F96F88" w14:textId="77777777" w:rsidR="00CA0EF0" w:rsidRPr="00361E30" w:rsidRDefault="00CA0EF0" w:rsidP="003C13F4">
      <w:pPr>
        <w:ind w:firstLine="720"/>
      </w:pPr>
      <w:r w:rsidRPr="00361E30">
        <w:t xml:space="preserve">As described in Section 3.3.4.5, initial contact with potential interviewees was made through the hospital’s Trauma Lead, who provided participants with copies of the consent form and information sheet, as well as a letter explaining the purpose of the research. Participants who agreed to participate contacted the PhD student by email (the PhD student's email address was included in the participant information sheet and introductory letter). The PhD student then telephoned the potential participant, and the purpose of the research was clarified. The chief interviewer also answered any questions related to the information sheets and consent forms (See Appendix 6). Participants were then given </w:t>
      </w:r>
      <w:r w:rsidR="005E3024" w:rsidRPr="00361E30">
        <w:t>enough</w:t>
      </w:r>
      <w:r w:rsidRPr="00361E30">
        <w:t xml:space="preserve"> time to consider the information (at least 24 hours) and were re-contacted. If at this point they agreed to </w:t>
      </w:r>
      <w:r w:rsidRPr="00361E30">
        <w:lastRenderedPageBreak/>
        <w:t xml:space="preserve">participate, a time and place for the interview was arranged. Consent forms were provided on the interview day for participants to sign, if they had not already done so. See Appendix 6 for samples of the consent forms, patient information leaflets and other relevant documentation pertaining to Phase 2 of this study. </w:t>
      </w:r>
    </w:p>
    <w:p w14:paraId="6D387870" w14:textId="77777777" w:rsidR="00CA0EF0" w:rsidRPr="00361E30" w:rsidRDefault="00CA0EF0" w:rsidP="003C13F4">
      <w:pPr>
        <w:pStyle w:val="Heading2"/>
      </w:pPr>
      <w:bookmarkStart w:id="97" w:name="_Toc1902277"/>
      <w:r w:rsidRPr="00361E30">
        <w:t>3.4.2</w:t>
      </w:r>
      <w:r w:rsidRPr="00361E30">
        <w:tab/>
        <w:t>Confidentiality and Data Protection</w:t>
      </w:r>
      <w:bookmarkEnd w:id="97"/>
    </w:p>
    <w:p w14:paraId="2A715E32" w14:textId="77777777" w:rsidR="00CA0EF0" w:rsidRPr="00361E30" w:rsidRDefault="00CA0EF0" w:rsidP="003C13F4">
      <w:pPr>
        <w:pStyle w:val="Heading3"/>
      </w:pPr>
      <w:r w:rsidRPr="00361E30">
        <w:t>3.4.2.1</w:t>
      </w:r>
      <w:r w:rsidRPr="00361E30">
        <w:tab/>
        <w:t>Protection and Anonymising of the Quantitative Data – Phases 1 and 3</w:t>
      </w:r>
    </w:p>
    <w:p w14:paraId="5A37613B" w14:textId="77777777" w:rsidR="00CA0EF0" w:rsidRPr="00361E30" w:rsidRDefault="00CA0EF0" w:rsidP="003C13F4">
      <w:pPr>
        <w:widowControl w:val="0"/>
        <w:spacing w:after="0"/>
      </w:pPr>
      <w:r w:rsidRPr="00361E30">
        <w:t xml:space="preserve">As mentioned earlier, data used in this study included aggregate anonymised data from the TARN database. The PhD student entered into a data sharing agreement with TARN, which allowed access to the relevant data, and storage on a secure, password protected and encrypted drive at the University of Sheffield (the X-Drive). Data </w:t>
      </w:r>
      <w:r w:rsidR="008A51FC">
        <w:t>were</w:t>
      </w:r>
      <w:r w:rsidRPr="00361E30">
        <w:t xml:space="preserve"> not shared with any third parties not directly covered by the data sharing agreement.</w:t>
      </w:r>
    </w:p>
    <w:p w14:paraId="1999EFB3" w14:textId="77777777" w:rsidR="00CA0EF0" w:rsidRPr="00361E30" w:rsidRDefault="00CA0EF0" w:rsidP="003C13F4">
      <w:pPr>
        <w:pStyle w:val="Heading3"/>
      </w:pPr>
      <w:r w:rsidRPr="00361E30">
        <w:t xml:space="preserve">3.4.2.2 </w:t>
      </w:r>
      <w:r w:rsidRPr="00361E30">
        <w:tab/>
        <w:t>Protection and Anonymising of the Interview Data – Phase 2</w:t>
      </w:r>
    </w:p>
    <w:p w14:paraId="418D62A5" w14:textId="77777777" w:rsidR="00CA0EF0" w:rsidRPr="00361E30" w:rsidRDefault="00CA0EF0" w:rsidP="003C13F4">
      <w:pPr>
        <w:widowControl w:val="0"/>
        <w:spacing w:after="0"/>
      </w:pPr>
      <w:r w:rsidRPr="00361E30">
        <w:t xml:space="preserve">Information on the performance of individual hospitals </w:t>
      </w:r>
      <w:r w:rsidR="005E3024" w:rsidRPr="00361E30">
        <w:t>regarding</w:t>
      </w:r>
      <w:r w:rsidRPr="00361E30">
        <w:t xml:space="preserve"> survival in older trauma patients remained anonymous for the majority of hospitals. For those hospitals identified as ‘outliers’, progress to Phase 2 (semi-structured interviews with staff) required data to be de-anonymised (see Section 3.3.4.5 above). The identities of these hospitals were only disclosed to key research personnel (the PhD student and research supervisors) and the individual hospitals themselves, once the hospitals agreed to allow their data to be shared with the PhD student. The interviewees at each hospital site were not told whether their hospital had higher or lower than expected survival. In addition, this information was withheld from the PhD student until the qualitative data has been collected and analysed.</w:t>
      </w:r>
    </w:p>
    <w:p w14:paraId="680E2BC1" w14:textId="77777777" w:rsidR="00CA0EF0" w:rsidRPr="00361E30" w:rsidRDefault="00CA0EF0" w:rsidP="003C13F4">
      <w:pPr>
        <w:widowControl w:val="0"/>
        <w:spacing w:after="0"/>
        <w:ind w:firstLine="720"/>
      </w:pPr>
      <w:r w:rsidRPr="00361E30">
        <w:t xml:space="preserve">There was a need for maintaining confidentiality of interview data from Phase 2 of this study. All interviews were recorded using an encrypted </w:t>
      </w:r>
      <w:r w:rsidR="005E3024" w:rsidRPr="00361E30">
        <w:t>recorder and</w:t>
      </w:r>
      <w:r w:rsidRPr="00361E30">
        <w:t xml:space="preserve"> transferred to a secure (encrypted and password protected) computer based within a secure office at ScHARR as soon as possible after the interview. Once they were transferred to the computer, recordings were erased from the </w:t>
      </w:r>
      <w:r w:rsidR="005E3024" w:rsidRPr="00361E30">
        <w:t>hand-held</w:t>
      </w:r>
      <w:r w:rsidRPr="00361E30">
        <w:t xml:space="preserve"> device. Participants were only identified in reports by a study ID number. The validity of the study also required the recording of participants’ professional status, gender and age, as these were important with regard to interpretation of their contributions to the interviews and discussions. However, other identifiers (for example name, date of birth and address) were not recorded. All participants were required to sign consent forms after reading and understanding the information sheet relating to this phase of the study.</w:t>
      </w:r>
    </w:p>
    <w:p w14:paraId="02B186D3" w14:textId="77777777" w:rsidR="00CA0EF0" w:rsidRPr="00361E30" w:rsidRDefault="00CA0EF0" w:rsidP="003C13F4">
      <w:pPr>
        <w:widowControl w:val="0"/>
        <w:spacing w:after="0"/>
        <w:ind w:firstLine="720"/>
      </w:pPr>
      <w:r w:rsidRPr="00361E30">
        <w:t xml:space="preserve">While every effort was made to keep the identity of participants confidential, there was a small risk that they may have been identified by specific comments from the interviews </w:t>
      </w:r>
      <w:r w:rsidRPr="00361E30">
        <w:lastRenderedPageBreak/>
        <w:t>if these were included in the final project report (given the context of the discussion and their role within the hospital). This was far less likely for participants who held relatively junior positions within their hospital (where there were several people in that role), but more likely for more senior staff, such as lead clinicians and senior managers (where they may have been the only person with those responsibilities in the hospital). This breach of confidentiality was unlikely to occur in external reports as individual hospitals were not to be identified in these reports. However, a summary of the research findings will be presented to participating hospitals, and in this setting there is a small risk of breach of confidentiality. All reasonable efforts have been made to minimise this within the thesis, including not using interview data in these reports if they are likely to be linked to specific individuals.</w:t>
      </w:r>
    </w:p>
    <w:p w14:paraId="6F8DFBDB" w14:textId="77777777" w:rsidR="00CA0EF0" w:rsidRPr="00361E30" w:rsidRDefault="00CA0EF0" w:rsidP="003C13F4">
      <w:pPr>
        <w:pStyle w:val="Heading2"/>
      </w:pPr>
      <w:bookmarkStart w:id="98" w:name="_Toc1902278"/>
      <w:r w:rsidRPr="00361E30">
        <w:t>3.4.3</w:t>
      </w:r>
      <w:r w:rsidRPr="00361E30">
        <w:tab/>
        <w:t>Ethical approval and ongoing monitoring of the study</w:t>
      </w:r>
      <w:bookmarkEnd w:id="98"/>
    </w:p>
    <w:p w14:paraId="3503EB09" w14:textId="77777777" w:rsidR="00CA0EF0" w:rsidRPr="00361E30" w:rsidRDefault="00CA0EF0" w:rsidP="003C13F4">
      <w:r w:rsidRPr="00361E30">
        <w:t>For Phase 2 of the study, ethical approval for the conduct of this study was granted by the Research Ethics Committee of the University of Sheffield (ScHARR REC Reference Number Reference Number 006270) and the Health Research Authority (HRA) of England (IRAS Project ID 227691). In addition, permission was obtained from each NHS site involved in Phase 2 of the study to conduct research on that site. See Appendix 7 for copies of approval letters from the ScHARR Research Ethics Committee, the HRA (via the Integrated Research Application Process), and letters of access to both research sites.</w:t>
      </w:r>
    </w:p>
    <w:p w14:paraId="725C8704" w14:textId="77777777" w:rsidR="00CA0EF0" w:rsidRPr="00361E30" w:rsidRDefault="00CA0EF0" w:rsidP="003C13F4">
      <w:pPr>
        <w:pStyle w:val="Heading1"/>
      </w:pPr>
      <w:bookmarkStart w:id="99" w:name="_Toc1902279"/>
      <w:r w:rsidRPr="00361E30">
        <w:t>3.5</w:t>
      </w:r>
      <w:r w:rsidRPr="00361E30">
        <w:tab/>
        <w:t>Patient and Public Involvement</w:t>
      </w:r>
      <w:bookmarkEnd w:id="99"/>
    </w:p>
    <w:p w14:paraId="62B4A0FB" w14:textId="77777777" w:rsidR="00CA0EF0" w:rsidRPr="00361E30" w:rsidRDefault="00CA0EF0" w:rsidP="003C13F4">
      <w:r w:rsidRPr="00361E30">
        <w:t xml:space="preserve">Involvement of the public in any project investigating the impact of healthcare on patients is an important aspect of research. The project was presented to the Sheffield Emergency Care Forum during the course of its development. The SECF is a patient and public involvement (PPI) group based in Sheffield and working in collaboration with the School of Health and Related Research, whose remit is to provide patient and public involvement for research studies related to emergency and urgent care. The comments and suggestions from this group were used to shape the project design. This included verifying appropriateness and validity of the consent forms and information </w:t>
      </w:r>
      <w:r w:rsidR="005E3024" w:rsidRPr="00361E30">
        <w:t>sheets and</w:t>
      </w:r>
      <w:r w:rsidRPr="00361E30">
        <w:t xml:space="preserve"> discussing the types of staff members to interview and the appropriateness of the topic guide.</w:t>
      </w:r>
    </w:p>
    <w:p w14:paraId="4690B931" w14:textId="77777777" w:rsidR="00CA0EF0" w:rsidRPr="00361E30" w:rsidRDefault="00CA0EF0" w:rsidP="003C13F4">
      <w:pPr>
        <w:ind w:firstLine="720"/>
      </w:pPr>
      <w:r w:rsidRPr="00361E30">
        <w:t>The first meeting with this group was held on Friday 29</w:t>
      </w:r>
      <w:r w:rsidRPr="00361E30">
        <w:rPr>
          <w:vertAlign w:val="superscript"/>
        </w:rPr>
        <w:t>th</w:t>
      </w:r>
      <w:r w:rsidRPr="00361E30">
        <w:t xml:space="preserve"> May 2015, at which time the project proposal was presented and discussed. The SECF appointed a named member to act as a liaison and main advisor for the study, and this individual was consulted regularly </w:t>
      </w:r>
      <w:r w:rsidR="005E3024" w:rsidRPr="00361E30">
        <w:t>regarding</w:t>
      </w:r>
      <w:r w:rsidRPr="00361E30">
        <w:t xml:space="preserve"> progress of the study and advice. As the project developed, the group was consulted at the beginning of each of the three phases of the project. </w:t>
      </w:r>
    </w:p>
    <w:p w14:paraId="391D57E1" w14:textId="77777777" w:rsidR="00CA0EF0" w:rsidRPr="00361E30" w:rsidRDefault="00CA0EF0" w:rsidP="00EC0353">
      <w:pPr>
        <w:pStyle w:val="ChapterHeading"/>
      </w:pPr>
      <w:bookmarkStart w:id="100" w:name="_Toc1902280"/>
      <w:r w:rsidRPr="00361E30">
        <w:lastRenderedPageBreak/>
        <w:t>Chapter 4: Description of the Quantitative Dataset: TARN Data 2013-2015</w:t>
      </w:r>
      <w:bookmarkEnd w:id="100"/>
    </w:p>
    <w:p w14:paraId="35C12CBA" w14:textId="77777777" w:rsidR="00CA0EF0" w:rsidRPr="00361E30" w:rsidRDefault="00CA0EF0" w:rsidP="003C13F4">
      <w:pPr>
        <w:pStyle w:val="Heading1"/>
      </w:pPr>
      <w:bookmarkStart w:id="101" w:name="_Toc1902281"/>
      <w:r w:rsidRPr="00361E30">
        <w:t>4.1</w:t>
      </w:r>
      <w:r w:rsidRPr="00361E30">
        <w:tab/>
        <w:t>Introduction</w:t>
      </w:r>
      <w:bookmarkEnd w:id="101"/>
    </w:p>
    <w:p w14:paraId="4EDDBB2E" w14:textId="77777777" w:rsidR="00CA0EF0" w:rsidRPr="00361E30" w:rsidRDefault="00CA0EF0" w:rsidP="003C13F4">
      <w:r w:rsidRPr="00361E30">
        <w:t>This chapter describes the study population. Section 4.2 compares older and younger patients entered on the TARN database between 1</w:t>
      </w:r>
      <w:r w:rsidRPr="00361E30">
        <w:rPr>
          <w:vertAlign w:val="superscript"/>
        </w:rPr>
        <w:t>st</w:t>
      </w:r>
      <w:r w:rsidRPr="00361E30">
        <w:t xml:space="preserve"> June 2013 and 31</w:t>
      </w:r>
      <w:r w:rsidRPr="00361E30">
        <w:rPr>
          <w:vertAlign w:val="superscript"/>
        </w:rPr>
        <w:t>st</w:t>
      </w:r>
      <w:r w:rsidRPr="00361E30">
        <w:t xml:space="preserve"> May 2015. Demographic, clinical and physiological variables are compared in these age groups.</w:t>
      </w:r>
    </w:p>
    <w:p w14:paraId="2B62A4DC" w14:textId="77777777" w:rsidR="00CA0EF0" w:rsidRPr="00361E30" w:rsidRDefault="00CA0EF0" w:rsidP="003C13F4">
      <w:pPr>
        <w:ind w:firstLine="720"/>
      </w:pPr>
      <w:r w:rsidRPr="00361E30">
        <w:t xml:space="preserve">Section 4.3 compares older patients (aged 65 years and older) with and without known outcomes. A small number of patients on the TARN database are lost to follow up, and their final outcome is not known. These usually consist of patients who have been transferred to a second hospital for definitive care, but whose records from the second hospital were not submitted to TARN. An analysis of these patients was performed to assess whether there were important differences between patients with known and unknown outcomes, suggesting selection bias. Due to the large number of patients, most differences between groups were found to be statistically significant on Chi-squared analysis, though they may not have been clinically relevant. </w:t>
      </w:r>
      <w:r w:rsidR="005E3024" w:rsidRPr="00361E30">
        <w:t>Considering</w:t>
      </w:r>
      <w:r w:rsidRPr="00361E30">
        <w:t xml:space="preserve"> this the data has been presented and described, commenting on any clinically relevant differences, but not on their statistical significance.</w:t>
      </w:r>
    </w:p>
    <w:p w14:paraId="025B5AE6" w14:textId="77777777" w:rsidR="00CA0EF0" w:rsidRPr="00361E30" w:rsidRDefault="00CA0EF0" w:rsidP="003C13F4">
      <w:pPr>
        <w:pStyle w:val="Heading1"/>
      </w:pPr>
      <w:bookmarkStart w:id="102" w:name="_Toc1902282"/>
      <w:r w:rsidRPr="00361E30">
        <w:t>4.2</w:t>
      </w:r>
      <w:r w:rsidRPr="00361E30">
        <w:tab/>
        <w:t>Older vs Younger Trauma Patients</w:t>
      </w:r>
      <w:bookmarkEnd w:id="102"/>
    </w:p>
    <w:p w14:paraId="05BAEE45" w14:textId="77777777" w:rsidR="00CA0EF0" w:rsidRPr="00361E30" w:rsidRDefault="00CA0EF0" w:rsidP="003C13F4">
      <w:r w:rsidRPr="00361E30">
        <w:t>The demographic characteristics, injury patterns and physiological parameters of older and younger patients on the TARN database who were admitted to hospital between 1</w:t>
      </w:r>
      <w:r w:rsidRPr="00361E30">
        <w:rPr>
          <w:vertAlign w:val="superscript"/>
        </w:rPr>
        <w:t>st</w:t>
      </w:r>
      <w:r w:rsidRPr="00361E30">
        <w:t xml:space="preserve"> June 2013 and 31</w:t>
      </w:r>
      <w:r w:rsidRPr="00361E30">
        <w:rPr>
          <w:vertAlign w:val="superscript"/>
        </w:rPr>
        <w:t>st</w:t>
      </w:r>
      <w:r w:rsidRPr="00361E30">
        <w:t xml:space="preserve"> May 2016 were compared (Table 4.1). Older patients were defined as those who were aged ≥ 65 years at the time of admission, while the younger age group consisted of patients aged 16 – 64 years on admission.</w:t>
      </w:r>
    </w:p>
    <w:p w14:paraId="6F536FD5" w14:textId="77777777" w:rsidR="00CA0EF0" w:rsidRPr="00361E30" w:rsidRDefault="00CA0EF0" w:rsidP="003C13F4">
      <w:pPr>
        <w:pStyle w:val="Heading2"/>
      </w:pPr>
      <w:bookmarkStart w:id="103" w:name="_Toc1902283"/>
      <w:r w:rsidRPr="00361E30">
        <w:t>4.2.1</w:t>
      </w:r>
      <w:r w:rsidRPr="00361E30">
        <w:tab/>
        <w:t>Demographic Characteristics</w:t>
      </w:r>
      <w:bookmarkEnd w:id="103"/>
    </w:p>
    <w:p w14:paraId="6EF63A00" w14:textId="77777777" w:rsidR="00CA0EF0" w:rsidRPr="00361E30" w:rsidRDefault="00CA0EF0" w:rsidP="003C13F4">
      <w:pPr>
        <w:pStyle w:val="Heading3"/>
      </w:pPr>
      <w:r w:rsidRPr="00361E30">
        <w:t xml:space="preserve">4.2.1.1 </w:t>
      </w:r>
      <w:r w:rsidRPr="00361E30">
        <w:tab/>
        <w:t>Age Profile</w:t>
      </w:r>
    </w:p>
    <w:p w14:paraId="771BF7D3" w14:textId="77777777" w:rsidR="00CA0EF0" w:rsidRPr="00361E30" w:rsidRDefault="00CA0EF0" w:rsidP="003C13F4">
      <w:r w:rsidRPr="00361E30">
        <w:t xml:space="preserve">During the study period, 110,228 patients in England and Wales who were hospitalised following major trauma were entered on the TARN database. This represents all patients (with and without known outcomes). Of these, 58,737 (53.3%) were 16 – 64 years old, while 51,491 (46.7%) were ≥ 65 years. </w:t>
      </w:r>
      <w:r w:rsidR="00EC751C">
        <w:t xml:space="preserve">Of the patients aged </w:t>
      </w:r>
      <w:r w:rsidR="00EC751C" w:rsidRPr="00361E30">
        <w:rPr>
          <w:rFonts w:cstheme="minorHAnsi"/>
        </w:rPr>
        <w:t>≥</w:t>
      </w:r>
      <w:r w:rsidR="00EC751C">
        <w:rPr>
          <w:rFonts w:cstheme="minorHAnsi"/>
        </w:rPr>
        <w:t>65 years, 46,000 had known outcomes. These o</w:t>
      </w:r>
      <w:r w:rsidRPr="00361E30">
        <w:t xml:space="preserve">lder patients with known outcomes were evenly distributed between the age groups 65 – 74 years (11,679 patients), 75 – 84 years (16,977 patients) and </w:t>
      </w:r>
      <w:r w:rsidRPr="00361E30">
        <w:rPr>
          <w:rFonts w:cstheme="minorHAnsi"/>
        </w:rPr>
        <w:t>≥</w:t>
      </w:r>
      <w:r w:rsidRPr="00361E30">
        <w:t>85 years (17,344 patients).</w:t>
      </w:r>
    </w:p>
    <w:p w14:paraId="06FF542A" w14:textId="77777777" w:rsidR="00CA0EF0" w:rsidRPr="00361E30" w:rsidRDefault="00CA0EF0" w:rsidP="003C13F4">
      <w:pPr>
        <w:pStyle w:val="Heading3"/>
      </w:pPr>
      <w:r w:rsidRPr="00361E30">
        <w:lastRenderedPageBreak/>
        <w:t xml:space="preserve">4.2.1.2 </w:t>
      </w:r>
      <w:r w:rsidRPr="00361E30">
        <w:tab/>
        <w:t>Gender Profile</w:t>
      </w:r>
    </w:p>
    <w:p w14:paraId="0C4C8223" w14:textId="77777777" w:rsidR="00CA0EF0" w:rsidRPr="00361E30" w:rsidRDefault="00CA0EF0" w:rsidP="003C13F4">
      <w:r w:rsidRPr="00361E30">
        <w:t xml:space="preserve">Of the entire TARN cohort, 61,976 (56.2%) patients were male while 48,252 (43.8%) were female. In the 16 – 64 year olds, there were 40,780 (69.4%) male patients, compared to 17,957 (30.6%) females. However, this gender distribution was reversed in patients aged 65 and older, with 21,196 (41.2%) older males compared to 30,295 (58.8%) females. </w:t>
      </w:r>
    </w:p>
    <w:p w14:paraId="6E293900" w14:textId="77777777" w:rsidR="00CA0EF0" w:rsidRPr="00361E30" w:rsidRDefault="00CA0EF0" w:rsidP="003C13F4">
      <w:pPr>
        <w:pStyle w:val="Heading3"/>
      </w:pPr>
      <w:r w:rsidRPr="00361E30">
        <w:t xml:space="preserve">4.2.1.3 </w:t>
      </w:r>
      <w:r w:rsidRPr="00361E30">
        <w:tab/>
        <w:t>Pre-Injury Clinical Status</w:t>
      </w:r>
    </w:p>
    <w:p w14:paraId="3E7CAF5C" w14:textId="77777777" w:rsidR="00CA0EF0" w:rsidRPr="00361E30" w:rsidRDefault="00CA0EF0" w:rsidP="003C13F4">
      <w:r w:rsidRPr="00361E30">
        <w:t xml:space="preserve">The modified Charlson Comorbidity Index (mCCI) was used as a measure of the impact of pre-existing medical conditions on patients in this study cohort. The mCCI is a weighted aggregate score of patients’ pre-existing medical conditions. Each condition is given a weight based on its impact on survival. The original index consisted of 19 specific </w:t>
      </w:r>
      <w:r w:rsidR="005E3024" w:rsidRPr="00361E30">
        <w:t>conditions but</w:t>
      </w:r>
      <w:r w:rsidRPr="00361E30">
        <w:t xml:space="preserve"> has since been modified to include 17 of these conditions. </w:t>
      </w:r>
    </w:p>
    <w:p w14:paraId="506027B9" w14:textId="77777777" w:rsidR="00CA0EF0" w:rsidRPr="00361E30" w:rsidRDefault="00CA0EF0" w:rsidP="003C13F4">
      <w:pPr>
        <w:ind w:firstLine="720"/>
      </w:pPr>
      <w:r w:rsidRPr="00361E30">
        <w:t xml:space="preserve">In the original CCI, each condition was assigned a score of 1, 2, 3 or 6, depending on its impact on mortality. The aggregate index (the CCI) was then calculated by summing the scores for all conditions. Finally, the aggregate scores were grouped according to their association with 1-year mortality: ‘0’ (no </w:t>
      </w:r>
      <w:r w:rsidR="005E3024" w:rsidRPr="00361E30">
        <w:t>comorbidities</w:t>
      </w:r>
      <w:r w:rsidRPr="00361E30">
        <w:t xml:space="preserve">) – 12% 1 year mortality; ‘1-2’ </w:t>
      </w:r>
      <w:r w:rsidR="005E3024" w:rsidRPr="00361E30">
        <w:t>- 26</w:t>
      </w:r>
      <w:r w:rsidRPr="00361E30">
        <w:t xml:space="preserve">%; ‘3-4’ – 52% and ≥5 – 85% </w:t>
      </w:r>
      <w:r w:rsidRPr="00361E30">
        <w:rPr>
          <w:noProof/>
        </w:rPr>
        <w:t>(Charlson</w:t>
      </w:r>
      <w:r w:rsidR="0052214F" w:rsidRPr="00361E30">
        <w:rPr>
          <w:noProof/>
        </w:rPr>
        <w:t xml:space="preserve"> et al.</w:t>
      </w:r>
      <w:r w:rsidRPr="00361E30">
        <w:rPr>
          <w:noProof/>
        </w:rPr>
        <w:t xml:space="preserve"> 1987)</w:t>
      </w:r>
      <w:r w:rsidRPr="00361E30">
        <w:t xml:space="preserve">. </w:t>
      </w:r>
    </w:p>
    <w:p w14:paraId="13E0D31B" w14:textId="77777777" w:rsidR="00CA0EF0" w:rsidRPr="00361E30" w:rsidRDefault="00CA0EF0" w:rsidP="003C13F4">
      <w:pPr>
        <w:ind w:firstLine="720"/>
      </w:pPr>
      <w:r w:rsidRPr="00361E30">
        <w:t xml:space="preserve">The CCI has been shown to correlate with patient survival in a variety of acute conditions. Gabbe et al in Australia demonstrated that the CCI was associated with survival in major trauma patients, but when added to the TRISS model did not improve its predictive accuracy </w:t>
      </w:r>
      <w:r w:rsidRPr="00361E30">
        <w:rPr>
          <w:noProof/>
        </w:rPr>
        <w:t>(Gabbe 2005</w:t>
      </w:r>
      <w:r w:rsidR="000E2AF4" w:rsidRPr="00361E30">
        <w:rPr>
          <w:noProof/>
        </w:rPr>
        <w:t>a</w:t>
      </w:r>
      <w:r w:rsidRPr="00361E30">
        <w:rPr>
          <w:noProof/>
        </w:rPr>
        <w:t>)</w:t>
      </w:r>
      <w:r w:rsidRPr="00361E30">
        <w:t>. However, Bouamra et al</w:t>
      </w:r>
      <w:r w:rsidR="00007F1B" w:rsidRPr="00361E30">
        <w:t xml:space="preserve"> (2015)</w:t>
      </w:r>
      <w:r w:rsidRPr="00361E30">
        <w:t>, using a modification of the CCI as a component of the PS14 predictive model for trauma survival, were able do show an improvement in the model when this modified CCI was included</w:t>
      </w:r>
      <w:r w:rsidR="00007F1B" w:rsidRPr="00361E30">
        <w:t xml:space="preserve">. </w:t>
      </w:r>
      <w:r w:rsidRPr="00361E30">
        <w:t xml:space="preserve">Bouamra’s ‘modified’ CCI validated 22 medical conditions against trauma survival using the TARN </w:t>
      </w:r>
      <w:r w:rsidR="005E3024" w:rsidRPr="00361E30">
        <w:t>dataset and</w:t>
      </w:r>
      <w:r w:rsidRPr="00361E30">
        <w:t xml:space="preserve"> assigned weighted scores (ranging from 1 – 13) to 11 of these conditions. For the final predictive model (the PS14), patients were then grouped into CCI scores of 0 (no comorbidity); 1 – 5; 6 – 10 and &gt;10.</w:t>
      </w:r>
    </w:p>
    <w:p w14:paraId="330F5FB1" w14:textId="77777777" w:rsidR="00CA0EF0" w:rsidRPr="00361E30" w:rsidRDefault="00CA0EF0" w:rsidP="003C13F4">
      <w:pPr>
        <w:ind w:firstLine="720"/>
      </w:pPr>
      <w:r w:rsidRPr="00361E30">
        <w:t>Comparing age groups, there was a trend towards higher mCCI scores in the older patients (Table 4.1). In patients aged 65 – 74, 41,014 (69.8%) patients had a mCCI of 0, compared to 20,442 (39.7%) of those aged ≥ 65 years. In contrast, 2,894 (4.9%) of younger patients had a CCI of ≥ 6, compared to 10,154 (19.7%) older patents.</w:t>
      </w:r>
    </w:p>
    <w:p w14:paraId="6FD6DB92" w14:textId="77777777" w:rsidR="00CA0EF0" w:rsidRPr="00361E30" w:rsidRDefault="00CA0EF0" w:rsidP="003C13F4"/>
    <w:p w14:paraId="20B25AD0" w14:textId="77777777" w:rsidR="00CA0EF0" w:rsidRPr="00361E30" w:rsidRDefault="00CA0EF0" w:rsidP="003C13F4">
      <w:r w:rsidRPr="00361E30">
        <w:t xml:space="preserve"> </w:t>
      </w:r>
    </w:p>
    <w:tbl>
      <w:tblPr>
        <w:tblStyle w:val="TableGrid"/>
        <w:tblW w:w="8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2610"/>
        <w:gridCol w:w="1530"/>
        <w:gridCol w:w="1440"/>
        <w:gridCol w:w="1530"/>
      </w:tblGrid>
      <w:tr w:rsidR="00CA0EF0" w:rsidRPr="00361E30" w14:paraId="006706B3" w14:textId="77777777" w:rsidTr="003C13F4">
        <w:trPr>
          <w:cantSplit/>
          <w:trHeight w:val="300"/>
        </w:trPr>
        <w:tc>
          <w:tcPr>
            <w:tcW w:w="8610" w:type="dxa"/>
            <w:gridSpan w:val="5"/>
            <w:tcBorders>
              <w:top w:val="single" w:sz="4" w:space="0" w:color="auto"/>
              <w:bottom w:val="single" w:sz="4" w:space="0" w:color="auto"/>
            </w:tcBorders>
            <w:noWrap/>
            <w:vAlign w:val="center"/>
            <w:hideMark/>
          </w:tcPr>
          <w:p w14:paraId="7552B141" w14:textId="77777777" w:rsidR="00CA0EF0" w:rsidRPr="00361E30" w:rsidRDefault="00CA0EF0" w:rsidP="003C13F4">
            <w:pPr>
              <w:spacing w:line="240" w:lineRule="auto"/>
              <w:jc w:val="center"/>
              <w:rPr>
                <w:rFonts w:cstheme="minorHAnsi"/>
                <w:b/>
                <w:bCs/>
                <w:sz w:val="20"/>
                <w:szCs w:val="20"/>
                <w:lang w:val="en-GB"/>
              </w:rPr>
            </w:pPr>
            <w:r w:rsidRPr="00361E30">
              <w:rPr>
                <w:rFonts w:cstheme="minorHAnsi"/>
                <w:b/>
                <w:bCs/>
                <w:sz w:val="20"/>
                <w:szCs w:val="20"/>
                <w:lang w:val="en-GB"/>
              </w:rPr>
              <w:lastRenderedPageBreak/>
              <w:t>Characteristics of Older and Younger Patients on the TARN Database</w:t>
            </w:r>
          </w:p>
        </w:tc>
      </w:tr>
      <w:tr w:rsidR="00CA0EF0" w:rsidRPr="00361E30" w14:paraId="3BCF138D" w14:textId="77777777" w:rsidTr="003C13F4">
        <w:trPr>
          <w:cantSplit/>
          <w:trHeight w:val="300"/>
        </w:trPr>
        <w:tc>
          <w:tcPr>
            <w:tcW w:w="1500" w:type="dxa"/>
            <w:tcBorders>
              <w:top w:val="single" w:sz="4" w:space="0" w:color="auto"/>
              <w:bottom w:val="single" w:sz="4" w:space="0" w:color="auto"/>
            </w:tcBorders>
            <w:noWrap/>
            <w:hideMark/>
          </w:tcPr>
          <w:p w14:paraId="0B78ACB7" w14:textId="77777777" w:rsidR="00CA0EF0" w:rsidRPr="00361E30" w:rsidRDefault="00CA0EF0" w:rsidP="003C13F4">
            <w:pPr>
              <w:spacing w:line="240" w:lineRule="auto"/>
              <w:jc w:val="left"/>
              <w:rPr>
                <w:rFonts w:cstheme="minorHAnsi"/>
                <w:b/>
                <w:bCs/>
                <w:sz w:val="20"/>
                <w:szCs w:val="20"/>
                <w:lang w:val="en-GB"/>
              </w:rPr>
            </w:pPr>
            <w:r w:rsidRPr="00361E30">
              <w:rPr>
                <w:rFonts w:cstheme="minorHAnsi"/>
                <w:b/>
                <w:bCs/>
                <w:sz w:val="20"/>
                <w:szCs w:val="20"/>
                <w:lang w:val="en-GB"/>
              </w:rPr>
              <w:t>Variable</w:t>
            </w:r>
          </w:p>
        </w:tc>
        <w:tc>
          <w:tcPr>
            <w:tcW w:w="2610" w:type="dxa"/>
            <w:tcBorders>
              <w:top w:val="single" w:sz="4" w:space="0" w:color="auto"/>
              <w:bottom w:val="single" w:sz="4" w:space="0" w:color="auto"/>
            </w:tcBorders>
            <w:noWrap/>
            <w:hideMark/>
          </w:tcPr>
          <w:p w14:paraId="2F8697FD" w14:textId="77777777" w:rsidR="00CA0EF0" w:rsidRPr="00361E30" w:rsidRDefault="00CA0EF0" w:rsidP="003C13F4">
            <w:pPr>
              <w:spacing w:line="240" w:lineRule="auto"/>
              <w:jc w:val="left"/>
              <w:rPr>
                <w:rFonts w:cstheme="minorHAnsi"/>
                <w:b/>
                <w:bCs/>
                <w:sz w:val="20"/>
                <w:szCs w:val="20"/>
                <w:lang w:val="en-GB"/>
              </w:rPr>
            </w:pPr>
          </w:p>
        </w:tc>
        <w:tc>
          <w:tcPr>
            <w:tcW w:w="1530" w:type="dxa"/>
            <w:tcBorders>
              <w:top w:val="single" w:sz="4" w:space="0" w:color="auto"/>
              <w:bottom w:val="single" w:sz="4" w:space="0" w:color="auto"/>
            </w:tcBorders>
            <w:noWrap/>
            <w:vAlign w:val="center"/>
            <w:hideMark/>
          </w:tcPr>
          <w:p w14:paraId="59818CE8" w14:textId="77777777" w:rsidR="00CA0EF0" w:rsidRPr="00361E30" w:rsidRDefault="00CA0EF0" w:rsidP="003C13F4">
            <w:pPr>
              <w:spacing w:line="240" w:lineRule="auto"/>
              <w:jc w:val="center"/>
              <w:rPr>
                <w:rFonts w:cstheme="minorHAnsi"/>
                <w:b/>
                <w:sz w:val="20"/>
                <w:szCs w:val="20"/>
                <w:lang w:val="en-GB"/>
              </w:rPr>
            </w:pPr>
            <w:r w:rsidRPr="00361E30">
              <w:rPr>
                <w:rFonts w:cstheme="minorHAnsi"/>
                <w:b/>
                <w:bCs/>
                <w:sz w:val="20"/>
                <w:szCs w:val="20"/>
                <w:lang w:val="en-GB"/>
              </w:rPr>
              <w:t>Age &lt;65 years</w:t>
            </w:r>
            <w:r w:rsidRPr="00361E30">
              <w:rPr>
                <w:rFonts w:cstheme="minorHAnsi"/>
                <w:b/>
                <w:sz w:val="20"/>
                <w:szCs w:val="20"/>
                <w:lang w:val="en-GB"/>
              </w:rPr>
              <w:t xml:space="preserve"> </w:t>
            </w:r>
          </w:p>
          <w:p w14:paraId="5A07803A" w14:textId="77777777" w:rsidR="00CA0EF0" w:rsidRPr="00361E30" w:rsidRDefault="00CA0EF0" w:rsidP="003C13F4">
            <w:pPr>
              <w:spacing w:line="240" w:lineRule="auto"/>
              <w:jc w:val="center"/>
              <w:rPr>
                <w:rFonts w:cstheme="minorHAnsi"/>
                <w:b/>
                <w:bCs/>
                <w:sz w:val="20"/>
                <w:szCs w:val="20"/>
                <w:lang w:val="en-GB"/>
              </w:rPr>
            </w:pPr>
            <w:r w:rsidRPr="00361E30">
              <w:rPr>
                <w:rFonts w:cstheme="minorHAnsi"/>
                <w:b/>
                <w:sz w:val="20"/>
                <w:szCs w:val="20"/>
                <w:lang w:val="en-GB"/>
              </w:rPr>
              <w:t>n (%)</w:t>
            </w:r>
          </w:p>
        </w:tc>
        <w:tc>
          <w:tcPr>
            <w:tcW w:w="1440" w:type="dxa"/>
            <w:tcBorders>
              <w:top w:val="single" w:sz="4" w:space="0" w:color="auto"/>
              <w:bottom w:val="single" w:sz="4" w:space="0" w:color="auto"/>
            </w:tcBorders>
            <w:noWrap/>
            <w:vAlign w:val="center"/>
            <w:hideMark/>
          </w:tcPr>
          <w:p w14:paraId="6CCF0E6E" w14:textId="77777777" w:rsidR="00CA0EF0" w:rsidRPr="00361E30" w:rsidRDefault="00CA0EF0" w:rsidP="003C13F4">
            <w:pPr>
              <w:spacing w:line="240" w:lineRule="auto"/>
              <w:jc w:val="center"/>
              <w:rPr>
                <w:rFonts w:cstheme="minorHAnsi"/>
                <w:b/>
                <w:sz w:val="20"/>
                <w:szCs w:val="20"/>
                <w:lang w:val="en-GB"/>
              </w:rPr>
            </w:pPr>
            <w:r w:rsidRPr="00361E30">
              <w:rPr>
                <w:rFonts w:cstheme="minorHAnsi"/>
                <w:b/>
                <w:bCs/>
                <w:sz w:val="20"/>
                <w:szCs w:val="20"/>
                <w:lang w:val="en-GB"/>
              </w:rPr>
              <w:t>Age ≥65 years</w:t>
            </w:r>
            <w:r w:rsidRPr="00361E30">
              <w:rPr>
                <w:rFonts w:cstheme="minorHAnsi"/>
                <w:b/>
                <w:sz w:val="20"/>
                <w:szCs w:val="20"/>
                <w:lang w:val="en-GB"/>
              </w:rPr>
              <w:t xml:space="preserve"> </w:t>
            </w:r>
          </w:p>
          <w:p w14:paraId="5E69783D" w14:textId="77777777" w:rsidR="00CA0EF0" w:rsidRPr="00361E30" w:rsidRDefault="00CA0EF0" w:rsidP="003C13F4">
            <w:pPr>
              <w:spacing w:line="240" w:lineRule="auto"/>
              <w:jc w:val="center"/>
              <w:rPr>
                <w:rFonts w:cstheme="minorHAnsi"/>
                <w:b/>
                <w:bCs/>
                <w:sz w:val="20"/>
                <w:szCs w:val="20"/>
                <w:lang w:val="en-GB"/>
              </w:rPr>
            </w:pPr>
            <w:r w:rsidRPr="00361E30">
              <w:rPr>
                <w:rFonts w:cstheme="minorHAnsi"/>
                <w:b/>
                <w:sz w:val="20"/>
                <w:szCs w:val="20"/>
                <w:lang w:val="en-GB"/>
              </w:rPr>
              <w:t>n (%)</w:t>
            </w:r>
          </w:p>
        </w:tc>
        <w:tc>
          <w:tcPr>
            <w:tcW w:w="1530" w:type="dxa"/>
            <w:tcBorders>
              <w:top w:val="single" w:sz="4" w:space="0" w:color="auto"/>
              <w:bottom w:val="single" w:sz="4" w:space="0" w:color="auto"/>
            </w:tcBorders>
            <w:noWrap/>
            <w:vAlign w:val="center"/>
            <w:hideMark/>
          </w:tcPr>
          <w:p w14:paraId="0F3693C1" w14:textId="77777777" w:rsidR="00CA0EF0" w:rsidRPr="00361E30" w:rsidRDefault="00CA0EF0" w:rsidP="003C13F4">
            <w:pPr>
              <w:spacing w:line="240" w:lineRule="auto"/>
              <w:jc w:val="center"/>
              <w:rPr>
                <w:rFonts w:cstheme="minorHAnsi"/>
                <w:b/>
                <w:bCs/>
                <w:sz w:val="20"/>
                <w:szCs w:val="20"/>
                <w:lang w:val="en-GB"/>
              </w:rPr>
            </w:pPr>
            <w:r w:rsidRPr="00361E30">
              <w:rPr>
                <w:rFonts w:cstheme="minorHAnsi"/>
                <w:b/>
                <w:bCs/>
                <w:sz w:val="20"/>
                <w:szCs w:val="20"/>
                <w:lang w:val="en-GB"/>
              </w:rPr>
              <w:t>Total</w:t>
            </w:r>
            <w:r w:rsidRPr="00361E30">
              <w:rPr>
                <w:rFonts w:cstheme="minorHAnsi"/>
                <w:b/>
                <w:sz w:val="20"/>
                <w:szCs w:val="20"/>
                <w:lang w:val="en-GB"/>
              </w:rPr>
              <w:t xml:space="preserve"> n (%)</w:t>
            </w:r>
          </w:p>
        </w:tc>
      </w:tr>
      <w:tr w:rsidR="00CA0EF0" w:rsidRPr="00361E30" w14:paraId="25DE37B7" w14:textId="77777777" w:rsidTr="003C13F4">
        <w:trPr>
          <w:cantSplit/>
          <w:trHeight w:val="300"/>
        </w:trPr>
        <w:tc>
          <w:tcPr>
            <w:tcW w:w="1500" w:type="dxa"/>
            <w:tcBorders>
              <w:top w:val="single" w:sz="4" w:space="0" w:color="auto"/>
              <w:bottom w:val="single" w:sz="4" w:space="0" w:color="auto"/>
            </w:tcBorders>
            <w:noWrap/>
            <w:hideMark/>
          </w:tcPr>
          <w:p w14:paraId="122DEA28" w14:textId="77777777" w:rsidR="00CA0EF0" w:rsidRPr="00361E30" w:rsidRDefault="00CA0EF0" w:rsidP="003C13F4">
            <w:pPr>
              <w:spacing w:line="240" w:lineRule="auto"/>
              <w:jc w:val="left"/>
              <w:rPr>
                <w:rFonts w:cstheme="minorHAnsi"/>
                <w:b/>
                <w:bCs/>
                <w:sz w:val="20"/>
                <w:szCs w:val="20"/>
                <w:lang w:val="en-GB"/>
              </w:rPr>
            </w:pPr>
          </w:p>
        </w:tc>
        <w:tc>
          <w:tcPr>
            <w:tcW w:w="2610" w:type="dxa"/>
            <w:tcBorders>
              <w:top w:val="single" w:sz="4" w:space="0" w:color="auto"/>
              <w:bottom w:val="single" w:sz="4" w:space="0" w:color="auto"/>
            </w:tcBorders>
            <w:noWrap/>
          </w:tcPr>
          <w:p w14:paraId="067CC385"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Total</w:t>
            </w:r>
          </w:p>
        </w:tc>
        <w:tc>
          <w:tcPr>
            <w:tcW w:w="1530" w:type="dxa"/>
            <w:tcBorders>
              <w:top w:val="single" w:sz="4" w:space="0" w:color="auto"/>
              <w:bottom w:val="single" w:sz="4" w:space="0" w:color="auto"/>
            </w:tcBorders>
            <w:noWrap/>
            <w:vAlign w:val="center"/>
          </w:tcPr>
          <w:p w14:paraId="7B6587A0"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58737</w:t>
            </w:r>
          </w:p>
        </w:tc>
        <w:tc>
          <w:tcPr>
            <w:tcW w:w="1440" w:type="dxa"/>
            <w:tcBorders>
              <w:top w:val="single" w:sz="4" w:space="0" w:color="auto"/>
              <w:bottom w:val="single" w:sz="4" w:space="0" w:color="auto"/>
            </w:tcBorders>
            <w:noWrap/>
            <w:vAlign w:val="center"/>
          </w:tcPr>
          <w:p w14:paraId="0110FBD1"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51491</w:t>
            </w:r>
          </w:p>
        </w:tc>
        <w:tc>
          <w:tcPr>
            <w:tcW w:w="1530" w:type="dxa"/>
            <w:tcBorders>
              <w:top w:val="single" w:sz="4" w:space="0" w:color="auto"/>
              <w:bottom w:val="single" w:sz="4" w:space="0" w:color="auto"/>
            </w:tcBorders>
            <w:noWrap/>
            <w:vAlign w:val="center"/>
          </w:tcPr>
          <w:p w14:paraId="0399299E"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110228</w:t>
            </w:r>
          </w:p>
        </w:tc>
      </w:tr>
      <w:tr w:rsidR="00CA0EF0" w:rsidRPr="00361E30" w14:paraId="28454759" w14:textId="77777777" w:rsidTr="003C13F4">
        <w:trPr>
          <w:cantSplit/>
          <w:trHeight w:val="300"/>
        </w:trPr>
        <w:tc>
          <w:tcPr>
            <w:tcW w:w="1500" w:type="dxa"/>
            <w:vMerge w:val="restart"/>
            <w:tcBorders>
              <w:top w:val="single" w:sz="4" w:space="0" w:color="auto"/>
            </w:tcBorders>
            <w:noWrap/>
            <w:hideMark/>
          </w:tcPr>
          <w:p w14:paraId="590C37FC" w14:textId="77777777" w:rsidR="00CA0EF0" w:rsidRPr="00361E30" w:rsidRDefault="00CA0EF0" w:rsidP="003C13F4">
            <w:pPr>
              <w:spacing w:line="240" w:lineRule="auto"/>
              <w:jc w:val="left"/>
              <w:rPr>
                <w:rFonts w:cstheme="minorHAnsi"/>
                <w:b/>
                <w:bCs/>
                <w:sz w:val="20"/>
                <w:szCs w:val="20"/>
                <w:lang w:val="en-GB"/>
              </w:rPr>
            </w:pPr>
            <w:r w:rsidRPr="00361E30">
              <w:rPr>
                <w:rFonts w:cstheme="minorHAnsi"/>
                <w:b/>
                <w:bCs/>
                <w:sz w:val="20"/>
                <w:szCs w:val="20"/>
                <w:lang w:val="en-GB"/>
              </w:rPr>
              <w:t>Gender</w:t>
            </w:r>
          </w:p>
        </w:tc>
        <w:tc>
          <w:tcPr>
            <w:tcW w:w="2610" w:type="dxa"/>
            <w:tcBorders>
              <w:top w:val="single" w:sz="4" w:space="0" w:color="auto"/>
            </w:tcBorders>
            <w:noWrap/>
            <w:hideMark/>
          </w:tcPr>
          <w:p w14:paraId="44CCAA8E"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Male</w:t>
            </w:r>
          </w:p>
        </w:tc>
        <w:tc>
          <w:tcPr>
            <w:tcW w:w="1530" w:type="dxa"/>
            <w:tcBorders>
              <w:top w:val="single" w:sz="4" w:space="0" w:color="auto"/>
            </w:tcBorders>
            <w:noWrap/>
            <w:vAlign w:val="center"/>
            <w:hideMark/>
          </w:tcPr>
          <w:p w14:paraId="7AB7F03C"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40780 (69.4%)</w:t>
            </w:r>
          </w:p>
        </w:tc>
        <w:tc>
          <w:tcPr>
            <w:tcW w:w="1440" w:type="dxa"/>
            <w:tcBorders>
              <w:top w:val="single" w:sz="4" w:space="0" w:color="auto"/>
            </w:tcBorders>
            <w:noWrap/>
            <w:vAlign w:val="center"/>
            <w:hideMark/>
          </w:tcPr>
          <w:p w14:paraId="7D882827"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21196 (41.2%)</w:t>
            </w:r>
          </w:p>
        </w:tc>
        <w:tc>
          <w:tcPr>
            <w:tcW w:w="1530" w:type="dxa"/>
            <w:tcBorders>
              <w:top w:val="single" w:sz="4" w:space="0" w:color="auto"/>
            </w:tcBorders>
            <w:noWrap/>
            <w:vAlign w:val="center"/>
            <w:hideMark/>
          </w:tcPr>
          <w:p w14:paraId="6B7951D5"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61976 (56.2%)</w:t>
            </w:r>
          </w:p>
        </w:tc>
      </w:tr>
      <w:tr w:rsidR="00CA0EF0" w:rsidRPr="00361E30" w14:paraId="67BC5E2D" w14:textId="77777777" w:rsidTr="003C13F4">
        <w:trPr>
          <w:cantSplit/>
          <w:trHeight w:val="300"/>
        </w:trPr>
        <w:tc>
          <w:tcPr>
            <w:tcW w:w="1500" w:type="dxa"/>
            <w:vMerge/>
            <w:tcBorders>
              <w:bottom w:val="single" w:sz="4" w:space="0" w:color="auto"/>
            </w:tcBorders>
            <w:noWrap/>
            <w:hideMark/>
          </w:tcPr>
          <w:p w14:paraId="04CEFBA0" w14:textId="77777777" w:rsidR="00CA0EF0" w:rsidRPr="00361E30" w:rsidRDefault="00CA0EF0" w:rsidP="003C13F4">
            <w:pPr>
              <w:spacing w:line="240" w:lineRule="auto"/>
              <w:jc w:val="left"/>
              <w:rPr>
                <w:rFonts w:cstheme="minorHAnsi"/>
                <w:b/>
                <w:bCs/>
                <w:sz w:val="20"/>
                <w:szCs w:val="20"/>
                <w:lang w:val="en-GB"/>
              </w:rPr>
            </w:pPr>
          </w:p>
        </w:tc>
        <w:tc>
          <w:tcPr>
            <w:tcW w:w="2610" w:type="dxa"/>
            <w:tcBorders>
              <w:bottom w:val="single" w:sz="4" w:space="0" w:color="auto"/>
            </w:tcBorders>
            <w:noWrap/>
            <w:hideMark/>
          </w:tcPr>
          <w:p w14:paraId="1397D7E2"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Female</w:t>
            </w:r>
          </w:p>
        </w:tc>
        <w:tc>
          <w:tcPr>
            <w:tcW w:w="1530" w:type="dxa"/>
            <w:tcBorders>
              <w:bottom w:val="single" w:sz="4" w:space="0" w:color="auto"/>
            </w:tcBorders>
            <w:noWrap/>
            <w:vAlign w:val="center"/>
            <w:hideMark/>
          </w:tcPr>
          <w:p w14:paraId="4341B9C4"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17957 (30.6%)</w:t>
            </w:r>
          </w:p>
        </w:tc>
        <w:tc>
          <w:tcPr>
            <w:tcW w:w="1440" w:type="dxa"/>
            <w:tcBorders>
              <w:bottom w:val="single" w:sz="4" w:space="0" w:color="auto"/>
            </w:tcBorders>
            <w:noWrap/>
            <w:vAlign w:val="center"/>
            <w:hideMark/>
          </w:tcPr>
          <w:p w14:paraId="4B8064AD"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30295 (58.8%)</w:t>
            </w:r>
          </w:p>
        </w:tc>
        <w:tc>
          <w:tcPr>
            <w:tcW w:w="1530" w:type="dxa"/>
            <w:tcBorders>
              <w:bottom w:val="single" w:sz="4" w:space="0" w:color="auto"/>
            </w:tcBorders>
            <w:noWrap/>
            <w:vAlign w:val="center"/>
            <w:hideMark/>
          </w:tcPr>
          <w:p w14:paraId="17A31DD6"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48252 (43.8%)</w:t>
            </w:r>
          </w:p>
        </w:tc>
      </w:tr>
      <w:tr w:rsidR="00CA0EF0" w:rsidRPr="00361E30" w14:paraId="7B9284E8" w14:textId="77777777" w:rsidTr="003C13F4">
        <w:trPr>
          <w:cantSplit/>
          <w:trHeight w:val="315"/>
        </w:trPr>
        <w:tc>
          <w:tcPr>
            <w:tcW w:w="1500" w:type="dxa"/>
            <w:vMerge w:val="restart"/>
            <w:tcBorders>
              <w:top w:val="single" w:sz="4" w:space="0" w:color="auto"/>
            </w:tcBorders>
            <w:hideMark/>
          </w:tcPr>
          <w:p w14:paraId="4075D078" w14:textId="77777777" w:rsidR="00CA0EF0" w:rsidRPr="00361E30" w:rsidRDefault="00CA0EF0" w:rsidP="003C13F4">
            <w:pPr>
              <w:spacing w:line="240" w:lineRule="auto"/>
              <w:jc w:val="left"/>
              <w:rPr>
                <w:rFonts w:cstheme="minorHAnsi"/>
                <w:b/>
                <w:bCs/>
                <w:sz w:val="20"/>
                <w:szCs w:val="20"/>
                <w:lang w:val="en-GB"/>
              </w:rPr>
            </w:pPr>
            <w:r w:rsidRPr="00361E30">
              <w:rPr>
                <w:rFonts w:cstheme="minorHAnsi"/>
                <w:b/>
                <w:bCs/>
                <w:sz w:val="20"/>
                <w:szCs w:val="20"/>
                <w:lang w:val="en-GB"/>
              </w:rPr>
              <w:t xml:space="preserve">Charlson </w:t>
            </w:r>
            <w:r w:rsidR="005E3024" w:rsidRPr="00361E30">
              <w:rPr>
                <w:rFonts w:cstheme="minorHAnsi"/>
                <w:b/>
                <w:bCs/>
                <w:sz w:val="20"/>
                <w:szCs w:val="20"/>
                <w:lang w:val="en-GB"/>
              </w:rPr>
              <w:t>Comorbidity</w:t>
            </w:r>
            <w:r w:rsidRPr="00361E30">
              <w:rPr>
                <w:rFonts w:cstheme="minorHAnsi"/>
                <w:b/>
                <w:bCs/>
                <w:sz w:val="20"/>
                <w:szCs w:val="20"/>
                <w:lang w:val="en-GB"/>
              </w:rPr>
              <w:t xml:space="preserve"> Index </w:t>
            </w:r>
          </w:p>
        </w:tc>
        <w:tc>
          <w:tcPr>
            <w:tcW w:w="2610" w:type="dxa"/>
            <w:tcBorders>
              <w:top w:val="single" w:sz="4" w:space="0" w:color="auto"/>
            </w:tcBorders>
            <w:noWrap/>
            <w:hideMark/>
          </w:tcPr>
          <w:p w14:paraId="02CB698F"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0</w:t>
            </w:r>
          </w:p>
        </w:tc>
        <w:tc>
          <w:tcPr>
            <w:tcW w:w="1530" w:type="dxa"/>
            <w:tcBorders>
              <w:top w:val="single" w:sz="4" w:space="0" w:color="auto"/>
            </w:tcBorders>
            <w:noWrap/>
            <w:vAlign w:val="center"/>
            <w:hideMark/>
          </w:tcPr>
          <w:p w14:paraId="509D3DE2"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41014 (69.8%)</w:t>
            </w:r>
          </w:p>
        </w:tc>
        <w:tc>
          <w:tcPr>
            <w:tcW w:w="1440" w:type="dxa"/>
            <w:tcBorders>
              <w:top w:val="single" w:sz="4" w:space="0" w:color="auto"/>
            </w:tcBorders>
            <w:noWrap/>
            <w:vAlign w:val="center"/>
            <w:hideMark/>
          </w:tcPr>
          <w:p w14:paraId="3B5BE404"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20442 (39.7%)</w:t>
            </w:r>
          </w:p>
        </w:tc>
        <w:tc>
          <w:tcPr>
            <w:tcW w:w="1530" w:type="dxa"/>
            <w:tcBorders>
              <w:top w:val="single" w:sz="4" w:space="0" w:color="auto"/>
            </w:tcBorders>
            <w:noWrap/>
            <w:vAlign w:val="center"/>
            <w:hideMark/>
          </w:tcPr>
          <w:p w14:paraId="4F4740EC"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61456 (55.8%)</w:t>
            </w:r>
          </w:p>
        </w:tc>
      </w:tr>
      <w:tr w:rsidR="00CA0EF0" w:rsidRPr="00361E30" w14:paraId="1614C119" w14:textId="77777777" w:rsidTr="003C13F4">
        <w:trPr>
          <w:cantSplit/>
          <w:trHeight w:val="300"/>
        </w:trPr>
        <w:tc>
          <w:tcPr>
            <w:tcW w:w="1500" w:type="dxa"/>
            <w:vMerge/>
            <w:hideMark/>
          </w:tcPr>
          <w:p w14:paraId="3F01BD0E"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40BE96D5"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1 - 5</w:t>
            </w:r>
          </w:p>
        </w:tc>
        <w:tc>
          <w:tcPr>
            <w:tcW w:w="1530" w:type="dxa"/>
            <w:noWrap/>
            <w:vAlign w:val="center"/>
            <w:hideMark/>
          </w:tcPr>
          <w:p w14:paraId="6AAD2D90"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9138 (15.6%)</w:t>
            </w:r>
          </w:p>
        </w:tc>
        <w:tc>
          <w:tcPr>
            <w:tcW w:w="1440" w:type="dxa"/>
            <w:noWrap/>
            <w:vAlign w:val="center"/>
            <w:hideMark/>
          </w:tcPr>
          <w:p w14:paraId="10B9D265"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17661 (34.3%)</w:t>
            </w:r>
          </w:p>
        </w:tc>
        <w:tc>
          <w:tcPr>
            <w:tcW w:w="1530" w:type="dxa"/>
            <w:noWrap/>
            <w:vAlign w:val="center"/>
            <w:hideMark/>
          </w:tcPr>
          <w:p w14:paraId="43C92171"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26799 (24.3%)</w:t>
            </w:r>
          </w:p>
        </w:tc>
      </w:tr>
      <w:tr w:rsidR="00CA0EF0" w:rsidRPr="00361E30" w14:paraId="6EEA717E" w14:textId="77777777" w:rsidTr="003C13F4">
        <w:trPr>
          <w:cantSplit/>
          <w:trHeight w:val="300"/>
        </w:trPr>
        <w:tc>
          <w:tcPr>
            <w:tcW w:w="1500" w:type="dxa"/>
            <w:vMerge/>
            <w:hideMark/>
          </w:tcPr>
          <w:p w14:paraId="354095C7"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09BEC7E4"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6 - 10</w:t>
            </w:r>
          </w:p>
        </w:tc>
        <w:tc>
          <w:tcPr>
            <w:tcW w:w="1530" w:type="dxa"/>
            <w:noWrap/>
            <w:vAlign w:val="center"/>
            <w:hideMark/>
          </w:tcPr>
          <w:p w14:paraId="77072C13"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1521 (2.6%)</w:t>
            </w:r>
          </w:p>
        </w:tc>
        <w:tc>
          <w:tcPr>
            <w:tcW w:w="1440" w:type="dxa"/>
            <w:noWrap/>
            <w:vAlign w:val="center"/>
            <w:hideMark/>
          </w:tcPr>
          <w:p w14:paraId="6932C238"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7352 (14.3%)</w:t>
            </w:r>
          </w:p>
        </w:tc>
        <w:tc>
          <w:tcPr>
            <w:tcW w:w="1530" w:type="dxa"/>
            <w:noWrap/>
            <w:vAlign w:val="center"/>
            <w:hideMark/>
          </w:tcPr>
          <w:p w14:paraId="5B51DF25"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8873 (8%)</w:t>
            </w:r>
          </w:p>
        </w:tc>
      </w:tr>
      <w:tr w:rsidR="00CA0EF0" w:rsidRPr="00361E30" w14:paraId="2C72E1A5" w14:textId="77777777" w:rsidTr="003C13F4">
        <w:trPr>
          <w:cantSplit/>
          <w:trHeight w:val="300"/>
        </w:trPr>
        <w:tc>
          <w:tcPr>
            <w:tcW w:w="1500" w:type="dxa"/>
            <w:vMerge/>
            <w:hideMark/>
          </w:tcPr>
          <w:p w14:paraId="3310F3EC"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2C6A7608"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&gt;10</w:t>
            </w:r>
          </w:p>
        </w:tc>
        <w:tc>
          <w:tcPr>
            <w:tcW w:w="1530" w:type="dxa"/>
            <w:noWrap/>
            <w:vAlign w:val="center"/>
            <w:hideMark/>
          </w:tcPr>
          <w:p w14:paraId="0B3EEDD2"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1373 (2.3%)</w:t>
            </w:r>
          </w:p>
        </w:tc>
        <w:tc>
          <w:tcPr>
            <w:tcW w:w="1440" w:type="dxa"/>
            <w:noWrap/>
            <w:vAlign w:val="center"/>
            <w:hideMark/>
          </w:tcPr>
          <w:p w14:paraId="08364DC3"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2802 (5.4%)</w:t>
            </w:r>
          </w:p>
        </w:tc>
        <w:tc>
          <w:tcPr>
            <w:tcW w:w="1530" w:type="dxa"/>
            <w:noWrap/>
            <w:vAlign w:val="center"/>
            <w:hideMark/>
          </w:tcPr>
          <w:p w14:paraId="2651D55C"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4175 (3.8%)</w:t>
            </w:r>
          </w:p>
        </w:tc>
      </w:tr>
      <w:tr w:rsidR="00CA0EF0" w:rsidRPr="00361E30" w14:paraId="71E11B6D" w14:textId="77777777" w:rsidTr="003C13F4">
        <w:trPr>
          <w:cantSplit/>
          <w:trHeight w:val="300"/>
        </w:trPr>
        <w:tc>
          <w:tcPr>
            <w:tcW w:w="1500" w:type="dxa"/>
            <w:vMerge/>
            <w:tcBorders>
              <w:bottom w:val="single" w:sz="4" w:space="0" w:color="auto"/>
            </w:tcBorders>
            <w:hideMark/>
          </w:tcPr>
          <w:p w14:paraId="4E474BC2" w14:textId="77777777" w:rsidR="00CA0EF0" w:rsidRPr="00361E30" w:rsidRDefault="00CA0EF0" w:rsidP="003C13F4">
            <w:pPr>
              <w:spacing w:line="240" w:lineRule="auto"/>
              <w:jc w:val="left"/>
              <w:rPr>
                <w:rFonts w:cstheme="minorHAnsi"/>
                <w:b/>
                <w:bCs/>
                <w:sz w:val="20"/>
                <w:szCs w:val="20"/>
                <w:lang w:val="en-GB"/>
              </w:rPr>
            </w:pPr>
          </w:p>
        </w:tc>
        <w:tc>
          <w:tcPr>
            <w:tcW w:w="2610" w:type="dxa"/>
            <w:tcBorders>
              <w:bottom w:val="single" w:sz="4" w:space="0" w:color="auto"/>
            </w:tcBorders>
            <w:noWrap/>
            <w:hideMark/>
          </w:tcPr>
          <w:p w14:paraId="203242FF"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Not recorded</w:t>
            </w:r>
          </w:p>
        </w:tc>
        <w:tc>
          <w:tcPr>
            <w:tcW w:w="1530" w:type="dxa"/>
            <w:tcBorders>
              <w:bottom w:val="single" w:sz="4" w:space="0" w:color="auto"/>
            </w:tcBorders>
            <w:noWrap/>
            <w:vAlign w:val="center"/>
            <w:hideMark/>
          </w:tcPr>
          <w:p w14:paraId="4340EB3B"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5691 (9.7%)</w:t>
            </w:r>
          </w:p>
        </w:tc>
        <w:tc>
          <w:tcPr>
            <w:tcW w:w="1440" w:type="dxa"/>
            <w:tcBorders>
              <w:bottom w:val="single" w:sz="4" w:space="0" w:color="auto"/>
            </w:tcBorders>
            <w:noWrap/>
            <w:vAlign w:val="center"/>
            <w:hideMark/>
          </w:tcPr>
          <w:p w14:paraId="2C8D11EC"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3234 (6.3%)</w:t>
            </w:r>
          </w:p>
        </w:tc>
        <w:tc>
          <w:tcPr>
            <w:tcW w:w="1530" w:type="dxa"/>
            <w:tcBorders>
              <w:bottom w:val="single" w:sz="4" w:space="0" w:color="auto"/>
            </w:tcBorders>
            <w:noWrap/>
            <w:vAlign w:val="center"/>
            <w:hideMark/>
          </w:tcPr>
          <w:p w14:paraId="3AF55C42"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8925 (8.1%)</w:t>
            </w:r>
          </w:p>
        </w:tc>
      </w:tr>
      <w:tr w:rsidR="00CA0EF0" w:rsidRPr="00361E30" w14:paraId="40107EBD" w14:textId="77777777" w:rsidTr="003C13F4">
        <w:trPr>
          <w:cantSplit/>
          <w:trHeight w:val="300"/>
        </w:trPr>
        <w:tc>
          <w:tcPr>
            <w:tcW w:w="1500" w:type="dxa"/>
            <w:vMerge w:val="restart"/>
            <w:tcBorders>
              <w:top w:val="single" w:sz="4" w:space="0" w:color="auto"/>
            </w:tcBorders>
            <w:noWrap/>
            <w:hideMark/>
          </w:tcPr>
          <w:p w14:paraId="63E6216D" w14:textId="77777777" w:rsidR="00CA0EF0" w:rsidRPr="00361E30" w:rsidRDefault="00CA0EF0" w:rsidP="003C13F4">
            <w:pPr>
              <w:spacing w:line="240" w:lineRule="auto"/>
              <w:jc w:val="left"/>
              <w:rPr>
                <w:rFonts w:cstheme="minorHAnsi"/>
                <w:b/>
                <w:bCs/>
                <w:sz w:val="20"/>
                <w:szCs w:val="20"/>
                <w:lang w:val="en-GB"/>
              </w:rPr>
            </w:pPr>
            <w:r w:rsidRPr="00361E30">
              <w:rPr>
                <w:rFonts w:cstheme="minorHAnsi"/>
                <w:b/>
                <w:bCs/>
                <w:sz w:val="20"/>
                <w:szCs w:val="20"/>
                <w:lang w:val="en-GB"/>
              </w:rPr>
              <w:t>Pre-Injury Medication</w:t>
            </w:r>
          </w:p>
        </w:tc>
        <w:tc>
          <w:tcPr>
            <w:tcW w:w="2610" w:type="dxa"/>
            <w:tcBorders>
              <w:top w:val="single" w:sz="4" w:space="0" w:color="auto"/>
            </w:tcBorders>
            <w:noWrap/>
            <w:hideMark/>
          </w:tcPr>
          <w:p w14:paraId="0E9D441E"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Warfarin</w:t>
            </w:r>
          </w:p>
        </w:tc>
        <w:tc>
          <w:tcPr>
            <w:tcW w:w="1530" w:type="dxa"/>
            <w:tcBorders>
              <w:top w:val="single" w:sz="4" w:space="0" w:color="auto"/>
            </w:tcBorders>
            <w:noWrap/>
            <w:vAlign w:val="center"/>
            <w:hideMark/>
          </w:tcPr>
          <w:p w14:paraId="424AED7E"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37 (0.1%)</w:t>
            </w:r>
          </w:p>
        </w:tc>
        <w:tc>
          <w:tcPr>
            <w:tcW w:w="1440" w:type="dxa"/>
            <w:tcBorders>
              <w:top w:val="single" w:sz="4" w:space="0" w:color="auto"/>
            </w:tcBorders>
            <w:noWrap/>
            <w:vAlign w:val="center"/>
            <w:hideMark/>
          </w:tcPr>
          <w:p w14:paraId="4F85D643"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204 (0.4%)</w:t>
            </w:r>
          </w:p>
        </w:tc>
        <w:tc>
          <w:tcPr>
            <w:tcW w:w="1530" w:type="dxa"/>
            <w:tcBorders>
              <w:top w:val="single" w:sz="4" w:space="0" w:color="auto"/>
            </w:tcBorders>
            <w:noWrap/>
            <w:vAlign w:val="center"/>
            <w:hideMark/>
          </w:tcPr>
          <w:p w14:paraId="5C7999DC"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241 (0.2%)</w:t>
            </w:r>
          </w:p>
        </w:tc>
      </w:tr>
      <w:tr w:rsidR="00CA0EF0" w:rsidRPr="00361E30" w14:paraId="622AB2B7" w14:textId="77777777" w:rsidTr="003C13F4">
        <w:trPr>
          <w:cantSplit/>
          <w:trHeight w:val="300"/>
        </w:trPr>
        <w:tc>
          <w:tcPr>
            <w:tcW w:w="1500" w:type="dxa"/>
            <w:vMerge/>
            <w:noWrap/>
            <w:hideMark/>
          </w:tcPr>
          <w:p w14:paraId="53DAEF20"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11148FFF"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Aspirin</w:t>
            </w:r>
          </w:p>
        </w:tc>
        <w:tc>
          <w:tcPr>
            <w:tcW w:w="1530" w:type="dxa"/>
            <w:noWrap/>
            <w:vAlign w:val="center"/>
            <w:hideMark/>
          </w:tcPr>
          <w:p w14:paraId="5CE4D64B"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20 (0.03%)</w:t>
            </w:r>
          </w:p>
        </w:tc>
        <w:tc>
          <w:tcPr>
            <w:tcW w:w="1440" w:type="dxa"/>
            <w:noWrap/>
            <w:vAlign w:val="center"/>
            <w:hideMark/>
          </w:tcPr>
          <w:p w14:paraId="51FDDEFA"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130 (0.3%)</w:t>
            </w:r>
          </w:p>
        </w:tc>
        <w:tc>
          <w:tcPr>
            <w:tcW w:w="1530" w:type="dxa"/>
            <w:noWrap/>
            <w:vAlign w:val="center"/>
            <w:hideMark/>
          </w:tcPr>
          <w:p w14:paraId="135FED99"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150 (0.1%)</w:t>
            </w:r>
          </w:p>
        </w:tc>
      </w:tr>
      <w:tr w:rsidR="00CA0EF0" w:rsidRPr="00361E30" w14:paraId="7907B471" w14:textId="77777777" w:rsidTr="003C13F4">
        <w:trPr>
          <w:cantSplit/>
          <w:trHeight w:val="300"/>
        </w:trPr>
        <w:tc>
          <w:tcPr>
            <w:tcW w:w="1500" w:type="dxa"/>
            <w:vMerge/>
            <w:tcBorders>
              <w:bottom w:val="single" w:sz="4" w:space="0" w:color="auto"/>
            </w:tcBorders>
            <w:noWrap/>
            <w:hideMark/>
          </w:tcPr>
          <w:p w14:paraId="1B16EFCC" w14:textId="77777777" w:rsidR="00CA0EF0" w:rsidRPr="00361E30" w:rsidRDefault="00CA0EF0" w:rsidP="003C13F4">
            <w:pPr>
              <w:spacing w:line="240" w:lineRule="auto"/>
              <w:jc w:val="left"/>
              <w:rPr>
                <w:rFonts w:cstheme="minorHAnsi"/>
                <w:b/>
                <w:bCs/>
                <w:sz w:val="20"/>
                <w:szCs w:val="20"/>
                <w:lang w:val="en-GB"/>
              </w:rPr>
            </w:pPr>
          </w:p>
        </w:tc>
        <w:tc>
          <w:tcPr>
            <w:tcW w:w="2610" w:type="dxa"/>
            <w:tcBorders>
              <w:bottom w:val="single" w:sz="4" w:space="0" w:color="auto"/>
            </w:tcBorders>
            <w:noWrap/>
            <w:hideMark/>
          </w:tcPr>
          <w:p w14:paraId="59FA2C5D"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Clopidogrel</w:t>
            </w:r>
          </w:p>
        </w:tc>
        <w:tc>
          <w:tcPr>
            <w:tcW w:w="1530" w:type="dxa"/>
            <w:tcBorders>
              <w:bottom w:val="single" w:sz="4" w:space="0" w:color="auto"/>
            </w:tcBorders>
            <w:noWrap/>
            <w:vAlign w:val="center"/>
            <w:hideMark/>
          </w:tcPr>
          <w:p w14:paraId="6D84E205"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5 (0.01%)</w:t>
            </w:r>
          </w:p>
        </w:tc>
        <w:tc>
          <w:tcPr>
            <w:tcW w:w="1440" w:type="dxa"/>
            <w:tcBorders>
              <w:bottom w:val="single" w:sz="4" w:space="0" w:color="auto"/>
            </w:tcBorders>
            <w:noWrap/>
            <w:vAlign w:val="center"/>
            <w:hideMark/>
          </w:tcPr>
          <w:p w14:paraId="1DDFCBC9"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30 (0.1%)</w:t>
            </w:r>
          </w:p>
        </w:tc>
        <w:tc>
          <w:tcPr>
            <w:tcW w:w="1530" w:type="dxa"/>
            <w:tcBorders>
              <w:bottom w:val="single" w:sz="4" w:space="0" w:color="auto"/>
            </w:tcBorders>
            <w:noWrap/>
            <w:vAlign w:val="center"/>
            <w:hideMark/>
          </w:tcPr>
          <w:p w14:paraId="2D999C23"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35 (0.03%)</w:t>
            </w:r>
          </w:p>
        </w:tc>
      </w:tr>
      <w:tr w:rsidR="00CA0EF0" w:rsidRPr="00361E30" w14:paraId="3B421046" w14:textId="77777777" w:rsidTr="003C13F4">
        <w:trPr>
          <w:cantSplit/>
          <w:trHeight w:val="300"/>
        </w:trPr>
        <w:tc>
          <w:tcPr>
            <w:tcW w:w="1500" w:type="dxa"/>
            <w:vMerge w:val="restart"/>
            <w:tcBorders>
              <w:top w:val="single" w:sz="4" w:space="0" w:color="auto"/>
            </w:tcBorders>
            <w:noWrap/>
            <w:hideMark/>
          </w:tcPr>
          <w:p w14:paraId="37A24910" w14:textId="77777777" w:rsidR="00CA0EF0" w:rsidRPr="00361E30" w:rsidRDefault="00CA0EF0" w:rsidP="003C13F4">
            <w:pPr>
              <w:spacing w:line="240" w:lineRule="auto"/>
              <w:jc w:val="left"/>
              <w:rPr>
                <w:rFonts w:cstheme="minorHAnsi"/>
                <w:b/>
                <w:bCs/>
                <w:sz w:val="20"/>
                <w:szCs w:val="20"/>
                <w:lang w:val="en-GB"/>
              </w:rPr>
            </w:pPr>
            <w:r w:rsidRPr="00361E30">
              <w:rPr>
                <w:rFonts w:cstheme="minorHAnsi"/>
                <w:b/>
                <w:bCs/>
                <w:sz w:val="20"/>
                <w:szCs w:val="20"/>
                <w:lang w:val="en-GB"/>
              </w:rPr>
              <w:t>Mechanism of Injury</w:t>
            </w:r>
          </w:p>
        </w:tc>
        <w:tc>
          <w:tcPr>
            <w:tcW w:w="2610" w:type="dxa"/>
            <w:tcBorders>
              <w:top w:val="single" w:sz="4" w:space="0" w:color="auto"/>
            </w:tcBorders>
            <w:noWrap/>
            <w:hideMark/>
          </w:tcPr>
          <w:p w14:paraId="67D9C7F2"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Fall &lt;2m</w:t>
            </w:r>
          </w:p>
        </w:tc>
        <w:tc>
          <w:tcPr>
            <w:tcW w:w="1530" w:type="dxa"/>
            <w:tcBorders>
              <w:top w:val="single" w:sz="4" w:space="0" w:color="auto"/>
            </w:tcBorders>
            <w:noWrap/>
            <w:vAlign w:val="center"/>
            <w:hideMark/>
          </w:tcPr>
          <w:p w14:paraId="28D886A7"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19760 (33.6%)</w:t>
            </w:r>
          </w:p>
        </w:tc>
        <w:tc>
          <w:tcPr>
            <w:tcW w:w="1440" w:type="dxa"/>
            <w:tcBorders>
              <w:top w:val="single" w:sz="4" w:space="0" w:color="auto"/>
            </w:tcBorders>
            <w:noWrap/>
            <w:vAlign w:val="center"/>
            <w:hideMark/>
          </w:tcPr>
          <w:p w14:paraId="15B27230"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40363 (78.4%)</w:t>
            </w:r>
          </w:p>
        </w:tc>
        <w:tc>
          <w:tcPr>
            <w:tcW w:w="1530" w:type="dxa"/>
            <w:tcBorders>
              <w:top w:val="single" w:sz="4" w:space="0" w:color="auto"/>
            </w:tcBorders>
            <w:noWrap/>
            <w:vAlign w:val="center"/>
            <w:hideMark/>
          </w:tcPr>
          <w:p w14:paraId="79D353C8"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60123 (54.5%)</w:t>
            </w:r>
          </w:p>
        </w:tc>
      </w:tr>
      <w:tr w:rsidR="00CA0EF0" w:rsidRPr="00361E30" w14:paraId="5A9F67A8" w14:textId="77777777" w:rsidTr="003C13F4">
        <w:trPr>
          <w:cantSplit/>
          <w:trHeight w:val="300"/>
        </w:trPr>
        <w:tc>
          <w:tcPr>
            <w:tcW w:w="1500" w:type="dxa"/>
            <w:vMerge/>
            <w:noWrap/>
            <w:hideMark/>
          </w:tcPr>
          <w:p w14:paraId="70772791"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2635D339"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Fall &gt;2m</w:t>
            </w:r>
          </w:p>
        </w:tc>
        <w:tc>
          <w:tcPr>
            <w:tcW w:w="1530" w:type="dxa"/>
            <w:noWrap/>
            <w:vAlign w:val="center"/>
            <w:hideMark/>
          </w:tcPr>
          <w:p w14:paraId="79F4FAC2"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9864 (16.8%)</w:t>
            </w:r>
          </w:p>
        </w:tc>
        <w:tc>
          <w:tcPr>
            <w:tcW w:w="1440" w:type="dxa"/>
            <w:noWrap/>
            <w:vAlign w:val="center"/>
            <w:hideMark/>
          </w:tcPr>
          <w:p w14:paraId="4644E880"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5561 (10.8%)</w:t>
            </w:r>
          </w:p>
        </w:tc>
        <w:tc>
          <w:tcPr>
            <w:tcW w:w="1530" w:type="dxa"/>
            <w:noWrap/>
            <w:vAlign w:val="center"/>
            <w:hideMark/>
          </w:tcPr>
          <w:p w14:paraId="5C985270"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15425 (14%)</w:t>
            </w:r>
          </w:p>
        </w:tc>
      </w:tr>
      <w:tr w:rsidR="00CA0EF0" w:rsidRPr="00361E30" w14:paraId="43708764" w14:textId="77777777" w:rsidTr="003C13F4">
        <w:trPr>
          <w:cantSplit/>
          <w:trHeight w:val="300"/>
        </w:trPr>
        <w:tc>
          <w:tcPr>
            <w:tcW w:w="1500" w:type="dxa"/>
            <w:vMerge/>
            <w:noWrap/>
            <w:hideMark/>
          </w:tcPr>
          <w:p w14:paraId="3058711F"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4BF88AFA"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Vehicle Incident/collision</w:t>
            </w:r>
          </w:p>
        </w:tc>
        <w:tc>
          <w:tcPr>
            <w:tcW w:w="1530" w:type="dxa"/>
            <w:noWrap/>
            <w:vAlign w:val="center"/>
            <w:hideMark/>
          </w:tcPr>
          <w:p w14:paraId="18F8750F"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19483 (33.2%)</w:t>
            </w:r>
          </w:p>
        </w:tc>
        <w:tc>
          <w:tcPr>
            <w:tcW w:w="1440" w:type="dxa"/>
            <w:noWrap/>
            <w:vAlign w:val="center"/>
            <w:hideMark/>
          </w:tcPr>
          <w:p w14:paraId="0EAF8AEE"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4367 (8.5%)</w:t>
            </w:r>
          </w:p>
        </w:tc>
        <w:tc>
          <w:tcPr>
            <w:tcW w:w="1530" w:type="dxa"/>
            <w:noWrap/>
            <w:vAlign w:val="center"/>
            <w:hideMark/>
          </w:tcPr>
          <w:p w14:paraId="7F719510"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23850 (21.6%)</w:t>
            </w:r>
          </w:p>
        </w:tc>
      </w:tr>
      <w:tr w:rsidR="00CA0EF0" w:rsidRPr="00361E30" w14:paraId="6BFF3868" w14:textId="77777777" w:rsidTr="003C13F4">
        <w:trPr>
          <w:cantSplit/>
          <w:trHeight w:val="300"/>
        </w:trPr>
        <w:tc>
          <w:tcPr>
            <w:tcW w:w="1500" w:type="dxa"/>
            <w:vMerge/>
            <w:tcBorders>
              <w:bottom w:val="single" w:sz="4" w:space="0" w:color="auto"/>
            </w:tcBorders>
            <w:noWrap/>
            <w:hideMark/>
          </w:tcPr>
          <w:p w14:paraId="4F06D57A" w14:textId="77777777" w:rsidR="00CA0EF0" w:rsidRPr="00361E30" w:rsidRDefault="00CA0EF0" w:rsidP="003C13F4">
            <w:pPr>
              <w:spacing w:line="240" w:lineRule="auto"/>
              <w:jc w:val="left"/>
              <w:rPr>
                <w:rFonts w:cstheme="minorHAnsi"/>
                <w:b/>
                <w:bCs/>
                <w:sz w:val="20"/>
                <w:szCs w:val="20"/>
                <w:lang w:val="en-GB"/>
              </w:rPr>
            </w:pPr>
          </w:p>
        </w:tc>
        <w:tc>
          <w:tcPr>
            <w:tcW w:w="2610" w:type="dxa"/>
            <w:tcBorders>
              <w:bottom w:val="single" w:sz="4" w:space="0" w:color="auto"/>
            </w:tcBorders>
            <w:noWrap/>
            <w:hideMark/>
          </w:tcPr>
          <w:p w14:paraId="54389478"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Other</w:t>
            </w:r>
          </w:p>
        </w:tc>
        <w:tc>
          <w:tcPr>
            <w:tcW w:w="1530" w:type="dxa"/>
            <w:tcBorders>
              <w:bottom w:val="single" w:sz="4" w:space="0" w:color="auto"/>
            </w:tcBorders>
            <w:noWrap/>
            <w:vAlign w:val="center"/>
            <w:hideMark/>
          </w:tcPr>
          <w:p w14:paraId="19A48FB2"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9630 (16.4%)</w:t>
            </w:r>
          </w:p>
        </w:tc>
        <w:tc>
          <w:tcPr>
            <w:tcW w:w="1440" w:type="dxa"/>
            <w:tcBorders>
              <w:bottom w:val="single" w:sz="4" w:space="0" w:color="auto"/>
            </w:tcBorders>
            <w:noWrap/>
            <w:vAlign w:val="center"/>
            <w:hideMark/>
          </w:tcPr>
          <w:p w14:paraId="592959CF"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1200 (2.3%)</w:t>
            </w:r>
          </w:p>
        </w:tc>
        <w:tc>
          <w:tcPr>
            <w:tcW w:w="1530" w:type="dxa"/>
            <w:tcBorders>
              <w:bottom w:val="single" w:sz="4" w:space="0" w:color="auto"/>
            </w:tcBorders>
            <w:noWrap/>
            <w:vAlign w:val="center"/>
            <w:hideMark/>
          </w:tcPr>
          <w:p w14:paraId="2267323E"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10830 (9.8%)</w:t>
            </w:r>
          </w:p>
        </w:tc>
      </w:tr>
      <w:tr w:rsidR="00CA0EF0" w:rsidRPr="00361E30" w14:paraId="219F2971" w14:textId="77777777" w:rsidTr="003C13F4">
        <w:trPr>
          <w:cantSplit/>
          <w:trHeight w:val="300"/>
        </w:trPr>
        <w:tc>
          <w:tcPr>
            <w:tcW w:w="1500" w:type="dxa"/>
            <w:vMerge w:val="restart"/>
            <w:tcBorders>
              <w:top w:val="single" w:sz="4" w:space="0" w:color="auto"/>
            </w:tcBorders>
            <w:noWrap/>
            <w:hideMark/>
          </w:tcPr>
          <w:p w14:paraId="3923DD5A" w14:textId="77777777" w:rsidR="00CA0EF0" w:rsidRPr="00361E30" w:rsidRDefault="00CA0EF0" w:rsidP="003C13F4">
            <w:pPr>
              <w:spacing w:line="240" w:lineRule="auto"/>
              <w:jc w:val="left"/>
              <w:rPr>
                <w:rFonts w:cstheme="minorHAnsi"/>
                <w:b/>
                <w:bCs/>
                <w:sz w:val="20"/>
                <w:szCs w:val="20"/>
                <w:lang w:val="en-GB"/>
              </w:rPr>
            </w:pPr>
            <w:r w:rsidRPr="00361E30">
              <w:rPr>
                <w:rFonts w:cstheme="minorHAnsi"/>
                <w:b/>
                <w:bCs/>
                <w:sz w:val="20"/>
                <w:szCs w:val="20"/>
                <w:lang w:val="en-GB"/>
              </w:rPr>
              <w:t>Injury Pattern</w:t>
            </w:r>
          </w:p>
        </w:tc>
        <w:tc>
          <w:tcPr>
            <w:tcW w:w="2610" w:type="dxa"/>
            <w:tcBorders>
              <w:top w:val="single" w:sz="4" w:space="0" w:color="auto"/>
            </w:tcBorders>
            <w:noWrap/>
            <w:hideMark/>
          </w:tcPr>
          <w:p w14:paraId="2FEF8B01"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Head Injuries, AIS &gt;=3</w:t>
            </w:r>
          </w:p>
        </w:tc>
        <w:tc>
          <w:tcPr>
            <w:tcW w:w="1530" w:type="dxa"/>
            <w:tcBorders>
              <w:top w:val="single" w:sz="4" w:space="0" w:color="auto"/>
            </w:tcBorders>
            <w:noWrap/>
            <w:vAlign w:val="center"/>
            <w:hideMark/>
          </w:tcPr>
          <w:p w14:paraId="13B47FE1"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14689 (25%)</w:t>
            </w:r>
          </w:p>
        </w:tc>
        <w:tc>
          <w:tcPr>
            <w:tcW w:w="1440" w:type="dxa"/>
            <w:tcBorders>
              <w:top w:val="single" w:sz="4" w:space="0" w:color="auto"/>
            </w:tcBorders>
            <w:noWrap/>
            <w:vAlign w:val="center"/>
            <w:hideMark/>
          </w:tcPr>
          <w:p w14:paraId="0E9A9E67"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14574 (28.3%)</w:t>
            </w:r>
          </w:p>
        </w:tc>
        <w:tc>
          <w:tcPr>
            <w:tcW w:w="1530" w:type="dxa"/>
            <w:tcBorders>
              <w:top w:val="single" w:sz="4" w:space="0" w:color="auto"/>
            </w:tcBorders>
            <w:noWrap/>
            <w:vAlign w:val="center"/>
            <w:hideMark/>
          </w:tcPr>
          <w:p w14:paraId="5CBB89B7"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29263 (26.5%)</w:t>
            </w:r>
          </w:p>
        </w:tc>
      </w:tr>
      <w:tr w:rsidR="00CA0EF0" w:rsidRPr="00361E30" w14:paraId="3109D18D" w14:textId="77777777" w:rsidTr="003C13F4">
        <w:trPr>
          <w:cantSplit/>
          <w:trHeight w:val="300"/>
        </w:trPr>
        <w:tc>
          <w:tcPr>
            <w:tcW w:w="1500" w:type="dxa"/>
            <w:vMerge/>
            <w:noWrap/>
            <w:hideMark/>
          </w:tcPr>
          <w:p w14:paraId="7205A678"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5DD0424D"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Facial injuries, AIS &gt;=3</w:t>
            </w:r>
          </w:p>
        </w:tc>
        <w:tc>
          <w:tcPr>
            <w:tcW w:w="1530" w:type="dxa"/>
            <w:noWrap/>
            <w:vAlign w:val="center"/>
            <w:hideMark/>
          </w:tcPr>
          <w:p w14:paraId="198C75CB"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224 (0.4%)</w:t>
            </w:r>
          </w:p>
        </w:tc>
        <w:tc>
          <w:tcPr>
            <w:tcW w:w="1440" w:type="dxa"/>
            <w:noWrap/>
            <w:vAlign w:val="center"/>
            <w:hideMark/>
          </w:tcPr>
          <w:p w14:paraId="3C8F9CDA"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54 (0.1%)</w:t>
            </w:r>
          </w:p>
        </w:tc>
        <w:tc>
          <w:tcPr>
            <w:tcW w:w="1530" w:type="dxa"/>
            <w:noWrap/>
            <w:vAlign w:val="center"/>
            <w:hideMark/>
          </w:tcPr>
          <w:p w14:paraId="6C812232"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278 (0.3%)</w:t>
            </w:r>
          </w:p>
        </w:tc>
      </w:tr>
      <w:tr w:rsidR="00CA0EF0" w:rsidRPr="00361E30" w14:paraId="060B3B60" w14:textId="77777777" w:rsidTr="003C13F4">
        <w:trPr>
          <w:cantSplit/>
          <w:trHeight w:val="300"/>
        </w:trPr>
        <w:tc>
          <w:tcPr>
            <w:tcW w:w="1500" w:type="dxa"/>
            <w:vMerge/>
            <w:noWrap/>
            <w:hideMark/>
          </w:tcPr>
          <w:p w14:paraId="60B8CB96"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2C6730A1"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Thoracic injuries, AIS &gt;=3</w:t>
            </w:r>
          </w:p>
        </w:tc>
        <w:tc>
          <w:tcPr>
            <w:tcW w:w="1530" w:type="dxa"/>
            <w:noWrap/>
            <w:vAlign w:val="center"/>
            <w:hideMark/>
          </w:tcPr>
          <w:p w14:paraId="0DC162FD"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13965 (23.8%)</w:t>
            </w:r>
          </w:p>
        </w:tc>
        <w:tc>
          <w:tcPr>
            <w:tcW w:w="1440" w:type="dxa"/>
            <w:noWrap/>
            <w:vAlign w:val="center"/>
            <w:hideMark/>
          </w:tcPr>
          <w:p w14:paraId="4EFF36DC"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7516 (14.6%)</w:t>
            </w:r>
          </w:p>
        </w:tc>
        <w:tc>
          <w:tcPr>
            <w:tcW w:w="1530" w:type="dxa"/>
            <w:noWrap/>
            <w:vAlign w:val="center"/>
            <w:hideMark/>
          </w:tcPr>
          <w:p w14:paraId="2FE8838B"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21481 (19.5%)</w:t>
            </w:r>
          </w:p>
        </w:tc>
      </w:tr>
      <w:tr w:rsidR="00CA0EF0" w:rsidRPr="00361E30" w14:paraId="0728D91B" w14:textId="77777777" w:rsidTr="003C13F4">
        <w:trPr>
          <w:cantSplit/>
          <w:trHeight w:val="300"/>
        </w:trPr>
        <w:tc>
          <w:tcPr>
            <w:tcW w:w="1500" w:type="dxa"/>
            <w:vMerge/>
            <w:noWrap/>
            <w:hideMark/>
          </w:tcPr>
          <w:p w14:paraId="77F1771C"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057377F1"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Abdominal injuries, AIS &gt;=3</w:t>
            </w:r>
          </w:p>
        </w:tc>
        <w:tc>
          <w:tcPr>
            <w:tcW w:w="1530" w:type="dxa"/>
            <w:noWrap/>
            <w:vAlign w:val="center"/>
            <w:hideMark/>
          </w:tcPr>
          <w:p w14:paraId="39CD1B50"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3212 (5.5%)</w:t>
            </w:r>
          </w:p>
        </w:tc>
        <w:tc>
          <w:tcPr>
            <w:tcW w:w="1440" w:type="dxa"/>
            <w:noWrap/>
            <w:vAlign w:val="center"/>
            <w:hideMark/>
          </w:tcPr>
          <w:p w14:paraId="0C9D9FD6"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590 (1.1%)</w:t>
            </w:r>
          </w:p>
        </w:tc>
        <w:tc>
          <w:tcPr>
            <w:tcW w:w="1530" w:type="dxa"/>
            <w:noWrap/>
            <w:vAlign w:val="center"/>
            <w:hideMark/>
          </w:tcPr>
          <w:p w14:paraId="16098B11"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3802 (3.4%)</w:t>
            </w:r>
          </w:p>
        </w:tc>
      </w:tr>
      <w:tr w:rsidR="00CA0EF0" w:rsidRPr="00361E30" w14:paraId="52154D14" w14:textId="77777777" w:rsidTr="003C13F4">
        <w:trPr>
          <w:cantSplit/>
          <w:trHeight w:val="300"/>
        </w:trPr>
        <w:tc>
          <w:tcPr>
            <w:tcW w:w="1500" w:type="dxa"/>
            <w:vMerge/>
            <w:noWrap/>
            <w:hideMark/>
          </w:tcPr>
          <w:p w14:paraId="451D90B0"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1A448C67"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Spinal Injuries, AIS &gt;=3</w:t>
            </w:r>
          </w:p>
        </w:tc>
        <w:tc>
          <w:tcPr>
            <w:tcW w:w="1530" w:type="dxa"/>
            <w:noWrap/>
            <w:vAlign w:val="center"/>
            <w:hideMark/>
          </w:tcPr>
          <w:p w14:paraId="52CB0470"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5557 (9.5%)</w:t>
            </w:r>
          </w:p>
        </w:tc>
        <w:tc>
          <w:tcPr>
            <w:tcW w:w="1440" w:type="dxa"/>
            <w:noWrap/>
            <w:vAlign w:val="center"/>
            <w:hideMark/>
          </w:tcPr>
          <w:p w14:paraId="51761F4B"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5199 (10.1%)</w:t>
            </w:r>
          </w:p>
        </w:tc>
        <w:tc>
          <w:tcPr>
            <w:tcW w:w="1530" w:type="dxa"/>
            <w:noWrap/>
            <w:vAlign w:val="center"/>
            <w:hideMark/>
          </w:tcPr>
          <w:p w14:paraId="3B9B5B96"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10756 (9.8%)</w:t>
            </w:r>
          </w:p>
        </w:tc>
      </w:tr>
      <w:tr w:rsidR="00CA0EF0" w:rsidRPr="00361E30" w14:paraId="1CB4DDAD" w14:textId="77777777" w:rsidTr="003C13F4">
        <w:trPr>
          <w:cantSplit/>
          <w:trHeight w:val="300"/>
        </w:trPr>
        <w:tc>
          <w:tcPr>
            <w:tcW w:w="1500" w:type="dxa"/>
            <w:vMerge/>
            <w:noWrap/>
            <w:hideMark/>
          </w:tcPr>
          <w:p w14:paraId="163ACBF7"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68AF7215"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Pelvic injuries, AIS&gt;=3</w:t>
            </w:r>
          </w:p>
        </w:tc>
        <w:tc>
          <w:tcPr>
            <w:tcW w:w="1530" w:type="dxa"/>
            <w:noWrap/>
            <w:vAlign w:val="center"/>
            <w:hideMark/>
          </w:tcPr>
          <w:p w14:paraId="2DB8880A"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2538 (4.3%)</w:t>
            </w:r>
          </w:p>
        </w:tc>
        <w:tc>
          <w:tcPr>
            <w:tcW w:w="1440" w:type="dxa"/>
            <w:noWrap/>
            <w:vAlign w:val="center"/>
            <w:hideMark/>
          </w:tcPr>
          <w:p w14:paraId="1B47BD81"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897 (1.7%)</w:t>
            </w:r>
          </w:p>
        </w:tc>
        <w:tc>
          <w:tcPr>
            <w:tcW w:w="1530" w:type="dxa"/>
            <w:noWrap/>
            <w:vAlign w:val="center"/>
            <w:hideMark/>
          </w:tcPr>
          <w:p w14:paraId="2A3DB77C"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3435 (3.1%)</w:t>
            </w:r>
          </w:p>
        </w:tc>
      </w:tr>
      <w:tr w:rsidR="00CA0EF0" w:rsidRPr="00361E30" w14:paraId="003EF63E" w14:textId="77777777" w:rsidTr="003C13F4">
        <w:trPr>
          <w:cantSplit/>
          <w:trHeight w:val="300"/>
        </w:trPr>
        <w:tc>
          <w:tcPr>
            <w:tcW w:w="1500" w:type="dxa"/>
            <w:vMerge/>
            <w:noWrap/>
            <w:hideMark/>
          </w:tcPr>
          <w:p w14:paraId="61A8F037"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29145AEE"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Limb injuries, AIS &gt;=3</w:t>
            </w:r>
          </w:p>
        </w:tc>
        <w:tc>
          <w:tcPr>
            <w:tcW w:w="1530" w:type="dxa"/>
            <w:noWrap/>
            <w:vAlign w:val="center"/>
            <w:hideMark/>
          </w:tcPr>
          <w:p w14:paraId="0CF113FC"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17765 (30.2%)</w:t>
            </w:r>
          </w:p>
        </w:tc>
        <w:tc>
          <w:tcPr>
            <w:tcW w:w="1440" w:type="dxa"/>
            <w:noWrap/>
            <w:vAlign w:val="center"/>
            <w:hideMark/>
          </w:tcPr>
          <w:p w14:paraId="179874E1"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13525 (26.3%)</w:t>
            </w:r>
          </w:p>
        </w:tc>
        <w:tc>
          <w:tcPr>
            <w:tcW w:w="1530" w:type="dxa"/>
            <w:noWrap/>
            <w:vAlign w:val="center"/>
            <w:hideMark/>
          </w:tcPr>
          <w:p w14:paraId="4EC89668"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31290 (28.4%)</w:t>
            </w:r>
          </w:p>
        </w:tc>
      </w:tr>
      <w:tr w:rsidR="00CA0EF0" w:rsidRPr="00361E30" w14:paraId="32B55DA0" w14:textId="77777777" w:rsidTr="003C13F4">
        <w:trPr>
          <w:cantSplit/>
          <w:trHeight w:val="300"/>
        </w:trPr>
        <w:tc>
          <w:tcPr>
            <w:tcW w:w="1500" w:type="dxa"/>
            <w:vMerge/>
            <w:tcBorders>
              <w:bottom w:val="single" w:sz="4" w:space="0" w:color="auto"/>
            </w:tcBorders>
            <w:noWrap/>
            <w:hideMark/>
          </w:tcPr>
          <w:p w14:paraId="0A794F91" w14:textId="77777777" w:rsidR="00CA0EF0" w:rsidRPr="00361E30" w:rsidRDefault="00CA0EF0" w:rsidP="003C13F4">
            <w:pPr>
              <w:spacing w:line="240" w:lineRule="auto"/>
              <w:jc w:val="left"/>
              <w:rPr>
                <w:rFonts w:cstheme="minorHAnsi"/>
                <w:b/>
                <w:bCs/>
                <w:sz w:val="20"/>
                <w:szCs w:val="20"/>
                <w:lang w:val="en-GB"/>
              </w:rPr>
            </w:pPr>
          </w:p>
        </w:tc>
        <w:tc>
          <w:tcPr>
            <w:tcW w:w="2610" w:type="dxa"/>
            <w:tcBorders>
              <w:bottom w:val="single" w:sz="4" w:space="0" w:color="auto"/>
            </w:tcBorders>
            <w:noWrap/>
            <w:hideMark/>
          </w:tcPr>
          <w:p w14:paraId="6AEE1324"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Other Injuries, AIS &gt;=3</w:t>
            </w:r>
          </w:p>
        </w:tc>
        <w:tc>
          <w:tcPr>
            <w:tcW w:w="1530" w:type="dxa"/>
            <w:tcBorders>
              <w:bottom w:val="single" w:sz="4" w:space="0" w:color="auto"/>
            </w:tcBorders>
            <w:noWrap/>
            <w:vAlign w:val="center"/>
            <w:hideMark/>
          </w:tcPr>
          <w:p w14:paraId="4A612D66"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856 (1.5%)</w:t>
            </w:r>
          </w:p>
        </w:tc>
        <w:tc>
          <w:tcPr>
            <w:tcW w:w="1440" w:type="dxa"/>
            <w:tcBorders>
              <w:bottom w:val="single" w:sz="4" w:space="0" w:color="auto"/>
            </w:tcBorders>
            <w:noWrap/>
            <w:vAlign w:val="center"/>
            <w:hideMark/>
          </w:tcPr>
          <w:p w14:paraId="0D17912D"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149 (0.3%)</w:t>
            </w:r>
          </w:p>
        </w:tc>
        <w:tc>
          <w:tcPr>
            <w:tcW w:w="1530" w:type="dxa"/>
            <w:tcBorders>
              <w:bottom w:val="single" w:sz="4" w:space="0" w:color="auto"/>
            </w:tcBorders>
            <w:noWrap/>
            <w:vAlign w:val="center"/>
            <w:hideMark/>
          </w:tcPr>
          <w:p w14:paraId="5C292D22"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1005 (0.9%)</w:t>
            </w:r>
          </w:p>
        </w:tc>
      </w:tr>
      <w:tr w:rsidR="00CA0EF0" w:rsidRPr="00361E30" w14:paraId="5251264E" w14:textId="77777777" w:rsidTr="003C13F4">
        <w:trPr>
          <w:cantSplit/>
          <w:trHeight w:val="300"/>
        </w:trPr>
        <w:tc>
          <w:tcPr>
            <w:tcW w:w="1500" w:type="dxa"/>
            <w:vMerge w:val="restart"/>
            <w:tcBorders>
              <w:top w:val="single" w:sz="4" w:space="0" w:color="auto"/>
            </w:tcBorders>
            <w:noWrap/>
            <w:hideMark/>
          </w:tcPr>
          <w:p w14:paraId="72D588A8" w14:textId="77777777" w:rsidR="00CA0EF0" w:rsidRPr="00361E30" w:rsidRDefault="00CA0EF0" w:rsidP="003C13F4">
            <w:pPr>
              <w:spacing w:line="240" w:lineRule="auto"/>
              <w:jc w:val="left"/>
              <w:rPr>
                <w:rFonts w:cstheme="minorHAnsi"/>
                <w:b/>
                <w:bCs/>
                <w:sz w:val="20"/>
                <w:szCs w:val="20"/>
                <w:lang w:val="en-GB"/>
              </w:rPr>
            </w:pPr>
            <w:r w:rsidRPr="00361E30">
              <w:rPr>
                <w:rFonts w:cstheme="minorHAnsi"/>
                <w:b/>
                <w:bCs/>
                <w:sz w:val="20"/>
                <w:szCs w:val="20"/>
                <w:lang w:val="en-GB"/>
              </w:rPr>
              <w:t>Injury Severity Score</w:t>
            </w:r>
          </w:p>
        </w:tc>
        <w:tc>
          <w:tcPr>
            <w:tcW w:w="2610" w:type="dxa"/>
            <w:tcBorders>
              <w:top w:val="single" w:sz="4" w:space="0" w:color="auto"/>
            </w:tcBorders>
            <w:noWrap/>
            <w:hideMark/>
          </w:tcPr>
          <w:p w14:paraId="04E88474"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&lt;9</w:t>
            </w:r>
          </w:p>
        </w:tc>
        <w:tc>
          <w:tcPr>
            <w:tcW w:w="1530" w:type="dxa"/>
            <w:tcBorders>
              <w:top w:val="single" w:sz="4" w:space="0" w:color="auto"/>
            </w:tcBorders>
            <w:noWrap/>
            <w:vAlign w:val="center"/>
            <w:hideMark/>
          </w:tcPr>
          <w:p w14:paraId="672E0D83"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10291 (17.5%)</w:t>
            </w:r>
          </w:p>
        </w:tc>
        <w:tc>
          <w:tcPr>
            <w:tcW w:w="1440" w:type="dxa"/>
            <w:tcBorders>
              <w:top w:val="single" w:sz="4" w:space="0" w:color="auto"/>
            </w:tcBorders>
            <w:noWrap/>
            <w:vAlign w:val="center"/>
            <w:hideMark/>
          </w:tcPr>
          <w:p w14:paraId="6CC93D58"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12390 (24.1%)</w:t>
            </w:r>
          </w:p>
        </w:tc>
        <w:tc>
          <w:tcPr>
            <w:tcW w:w="1530" w:type="dxa"/>
            <w:tcBorders>
              <w:top w:val="single" w:sz="4" w:space="0" w:color="auto"/>
            </w:tcBorders>
            <w:noWrap/>
            <w:vAlign w:val="center"/>
            <w:hideMark/>
          </w:tcPr>
          <w:p w14:paraId="7F43423D"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22681 (20.6%)</w:t>
            </w:r>
          </w:p>
        </w:tc>
      </w:tr>
      <w:tr w:rsidR="00CA0EF0" w:rsidRPr="00361E30" w14:paraId="2DFFDA6F" w14:textId="77777777" w:rsidTr="003C13F4">
        <w:trPr>
          <w:cantSplit/>
          <w:trHeight w:val="300"/>
        </w:trPr>
        <w:tc>
          <w:tcPr>
            <w:tcW w:w="1500" w:type="dxa"/>
            <w:vMerge/>
            <w:noWrap/>
            <w:hideMark/>
          </w:tcPr>
          <w:p w14:paraId="0E3759D4"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7C7DC52C"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9 - 15</w:t>
            </w:r>
          </w:p>
        </w:tc>
        <w:tc>
          <w:tcPr>
            <w:tcW w:w="1530" w:type="dxa"/>
            <w:noWrap/>
            <w:vAlign w:val="center"/>
            <w:hideMark/>
          </w:tcPr>
          <w:p w14:paraId="00021ACE"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25802 (43.9%)</w:t>
            </w:r>
          </w:p>
        </w:tc>
        <w:tc>
          <w:tcPr>
            <w:tcW w:w="1440" w:type="dxa"/>
            <w:noWrap/>
            <w:vAlign w:val="center"/>
            <w:hideMark/>
          </w:tcPr>
          <w:p w14:paraId="6BCB0103"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21906 (42.5%)</w:t>
            </w:r>
          </w:p>
        </w:tc>
        <w:tc>
          <w:tcPr>
            <w:tcW w:w="1530" w:type="dxa"/>
            <w:noWrap/>
            <w:vAlign w:val="center"/>
            <w:hideMark/>
          </w:tcPr>
          <w:p w14:paraId="65F2C86D"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47708 (43.3%)</w:t>
            </w:r>
          </w:p>
        </w:tc>
      </w:tr>
      <w:tr w:rsidR="00CA0EF0" w:rsidRPr="00361E30" w14:paraId="714AF83B" w14:textId="77777777" w:rsidTr="003C13F4">
        <w:trPr>
          <w:cantSplit/>
          <w:trHeight w:val="300"/>
        </w:trPr>
        <w:tc>
          <w:tcPr>
            <w:tcW w:w="1500" w:type="dxa"/>
            <w:vMerge/>
            <w:noWrap/>
            <w:hideMark/>
          </w:tcPr>
          <w:p w14:paraId="4B6BB030"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7D52EF6F"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16 - 24</w:t>
            </w:r>
          </w:p>
        </w:tc>
        <w:tc>
          <w:tcPr>
            <w:tcW w:w="1530" w:type="dxa"/>
            <w:noWrap/>
            <w:vAlign w:val="center"/>
            <w:hideMark/>
          </w:tcPr>
          <w:p w14:paraId="71B878E5"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10670 (18.2%)</w:t>
            </w:r>
          </w:p>
        </w:tc>
        <w:tc>
          <w:tcPr>
            <w:tcW w:w="1440" w:type="dxa"/>
            <w:noWrap/>
            <w:vAlign w:val="center"/>
            <w:hideMark/>
          </w:tcPr>
          <w:p w14:paraId="4D02E7E5"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8508 (16.5%)</w:t>
            </w:r>
          </w:p>
        </w:tc>
        <w:tc>
          <w:tcPr>
            <w:tcW w:w="1530" w:type="dxa"/>
            <w:noWrap/>
            <w:vAlign w:val="center"/>
            <w:hideMark/>
          </w:tcPr>
          <w:p w14:paraId="03871C07"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19178 (17.4%)</w:t>
            </w:r>
          </w:p>
        </w:tc>
      </w:tr>
      <w:tr w:rsidR="00CA0EF0" w:rsidRPr="00361E30" w14:paraId="1D15E13C" w14:textId="77777777" w:rsidTr="003C13F4">
        <w:trPr>
          <w:cantSplit/>
          <w:trHeight w:val="300"/>
        </w:trPr>
        <w:tc>
          <w:tcPr>
            <w:tcW w:w="1500" w:type="dxa"/>
            <w:vMerge/>
            <w:noWrap/>
            <w:hideMark/>
          </w:tcPr>
          <w:p w14:paraId="6421D868"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0177FA0F"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&gt;=25</w:t>
            </w:r>
          </w:p>
        </w:tc>
        <w:tc>
          <w:tcPr>
            <w:tcW w:w="1530" w:type="dxa"/>
            <w:noWrap/>
            <w:vAlign w:val="center"/>
            <w:hideMark/>
          </w:tcPr>
          <w:p w14:paraId="72C0B09E"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11974 (20.4%)</w:t>
            </w:r>
          </w:p>
        </w:tc>
        <w:tc>
          <w:tcPr>
            <w:tcW w:w="1440" w:type="dxa"/>
            <w:noWrap/>
            <w:vAlign w:val="center"/>
            <w:hideMark/>
          </w:tcPr>
          <w:p w14:paraId="65448CD1"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8687 (16.9%)</w:t>
            </w:r>
          </w:p>
        </w:tc>
        <w:tc>
          <w:tcPr>
            <w:tcW w:w="1530" w:type="dxa"/>
            <w:noWrap/>
            <w:vAlign w:val="center"/>
            <w:hideMark/>
          </w:tcPr>
          <w:p w14:paraId="11DB1734"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20661 (18.7%)</w:t>
            </w:r>
          </w:p>
        </w:tc>
      </w:tr>
      <w:tr w:rsidR="00CA0EF0" w:rsidRPr="00361E30" w14:paraId="1B83130D" w14:textId="77777777" w:rsidTr="003C13F4">
        <w:trPr>
          <w:cantSplit/>
          <w:trHeight w:val="300"/>
        </w:trPr>
        <w:tc>
          <w:tcPr>
            <w:tcW w:w="1500" w:type="dxa"/>
            <w:vMerge/>
            <w:tcBorders>
              <w:bottom w:val="single" w:sz="4" w:space="0" w:color="auto"/>
            </w:tcBorders>
            <w:noWrap/>
          </w:tcPr>
          <w:p w14:paraId="6B6E8F3D" w14:textId="77777777" w:rsidR="00CA0EF0" w:rsidRPr="00361E30" w:rsidRDefault="00CA0EF0" w:rsidP="003C13F4">
            <w:pPr>
              <w:spacing w:line="240" w:lineRule="auto"/>
              <w:jc w:val="left"/>
              <w:rPr>
                <w:rFonts w:cstheme="minorHAnsi"/>
                <w:b/>
                <w:bCs/>
                <w:sz w:val="20"/>
                <w:szCs w:val="20"/>
                <w:lang w:val="en-GB"/>
              </w:rPr>
            </w:pPr>
          </w:p>
        </w:tc>
        <w:tc>
          <w:tcPr>
            <w:tcW w:w="2610" w:type="dxa"/>
            <w:tcBorders>
              <w:bottom w:val="single" w:sz="4" w:space="0" w:color="auto"/>
            </w:tcBorders>
            <w:noWrap/>
          </w:tcPr>
          <w:p w14:paraId="0B7A0C34"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Median ISS (IQR)</w:t>
            </w:r>
          </w:p>
        </w:tc>
        <w:tc>
          <w:tcPr>
            <w:tcW w:w="1530" w:type="dxa"/>
            <w:tcBorders>
              <w:bottom w:val="single" w:sz="4" w:space="0" w:color="auto"/>
            </w:tcBorders>
            <w:noWrap/>
            <w:vAlign w:val="center"/>
          </w:tcPr>
          <w:p w14:paraId="6432CFE0"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9 (9-20)</w:t>
            </w:r>
          </w:p>
        </w:tc>
        <w:tc>
          <w:tcPr>
            <w:tcW w:w="1440" w:type="dxa"/>
            <w:tcBorders>
              <w:bottom w:val="single" w:sz="4" w:space="0" w:color="auto"/>
            </w:tcBorders>
            <w:noWrap/>
            <w:vAlign w:val="center"/>
          </w:tcPr>
          <w:p w14:paraId="0C5DABEE"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9 (9-17)</w:t>
            </w:r>
          </w:p>
        </w:tc>
        <w:tc>
          <w:tcPr>
            <w:tcW w:w="1530" w:type="dxa"/>
            <w:tcBorders>
              <w:bottom w:val="single" w:sz="4" w:space="0" w:color="auto"/>
            </w:tcBorders>
            <w:noWrap/>
            <w:vAlign w:val="center"/>
          </w:tcPr>
          <w:p w14:paraId="00997DFD"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9 (9-18)</w:t>
            </w:r>
          </w:p>
        </w:tc>
      </w:tr>
      <w:tr w:rsidR="00CA0EF0" w:rsidRPr="00361E30" w14:paraId="4060A539" w14:textId="77777777" w:rsidTr="003C13F4">
        <w:trPr>
          <w:cantSplit/>
          <w:trHeight w:val="300"/>
        </w:trPr>
        <w:tc>
          <w:tcPr>
            <w:tcW w:w="1500" w:type="dxa"/>
            <w:vMerge w:val="restart"/>
            <w:tcBorders>
              <w:top w:val="single" w:sz="4" w:space="0" w:color="auto"/>
            </w:tcBorders>
            <w:noWrap/>
            <w:hideMark/>
          </w:tcPr>
          <w:p w14:paraId="0E7E9FC9" w14:textId="77777777" w:rsidR="00CA0EF0" w:rsidRPr="00361E30" w:rsidRDefault="00CA0EF0" w:rsidP="003C13F4">
            <w:pPr>
              <w:spacing w:line="240" w:lineRule="auto"/>
              <w:jc w:val="left"/>
              <w:rPr>
                <w:rFonts w:cstheme="minorHAnsi"/>
                <w:b/>
                <w:bCs/>
                <w:sz w:val="20"/>
                <w:szCs w:val="20"/>
                <w:lang w:val="en-GB"/>
              </w:rPr>
            </w:pPr>
            <w:r w:rsidRPr="00361E30">
              <w:rPr>
                <w:rFonts w:cstheme="minorHAnsi"/>
                <w:b/>
                <w:bCs/>
                <w:sz w:val="20"/>
                <w:szCs w:val="20"/>
                <w:lang w:val="en-GB"/>
              </w:rPr>
              <w:t>ED Glasgow Coma Score</w:t>
            </w:r>
          </w:p>
        </w:tc>
        <w:tc>
          <w:tcPr>
            <w:tcW w:w="2610" w:type="dxa"/>
            <w:tcBorders>
              <w:top w:val="single" w:sz="4" w:space="0" w:color="auto"/>
            </w:tcBorders>
            <w:noWrap/>
            <w:hideMark/>
          </w:tcPr>
          <w:p w14:paraId="2AC49AA1"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15</w:t>
            </w:r>
          </w:p>
        </w:tc>
        <w:tc>
          <w:tcPr>
            <w:tcW w:w="1530" w:type="dxa"/>
            <w:tcBorders>
              <w:top w:val="single" w:sz="4" w:space="0" w:color="auto"/>
            </w:tcBorders>
            <w:noWrap/>
            <w:vAlign w:val="center"/>
            <w:hideMark/>
          </w:tcPr>
          <w:p w14:paraId="536CE1F3"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37117 (63.2%)</w:t>
            </w:r>
          </w:p>
        </w:tc>
        <w:tc>
          <w:tcPr>
            <w:tcW w:w="1440" w:type="dxa"/>
            <w:tcBorders>
              <w:top w:val="single" w:sz="4" w:space="0" w:color="auto"/>
            </w:tcBorders>
            <w:noWrap/>
            <w:vAlign w:val="center"/>
            <w:hideMark/>
          </w:tcPr>
          <w:p w14:paraId="1325061A"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32726 (63.6%)</w:t>
            </w:r>
          </w:p>
        </w:tc>
        <w:tc>
          <w:tcPr>
            <w:tcW w:w="1530" w:type="dxa"/>
            <w:tcBorders>
              <w:top w:val="single" w:sz="4" w:space="0" w:color="auto"/>
            </w:tcBorders>
            <w:noWrap/>
            <w:vAlign w:val="center"/>
            <w:hideMark/>
          </w:tcPr>
          <w:p w14:paraId="0E67D4F0"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69843 (63.4%)</w:t>
            </w:r>
          </w:p>
        </w:tc>
      </w:tr>
      <w:tr w:rsidR="00CA0EF0" w:rsidRPr="00361E30" w14:paraId="254C8355" w14:textId="77777777" w:rsidTr="003C13F4">
        <w:trPr>
          <w:cantSplit/>
          <w:trHeight w:val="300"/>
        </w:trPr>
        <w:tc>
          <w:tcPr>
            <w:tcW w:w="1500" w:type="dxa"/>
            <w:vMerge/>
            <w:noWrap/>
            <w:hideMark/>
          </w:tcPr>
          <w:p w14:paraId="56AF51B9"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1EDF1421"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13 - 14</w:t>
            </w:r>
          </w:p>
        </w:tc>
        <w:tc>
          <w:tcPr>
            <w:tcW w:w="1530" w:type="dxa"/>
            <w:noWrap/>
            <w:vAlign w:val="center"/>
            <w:hideMark/>
          </w:tcPr>
          <w:p w14:paraId="6F13FB5F"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4910 (8.4%)</w:t>
            </w:r>
          </w:p>
        </w:tc>
        <w:tc>
          <w:tcPr>
            <w:tcW w:w="1440" w:type="dxa"/>
            <w:noWrap/>
            <w:vAlign w:val="center"/>
            <w:hideMark/>
          </w:tcPr>
          <w:p w14:paraId="6C9F4CFE"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6640 (12.9%)</w:t>
            </w:r>
          </w:p>
        </w:tc>
        <w:tc>
          <w:tcPr>
            <w:tcW w:w="1530" w:type="dxa"/>
            <w:noWrap/>
            <w:vAlign w:val="center"/>
            <w:hideMark/>
          </w:tcPr>
          <w:p w14:paraId="36599240"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11550 (10.5%)</w:t>
            </w:r>
          </w:p>
        </w:tc>
      </w:tr>
      <w:tr w:rsidR="00CA0EF0" w:rsidRPr="00361E30" w14:paraId="1E2B4E7C" w14:textId="77777777" w:rsidTr="003C13F4">
        <w:trPr>
          <w:cantSplit/>
          <w:trHeight w:val="300"/>
        </w:trPr>
        <w:tc>
          <w:tcPr>
            <w:tcW w:w="1500" w:type="dxa"/>
            <w:vMerge/>
            <w:noWrap/>
            <w:hideMark/>
          </w:tcPr>
          <w:p w14:paraId="035724CE"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412BACE8"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9 - 12</w:t>
            </w:r>
          </w:p>
        </w:tc>
        <w:tc>
          <w:tcPr>
            <w:tcW w:w="1530" w:type="dxa"/>
            <w:noWrap/>
            <w:vAlign w:val="center"/>
            <w:hideMark/>
          </w:tcPr>
          <w:p w14:paraId="4395115B"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1517 (2.6%)</w:t>
            </w:r>
          </w:p>
        </w:tc>
        <w:tc>
          <w:tcPr>
            <w:tcW w:w="1440" w:type="dxa"/>
            <w:noWrap/>
            <w:vAlign w:val="center"/>
            <w:hideMark/>
          </w:tcPr>
          <w:p w14:paraId="48C79811"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1315 (2.6%)</w:t>
            </w:r>
          </w:p>
        </w:tc>
        <w:tc>
          <w:tcPr>
            <w:tcW w:w="1530" w:type="dxa"/>
            <w:noWrap/>
            <w:vAlign w:val="center"/>
            <w:hideMark/>
          </w:tcPr>
          <w:p w14:paraId="2C218D02"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2832 (2.6%)</w:t>
            </w:r>
          </w:p>
        </w:tc>
      </w:tr>
      <w:tr w:rsidR="00CA0EF0" w:rsidRPr="00361E30" w14:paraId="6124A427" w14:textId="77777777" w:rsidTr="003C13F4">
        <w:trPr>
          <w:cantSplit/>
          <w:trHeight w:val="300"/>
        </w:trPr>
        <w:tc>
          <w:tcPr>
            <w:tcW w:w="1500" w:type="dxa"/>
            <w:vMerge/>
            <w:noWrap/>
            <w:hideMark/>
          </w:tcPr>
          <w:p w14:paraId="7E6EACD5"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76E953A6"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6 - 8</w:t>
            </w:r>
          </w:p>
        </w:tc>
        <w:tc>
          <w:tcPr>
            <w:tcW w:w="1530" w:type="dxa"/>
            <w:noWrap/>
            <w:vAlign w:val="center"/>
            <w:hideMark/>
          </w:tcPr>
          <w:p w14:paraId="703AF346"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839 (1.4%)</w:t>
            </w:r>
          </w:p>
        </w:tc>
        <w:tc>
          <w:tcPr>
            <w:tcW w:w="1440" w:type="dxa"/>
            <w:noWrap/>
            <w:vAlign w:val="center"/>
            <w:hideMark/>
          </w:tcPr>
          <w:p w14:paraId="2093BAE5"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497 (1%)</w:t>
            </w:r>
          </w:p>
        </w:tc>
        <w:tc>
          <w:tcPr>
            <w:tcW w:w="1530" w:type="dxa"/>
            <w:noWrap/>
            <w:vAlign w:val="center"/>
            <w:hideMark/>
          </w:tcPr>
          <w:p w14:paraId="5E759D69"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1336 (1.2%)</w:t>
            </w:r>
          </w:p>
        </w:tc>
      </w:tr>
      <w:tr w:rsidR="00CA0EF0" w:rsidRPr="00361E30" w14:paraId="7F171995" w14:textId="77777777" w:rsidTr="003C13F4">
        <w:trPr>
          <w:cantSplit/>
          <w:trHeight w:val="300"/>
        </w:trPr>
        <w:tc>
          <w:tcPr>
            <w:tcW w:w="1500" w:type="dxa"/>
            <w:vMerge/>
            <w:noWrap/>
            <w:hideMark/>
          </w:tcPr>
          <w:p w14:paraId="55BA524B"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67F3F730"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4 - 5</w:t>
            </w:r>
          </w:p>
        </w:tc>
        <w:tc>
          <w:tcPr>
            <w:tcW w:w="1530" w:type="dxa"/>
            <w:noWrap/>
            <w:vAlign w:val="center"/>
            <w:hideMark/>
          </w:tcPr>
          <w:p w14:paraId="155ED484"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329 (0.6%)</w:t>
            </w:r>
          </w:p>
        </w:tc>
        <w:tc>
          <w:tcPr>
            <w:tcW w:w="1440" w:type="dxa"/>
            <w:noWrap/>
            <w:vAlign w:val="center"/>
            <w:hideMark/>
          </w:tcPr>
          <w:p w14:paraId="720B8AE4"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249 (0.5%)</w:t>
            </w:r>
          </w:p>
        </w:tc>
        <w:tc>
          <w:tcPr>
            <w:tcW w:w="1530" w:type="dxa"/>
            <w:noWrap/>
            <w:vAlign w:val="center"/>
            <w:hideMark/>
          </w:tcPr>
          <w:p w14:paraId="3FDC3CD9"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578 (0.5%)</w:t>
            </w:r>
          </w:p>
        </w:tc>
      </w:tr>
      <w:tr w:rsidR="00CA0EF0" w:rsidRPr="00361E30" w14:paraId="11E47E91" w14:textId="77777777" w:rsidTr="003C13F4">
        <w:trPr>
          <w:cantSplit/>
          <w:trHeight w:val="300"/>
        </w:trPr>
        <w:tc>
          <w:tcPr>
            <w:tcW w:w="1500" w:type="dxa"/>
            <w:vMerge/>
            <w:noWrap/>
            <w:hideMark/>
          </w:tcPr>
          <w:p w14:paraId="343D77A5"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3523BB00"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3</w:t>
            </w:r>
          </w:p>
        </w:tc>
        <w:tc>
          <w:tcPr>
            <w:tcW w:w="1530" w:type="dxa"/>
            <w:noWrap/>
            <w:vAlign w:val="center"/>
            <w:hideMark/>
          </w:tcPr>
          <w:p w14:paraId="36C9C279"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1030 (1.8%)</w:t>
            </w:r>
          </w:p>
        </w:tc>
        <w:tc>
          <w:tcPr>
            <w:tcW w:w="1440" w:type="dxa"/>
            <w:noWrap/>
            <w:vAlign w:val="center"/>
            <w:hideMark/>
          </w:tcPr>
          <w:p w14:paraId="75365CC4"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434 (0.8%)</w:t>
            </w:r>
          </w:p>
        </w:tc>
        <w:tc>
          <w:tcPr>
            <w:tcW w:w="1530" w:type="dxa"/>
            <w:noWrap/>
            <w:vAlign w:val="center"/>
            <w:hideMark/>
          </w:tcPr>
          <w:p w14:paraId="4191CFFA"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1464 (1.3%)</w:t>
            </w:r>
          </w:p>
        </w:tc>
      </w:tr>
      <w:tr w:rsidR="00CA0EF0" w:rsidRPr="00361E30" w14:paraId="7767293E" w14:textId="77777777" w:rsidTr="003C13F4">
        <w:trPr>
          <w:cantSplit/>
          <w:trHeight w:val="300"/>
        </w:trPr>
        <w:tc>
          <w:tcPr>
            <w:tcW w:w="1500" w:type="dxa"/>
            <w:vMerge/>
            <w:noWrap/>
            <w:hideMark/>
          </w:tcPr>
          <w:p w14:paraId="05D844DD"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54D69100"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Intubated</w:t>
            </w:r>
          </w:p>
        </w:tc>
        <w:tc>
          <w:tcPr>
            <w:tcW w:w="1530" w:type="dxa"/>
            <w:noWrap/>
            <w:vAlign w:val="center"/>
            <w:hideMark/>
          </w:tcPr>
          <w:p w14:paraId="4685881D"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3904 (6.6%)</w:t>
            </w:r>
          </w:p>
        </w:tc>
        <w:tc>
          <w:tcPr>
            <w:tcW w:w="1440" w:type="dxa"/>
            <w:noWrap/>
            <w:vAlign w:val="center"/>
            <w:hideMark/>
          </w:tcPr>
          <w:p w14:paraId="0BC39595"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1010 (2%)</w:t>
            </w:r>
          </w:p>
        </w:tc>
        <w:tc>
          <w:tcPr>
            <w:tcW w:w="1530" w:type="dxa"/>
            <w:noWrap/>
            <w:vAlign w:val="center"/>
            <w:hideMark/>
          </w:tcPr>
          <w:p w14:paraId="694E2ED2"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4914 (4.5%)</w:t>
            </w:r>
          </w:p>
        </w:tc>
      </w:tr>
      <w:tr w:rsidR="00CA0EF0" w:rsidRPr="00361E30" w14:paraId="127667BE" w14:textId="77777777" w:rsidTr="003C13F4">
        <w:trPr>
          <w:cantSplit/>
          <w:trHeight w:val="300"/>
        </w:trPr>
        <w:tc>
          <w:tcPr>
            <w:tcW w:w="1500" w:type="dxa"/>
            <w:vMerge/>
            <w:noWrap/>
            <w:hideMark/>
          </w:tcPr>
          <w:p w14:paraId="4BA6327F"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41EC1F75"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Missing, presumed abnormal</w:t>
            </w:r>
          </w:p>
        </w:tc>
        <w:tc>
          <w:tcPr>
            <w:tcW w:w="1530" w:type="dxa"/>
            <w:noWrap/>
            <w:vAlign w:val="center"/>
            <w:hideMark/>
          </w:tcPr>
          <w:p w14:paraId="1A7FA5DF"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22 (0%)</w:t>
            </w:r>
          </w:p>
        </w:tc>
        <w:tc>
          <w:tcPr>
            <w:tcW w:w="1440" w:type="dxa"/>
            <w:noWrap/>
            <w:vAlign w:val="center"/>
            <w:hideMark/>
          </w:tcPr>
          <w:p w14:paraId="2E0B11BD"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26 (0.1%)</w:t>
            </w:r>
          </w:p>
        </w:tc>
        <w:tc>
          <w:tcPr>
            <w:tcW w:w="1530" w:type="dxa"/>
            <w:noWrap/>
            <w:vAlign w:val="center"/>
            <w:hideMark/>
          </w:tcPr>
          <w:p w14:paraId="79B43C33"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48 (0%)</w:t>
            </w:r>
          </w:p>
        </w:tc>
      </w:tr>
      <w:tr w:rsidR="00CA0EF0" w:rsidRPr="00361E30" w14:paraId="60CF2AE1" w14:textId="77777777" w:rsidTr="003C13F4">
        <w:trPr>
          <w:cantSplit/>
          <w:trHeight w:val="300"/>
        </w:trPr>
        <w:tc>
          <w:tcPr>
            <w:tcW w:w="1500" w:type="dxa"/>
            <w:vMerge/>
            <w:noWrap/>
            <w:hideMark/>
          </w:tcPr>
          <w:p w14:paraId="63769733"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57935BB0"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Missing, GCS not known</w:t>
            </w:r>
          </w:p>
        </w:tc>
        <w:tc>
          <w:tcPr>
            <w:tcW w:w="1530" w:type="dxa"/>
            <w:noWrap/>
            <w:vAlign w:val="center"/>
            <w:hideMark/>
          </w:tcPr>
          <w:p w14:paraId="4B3158D0"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9069 (15.4%)</w:t>
            </w:r>
          </w:p>
        </w:tc>
        <w:tc>
          <w:tcPr>
            <w:tcW w:w="1440" w:type="dxa"/>
            <w:noWrap/>
            <w:vAlign w:val="center"/>
            <w:hideMark/>
          </w:tcPr>
          <w:p w14:paraId="3F28F04A"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8594 (16.7%)</w:t>
            </w:r>
          </w:p>
        </w:tc>
        <w:tc>
          <w:tcPr>
            <w:tcW w:w="1530" w:type="dxa"/>
            <w:noWrap/>
            <w:vAlign w:val="center"/>
            <w:hideMark/>
          </w:tcPr>
          <w:p w14:paraId="209720B9"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17663 (16%)</w:t>
            </w:r>
          </w:p>
        </w:tc>
      </w:tr>
      <w:tr w:rsidR="00CA0EF0" w:rsidRPr="00361E30" w14:paraId="26EEF395" w14:textId="77777777" w:rsidTr="003C13F4">
        <w:trPr>
          <w:cantSplit/>
          <w:trHeight w:val="300"/>
        </w:trPr>
        <w:tc>
          <w:tcPr>
            <w:tcW w:w="1500" w:type="dxa"/>
            <w:vMerge/>
            <w:tcBorders>
              <w:bottom w:val="single" w:sz="4" w:space="0" w:color="auto"/>
            </w:tcBorders>
            <w:noWrap/>
          </w:tcPr>
          <w:p w14:paraId="06ACD322" w14:textId="77777777" w:rsidR="00CA0EF0" w:rsidRPr="00361E30" w:rsidRDefault="00CA0EF0" w:rsidP="003C13F4">
            <w:pPr>
              <w:spacing w:line="240" w:lineRule="auto"/>
              <w:jc w:val="left"/>
              <w:rPr>
                <w:rFonts w:cstheme="minorHAnsi"/>
                <w:b/>
                <w:bCs/>
                <w:sz w:val="20"/>
                <w:szCs w:val="20"/>
                <w:lang w:val="en-GB"/>
              </w:rPr>
            </w:pPr>
          </w:p>
        </w:tc>
        <w:tc>
          <w:tcPr>
            <w:tcW w:w="2610" w:type="dxa"/>
            <w:tcBorders>
              <w:bottom w:val="single" w:sz="4" w:space="0" w:color="auto"/>
            </w:tcBorders>
            <w:noWrap/>
          </w:tcPr>
          <w:p w14:paraId="2F2C6737"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Median GCS (IQR)</w:t>
            </w:r>
          </w:p>
        </w:tc>
        <w:tc>
          <w:tcPr>
            <w:tcW w:w="1530" w:type="dxa"/>
            <w:tcBorders>
              <w:bottom w:val="single" w:sz="4" w:space="0" w:color="auto"/>
            </w:tcBorders>
            <w:noWrap/>
            <w:vAlign w:val="center"/>
          </w:tcPr>
          <w:p w14:paraId="558074BB"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15 (15-15)</w:t>
            </w:r>
          </w:p>
        </w:tc>
        <w:tc>
          <w:tcPr>
            <w:tcW w:w="1440" w:type="dxa"/>
            <w:tcBorders>
              <w:bottom w:val="single" w:sz="4" w:space="0" w:color="auto"/>
            </w:tcBorders>
            <w:noWrap/>
            <w:vAlign w:val="center"/>
          </w:tcPr>
          <w:p w14:paraId="3C0B1C46"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15 (15-15)</w:t>
            </w:r>
          </w:p>
        </w:tc>
        <w:tc>
          <w:tcPr>
            <w:tcW w:w="1530" w:type="dxa"/>
            <w:tcBorders>
              <w:bottom w:val="single" w:sz="4" w:space="0" w:color="auto"/>
            </w:tcBorders>
            <w:noWrap/>
            <w:vAlign w:val="center"/>
          </w:tcPr>
          <w:p w14:paraId="11488A51"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15 (15-15)</w:t>
            </w:r>
          </w:p>
        </w:tc>
      </w:tr>
      <w:tr w:rsidR="00CA0EF0" w:rsidRPr="00361E30" w14:paraId="52ED25BA" w14:textId="77777777" w:rsidTr="003C13F4">
        <w:trPr>
          <w:cantSplit/>
          <w:trHeight w:val="300"/>
        </w:trPr>
        <w:tc>
          <w:tcPr>
            <w:tcW w:w="1500" w:type="dxa"/>
            <w:vMerge w:val="restart"/>
            <w:tcBorders>
              <w:top w:val="single" w:sz="4" w:space="0" w:color="auto"/>
            </w:tcBorders>
            <w:noWrap/>
            <w:hideMark/>
          </w:tcPr>
          <w:p w14:paraId="380370C6" w14:textId="77777777" w:rsidR="00CA0EF0" w:rsidRPr="00361E30" w:rsidRDefault="00CA0EF0" w:rsidP="003C13F4">
            <w:pPr>
              <w:spacing w:line="240" w:lineRule="auto"/>
              <w:jc w:val="left"/>
              <w:rPr>
                <w:rFonts w:cstheme="minorHAnsi"/>
                <w:b/>
                <w:bCs/>
                <w:sz w:val="20"/>
                <w:szCs w:val="20"/>
                <w:lang w:val="en-GB"/>
              </w:rPr>
            </w:pPr>
            <w:r w:rsidRPr="00361E30">
              <w:rPr>
                <w:rFonts w:cstheme="minorHAnsi"/>
                <w:b/>
                <w:bCs/>
                <w:sz w:val="20"/>
                <w:szCs w:val="20"/>
                <w:lang w:val="en-GB"/>
              </w:rPr>
              <w:t>ED Systolic Blood Pressure</w:t>
            </w:r>
          </w:p>
        </w:tc>
        <w:tc>
          <w:tcPr>
            <w:tcW w:w="2610" w:type="dxa"/>
            <w:tcBorders>
              <w:top w:val="single" w:sz="4" w:space="0" w:color="auto"/>
            </w:tcBorders>
            <w:noWrap/>
            <w:hideMark/>
          </w:tcPr>
          <w:p w14:paraId="770A2701"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&lt;110mmHg</w:t>
            </w:r>
          </w:p>
        </w:tc>
        <w:tc>
          <w:tcPr>
            <w:tcW w:w="1530" w:type="dxa"/>
            <w:tcBorders>
              <w:top w:val="single" w:sz="4" w:space="0" w:color="auto"/>
            </w:tcBorders>
            <w:noWrap/>
            <w:vAlign w:val="center"/>
            <w:hideMark/>
          </w:tcPr>
          <w:p w14:paraId="5B8751B7"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7064 (12%)</w:t>
            </w:r>
          </w:p>
        </w:tc>
        <w:tc>
          <w:tcPr>
            <w:tcW w:w="1440" w:type="dxa"/>
            <w:tcBorders>
              <w:top w:val="single" w:sz="4" w:space="0" w:color="auto"/>
            </w:tcBorders>
            <w:noWrap/>
            <w:vAlign w:val="center"/>
            <w:hideMark/>
          </w:tcPr>
          <w:p w14:paraId="7156B929"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4116 (8%)</w:t>
            </w:r>
          </w:p>
        </w:tc>
        <w:tc>
          <w:tcPr>
            <w:tcW w:w="1530" w:type="dxa"/>
            <w:tcBorders>
              <w:top w:val="single" w:sz="4" w:space="0" w:color="auto"/>
            </w:tcBorders>
            <w:noWrap/>
            <w:vAlign w:val="center"/>
            <w:hideMark/>
          </w:tcPr>
          <w:p w14:paraId="270A5860"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11180 (10.1%)</w:t>
            </w:r>
          </w:p>
        </w:tc>
      </w:tr>
      <w:tr w:rsidR="00CA0EF0" w:rsidRPr="00361E30" w14:paraId="11FB0F6E" w14:textId="77777777" w:rsidTr="003C13F4">
        <w:trPr>
          <w:cantSplit/>
          <w:trHeight w:val="300"/>
        </w:trPr>
        <w:tc>
          <w:tcPr>
            <w:tcW w:w="1500" w:type="dxa"/>
            <w:vMerge/>
            <w:noWrap/>
            <w:hideMark/>
          </w:tcPr>
          <w:p w14:paraId="6ECD3C04"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5284516D"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&lt;100mmHg</w:t>
            </w:r>
          </w:p>
        </w:tc>
        <w:tc>
          <w:tcPr>
            <w:tcW w:w="1530" w:type="dxa"/>
            <w:noWrap/>
            <w:vAlign w:val="center"/>
            <w:hideMark/>
          </w:tcPr>
          <w:p w14:paraId="393492B2"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3236 (5.5%)</w:t>
            </w:r>
          </w:p>
        </w:tc>
        <w:tc>
          <w:tcPr>
            <w:tcW w:w="1440" w:type="dxa"/>
            <w:noWrap/>
            <w:vAlign w:val="center"/>
            <w:hideMark/>
          </w:tcPr>
          <w:p w14:paraId="30EC972C"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1990 (3.9%)</w:t>
            </w:r>
          </w:p>
        </w:tc>
        <w:tc>
          <w:tcPr>
            <w:tcW w:w="1530" w:type="dxa"/>
            <w:noWrap/>
            <w:vAlign w:val="center"/>
            <w:hideMark/>
          </w:tcPr>
          <w:p w14:paraId="7F704B06"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5226 (4.7%)</w:t>
            </w:r>
          </w:p>
        </w:tc>
      </w:tr>
      <w:tr w:rsidR="00CA0EF0" w:rsidRPr="00361E30" w14:paraId="1FF65144" w14:textId="77777777" w:rsidTr="003C13F4">
        <w:trPr>
          <w:cantSplit/>
          <w:trHeight w:val="300"/>
        </w:trPr>
        <w:tc>
          <w:tcPr>
            <w:tcW w:w="1500" w:type="dxa"/>
            <w:vMerge/>
            <w:noWrap/>
            <w:hideMark/>
          </w:tcPr>
          <w:p w14:paraId="678BB850"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762ACE98"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&lt;90mmHg</w:t>
            </w:r>
          </w:p>
        </w:tc>
        <w:tc>
          <w:tcPr>
            <w:tcW w:w="1530" w:type="dxa"/>
            <w:noWrap/>
            <w:vAlign w:val="center"/>
            <w:hideMark/>
          </w:tcPr>
          <w:p w14:paraId="63448EE2"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1508 (2.6%)</w:t>
            </w:r>
          </w:p>
        </w:tc>
        <w:tc>
          <w:tcPr>
            <w:tcW w:w="1440" w:type="dxa"/>
            <w:noWrap/>
            <w:vAlign w:val="center"/>
            <w:hideMark/>
          </w:tcPr>
          <w:p w14:paraId="582A6312"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933 (1.8%)</w:t>
            </w:r>
          </w:p>
        </w:tc>
        <w:tc>
          <w:tcPr>
            <w:tcW w:w="1530" w:type="dxa"/>
            <w:noWrap/>
            <w:vAlign w:val="center"/>
            <w:hideMark/>
          </w:tcPr>
          <w:p w14:paraId="6D2783C0"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2441 (2.2%)</w:t>
            </w:r>
          </w:p>
        </w:tc>
      </w:tr>
      <w:tr w:rsidR="00CA0EF0" w:rsidRPr="00361E30" w14:paraId="78ED86E2" w14:textId="77777777" w:rsidTr="003C13F4">
        <w:trPr>
          <w:cantSplit/>
          <w:trHeight w:val="300"/>
        </w:trPr>
        <w:tc>
          <w:tcPr>
            <w:tcW w:w="1500" w:type="dxa"/>
            <w:vMerge/>
            <w:noWrap/>
            <w:hideMark/>
          </w:tcPr>
          <w:p w14:paraId="47986290"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3C0A0561"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99 Not recorded</w:t>
            </w:r>
          </w:p>
        </w:tc>
        <w:tc>
          <w:tcPr>
            <w:tcW w:w="1530" w:type="dxa"/>
            <w:noWrap/>
            <w:vAlign w:val="center"/>
            <w:hideMark/>
          </w:tcPr>
          <w:p w14:paraId="677D369F"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9536 (16.2%)</w:t>
            </w:r>
          </w:p>
        </w:tc>
        <w:tc>
          <w:tcPr>
            <w:tcW w:w="1440" w:type="dxa"/>
            <w:noWrap/>
            <w:vAlign w:val="center"/>
            <w:hideMark/>
          </w:tcPr>
          <w:p w14:paraId="49A5708A"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7013 (13.6%)</w:t>
            </w:r>
          </w:p>
        </w:tc>
        <w:tc>
          <w:tcPr>
            <w:tcW w:w="1530" w:type="dxa"/>
            <w:noWrap/>
            <w:vAlign w:val="center"/>
            <w:hideMark/>
          </w:tcPr>
          <w:p w14:paraId="6ADB44DB"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16549 (15%)</w:t>
            </w:r>
          </w:p>
        </w:tc>
      </w:tr>
      <w:tr w:rsidR="00CA0EF0" w:rsidRPr="00361E30" w14:paraId="27A727CA" w14:textId="77777777" w:rsidTr="003C13F4">
        <w:trPr>
          <w:cantSplit/>
          <w:trHeight w:val="300"/>
        </w:trPr>
        <w:tc>
          <w:tcPr>
            <w:tcW w:w="1500" w:type="dxa"/>
            <w:vMerge/>
            <w:tcBorders>
              <w:bottom w:val="single" w:sz="4" w:space="0" w:color="auto"/>
            </w:tcBorders>
            <w:noWrap/>
          </w:tcPr>
          <w:p w14:paraId="4B5C79B9" w14:textId="77777777" w:rsidR="00CA0EF0" w:rsidRPr="00361E30" w:rsidRDefault="00CA0EF0" w:rsidP="003C13F4">
            <w:pPr>
              <w:spacing w:line="240" w:lineRule="auto"/>
              <w:jc w:val="left"/>
              <w:rPr>
                <w:rFonts w:cstheme="minorHAnsi"/>
                <w:b/>
                <w:bCs/>
                <w:sz w:val="20"/>
                <w:szCs w:val="20"/>
                <w:lang w:val="en-GB"/>
              </w:rPr>
            </w:pPr>
          </w:p>
        </w:tc>
        <w:tc>
          <w:tcPr>
            <w:tcW w:w="2610" w:type="dxa"/>
            <w:tcBorders>
              <w:bottom w:val="single" w:sz="4" w:space="0" w:color="auto"/>
            </w:tcBorders>
            <w:noWrap/>
          </w:tcPr>
          <w:p w14:paraId="35B67E28"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Median SBP (IQR)</w:t>
            </w:r>
          </w:p>
        </w:tc>
        <w:tc>
          <w:tcPr>
            <w:tcW w:w="1530" w:type="dxa"/>
            <w:tcBorders>
              <w:bottom w:val="single" w:sz="4" w:space="0" w:color="auto"/>
            </w:tcBorders>
            <w:noWrap/>
            <w:vAlign w:val="center"/>
          </w:tcPr>
          <w:p w14:paraId="3512971A"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131 (117-146)</w:t>
            </w:r>
          </w:p>
        </w:tc>
        <w:tc>
          <w:tcPr>
            <w:tcW w:w="1440" w:type="dxa"/>
            <w:tcBorders>
              <w:bottom w:val="single" w:sz="4" w:space="0" w:color="auto"/>
            </w:tcBorders>
            <w:noWrap/>
            <w:vAlign w:val="center"/>
          </w:tcPr>
          <w:p w14:paraId="253BA0BB"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145 (127-164)</w:t>
            </w:r>
          </w:p>
        </w:tc>
        <w:tc>
          <w:tcPr>
            <w:tcW w:w="1530" w:type="dxa"/>
            <w:tcBorders>
              <w:bottom w:val="single" w:sz="4" w:space="0" w:color="auto"/>
            </w:tcBorders>
            <w:noWrap/>
            <w:vAlign w:val="center"/>
          </w:tcPr>
          <w:p w14:paraId="7B91E911"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137 (120-155)</w:t>
            </w:r>
          </w:p>
        </w:tc>
      </w:tr>
      <w:tr w:rsidR="00CA0EF0" w:rsidRPr="00361E30" w14:paraId="1668A612" w14:textId="77777777" w:rsidTr="003C13F4">
        <w:trPr>
          <w:cantSplit/>
          <w:trHeight w:val="300"/>
        </w:trPr>
        <w:tc>
          <w:tcPr>
            <w:tcW w:w="1500" w:type="dxa"/>
            <w:vMerge w:val="restart"/>
            <w:tcBorders>
              <w:top w:val="single" w:sz="4" w:space="0" w:color="auto"/>
            </w:tcBorders>
            <w:noWrap/>
            <w:hideMark/>
          </w:tcPr>
          <w:p w14:paraId="52AE388A" w14:textId="77777777" w:rsidR="00CA0EF0" w:rsidRPr="00361E30" w:rsidRDefault="00CA0EF0" w:rsidP="003C13F4">
            <w:pPr>
              <w:spacing w:line="240" w:lineRule="auto"/>
              <w:jc w:val="left"/>
              <w:rPr>
                <w:rFonts w:cstheme="minorHAnsi"/>
                <w:b/>
                <w:bCs/>
                <w:sz w:val="20"/>
                <w:szCs w:val="20"/>
                <w:lang w:val="en-GB"/>
              </w:rPr>
            </w:pPr>
            <w:r w:rsidRPr="00361E30">
              <w:rPr>
                <w:rFonts w:cstheme="minorHAnsi"/>
                <w:b/>
                <w:bCs/>
                <w:sz w:val="20"/>
                <w:szCs w:val="20"/>
                <w:lang w:val="en-GB"/>
              </w:rPr>
              <w:t>ED Respiratory Rate</w:t>
            </w:r>
          </w:p>
        </w:tc>
        <w:tc>
          <w:tcPr>
            <w:tcW w:w="2610" w:type="dxa"/>
            <w:tcBorders>
              <w:top w:val="single" w:sz="4" w:space="0" w:color="auto"/>
            </w:tcBorders>
            <w:noWrap/>
            <w:hideMark/>
          </w:tcPr>
          <w:p w14:paraId="00BBDCE7"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10 - 29 (Normal)</w:t>
            </w:r>
          </w:p>
        </w:tc>
        <w:tc>
          <w:tcPr>
            <w:tcW w:w="1530" w:type="dxa"/>
            <w:tcBorders>
              <w:top w:val="single" w:sz="4" w:space="0" w:color="auto"/>
            </w:tcBorders>
            <w:noWrap/>
            <w:vAlign w:val="center"/>
            <w:hideMark/>
          </w:tcPr>
          <w:p w14:paraId="42164A6E"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42858 (73%)</w:t>
            </w:r>
          </w:p>
        </w:tc>
        <w:tc>
          <w:tcPr>
            <w:tcW w:w="1440" w:type="dxa"/>
            <w:tcBorders>
              <w:top w:val="single" w:sz="4" w:space="0" w:color="auto"/>
            </w:tcBorders>
            <w:noWrap/>
            <w:vAlign w:val="center"/>
            <w:hideMark/>
          </w:tcPr>
          <w:p w14:paraId="6C3246DC"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41297 (80.2%)</w:t>
            </w:r>
          </w:p>
        </w:tc>
        <w:tc>
          <w:tcPr>
            <w:tcW w:w="1530" w:type="dxa"/>
            <w:tcBorders>
              <w:top w:val="single" w:sz="4" w:space="0" w:color="auto"/>
            </w:tcBorders>
            <w:noWrap/>
            <w:vAlign w:val="center"/>
            <w:hideMark/>
          </w:tcPr>
          <w:p w14:paraId="5FD5569D"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84155 (76.3%)</w:t>
            </w:r>
          </w:p>
        </w:tc>
      </w:tr>
      <w:tr w:rsidR="00CA0EF0" w:rsidRPr="00361E30" w14:paraId="0F489AF4" w14:textId="77777777" w:rsidTr="003C13F4">
        <w:trPr>
          <w:cantSplit/>
          <w:trHeight w:val="300"/>
        </w:trPr>
        <w:tc>
          <w:tcPr>
            <w:tcW w:w="1500" w:type="dxa"/>
            <w:vMerge/>
            <w:noWrap/>
            <w:hideMark/>
          </w:tcPr>
          <w:p w14:paraId="47B7BCA2"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6ECC6040"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&gt;=30</w:t>
            </w:r>
          </w:p>
        </w:tc>
        <w:tc>
          <w:tcPr>
            <w:tcW w:w="1530" w:type="dxa"/>
            <w:noWrap/>
            <w:vAlign w:val="center"/>
            <w:hideMark/>
          </w:tcPr>
          <w:p w14:paraId="31956971"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1424 (2.4%)</w:t>
            </w:r>
          </w:p>
        </w:tc>
        <w:tc>
          <w:tcPr>
            <w:tcW w:w="1440" w:type="dxa"/>
            <w:noWrap/>
            <w:vAlign w:val="center"/>
            <w:hideMark/>
          </w:tcPr>
          <w:p w14:paraId="4BFAE6FF"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1008 (2%)</w:t>
            </w:r>
          </w:p>
        </w:tc>
        <w:tc>
          <w:tcPr>
            <w:tcW w:w="1530" w:type="dxa"/>
            <w:noWrap/>
            <w:vAlign w:val="center"/>
            <w:hideMark/>
          </w:tcPr>
          <w:p w14:paraId="737CA165"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2432 (2.2%)</w:t>
            </w:r>
          </w:p>
        </w:tc>
      </w:tr>
      <w:tr w:rsidR="00CA0EF0" w:rsidRPr="00361E30" w14:paraId="46E02E10" w14:textId="77777777" w:rsidTr="003C13F4">
        <w:trPr>
          <w:cantSplit/>
          <w:trHeight w:val="300"/>
        </w:trPr>
        <w:tc>
          <w:tcPr>
            <w:tcW w:w="1500" w:type="dxa"/>
            <w:vMerge/>
            <w:noWrap/>
            <w:hideMark/>
          </w:tcPr>
          <w:p w14:paraId="6F6D2E79"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4A9CBBC3"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6 - 9</w:t>
            </w:r>
          </w:p>
        </w:tc>
        <w:tc>
          <w:tcPr>
            <w:tcW w:w="1530" w:type="dxa"/>
            <w:noWrap/>
            <w:vAlign w:val="center"/>
            <w:hideMark/>
          </w:tcPr>
          <w:p w14:paraId="79DBFF94"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131 (0.2%)</w:t>
            </w:r>
          </w:p>
        </w:tc>
        <w:tc>
          <w:tcPr>
            <w:tcW w:w="1440" w:type="dxa"/>
            <w:noWrap/>
            <w:vAlign w:val="center"/>
            <w:hideMark/>
          </w:tcPr>
          <w:p w14:paraId="07E8C582"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62 (0.1%)</w:t>
            </w:r>
          </w:p>
        </w:tc>
        <w:tc>
          <w:tcPr>
            <w:tcW w:w="1530" w:type="dxa"/>
            <w:noWrap/>
            <w:vAlign w:val="center"/>
            <w:hideMark/>
          </w:tcPr>
          <w:p w14:paraId="07EDBFB5"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193 (0.2%)</w:t>
            </w:r>
          </w:p>
        </w:tc>
      </w:tr>
      <w:tr w:rsidR="00CA0EF0" w:rsidRPr="00361E30" w14:paraId="0C9F32EB" w14:textId="77777777" w:rsidTr="003C13F4">
        <w:trPr>
          <w:cantSplit/>
          <w:trHeight w:val="300"/>
        </w:trPr>
        <w:tc>
          <w:tcPr>
            <w:tcW w:w="1500" w:type="dxa"/>
            <w:vMerge/>
            <w:noWrap/>
            <w:hideMark/>
          </w:tcPr>
          <w:p w14:paraId="2153F534"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2CF29A1E"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1 - 5</w:t>
            </w:r>
          </w:p>
        </w:tc>
        <w:tc>
          <w:tcPr>
            <w:tcW w:w="1530" w:type="dxa"/>
            <w:noWrap/>
            <w:vAlign w:val="center"/>
            <w:hideMark/>
          </w:tcPr>
          <w:p w14:paraId="720F3CA6"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15 (0%)</w:t>
            </w:r>
          </w:p>
        </w:tc>
        <w:tc>
          <w:tcPr>
            <w:tcW w:w="1440" w:type="dxa"/>
            <w:noWrap/>
            <w:vAlign w:val="center"/>
            <w:hideMark/>
          </w:tcPr>
          <w:p w14:paraId="4D969EA5"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11 (0%)</w:t>
            </w:r>
          </w:p>
        </w:tc>
        <w:tc>
          <w:tcPr>
            <w:tcW w:w="1530" w:type="dxa"/>
            <w:noWrap/>
            <w:vAlign w:val="center"/>
            <w:hideMark/>
          </w:tcPr>
          <w:p w14:paraId="265100FA"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26 (0%)</w:t>
            </w:r>
          </w:p>
        </w:tc>
      </w:tr>
      <w:tr w:rsidR="00CA0EF0" w:rsidRPr="00361E30" w14:paraId="0D8A3B70" w14:textId="77777777" w:rsidTr="003C13F4">
        <w:trPr>
          <w:cantSplit/>
          <w:trHeight w:val="300"/>
        </w:trPr>
        <w:tc>
          <w:tcPr>
            <w:tcW w:w="1500" w:type="dxa"/>
            <w:vMerge/>
            <w:noWrap/>
            <w:hideMark/>
          </w:tcPr>
          <w:p w14:paraId="52710868"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555C6FF9"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0</w:t>
            </w:r>
          </w:p>
        </w:tc>
        <w:tc>
          <w:tcPr>
            <w:tcW w:w="1530" w:type="dxa"/>
            <w:noWrap/>
            <w:vAlign w:val="center"/>
            <w:hideMark/>
          </w:tcPr>
          <w:p w14:paraId="56407667"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152 (0.3%)</w:t>
            </w:r>
          </w:p>
        </w:tc>
        <w:tc>
          <w:tcPr>
            <w:tcW w:w="1440" w:type="dxa"/>
            <w:noWrap/>
            <w:vAlign w:val="center"/>
            <w:hideMark/>
          </w:tcPr>
          <w:p w14:paraId="020B2A2F"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21 (0%)</w:t>
            </w:r>
          </w:p>
        </w:tc>
        <w:tc>
          <w:tcPr>
            <w:tcW w:w="1530" w:type="dxa"/>
            <w:noWrap/>
            <w:vAlign w:val="center"/>
            <w:hideMark/>
          </w:tcPr>
          <w:p w14:paraId="015DFB9C"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173 (0.2%)</w:t>
            </w:r>
          </w:p>
        </w:tc>
      </w:tr>
      <w:tr w:rsidR="00CA0EF0" w:rsidRPr="00361E30" w14:paraId="2F5CA16F" w14:textId="77777777" w:rsidTr="003C13F4">
        <w:trPr>
          <w:cantSplit/>
          <w:trHeight w:val="300"/>
        </w:trPr>
        <w:tc>
          <w:tcPr>
            <w:tcW w:w="1500" w:type="dxa"/>
            <w:vMerge/>
            <w:noWrap/>
            <w:hideMark/>
          </w:tcPr>
          <w:p w14:paraId="0B16DECC"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076DF7C9"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Not Recorded</w:t>
            </w:r>
          </w:p>
        </w:tc>
        <w:tc>
          <w:tcPr>
            <w:tcW w:w="1530" w:type="dxa"/>
            <w:noWrap/>
            <w:vAlign w:val="center"/>
            <w:hideMark/>
          </w:tcPr>
          <w:p w14:paraId="20C77E1E"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14157 (24.1%)</w:t>
            </w:r>
          </w:p>
        </w:tc>
        <w:tc>
          <w:tcPr>
            <w:tcW w:w="1440" w:type="dxa"/>
            <w:noWrap/>
            <w:vAlign w:val="center"/>
            <w:hideMark/>
          </w:tcPr>
          <w:p w14:paraId="203E155B"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9092 (17.7%)</w:t>
            </w:r>
          </w:p>
        </w:tc>
        <w:tc>
          <w:tcPr>
            <w:tcW w:w="1530" w:type="dxa"/>
            <w:noWrap/>
            <w:vAlign w:val="center"/>
            <w:hideMark/>
          </w:tcPr>
          <w:p w14:paraId="08C6028D"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23249 (21.1%)</w:t>
            </w:r>
          </w:p>
        </w:tc>
      </w:tr>
      <w:tr w:rsidR="00CA0EF0" w:rsidRPr="00361E30" w14:paraId="7C8386B5" w14:textId="77777777" w:rsidTr="003C13F4">
        <w:trPr>
          <w:cantSplit/>
          <w:trHeight w:val="300"/>
        </w:trPr>
        <w:tc>
          <w:tcPr>
            <w:tcW w:w="1500" w:type="dxa"/>
            <w:vMerge/>
            <w:tcBorders>
              <w:bottom w:val="single" w:sz="4" w:space="0" w:color="auto"/>
            </w:tcBorders>
            <w:noWrap/>
          </w:tcPr>
          <w:p w14:paraId="0FA9DA5F" w14:textId="77777777" w:rsidR="00CA0EF0" w:rsidRPr="00361E30" w:rsidRDefault="00CA0EF0" w:rsidP="003C13F4">
            <w:pPr>
              <w:spacing w:line="240" w:lineRule="auto"/>
              <w:jc w:val="left"/>
              <w:rPr>
                <w:rFonts w:cstheme="minorHAnsi"/>
                <w:b/>
                <w:bCs/>
                <w:sz w:val="20"/>
                <w:szCs w:val="20"/>
                <w:lang w:val="en-GB"/>
              </w:rPr>
            </w:pPr>
          </w:p>
        </w:tc>
        <w:tc>
          <w:tcPr>
            <w:tcW w:w="2610" w:type="dxa"/>
            <w:tcBorders>
              <w:bottom w:val="single" w:sz="4" w:space="0" w:color="auto"/>
            </w:tcBorders>
            <w:noWrap/>
          </w:tcPr>
          <w:p w14:paraId="022B2716"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Median RR (IQR)</w:t>
            </w:r>
          </w:p>
        </w:tc>
        <w:tc>
          <w:tcPr>
            <w:tcW w:w="1530" w:type="dxa"/>
            <w:tcBorders>
              <w:bottom w:val="single" w:sz="4" w:space="0" w:color="auto"/>
            </w:tcBorders>
            <w:noWrap/>
            <w:vAlign w:val="center"/>
          </w:tcPr>
          <w:p w14:paraId="4C872FCA"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18 (16-20)</w:t>
            </w:r>
          </w:p>
        </w:tc>
        <w:tc>
          <w:tcPr>
            <w:tcW w:w="1440" w:type="dxa"/>
            <w:tcBorders>
              <w:bottom w:val="single" w:sz="4" w:space="0" w:color="auto"/>
            </w:tcBorders>
            <w:noWrap/>
            <w:vAlign w:val="center"/>
          </w:tcPr>
          <w:p w14:paraId="79412615"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18 (16-20)</w:t>
            </w:r>
          </w:p>
        </w:tc>
        <w:tc>
          <w:tcPr>
            <w:tcW w:w="1530" w:type="dxa"/>
            <w:tcBorders>
              <w:bottom w:val="single" w:sz="4" w:space="0" w:color="auto"/>
            </w:tcBorders>
            <w:noWrap/>
            <w:vAlign w:val="center"/>
          </w:tcPr>
          <w:p w14:paraId="535EF255"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18 (16-20)</w:t>
            </w:r>
          </w:p>
        </w:tc>
      </w:tr>
      <w:tr w:rsidR="00CA0EF0" w:rsidRPr="00361E30" w14:paraId="3095D54F" w14:textId="77777777" w:rsidTr="003C13F4">
        <w:trPr>
          <w:cantSplit/>
          <w:trHeight w:val="300"/>
        </w:trPr>
        <w:tc>
          <w:tcPr>
            <w:tcW w:w="1500" w:type="dxa"/>
            <w:vMerge w:val="restart"/>
            <w:tcBorders>
              <w:top w:val="single" w:sz="4" w:space="0" w:color="auto"/>
            </w:tcBorders>
            <w:noWrap/>
            <w:hideMark/>
          </w:tcPr>
          <w:p w14:paraId="5CD3DA2B" w14:textId="77777777" w:rsidR="00CA0EF0" w:rsidRPr="00361E30" w:rsidRDefault="00CA0EF0" w:rsidP="003C13F4">
            <w:pPr>
              <w:spacing w:line="240" w:lineRule="auto"/>
              <w:jc w:val="left"/>
              <w:rPr>
                <w:rFonts w:cstheme="minorHAnsi"/>
                <w:b/>
                <w:bCs/>
                <w:sz w:val="20"/>
                <w:szCs w:val="20"/>
                <w:lang w:val="en-GB"/>
              </w:rPr>
            </w:pPr>
            <w:r w:rsidRPr="00361E30">
              <w:rPr>
                <w:rFonts w:cstheme="minorHAnsi"/>
                <w:b/>
                <w:bCs/>
                <w:sz w:val="20"/>
                <w:szCs w:val="20"/>
                <w:lang w:val="en-GB"/>
              </w:rPr>
              <w:t xml:space="preserve">Crude Mortality at 30 days </w:t>
            </w:r>
          </w:p>
        </w:tc>
        <w:tc>
          <w:tcPr>
            <w:tcW w:w="2610" w:type="dxa"/>
            <w:tcBorders>
              <w:top w:val="single" w:sz="4" w:space="0" w:color="auto"/>
            </w:tcBorders>
            <w:noWrap/>
            <w:hideMark/>
          </w:tcPr>
          <w:p w14:paraId="46658CBF"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Died</w:t>
            </w:r>
          </w:p>
        </w:tc>
        <w:tc>
          <w:tcPr>
            <w:tcW w:w="1530" w:type="dxa"/>
            <w:tcBorders>
              <w:top w:val="single" w:sz="4" w:space="0" w:color="auto"/>
            </w:tcBorders>
            <w:noWrap/>
            <w:vAlign w:val="center"/>
            <w:hideMark/>
          </w:tcPr>
          <w:p w14:paraId="40D54F28"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2020 (3.4%)</w:t>
            </w:r>
          </w:p>
        </w:tc>
        <w:tc>
          <w:tcPr>
            <w:tcW w:w="1440" w:type="dxa"/>
            <w:tcBorders>
              <w:top w:val="single" w:sz="4" w:space="0" w:color="auto"/>
            </w:tcBorders>
            <w:noWrap/>
            <w:vAlign w:val="center"/>
            <w:hideMark/>
          </w:tcPr>
          <w:p w14:paraId="524A8E37"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4982 (9.7%)</w:t>
            </w:r>
          </w:p>
        </w:tc>
        <w:tc>
          <w:tcPr>
            <w:tcW w:w="1530" w:type="dxa"/>
            <w:tcBorders>
              <w:top w:val="single" w:sz="4" w:space="0" w:color="auto"/>
            </w:tcBorders>
            <w:noWrap/>
            <w:vAlign w:val="center"/>
            <w:hideMark/>
          </w:tcPr>
          <w:p w14:paraId="113EC846"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7002 (6.4%)</w:t>
            </w:r>
          </w:p>
        </w:tc>
      </w:tr>
      <w:tr w:rsidR="00CA0EF0" w:rsidRPr="00361E30" w14:paraId="2AA1FFB1" w14:textId="77777777" w:rsidTr="003C13F4">
        <w:trPr>
          <w:cantSplit/>
          <w:trHeight w:val="300"/>
        </w:trPr>
        <w:tc>
          <w:tcPr>
            <w:tcW w:w="1500" w:type="dxa"/>
            <w:vMerge/>
            <w:noWrap/>
            <w:hideMark/>
          </w:tcPr>
          <w:p w14:paraId="7F251428" w14:textId="77777777" w:rsidR="00CA0EF0" w:rsidRPr="00361E30" w:rsidRDefault="00CA0EF0" w:rsidP="003C13F4">
            <w:pPr>
              <w:spacing w:line="240" w:lineRule="auto"/>
              <w:jc w:val="left"/>
              <w:rPr>
                <w:rFonts w:cstheme="minorHAnsi"/>
                <w:b/>
                <w:bCs/>
                <w:sz w:val="20"/>
                <w:szCs w:val="20"/>
                <w:lang w:val="en-GB"/>
              </w:rPr>
            </w:pPr>
          </w:p>
        </w:tc>
        <w:tc>
          <w:tcPr>
            <w:tcW w:w="2610" w:type="dxa"/>
            <w:noWrap/>
            <w:hideMark/>
          </w:tcPr>
          <w:p w14:paraId="4C834847"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Survived</w:t>
            </w:r>
          </w:p>
        </w:tc>
        <w:tc>
          <w:tcPr>
            <w:tcW w:w="1530" w:type="dxa"/>
            <w:noWrap/>
            <w:vAlign w:val="center"/>
            <w:hideMark/>
          </w:tcPr>
          <w:p w14:paraId="6378AE79"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47582 (81%)</w:t>
            </w:r>
          </w:p>
        </w:tc>
        <w:tc>
          <w:tcPr>
            <w:tcW w:w="1440" w:type="dxa"/>
            <w:noWrap/>
            <w:vAlign w:val="center"/>
            <w:hideMark/>
          </w:tcPr>
          <w:p w14:paraId="27CA3A44"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41018 (79.7%)</w:t>
            </w:r>
          </w:p>
        </w:tc>
        <w:tc>
          <w:tcPr>
            <w:tcW w:w="1530" w:type="dxa"/>
            <w:noWrap/>
            <w:vAlign w:val="center"/>
            <w:hideMark/>
          </w:tcPr>
          <w:p w14:paraId="142A022C"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88600 (80.4%)</w:t>
            </w:r>
          </w:p>
        </w:tc>
      </w:tr>
      <w:tr w:rsidR="00CA0EF0" w:rsidRPr="00361E30" w14:paraId="5325A4E0" w14:textId="77777777" w:rsidTr="003C13F4">
        <w:trPr>
          <w:cantSplit/>
          <w:trHeight w:val="300"/>
        </w:trPr>
        <w:tc>
          <w:tcPr>
            <w:tcW w:w="1500" w:type="dxa"/>
            <w:vMerge/>
            <w:tcBorders>
              <w:bottom w:val="double" w:sz="4" w:space="0" w:color="auto"/>
            </w:tcBorders>
            <w:noWrap/>
            <w:hideMark/>
          </w:tcPr>
          <w:p w14:paraId="23DAFB80" w14:textId="77777777" w:rsidR="00CA0EF0" w:rsidRPr="00361E30" w:rsidRDefault="00CA0EF0" w:rsidP="003C13F4">
            <w:pPr>
              <w:spacing w:line="240" w:lineRule="auto"/>
              <w:jc w:val="left"/>
              <w:rPr>
                <w:rFonts w:cstheme="minorHAnsi"/>
                <w:b/>
                <w:bCs/>
                <w:sz w:val="20"/>
                <w:szCs w:val="20"/>
                <w:lang w:val="en-GB"/>
              </w:rPr>
            </w:pPr>
          </w:p>
        </w:tc>
        <w:tc>
          <w:tcPr>
            <w:tcW w:w="2610" w:type="dxa"/>
            <w:tcBorders>
              <w:bottom w:val="double" w:sz="4" w:space="0" w:color="auto"/>
            </w:tcBorders>
            <w:noWrap/>
            <w:hideMark/>
          </w:tcPr>
          <w:p w14:paraId="22EF1AF1"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Not recorded</w:t>
            </w:r>
          </w:p>
        </w:tc>
        <w:tc>
          <w:tcPr>
            <w:tcW w:w="1530" w:type="dxa"/>
            <w:tcBorders>
              <w:bottom w:val="double" w:sz="4" w:space="0" w:color="auto"/>
            </w:tcBorders>
            <w:noWrap/>
            <w:vAlign w:val="center"/>
            <w:hideMark/>
          </w:tcPr>
          <w:p w14:paraId="49E9674B"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9135 (15.6%)</w:t>
            </w:r>
          </w:p>
        </w:tc>
        <w:tc>
          <w:tcPr>
            <w:tcW w:w="1440" w:type="dxa"/>
            <w:tcBorders>
              <w:bottom w:val="double" w:sz="4" w:space="0" w:color="auto"/>
            </w:tcBorders>
            <w:noWrap/>
            <w:vAlign w:val="center"/>
            <w:hideMark/>
          </w:tcPr>
          <w:p w14:paraId="1A2C76A0"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5491 (10.7%)</w:t>
            </w:r>
          </w:p>
        </w:tc>
        <w:tc>
          <w:tcPr>
            <w:tcW w:w="1530" w:type="dxa"/>
            <w:tcBorders>
              <w:bottom w:val="double" w:sz="4" w:space="0" w:color="auto"/>
            </w:tcBorders>
            <w:noWrap/>
            <w:vAlign w:val="center"/>
            <w:hideMark/>
          </w:tcPr>
          <w:p w14:paraId="36CF8B74" w14:textId="77777777" w:rsidR="00CA0EF0" w:rsidRPr="00361E30" w:rsidRDefault="00CA0EF0" w:rsidP="003C13F4">
            <w:pPr>
              <w:spacing w:line="240" w:lineRule="auto"/>
              <w:jc w:val="center"/>
              <w:rPr>
                <w:rFonts w:cstheme="minorHAnsi"/>
                <w:sz w:val="20"/>
                <w:szCs w:val="20"/>
                <w:lang w:val="en-GB"/>
              </w:rPr>
            </w:pPr>
            <w:r w:rsidRPr="00361E30">
              <w:rPr>
                <w:rFonts w:cstheme="minorHAnsi"/>
                <w:sz w:val="20"/>
                <w:szCs w:val="20"/>
                <w:lang w:val="en-GB"/>
              </w:rPr>
              <w:t>14626 (13.3%)</w:t>
            </w:r>
          </w:p>
        </w:tc>
      </w:tr>
    </w:tbl>
    <w:p w14:paraId="66330701" w14:textId="77777777" w:rsidR="00CA0EF0" w:rsidRPr="00361E30" w:rsidRDefault="00CA0EF0" w:rsidP="003C13F4">
      <w:pPr>
        <w:pStyle w:val="TableTitle"/>
      </w:pPr>
      <w:bookmarkStart w:id="104" w:name="_Toc528321043"/>
      <w:r w:rsidRPr="00361E30">
        <w:t>Table 4.1: Data comparing older and younger major trauma patients</w:t>
      </w:r>
      <w:bookmarkEnd w:id="104"/>
    </w:p>
    <w:p w14:paraId="4EA0A534" w14:textId="77777777" w:rsidR="00CA0EF0" w:rsidRPr="00361E30" w:rsidRDefault="00CA0EF0" w:rsidP="003C13F4">
      <w:pPr>
        <w:pStyle w:val="Heading3"/>
      </w:pPr>
      <w:r w:rsidRPr="00361E30">
        <w:t xml:space="preserve">4.2.1.4 </w:t>
      </w:r>
      <w:r w:rsidRPr="00361E30">
        <w:tab/>
        <w:t>Pre-Injury Medication</w:t>
      </w:r>
    </w:p>
    <w:p w14:paraId="03EE8EB1" w14:textId="77777777" w:rsidR="00CA0EF0" w:rsidRPr="00361E30" w:rsidRDefault="00CA0EF0" w:rsidP="003C13F4">
      <w:r w:rsidRPr="00361E30">
        <w:t>The proportion of patients on the database who were on medication prior to injury was very low for all medications recorded (Table 4.1). 241 (0.2%) patients were on warfarin; 150 (0.1%) on aspirin; and 35 (0.03%) on clopidogrel. The very low proportion of patients on these medications suggests that there was significant under reporting of pre-injury medication usage in the TARN database: this problem has been alluded to by Bouamra et al</w:t>
      </w:r>
      <w:r w:rsidR="00D94F92" w:rsidRPr="00361E30">
        <w:t>. (2006a)</w:t>
      </w:r>
      <w:r w:rsidRPr="00361E30">
        <w:t xml:space="preserve"> and Hollis et al</w:t>
      </w:r>
      <w:r w:rsidR="00D94F92" w:rsidRPr="00361E30">
        <w:t>. (2006a)</w:t>
      </w:r>
      <w:r w:rsidRPr="00361E30">
        <w:t xml:space="preserve"> in previous research.</w:t>
      </w:r>
    </w:p>
    <w:p w14:paraId="71E4C4C2" w14:textId="77777777" w:rsidR="00CA0EF0" w:rsidRPr="00361E30" w:rsidRDefault="00CA0EF0" w:rsidP="003C13F4">
      <w:pPr>
        <w:pStyle w:val="Heading2"/>
      </w:pPr>
      <w:bookmarkStart w:id="105" w:name="_Toc1902284"/>
      <w:r w:rsidRPr="00361E30">
        <w:t>4.2.2</w:t>
      </w:r>
      <w:r w:rsidRPr="00361E30">
        <w:tab/>
        <w:t>Injury Characteristics</w:t>
      </w:r>
      <w:bookmarkEnd w:id="105"/>
    </w:p>
    <w:p w14:paraId="705D49F9" w14:textId="77777777" w:rsidR="00CA0EF0" w:rsidRPr="00361E30" w:rsidRDefault="00CA0EF0" w:rsidP="003C13F4">
      <w:r w:rsidRPr="00361E30">
        <w:t xml:space="preserve">The following sections describe the injury characteristics and clinical features of patients on presentation to the Emergency Department following major trauma. Injury severity, injury patterns and injury mechanism were compared between patients of different ages.  </w:t>
      </w:r>
    </w:p>
    <w:p w14:paraId="45EBCD44" w14:textId="77777777" w:rsidR="00CA0EF0" w:rsidRPr="00361E30" w:rsidRDefault="00CA0EF0" w:rsidP="003C13F4">
      <w:pPr>
        <w:pStyle w:val="Heading3"/>
      </w:pPr>
      <w:r w:rsidRPr="00361E30">
        <w:t xml:space="preserve">4.2.2.1 </w:t>
      </w:r>
      <w:r w:rsidRPr="00361E30">
        <w:tab/>
        <w:t>Injury Severity</w:t>
      </w:r>
    </w:p>
    <w:p w14:paraId="022E94A1" w14:textId="77777777" w:rsidR="00CA0EF0" w:rsidRPr="00361E30" w:rsidRDefault="00CA0EF0" w:rsidP="003C13F4">
      <w:r w:rsidRPr="00361E30">
        <w:t>The median injury severity score (ISS) for all patients in the study cohort was 9 (inter-quartile range [IQR] 9 – 18). Of the entire cohort, 22,681 (20.6%) had an ISS less than 9; 47,708 (43.3%) an ISS of 9 – 15; 19178 (17.4%) an ISS of 16 – 24 and 20,661 (18.7%) and ISS of ≥ 25. Compared to younger patients, a greater proportion of patients aged 65 had less severe injuries (ISS less than 16) while a smaller proportion had injuries of ISS ≥ 16 (Table 4.1).</w:t>
      </w:r>
    </w:p>
    <w:p w14:paraId="50089FAE" w14:textId="77777777" w:rsidR="00CA0EF0" w:rsidRPr="00361E30" w:rsidRDefault="00CA0EF0" w:rsidP="003C13F4">
      <w:pPr>
        <w:pStyle w:val="Heading3"/>
      </w:pPr>
      <w:r w:rsidRPr="00361E30">
        <w:t xml:space="preserve">4.2.2.2 </w:t>
      </w:r>
      <w:r w:rsidRPr="00361E30">
        <w:tab/>
        <w:t>Injury Pattern</w:t>
      </w:r>
    </w:p>
    <w:p w14:paraId="75E2C315" w14:textId="77777777" w:rsidR="00CA0EF0" w:rsidRPr="00361E30" w:rsidRDefault="00CA0EF0" w:rsidP="003C13F4">
      <w:r w:rsidRPr="00361E30">
        <w:t xml:space="preserve">The most common body regions injured were the limbs (46.0% of all patients); head/neck (30.6%); spine (25.4%) and thorax (25.3%). Compared to younger patients, older patients were more likely to have severe head injuries, with an AIS of ≥ 3 (28.3% vs 25%) but less likely to have severe injuries to the chest (14.6% vs 23.8%) and limbs (26.3% vs 30.2%) (Table 4.1). </w:t>
      </w:r>
    </w:p>
    <w:p w14:paraId="1762EA8D" w14:textId="77777777" w:rsidR="00CA0EF0" w:rsidRPr="00361E30" w:rsidRDefault="00CA0EF0" w:rsidP="003C13F4">
      <w:pPr>
        <w:pStyle w:val="Heading3"/>
      </w:pPr>
      <w:r w:rsidRPr="00361E30">
        <w:t xml:space="preserve">4.2.2.3 </w:t>
      </w:r>
      <w:r w:rsidRPr="00361E30">
        <w:tab/>
        <w:t>Mechanism of Injury</w:t>
      </w:r>
    </w:p>
    <w:p w14:paraId="48CCE8AE" w14:textId="77777777" w:rsidR="00CA0EF0" w:rsidRPr="00361E30" w:rsidRDefault="00CA0EF0" w:rsidP="003C13F4">
      <w:r w:rsidRPr="00361E30">
        <w:t xml:space="preserve">Low falls (falls of less than 2 metres), high falls (falls of 2 metres or more) and road traffic collisions/incidents (RTCs) were the most common mechanisms of injuries in all patients. Older patients were most likely to suffer from low falls, with 40,363 (78.4%) suffering from this </w:t>
      </w:r>
      <w:r w:rsidRPr="00361E30">
        <w:lastRenderedPageBreak/>
        <w:t>mechanism of injury, compared to 19760 (33.6%) younger patients. Road traffic collisions accounted for 19,483 (33.2%) injuries in the younger age group, but only 4,367 (8.5%) injuries in older people.</w:t>
      </w:r>
    </w:p>
    <w:p w14:paraId="780743A8" w14:textId="77777777" w:rsidR="00CA0EF0" w:rsidRPr="00361E30" w:rsidRDefault="00CA0EF0" w:rsidP="003C13F4">
      <w:pPr>
        <w:pStyle w:val="Heading2"/>
      </w:pPr>
      <w:bookmarkStart w:id="106" w:name="_Toc1902285"/>
      <w:r w:rsidRPr="00361E30">
        <w:t>4.2.3</w:t>
      </w:r>
      <w:r w:rsidRPr="00361E30">
        <w:tab/>
        <w:t>Physiological variables</w:t>
      </w:r>
      <w:bookmarkEnd w:id="106"/>
    </w:p>
    <w:p w14:paraId="49BB8C2D" w14:textId="77777777" w:rsidR="00CA0EF0" w:rsidRPr="00361E30" w:rsidRDefault="00CA0EF0" w:rsidP="003C13F4">
      <w:r w:rsidRPr="00361E30">
        <w:t>The distribution of systolic blood pressure, Glasgow coma score and respiratory rate was compared across different age groups.</w:t>
      </w:r>
    </w:p>
    <w:p w14:paraId="3AFD75D6" w14:textId="77777777" w:rsidR="00CA0EF0" w:rsidRPr="00361E30" w:rsidRDefault="00CA0EF0" w:rsidP="003C13F4">
      <w:pPr>
        <w:pStyle w:val="Heading3"/>
      </w:pPr>
      <w:r w:rsidRPr="00361E30">
        <w:t xml:space="preserve">4.2.3.1 </w:t>
      </w:r>
      <w:r w:rsidRPr="00361E30">
        <w:tab/>
        <w:t>Systolic Blood Pressure</w:t>
      </w:r>
    </w:p>
    <w:p w14:paraId="289E6444" w14:textId="77777777" w:rsidR="00CA0EF0" w:rsidRPr="00361E30" w:rsidRDefault="00CA0EF0" w:rsidP="003C13F4">
      <w:r w:rsidRPr="00361E30">
        <w:t>The median systolic blood pressure was higher in older adults (145mmHg, IQR 127 – 164mmHg) than in younger patients (131mmHg, IQR 117-146mmHg).  Low systolic blood pressures (SBP) were seen in relatively few patients: 11180 (10.1%) had an SBP &lt;110mmHg, while only 2441 (2.2%) had a systolic blood pressure of &lt;90mmHg – the current TARN cut-off point for defining shock. For any given definition of hypotension (SBP &lt;110mmHg, &lt;100mmHg or &lt;90mmHg), fewer older patients had low systolic blood pressure compared to younger patients (Table 4.1).</w:t>
      </w:r>
    </w:p>
    <w:p w14:paraId="5F795028" w14:textId="77777777" w:rsidR="00CA0EF0" w:rsidRPr="00361E30" w:rsidRDefault="00CA0EF0" w:rsidP="003C13F4">
      <w:pPr>
        <w:pStyle w:val="Heading3"/>
      </w:pPr>
      <w:r w:rsidRPr="00361E30">
        <w:t>4.2.3.2 Glasgow Coma Score</w:t>
      </w:r>
    </w:p>
    <w:p w14:paraId="4C04E500" w14:textId="77777777" w:rsidR="00CA0EF0" w:rsidRPr="00361E30" w:rsidRDefault="00CA0EF0" w:rsidP="003C13F4">
      <w:r w:rsidRPr="00361E30">
        <w:t xml:space="preserve">The median Glasgow coma score (GCS) for all patients was 15 (IQR 15 – 15). There was no difference between older and younger patients. This indicates that </w:t>
      </w:r>
      <w:r w:rsidR="005E3024" w:rsidRPr="00361E30">
        <w:t>most</w:t>
      </w:r>
      <w:r w:rsidRPr="00361E30">
        <w:t xml:space="preserve"> patients presented fully awake and alert, even in the presence of intra-cranial injury. Older patients were more likely to have a high GCS than younger patients. More young people had a GCS of 3 or were intubated on admission compared to the older age group.</w:t>
      </w:r>
    </w:p>
    <w:p w14:paraId="72D1FC00" w14:textId="77777777" w:rsidR="00CA0EF0" w:rsidRPr="00361E30" w:rsidRDefault="00CA0EF0" w:rsidP="003C13F4">
      <w:pPr>
        <w:pStyle w:val="Heading3"/>
      </w:pPr>
      <w:r w:rsidRPr="00361E30">
        <w:t xml:space="preserve">4.2.3.3 </w:t>
      </w:r>
      <w:r w:rsidRPr="00361E30">
        <w:tab/>
        <w:t>Respiratory Rate</w:t>
      </w:r>
    </w:p>
    <w:p w14:paraId="7CBD8561" w14:textId="77777777" w:rsidR="00CA0EF0" w:rsidRPr="00361E30" w:rsidRDefault="00CA0EF0" w:rsidP="003C13F4">
      <w:r w:rsidRPr="00361E30">
        <w:t xml:space="preserve">The median respiratory rate was 18 (IQR 16-20), with no difference between older and younger patients. </w:t>
      </w:r>
      <w:r w:rsidR="005E3024" w:rsidRPr="00361E30">
        <w:t>Most</w:t>
      </w:r>
      <w:r w:rsidRPr="00361E30">
        <w:t xml:space="preserve"> patients (84,155; 76.3%) had a normal respiratory rate on arrival (10 – 29 breaths per minute). However, in 23,249 patients (21.1%), data on respiratory rate were missing.</w:t>
      </w:r>
    </w:p>
    <w:p w14:paraId="0DB2E456" w14:textId="77777777" w:rsidR="00CA0EF0" w:rsidRPr="00361E30" w:rsidRDefault="00CA0EF0" w:rsidP="003C13F4">
      <w:pPr>
        <w:pStyle w:val="Heading1"/>
      </w:pPr>
      <w:bookmarkStart w:id="107" w:name="_Toc1902286"/>
      <w:r w:rsidRPr="00361E30">
        <w:t>4.3</w:t>
      </w:r>
      <w:r w:rsidRPr="00361E30">
        <w:tab/>
        <w:t>Older Patients with Known and Unknown Outcomes</w:t>
      </w:r>
      <w:bookmarkEnd w:id="107"/>
    </w:p>
    <w:p w14:paraId="22EE61BB" w14:textId="77777777" w:rsidR="00CA0EF0" w:rsidRPr="00361E30" w:rsidRDefault="00CA0EF0" w:rsidP="003C13F4">
      <w:r w:rsidRPr="00361E30">
        <w:t>This section compares the characteristics of patients aged ≥ 65 years with known outcomes (</w:t>
      </w:r>
      <w:r w:rsidR="005E3024" w:rsidRPr="00361E30">
        <w:t>30-day</w:t>
      </w:r>
      <w:r w:rsidRPr="00361E30">
        <w:t xml:space="preserve"> survival), to those patients aged ≥ 65 years whose outcomes were not known. The latter group mainly consists of patients who were transferred to a second facility for treatment, but whose records from the second hospital were not submitted to TARN. Overall there were a total of 51,491 patients aged ≥ 65 years in the sample, of which </w:t>
      </w:r>
      <w:r w:rsidR="005E3024" w:rsidRPr="00361E30">
        <w:t>30-day</w:t>
      </w:r>
      <w:r w:rsidRPr="00361E30">
        <w:t xml:space="preserve"> survival was known in 46,000, while the outcome was unknown in the remaining 5,491 patients. The differences between these groups is summarised in Table 4.2.</w:t>
      </w:r>
    </w:p>
    <w:p w14:paraId="2E27F609" w14:textId="77777777" w:rsidR="00CA0EF0" w:rsidRPr="00361E30" w:rsidRDefault="00CA0EF0" w:rsidP="003C13F4">
      <w:pPr>
        <w:pStyle w:val="Heading2"/>
      </w:pPr>
      <w:bookmarkStart w:id="108" w:name="_Toc1902287"/>
      <w:r w:rsidRPr="00361E30">
        <w:lastRenderedPageBreak/>
        <w:t>4.3.1</w:t>
      </w:r>
      <w:r w:rsidRPr="00361E30">
        <w:tab/>
        <w:t>Demographic Characteristics</w:t>
      </w:r>
      <w:bookmarkEnd w:id="108"/>
    </w:p>
    <w:p w14:paraId="4E168C76" w14:textId="77777777" w:rsidR="00CA0EF0" w:rsidRPr="00361E30" w:rsidRDefault="00CA0EF0" w:rsidP="003C13F4">
      <w:pPr>
        <w:pStyle w:val="Heading3"/>
      </w:pPr>
      <w:r w:rsidRPr="00361E30">
        <w:t xml:space="preserve">4.3.1.1 </w:t>
      </w:r>
      <w:r w:rsidRPr="00361E30">
        <w:tab/>
        <w:t>Age Profile</w:t>
      </w:r>
    </w:p>
    <w:p w14:paraId="521778DC" w14:textId="77777777" w:rsidR="00CA0EF0" w:rsidRPr="00361E30" w:rsidRDefault="00CA0EF0" w:rsidP="003C13F4">
      <w:r w:rsidRPr="00361E30">
        <w:t xml:space="preserve">The median age for patients with known outcomes was 82.1 years (IQR 74.8-87.9 years), while patients whose outcomes were not known were younger, with a median age of 78.5 years (IQR 71.5-84.7 years). </w:t>
      </w:r>
    </w:p>
    <w:p w14:paraId="698482A3" w14:textId="77777777" w:rsidR="00CA0EF0" w:rsidRPr="00361E30" w:rsidRDefault="00CA0EF0" w:rsidP="003C13F4">
      <w:pPr>
        <w:pStyle w:val="Heading3"/>
      </w:pPr>
      <w:r w:rsidRPr="00361E30">
        <w:t xml:space="preserve">4.3.1.2 </w:t>
      </w:r>
      <w:r w:rsidRPr="00361E30">
        <w:tab/>
        <w:t>Gender Profile</w:t>
      </w:r>
    </w:p>
    <w:p w14:paraId="1B948494" w14:textId="77777777" w:rsidR="00CA0EF0" w:rsidRPr="00361E30" w:rsidRDefault="00CA0EF0" w:rsidP="003C13F4">
      <w:r w:rsidRPr="00361E30">
        <w:t>The gender distribution for older patients with unknown outcomes was the reverse of those with known outcomes: 27749 (60.3%) patients with known outcomes were female, compared to 2546 (46.4%) of patients whose outcomes were unknown.</w:t>
      </w:r>
    </w:p>
    <w:p w14:paraId="2BAEE1AE" w14:textId="77777777" w:rsidR="00CA0EF0" w:rsidRPr="00361E30" w:rsidRDefault="00CA0EF0" w:rsidP="003C13F4">
      <w:pPr>
        <w:pStyle w:val="Heading3"/>
      </w:pPr>
      <w:r w:rsidRPr="00361E30">
        <w:t xml:space="preserve">4.3.1.3 </w:t>
      </w:r>
      <w:r w:rsidRPr="00361E30">
        <w:tab/>
        <w:t>Pre-Injury Clinical Status</w:t>
      </w:r>
    </w:p>
    <w:p w14:paraId="6F14A7BA" w14:textId="77777777" w:rsidR="00CA0EF0" w:rsidRPr="00361E30" w:rsidRDefault="005E3024" w:rsidP="003C13F4">
      <w:r w:rsidRPr="00361E30">
        <w:t>Most</w:t>
      </w:r>
      <w:r w:rsidR="00CA0EF0" w:rsidRPr="00361E30">
        <w:t xml:space="preserve"> patients aged ≥ 65 years had a CCI or less than 6. Of the patients with known outcomes, 18,237 (39.6%) had a CCI of 0, while 15,844 (34.4%) had a CCI of 1 – 5, while in those whose outcomes were not known 2,205 (40.2%) had a CCI of 0, and 1,817 (33.1%) of 1 – 5. The distribution of CCI scores was similar in older patients with and without known outcomes (Table 4.2).</w:t>
      </w:r>
    </w:p>
    <w:p w14:paraId="06736A68" w14:textId="77777777" w:rsidR="00CA0EF0" w:rsidRPr="00361E30" w:rsidRDefault="00CA0EF0" w:rsidP="003C13F4">
      <w:pPr>
        <w:pStyle w:val="Heading3"/>
      </w:pPr>
      <w:r w:rsidRPr="00361E30">
        <w:t xml:space="preserve">4.3.1.4 </w:t>
      </w:r>
      <w:r w:rsidRPr="00361E30">
        <w:tab/>
        <w:t>Pre-Injury Medication</w:t>
      </w:r>
    </w:p>
    <w:p w14:paraId="14C5D78C" w14:textId="77777777" w:rsidR="00CA0EF0" w:rsidRPr="00361E30" w:rsidRDefault="00CA0EF0" w:rsidP="003C13F4">
      <w:r w:rsidRPr="00361E30">
        <w:t>In older patients with and without known outcomes, the proportion of patients with recorded pre-injury medication was less than 1%. This low percentage suggests that there was significant under reporting of pre-injury medication usage in the TARN database.</w:t>
      </w:r>
    </w:p>
    <w:p w14:paraId="04EADF71" w14:textId="77777777" w:rsidR="00CA0EF0" w:rsidRPr="00361E30" w:rsidRDefault="00CA0EF0" w:rsidP="003C13F4">
      <w:pPr>
        <w:pStyle w:val="Heading2"/>
      </w:pPr>
      <w:bookmarkStart w:id="109" w:name="_Toc1902288"/>
      <w:r w:rsidRPr="00361E30">
        <w:t>4.3.2</w:t>
      </w:r>
      <w:r w:rsidRPr="00361E30">
        <w:tab/>
        <w:t>Injury Characteristics</w:t>
      </w:r>
      <w:bookmarkEnd w:id="109"/>
    </w:p>
    <w:p w14:paraId="418AB3C3" w14:textId="77777777" w:rsidR="00CA0EF0" w:rsidRPr="00361E30" w:rsidRDefault="00CA0EF0" w:rsidP="003C13F4">
      <w:r w:rsidRPr="00361E30">
        <w:t xml:space="preserve">The following sections compare the injury characteristics and clinical features of older patients with and without known outcomes on presentation to the Emergency Department following major trauma. Injury severity, injury patterns and injury mechanism were compared. </w:t>
      </w:r>
    </w:p>
    <w:p w14:paraId="011F2526" w14:textId="77777777" w:rsidR="00CA0EF0" w:rsidRPr="00361E30" w:rsidRDefault="00CA0EF0" w:rsidP="003C13F4">
      <w:pPr>
        <w:pStyle w:val="Heading3"/>
      </w:pPr>
      <w:r w:rsidRPr="00361E30">
        <w:t xml:space="preserve">4.3.2.1 </w:t>
      </w:r>
      <w:r w:rsidRPr="00361E30">
        <w:tab/>
        <w:t>Injury Severity</w:t>
      </w:r>
    </w:p>
    <w:p w14:paraId="22E0C619" w14:textId="77777777" w:rsidR="00CA0EF0" w:rsidRPr="00361E30" w:rsidRDefault="00CA0EF0" w:rsidP="003C13F4">
      <w:r w:rsidRPr="00361E30">
        <w:t>The median injury severity score for all older patients in the study cohort was 9 (IQR 9 – 18). The median ISS for patients with known outcomes was 9 (IQR 8 – 16), compared to a substantially higher ISS of 16 (IQR 9 – 25) in older patients whose outcome was not reported.</w:t>
      </w:r>
    </w:p>
    <w:p w14:paraId="241C75C4" w14:textId="77777777" w:rsidR="00CA0EF0" w:rsidRPr="00361E30" w:rsidRDefault="00CA0EF0" w:rsidP="003C13F4">
      <w:pPr>
        <w:pStyle w:val="Heading3"/>
      </w:pPr>
      <w:r w:rsidRPr="00361E30">
        <w:t xml:space="preserve">4.3.2.2 </w:t>
      </w:r>
      <w:r w:rsidRPr="00361E30">
        <w:tab/>
        <w:t>Injury Pattern</w:t>
      </w:r>
    </w:p>
    <w:p w14:paraId="72DEA685" w14:textId="77777777" w:rsidR="00CA0EF0" w:rsidRPr="00361E30" w:rsidRDefault="00CA0EF0" w:rsidP="003C13F4">
      <w:r w:rsidRPr="00361E30">
        <w:t>In patients with known outcomes, the most common serious injuries (injuries with an AIS ≥ 3) were head and neck injuries (seen in 26.4% of patients) and injuries to the extremities (27.4% of patients). Older patients whose outcomes were not known were more likely to have serious head a</w:t>
      </w:r>
      <w:r w:rsidR="005E3024">
        <w:t>nd</w:t>
      </w:r>
      <w:r w:rsidRPr="00361E30">
        <w:t xml:space="preserve"> neck injuries (44.5%) and less likely to have serious extremity injuries (16.9%). </w:t>
      </w:r>
    </w:p>
    <w:tbl>
      <w:tblPr>
        <w:tblW w:w="7668" w:type="dxa"/>
        <w:tblLayout w:type="fixed"/>
        <w:tblLook w:val="04A0" w:firstRow="1" w:lastRow="0" w:firstColumn="1" w:lastColumn="0" w:noHBand="0" w:noVBand="1"/>
      </w:tblPr>
      <w:tblGrid>
        <w:gridCol w:w="1368"/>
        <w:gridCol w:w="1710"/>
        <w:gridCol w:w="1530"/>
        <w:gridCol w:w="1530"/>
        <w:gridCol w:w="1530"/>
      </w:tblGrid>
      <w:tr w:rsidR="00CA0EF0" w:rsidRPr="00361E30" w14:paraId="449CFE08" w14:textId="77777777" w:rsidTr="003C13F4">
        <w:trPr>
          <w:cantSplit/>
          <w:trHeight w:val="291"/>
        </w:trPr>
        <w:tc>
          <w:tcPr>
            <w:tcW w:w="7668" w:type="dxa"/>
            <w:gridSpan w:val="5"/>
            <w:tcBorders>
              <w:top w:val="single" w:sz="4" w:space="0" w:color="auto"/>
              <w:bottom w:val="double" w:sz="4" w:space="0" w:color="auto"/>
            </w:tcBorders>
            <w:shd w:val="clear" w:color="auto" w:fill="auto"/>
            <w:noWrap/>
          </w:tcPr>
          <w:p w14:paraId="62A73B5B" w14:textId="77777777" w:rsidR="00CA0EF0" w:rsidRPr="00361E30" w:rsidRDefault="00CA0EF0" w:rsidP="003C13F4">
            <w:pPr>
              <w:spacing w:after="0" w:line="240" w:lineRule="auto"/>
              <w:jc w:val="center"/>
              <w:rPr>
                <w:rFonts w:eastAsia="Times New Roman" w:cstheme="minorHAnsi"/>
                <w:b/>
                <w:bCs/>
                <w:color w:val="000000"/>
                <w:sz w:val="20"/>
                <w:szCs w:val="20"/>
              </w:rPr>
            </w:pPr>
            <w:r w:rsidRPr="00361E30">
              <w:rPr>
                <w:rFonts w:eastAsia="Times New Roman" w:cstheme="minorHAnsi"/>
                <w:b/>
                <w:bCs/>
                <w:color w:val="000000"/>
                <w:sz w:val="20"/>
                <w:szCs w:val="20"/>
              </w:rPr>
              <w:lastRenderedPageBreak/>
              <w:t>Characteristics of the Study Population</w:t>
            </w:r>
          </w:p>
        </w:tc>
      </w:tr>
      <w:tr w:rsidR="00CA0EF0" w:rsidRPr="00361E30" w14:paraId="0EEC9717" w14:textId="77777777" w:rsidTr="003C13F4">
        <w:trPr>
          <w:cantSplit/>
          <w:trHeight w:val="535"/>
        </w:trPr>
        <w:tc>
          <w:tcPr>
            <w:tcW w:w="1368" w:type="dxa"/>
            <w:tcBorders>
              <w:top w:val="double" w:sz="4" w:space="0" w:color="auto"/>
              <w:bottom w:val="single" w:sz="4" w:space="0" w:color="auto"/>
            </w:tcBorders>
            <w:shd w:val="clear" w:color="auto" w:fill="auto"/>
            <w:noWrap/>
            <w:hideMark/>
          </w:tcPr>
          <w:p w14:paraId="55CA48EE" w14:textId="77777777" w:rsidR="00CA0EF0" w:rsidRPr="00361E30" w:rsidRDefault="00CA0EF0" w:rsidP="003C13F4">
            <w:pPr>
              <w:spacing w:after="0" w:line="240" w:lineRule="auto"/>
              <w:jc w:val="left"/>
              <w:rPr>
                <w:rFonts w:eastAsia="Times New Roman" w:cstheme="minorHAnsi"/>
                <w:b/>
                <w:bCs/>
                <w:color w:val="000000"/>
                <w:sz w:val="20"/>
                <w:szCs w:val="20"/>
              </w:rPr>
            </w:pPr>
            <w:r w:rsidRPr="00361E30">
              <w:rPr>
                <w:rFonts w:eastAsia="Times New Roman" w:cstheme="minorHAnsi"/>
                <w:b/>
                <w:bCs/>
                <w:color w:val="000000"/>
                <w:sz w:val="20"/>
                <w:szCs w:val="20"/>
              </w:rPr>
              <w:t>Variable</w:t>
            </w:r>
          </w:p>
        </w:tc>
        <w:tc>
          <w:tcPr>
            <w:tcW w:w="1710" w:type="dxa"/>
            <w:tcBorders>
              <w:top w:val="double" w:sz="4" w:space="0" w:color="auto"/>
              <w:bottom w:val="single" w:sz="4" w:space="0" w:color="auto"/>
            </w:tcBorders>
            <w:shd w:val="clear" w:color="auto" w:fill="auto"/>
            <w:noWrap/>
            <w:hideMark/>
          </w:tcPr>
          <w:p w14:paraId="4C5CAC00"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530" w:type="dxa"/>
            <w:tcBorders>
              <w:top w:val="double" w:sz="4" w:space="0" w:color="auto"/>
              <w:bottom w:val="single" w:sz="4" w:space="0" w:color="auto"/>
            </w:tcBorders>
            <w:shd w:val="clear" w:color="auto" w:fill="auto"/>
            <w:vAlign w:val="center"/>
            <w:hideMark/>
          </w:tcPr>
          <w:p w14:paraId="1A3F582A" w14:textId="77777777" w:rsidR="00CA0EF0" w:rsidRPr="00361E30" w:rsidRDefault="00CA0EF0" w:rsidP="003C13F4">
            <w:pPr>
              <w:spacing w:after="0" w:line="240" w:lineRule="auto"/>
              <w:jc w:val="center"/>
              <w:rPr>
                <w:rFonts w:eastAsia="Times New Roman" w:cstheme="minorHAnsi"/>
                <w:b/>
                <w:bCs/>
                <w:color w:val="000000"/>
                <w:sz w:val="20"/>
                <w:szCs w:val="20"/>
              </w:rPr>
            </w:pPr>
            <w:r w:rsidRPr="00361E30">
              <w:rPr>
                <w:rFonts w:eastAsia="Times New Roman" w:cstheme="minorHAnsi"/>
                <w:b/>
                <w:bCs/>
                <w:color w:val="000000"/>
                <w:sz w:val="20"/>
                <w:szCs w:val="20"/>
              </w:rPr>
              <w:t xml:space="preserve">&gt;=65 years, known outcomes </w:t>
            </w:r>
            <w:r w:rsidR="005E3024" w:rsidRPr="00361E30">
              <w:rPr>
                <w:rFonts w:eastAsia="Times New Roman" w:cstheme="minorHAnsi"/>
                <w:b/>
                <w:bCs/>
                <w:color w:val="000000"/>
                <w:sz w:val="20"/>
                <w:szCs w:val="20"/>
              </w:rPr>
              <w:t>n (</w:t>
            </w:r>
            <w:r w:rsidRPr="00361E30">
              <w:rPr>
                <w:rFonts w:eastAsia="Times New Roman" w:cstheme="minorHAnsi"/>
                <w:b/>
                <w:bCs/>
                <w:color w:val="000000"/>
                <w:sz w:val="20"/>
                <w:szCs w:val="20"/>
              </w:rPr>
              <w:t>%)</w:t>
            </w:r>
          </w:p>
        </w:tc>
        <w:tc>
          <w:tcPr>
            <w:tcW w:w="1530" w:type="dxa"/>
            <w:tcBorders>
              <w:top w:val="double" w:sz="4" w:space="0" w:color="auto"/>
              <w:bottom w:val="single" w:sz="4" w:space="0" w:color="auto"/>
            </w:tcBorders>
            <w:shd w:val="clear" w:color="auto" w:fill="auto"/>
            <w:vAlign w:val="center"/>
            <w:hideMark/>
          </w:tcPr>
          <w:p w14:paraId="0B2606C6" w14:textId="77777777" w:rsidR="00CA0EF0" w:rsidRPr="00361E30" w:rsidRDefault="00CA0EF0" w:rsidP="003C13F4">
            <w:pPr>
              <w:spacing w:after="0" w:line="240" w:lineRule="auto"/>
              <w:jc w:val="center"/>
              <w:rPr>
                <w:rFonts w:eastAsia="Times New Roman" w:cstheme="minorHAnsi"/>
                <w:b/>
                <w:bCs/>
                <w:color w:val="000000"/>
                <w:sz w:val="20"/>
                <w:szCs w:val="20"/>
              </w:rPr>
            </w:pPr>
            <w:r w:rsidRPr="00361E30">
              <w:rPr>
                <w:rFonts w:eastAsia="Times New Roman" w:cstheme="minorHAnsi"/>
                <w:b/>
                <w:bCs/>
                <w:color w:val="000000"/>
                <w:sz w:val="20"/>
                <w:szCs w:val="20"/>
              </w:rPr>
              <w:t>&gt;= 65 years, outcomes not known</w:t>
            </w:r>
            <w:r w:rsidRPr="00361E30">
              <w:rPr>
                <w:rFonts w:eastAsia="Times New Roman" w:cstheme="minorHAnsi"/>
                <w:color w:val="000000"/>
                <w:sz w:val="20"/>
                <w:szCs w:val="20"/>
              </w:rPr>
              <w:t xml:space="preserve"> </w:t>
            </w:r>
            <w:r w:rsidR="005E3024" w:rsidRPr="00361E30">
              <w:rPr>
                <w:rFonts w:eastAsia="Times New Roman" w:cstheme="minorHAnsi"/>
                <w:color w:val="000000"/>
                <w:sz w:val="20"/>
                <w:szCs w:val="20"/>
              </w:rPr>
              <w:t>n (</w:t>
            </w:r>
            <w:r w:rsidRPr="00361E30">
              <w:rPr>
                <w:rFonts w:eastAsia="Times New Roman" w:cstheme="minorHAnsi"/>
                <w:color w:val="000000"/>
                <w:sz w:val="20"/>
                <w:szCs w:val="20"/>
              </w:rPr>
              <w:t>%)</w:t>
            </w:r>
          </w:p>
        </w:tc>
        <w:tc>
          <w:tcPr>
            <w:tcW w:w="1530" w:type="dxa"/>
            <w:tcBorders>
              <w:top w:val="double" w:sz="4" w:space="0" w:color="auto"/>
              <w:bottom w:val="single" w:sz="4" w:space="0" w:color="auto"/>
            </w:tcBorders>
            <w:shd w:val="clear" w:color="auto" w:fill="auto"/>
            <w:vAlign w:val="center"/>
            <w:hideMark/>
          </w:tcPr>
          <w:p w14:paraId="4CDE804B" w14:textId="77777777" w:rsidR="00CA0EF0" w:rsidRPr="00361E30" w:rsidRDefault="00CA0EF0" w:rsidP="003C13F4">
            <w:pPr>
              <w:spacing w:after="0" w:line="240" w:lineRule="auto"/>
              <w:jc w:val="center"/>
              <w:rPr>
                <w:rFonts w:eastAsia="Times New Roman" w:cstheme="minorHAnsi"/>
                <w:b/>
                <w:bCs/>
                <w:color w:val="000000"/>
                <w:sz w:val="20"/>
                <w:szCs w:val="20"/>
              </w:rPr>
            </w:pPr>
            <w:r w:rsidRPr="00361E30">
              <w:rPr>
                <w:rFonts w:eastAsia="Times New Roman" w:cstheme="minorHAnsi"/>
                <w:b/>
                <w:bCs/>
                <w:color w:val="000000"/>
                <w:sz w:val="20"/>
                <w:szCs w:val="20"/>
              </w:rPr>
              <w:t xml:space="preserve">TOTAL </w:t>
            </w:r>
            <w:r w:rsidR="005E3024" w:rsidRPr="00361E30">
              <w:rPr>
                <w:rFonts w:eastAsia="Times New Roman" w:cstheme="minorHAnsi"/>
                <w:b/>
                <w:bCs/>
                <w:color w:val="000000"/>
                <w:sz w:val="20"/>
                <w:szCs w:val="20"/>
              </w:rPr>
              <w:t>n (</w:t>
            </w:r>
            <w:r w:rsidRPr="00361E30">
              <w:rPr>
                <w:rFonts w:eastAsia="Times New Roman" w:cstheme="minorHAnsi"/>
                <w:b/>
                <w:bCs/>
                <w:color w:val="000000"/>
                <w:sz w:val="20"/>
                <w:szCs w:val="20"/>
              </w:rPr>
              <w:t>%)</w:t>
            </w:r>
          </w:p>
        </w:tc>
      </w:tr>
      <w:tr w:rsidR="00CA0EF0" w:rsidRPr="00361E30" w14:paraId="621DA98B" w14:textId="77777777" w:rsidTr="003C13F4">
        <w:trPr>
          <w:cantSplit/>
          <w:trHeight w:val="315"/>
        </w:trPr>
        <w:tc>
          <w:tcPr>
            <w:tcW w:w="1368" w:type="dxa"/>
            <w:tcBorders>
              <w:bottom w:val="single" w:sz="4" w:space="0" w:color="auto"/>
            </w:tcBorders>
            <w:shd w:val="clear" w:color="auto" w:fill="auto"/>
            <w:noWrap/>
          </w:tcPr>
          <w:p w14:paraId="256CF8AA"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tcBorders>
              <w:bottom w:val="single" w:sz="4" w:space="0" w:color="auto"/>
            </w:tcBorders>
            <w:shd w:val="clear" w:color="auto" w:fill="auto"/>
            <w:noWrap/>
            <w:vAlign w:val="bottom"/>
          </w:tcPr>
          <w:p w14:paraId="608C6B25"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TOTAL</w:t>
            </w:r>
          </w:p>
        </w:tc>
        <w:tc>
          <w:tcPr>
            <w:tcW w:w="1530" w:type="dxa"/>
            <w:tcBorders>
              <w:bottom w:val="single" w:sz="4" w:space="0" w:color="auto"/>
            </w:tcBorders>
            <w:shd w:val="clear" w:color="auto" w:fill="auto"/>
            <w:noWrap/>
            <w:vAlign w:val="center"/>
          </w:tcPr>
          <w:p w14:paraId="05F75F09" w14:textId="77777777" w:rsidR="00CA0EF0" w:rsidRPr="00361E30" w:rsidRDefault="00CA0EF0" w:rsidP="003C13F4">
            <w:pPr>
              <w:spacing w:after="0" w:line="240" w:lineRule="auto"/>
              <w:jc w:val="center"/>
              <w:rPr>
                <w:rFonts w:eastAsia="Times New Roman" w:cstheme="minorHAnsi"/>
                <w:bCs/>
                <w:color w:val="000000"/>
                <w:sz w:val="20"/>
                <w:szCs w:val="20"/>
              </w:rPr>
            </w:pPr>
            <w:r w:rsidRPr="00361E30">
              <w:rPr>
                <w:rFonts w:eastAsia="Times New Roman" w:cstheme="minorHAnsi"/>
                <w:bCs/>
                <w:color w:val="000000"/>
                <w:sz w:val="20"/>
                <w:szCs w:val="20"/>
              </w:rPr>
              <w:t>46000</w:t>
            </w:r>
          </w:p>
        </w:tc>
        <w:tc>
          <w:tcPr>
            <w:tcW w:w="1530" w:type="dxa"/>
            <w:tcBorders>
              <w:bottom w:val="single" w:sz="4" w:space="0" w:color="auto"/>
            </w:tcBorders>
            <w:shd w:val="clear" w:color="auto" w:fill="auto"/>
            <w:noWrap/>
            <w:vAlign w:val="center"/>
          </w:tcPr>
          <w:p w14:paraId="7E0581A8"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5491</w:t>
            </w:r>
          </w:p>
        </w:tc>
        <w:tc>
          <w:tcPr>
            <w:tcW w:w="1530" w:type="dxa"/>
            <w:tcBorders>
              <w:bottom w:val="single" w:sz="4" w:space="0" w:color="auto"/>
            </w:tcBorders>
            <w:shd w:val="clear" w:color="auto" w:fill="auto"/>
            <w:noWrap/>
            <w:vAlign w:val="center"/>
          </w:tcPr>
          <w:p w14:paraId="344BFC5F" w14:textId="77777777" w:rsidR="00CA0EF0" w:rsidRPr="00361E30" w:rsidRDefault="00CA0EF0" w:rsidP="003C13F4">
            <w:pPr>
              <w:spacing w:after="0" w:line="240" w:lineRule="auto"/>
              <w:jc w:val="center"/>
              <w:rPr>
                <w:rFonts w:eastAsia="Times New Roman" w:cstheme="minorHAnsi"/>
                <w:bCs/>
                <w:color w:val="000000"/>
                <w:sz w:val="20"/>
                <w:szCs w:val="20"/>
              </w:rPr>
            </w:pPr>
            <w:r w:rsidRPr="00361E30">
              <w:rPr>
                <w:rFonts w:eastAsia="Times New Roman" w:cstheme="minorHAnsi"/>
                <w:bCs/>
                <w:color w:val="000000"/>
                <w:sz w:val="20"/>
                <w:szCs w:val="20"/>
              </w:rPr>
              <w:t>51491</w:t>
            </w:r>
          </w:p>
        </w:tc>
      </w:tr>
      <w:tr w:rsidR="00CA0EF0" w:rsidRPr="00361E30" w14:paraId="0D2B11DE" w14:textId="77777777" w:rsidTr="003C13F4">
        <w:trPr>
          <w:cantSplit/>
          <w:trHeight w:val="300"/>
        </w:trPr>
        <w:tc>
          <w:tcPr>
            <w:tcW w:w="1368" w:type="dxa"/>
            <w:tcBorders>
              <w:top w:val="single" w:sz="4" w:space="0" w:color="auto"/>
              <w:bottom w:val="single" w:sz="4" w:space="0" w:color="auto"/>
            </w:tcBorders>
            <w:shd w:val="clear" w:color="auto" w:fill="auto"/>
            <w:noWrap/>
          </w:tcPr>
          <w:p w14:paraId="26FE1BF4" w14:textId="77777777" w:rsidR="00CA0EF0" w:rsidRPr="00361E30" w:rsidRDefault="00CA0EF0" w:rsidP="003C13F4">
            <w:pPr>
              <w:spacing w:after="0" w:line="240" w:lineRule="auto"/>
              <w:jc w:val="left"/>
              <w:rPr>
                <w:rFonts w:eastAsia="Times New Roman" w:cstheme="minorHAnsi"/>
                <w:b/>
                <w:bCs/>
                <w:color w:val="000000"/>
                <w:sz w:val="20"/>
                <w:szCs w:val="20"/>
              </w:rPr>
            </w:pPr>
            <w:r w:rsidRPr="00361E30">
              <w:rPr>
                <w:rFonts w:eastAsia="Times New Roman" w:cstheme="minorHAnsi"/>
                <w:b/>
                <w:bCs/>
                <w:color w:val="000000"/>
                <w:sz w:val="20"/>
                <w:szCs w:val="20"/>
              </w:rPr>
              <w:t xml:space="preserve">Age(years)  </w:t>
            </w:r>
          </w:p>
        </w:tc>
        <w:tc>
          <w:tcPr>
            <w:tcW w:w="1710" w:type="dxa"/>
            <w:tcBorders>
              <w:top w:val="single" w:sz="4" w:space="0" w:color="auto"/>
              <w:bottom w:val="single" w:sz="4" w:space="0" w:color="auto"/>
            </w:tcBorders>
            <w:shd w:val="clear" w:color="auto" w:fill="auto"/>
            <w:noWrap/>
            <w:vAlign w:val="bottom"/>
          </w:tcPr>
          <w:p w14:paraId="7D832D0A"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bCs/>
                <w:color w:val="000000"/>
                <w:sz w:val="20"/>
                <w:szCs w:val="20"/>
              </w:rPr>
              <w:t>Median Age (IQR)</w:t>
            </w:r>
          </w:p>
        </w:tc>
        <w:tc>
          <w:tcPr>
            <w:tcW w:w="1530" w:type="dxa"/>
            <w:tcBorders>
              <w:top w:val="single" w:sz="4" w:space="0" w:color="auto"/>
              <w:bottom w:val="single" w:sz="4" w:space="0" w:color="auto"/>
            </w:tcBorders>
            <w:shd w:val="clear" w:color="auto" w:fill="auto"/>
            <w:noWrap/>
            <w:vAlign w:val="center"/>
          </w:tcPr>
          <w:p w14:paraId="2C63CAD3"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82.1 (74.8-87.9)</w:t>
            </w:r>
          </w:p>
        </w:tc>
        <w:tc>
          <w:tcPr>
            <w:tcW w:w="1530" w:type="dxa"/>
            <w:tcBorders>
              <w:top w:val="single" w:sz="4" w:space="0" w:color="auto"/>
              <w:bottom w:val="single" w:sz="4" w:space="0" w:color="auto"/>
            </w:tcBorders>
            <w:shd w:val="clear" w:color="auto" w:fill="auto"/>
            <w:noWrap/>
            <w:vAlign w:val="center"/>
          </w:tcPr>
          <w:p w14:paraId="0B68D39A"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78.5 (71.5-84.7)</w:t>
            </w:r>
          </w:p>
        </w:tc>
        <w:tc>
          <w:tcPr>
            <w:tcW w:w="1530" w:type="dxa"/>
            <w:tcBorders>
              <w:top w:val="single" w:sz="4" w:space="0" w:color="auto"/>
              <w:bottom w:val="single" w:sz="4" w:space="0" w:color="auto"/>
            </w:tcBorders>
            <w:shd w:val="clear" w:color="auto" w:fill="auto"/>
            <w:noWrap/>
            <w:vAlign w:val="center"/>
          </w:tcPr>
          <w:p w14:paraId="4F8A7158"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80.9 (63.0-88.9)</w:t>
            </w:r>
          </w:p>
        </w:tc>
      </w:tr>
      <w:tr w:rsidR="00CA0EF0" w:rsidRPr="00361E30" w14:paraId="6EF85875" w14:textId="77777777" w:rsidTr="003C13F4">
        <w:trPr>
          <w:cantSplit/>
          <w:trHeight w:val="300"/>
        </w:trPr>
        <w:tc>
          <w:tcPr>
            <w:tcW w:w="1368" w:type="dxa"/>
            <w:vMerge w:val="restart"/>
            <w:tcBorders>
              <w:top w:val="single" w:sz="4" w:space="0" w:color="auto"/>
              <w:bottom w:val="single" w:sz="4" w:space="0" w:color="auto"/>
            </w:tcBorders>
            <w:shd w:val="clear" w:color="auto" w:fill="auto"/>
            <w:noWrap/>
            <w:hideMark/>
          </w:tcPr>
          <w:p w14:paraId="48591D68" w14:textId="77777777" w:rsidR="00CA0EF0" w:rsidRPr="00361E30" w:rsidRDefault="00CA0EF0" w:rsidP="003C13F4">
            <w:pPr>
              <w:spacing w:after="0" w:line="240" w:lineRule="auto"/>
              <w:jc w:val="left"/>
              <w:rPr>
                <w:rFonts w:eastAsia="Times New Roman" w:cstheme="minorHAnsi"/>
                <w:b/>
                <w:bCs/>
                <w:color w:val="000000"/>
                <w:sz w:val="20"/>
                <w:szCs w:val="20"/>
              </w:rPr>
            </w:pPr>
            <w:r w:rsidRPr="00361E30">
              <w:rPr>
                <w:rFonts w:eastAsia="Times New Roman" w:cstheme="minorHAnsi"/>
                <w:b/>
                <w:bCs/>
                <w:color w:val="000000"/>
                <w:sz w:val="20"/>
                <w:szCs w:val="20"/>
              </w:rPr>
              <w:t>Gender</w:t>
            </w:r>
          </w:p>
          <w:p w14:paraId="1DC9FB9F" w14:textId="77777777" w:rsidR="00CA0EF0" w:rsidRPr="00361E30" w:rsidRDefault="00CA0EF0" w:rsidP="003C13F4">
            <w:pPr>
              <w:spacing w:after="0" w:line="240" w:lineRule="auto"/>
              <w:jc w:val="left"/>
              <w:rPr>
                <w:rFonts w:eastAsia="Times New Roman" w:cstheme="minorHAnsi"/>
                <w:b/>
                <w:bCs/>
                <w:color w:val="000000"/>
                <w:sz w:val="20"/>
                <w:szCs w:val="20"/>
              </w:rPr>
            </w:pPr>
            <w:r w:rsidRPr="00361E30">
              <w:rPr>
                <w:rFonts w:eastAsia="Times New Roman" w:cstheme="minorHAnsi"/>
                <w:b/>
                <w:bCs/>
                <w:color w:val="000000"/>
                <w:sz w:val="20"/>
                <w:szCs w:val="20"/>
              </w:rPr>
              <w:t> </w:t>
            </w:r>
          </w:p>
        </w:tc>
        <w:tc>
          <w:tcPr>
            <w:tcW w:w="1710" w:type="dxa"/>
            <w:tcBorders>
              <w:top w:val="single" w:sz="4" w:space="0" w:color="auto"/>
            </w:tcBorders>
            <w:shd w:val="clear" w:color="auto" w:fill="auto"/>
            <w:noWrap/>
            <w:vAlign w:val="bottom"/>
            <w:hideMark/>
          </w:tcPr>
          <w:p w14:paraId="68C6B842"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Male</w:t>
            </w:r>
          </w:p>
        </w:tc>
        <w:tc>
          <w:tcPr>
            <w:tcW w:w="1530" w:type="dxa"/>
            <w:tcBorders>
              <w:top w:val="single" w:sz="4" w:space="0" w:color="auto"/>
            </w:tcBorders>
            <w:shd w:val="clear" w:color="auto" w:fill="auto"/>
            <w:noWrap/>
            <w:vAlign w:val="center"/>
            <w:hideMark/>
          </w:tcPr>
          <w:p w14:paraId="2A97B058"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18251(39.7%)</w:t>
            </w:r>
          </w:p>
        </w:tc>
        <w:tc>
          <w:tcPr>
            <w:tcW w:w="1530" w:type="dxa"/>
            <w:tcBorders>
              <w:top w:val="single" w:sz="4" w:space="0" w:color="auto"/>
            </w:tcBorders>
            <w:shd w:val="clear" w:color="auto" w:fill="auto"/>
            <w:noWrap/>
            <w:vAlign w:val="center"/>
            <w:hideMark/>
          </w:tcPr>
          <w:p w14:paraId="1854D6D2"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2945(53.6%)</w:t>
            </w:r>
          </w:p>
        </w:tc>
        <w:tc>
          <w:tcPr>
            <w:tcW w:w="1530" w:type="dxa"/>
            <w:tcBorders>
              <w:top w:val="single" w:sz="4" w:space="0" w:color="auto"/>
            </w:tcBorders>
            <w:shd w:val="clear" w:color="auto" w:fill="auto"/>
            <w:noWrap/>
            <w:vAlign w:val="center"/>
          </w:tcPr>
          <w:p w14:paraId="09C1E845"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21196 (41.2%)</w:t>
            </w:r>
          </w:p>
        </w:tc>
      </w:tr>
      <w:tr w:rsidR="00CA0EF0" w:rsidRPr="00361E30" w14:paraId="6D632B63" w14:textId="77777777" w:rsidTr="003C13F4">
        <w:trPr>
          <w:cantSplit/>
          <w:trHeight w:val="300"/>
        </w:trPr>
        <w:tc>
          <w:tcPr>
            <w:tcW w:w="1368" w:type="dxa"/>
            <w:vMerge/>
            <w:tcBorders>
              <w:bottom w:val="single" w:sz="4" w:space="0" w:color="auto"/>
            </w:tcBorders>
            <w:shd w:val="clear" w:color="auto" w:fill="auto"/>
            <w:noWrap/>
            <w:hideMark/>
          </w:tcPr>
          <w:p w14:paraId="486685F3"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202DA873"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Female</w:t>
            </w:r>
          </w:p>
        </w:tc>
        <w:tc>
          <w:tcPr>
            <w:tcW w:w="1530" w:type="dxa"/>
            <w:shd w:val="clear" w:color="auto" w:fill="auto"/>
            <w:noWrap/>
            <w:vAlign w:val="center"/>
            <w:hideMark/>
          </w:tcPr>
          <w:p w14:paraId="12A41035"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27749(60.3%)</w:t>
            </w:r>
          </w:p>
        </w:tc>
        <w:tc>
          <w:tcPr>
            <w:tcW w:w="1530" w:type="dxa"/>
            <w:shd w:val="clear" w:color="auto" w:fill="auto"/>
            <w:noWrap/>
            <w:vAlign w:val="center"/>
            <w:hideMark/>
          </w:tcPr>
          <w:p w14:paraId="3B0E7F38"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2546(46.4%)</w:t>
            </w:r>
          </w:p>
        </w:tc>
        <w:tc>
          <w:tcPr>
            <w:tcW w:w="1530" w:type="dxa"/>
            <w:shd w:val="clear" w:color="auto" w:fill="auto"/>
            <w:noWrap/>
            <w:vAlign w:val="center"/>
          </w:tcPr>
          <w:p w14:paraId="36336980"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30295 (58.8%)</w:t>
            </w:r>
          </w:p>
        </w:tc>
      </w:tr>
      <w:tr w:rsidR="00CA0EF0" w:rsidRPr="00361E30" w14:paraId="68F92E8A" w14:textId="77777777" w:rsidTr="003C13F4">
        <w:trPr>
          <w:cantSplit/>
          <w:trHeight w:val="300"/>
        </w:trPr>
        <w:tc>
          <w:tcPr>
            <w:tcW w:w="1368" w:type="dxa"/>
            <w:vMerge w:val="restart"/>
            <w:tcBorders>
              <w:top w:val="single" w:sz="4" w:space="0" w:color="auto"/>
            </w:tcBorders>
            <w:shd w:val="clear" w:color="auto" w:fill="auto"/>
            <w:noWrap/>
            <w:hideMark/>
          </w:tcPr>
          <w:p w14:paraId="108477A5" w14:textId="77777777" w:rsidR="00CA0EF0" w:rsidRPr="00361E30" w:rsidRDefault="00CA0EF0" w:rsidP="003C13F4">
            <w:pPr>
              <w:spacing w:after="0" w:line="240" w:lineRule="auto"/>
              <w:jc w:val="left"/>
              <w:rPr>
                <w:rFonts w:eastAsia="Times New Roman" w:cstheme="minorHAnsi"/>
                <w:b/>
                <w:bCs/>
                <w:color w:val="000000"/>
                <w:sz w:val="20"/>
                <w:szCs w:val="20"/>
              </w:rPr>
            </w:pPr>
            <w:r w:rsidRPr="00361E30">
              <w:rPr>
                <w:rFonts w:eastAsia="Times New Roman" w:cstheme="minorHAnsi"/>
                <w:b/>
                <w:bCs/>
                <w:color w:val="000000"/>
                <w:sz w:val="20"/>
                <w:szCs w:val="20"/>
              </w:rPr>
              <w:t>Charlson Comorbidity Index</w:t>
            </w:r>
          </w:p>
          <w:p w14:paraId="44EEA006"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tcBorders>
              <w:top w:val="single" w:sz="4" w:space="0" w:color="auto"/>
            </w:tcBorders>
            <w:shd w:val="clear" w:color="auto" w:fill="auto"/>
            <w:hideMark/>
          </w:tcPr>
          <w:p w14:paraId="117DF108"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0</w:t>
            </w:r>
          </w:p>
        </w:tc>
        <w:tc>
          <w:tcPr>
            <w:tcW w:w="1530" w:type="dxa"/>
            <w:tcBorders>
              <w:top w:val="single" w:sz="4" w:space="0" w:color="auto"/>
            </w:tcBorders>
            <w:shd w:val="clear" w:color="auto" w:fill="auto"/>
            <w:noWrap/>
            <w:vAlign w:val="center"/>
            <w:hideMark/>
          </w:tcPr>
          <w:p w14:paraId="27947422"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18237(39.6%)</w:t>
            </w:r>
          </w:p>
        </w:tc>
        <w:tc>
          <w:tcPr>
            <w:tcW w:w="1530" w:type="dxa"/>
            <w:tcBorders>
              <w:top w:val="single" w:sz="4" w:space="0" w:color="auto"/>
            </w:tcBorders>
            <w:shd w:val="clear" w:color="auto" w:fill="auto"/>
            <w:vAlign w:val="center"/>
            <w:hideMark/>
          </w:tcPr>
          <w:p w14:paraId="053806FC"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2205(40.2%)</w:t>
            </w:r>
          </w:p>
        </w:tc>
        <w:tc>
          <w:tcPr>
            <w:tcW w:w="1530" w:type="dxa"/>
            <w:tcBorders>
              <w:top w:val="single" w:sz="4" w:space="0" w:color="auto"/>
            </w:tcBorders>
            <w:shd w:val="clear" w:color="auto" w:fill="auto"/>
            <w:noWrap/>
            <w:vAlign w:val="center"/>
          </w:tcPr>
          <w:p w14:paraId="5170A1BA"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20442 (39.7%)</w:t>
            </w:r>
          </w:p>
        </w:tc>
      </w:tr>
      <w:tr w:rsidR="00CA0EF0" w:rsidRPr="00361E30" w14:paraId="5D6E9805" w14:textId="77777777" w:rsidTr="003C13F4">
        <w:trPr>
          <w:cantSplit/>
          <w:trHeight w:val="300"/>
        </w:trPr>
        <w:tc>
          <w:tcPr>
            <w:tcW w:w="1368" w:type="dxa"/>
            <w:vMerge/>
            <w:shd w:val="clear" w:color="auto" w:fill="auto"/>
            <w:noWrap/>
            <w:hideMark/>
          </w:tcPr>
          <w:p w14:paraId="3A7B5965"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hideMark/>
          </w:tcPr>
          <w:p w14:paraId="29215BCC"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1 - 5</w:t>
            </w:r>
          </w:p>
        </w:tc>
        <w:tc>
          <w:tcPr>
            <w:tcW w:w="1530" w:type="dxa"/>
            <w:shd w:val="clear" w:color="auto" w:fill="auto"/>
            <w:noWrap/>
            <w:vAlign w:val="center"/>
            <w:hideMark/>
          </w:tcPr>
          <w:p w14:paraId="7FCB6E5B"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15844(34.4%)</w:t>
            </w:r>
          </w:p>
        </w:tc>
        <w:tc>
          <w:tcPr>
            <w:tcW w:w="1530" w:type="dxa"/>
            <w:shd w:val="clear" w:color="auto" w:fill="auto"/>
            <w:vAlign w:val="center"/>
            <w:hideMark/>
          </w:tcPr>
          <w:p w14:paraId="3A55A3AD"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1817(33.1%)</w:t>
            </w:r>
          </w:p>
        </w:tc>
        <w:tc>
          <w:tcPr>
            <w:tcW w:w="1530" w:type="dxa"/>
            <w:shd w:val="clear" w:color="auto" w:fill="auto"/>
            <w:noWrap/>
            <w:vAlign w:val="center"/>
          </w:tcPr>
          <w:p w14:paraId="0274FF30"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17661 (34.3%)</w:t>
            </w:r>
          </w:p>
        </w:tc>
      </w:tr>
      <w:tr w:rsidR="00CA0EF0" w:rsidRPr="00361E30" w14:paraId="033A65CB" w14:textId="77777777" w:rsidTr="003C13F4">
        <w:trPr>
          <w:cantSplit/>
          <w:trHeight w:val="300"/>
        </w:trPr>
        <w:tc>
          <w:tcPr>
            <w:tcW w:w="1368" w:type="dxa"/>
            <w:vMerge/>
            <w:shd w:val="clear" w:color="auto" w:fill="auto"/>
            <w:noWrap/>
            <w:hideMark/>
          </w:tcPr>
          <w:p w14:paraId="76CAF1E0"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hideMark/>
          </w:tcPr>
          <w:p w14:paraId="62AE0B18"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6 - 10</w:t>
            </w:r>
          </w:p>
        </w:tc>
        <w:tc>
          <w:tcPr>
            <w:tcW w:w="1530" w:type="dxa"/>
            <w:shd w:val="clear" w:color="auto" w:fill="auto"/>
            <w:noWrap/>
            <w:vAlign w:val="center"/>
            <w:hideMark/>
          </w:tcPr>
          <w:p w14:paraId="49EC8723"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6548(14.2%)</w:t>
            </w:r>
          </w:p>
        </w:tc>
        <w:tc>
          <w:tcPr>
            <w:tcW w:w="1530" w:type="dxa"/>
            <w:shd w:val="clear" w:color="auto" w:fill="auto"/>
            <w:vAlign w:val="center"/>
            <w:hideMark/>
          </w:tcPr>
          <w:p w14:paraId="12092761"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804(14.6%)</w:t>
            </w:r>
          </w:p>
        </w:tc>
        <w:tc>
          <w:tcPr>
            <w:tcW w:w="1530" w:type="dxa"/>
            <w:shd w:val="clear" w:color="auto" w:fill="auto"/>
            <w:noWrap/>
            <w:vAlign w:val="center"/>
          </w:tcPr>
          <w:p w14:paraId="043869AB"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7352 (14.3%)</w:t>
            </w:r>
          </w:p>
        </w:tc>
      </w:tr>
      <w:tr w:rsidR="00CA0EF0" w:rsidRPr="00361E30" w14:paraId="5C7A36DE" w14:textId="77777777" w:rsidTr="003C13F4">
        <w:trPr>
          <w:cantSplit/>
          <w:trHeight w:val="300"/>
        </w:trPr>
        <w:tc>
          <w:tcPr>
            <w:tcW w:w="1368" w:type="dxa"/>
            <w:vMerge/>
            <w:shd w:val="clear" w:color="auto" w:fill="auto"/>
            <w:noWrap/>
            <w:hideMark/>
          </w:tcPr>
          <w:p w14:paraId="725FD7B6"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hideMark/>
          </w:tcPr>
          <w:p w14:paraId="61E35F72"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&gt; 10</w:t>
            </w:r>
          </w:p>
        </w:tc>
        <w:tc>
          <w:tcPr>
            <w:tcW w:w="1530" w:type="dxa"/>
            <w:shd w:val="clear" w:color="auto" w:fill="auto"/>
            <w:noWrap/>
            <w:vAlign w:val="center"/>
            <w:hideMark/>
          </w:tcPr>
          <w:p w14:paraId="6AD192C5"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2429(5.3%)</w:t>
            </w:r>
          </w:p>
        </w:tc>
        <w:tc>
          <w:tcPr>
            <w:tcW w:w="1530" w:type="dxa"/>
            <w:shd w:val="clear" w:color="auto" w:fill="auto"/>
            <w:vAlign w:val="center"/>
            <w:hideMark/>
          </w:tcPr>
          <w:p w14:paraId="04F88129"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373(6.8%)</w:t>
            </w:r>
          </w:p>
        </w:tc>
        <w:tc>
          <w:tcPr>
            <w:tcW w:w="1530" w:type="dxa"/>
            <w:shd w:val="clear" w:color="auto" w:fill="auto"/>
            <w:noWrap/>
            <w:vAlign w:val="center"/>
          </w:tcPr>
          <w:p w14:paraId="4C7FC375"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2802 (5.4%)</w:t>
            </w:r>
          </w:p>
        </w:tc>
      </w:tr>
      <w:tr w:rsidR="00CA0EF0" w:rsidRPr="00361E30" w14:paraId="7DABC6A1" w14:textId="77777777" w:rsidTr="003C13F4">
        <w:trPr>
          <w:cantSplit/>
          <w:trHeight w:val="300"/>
        </w:trPr>
        <w:tc>
          <w:tcPr>
            <w:tcW w:w="1368" w:type="dxa"/>
            <w:vMerge/>
            <w:shd w:val="clear" w:color="auto" w:fill="auto"/>
            <w:noWrap/>
            <w:hideMark/>
          </w:tcPr>
          <w:p w14:paraId="5797DAE8"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hideMark/>
          </w:tcPr>
          <w:p w14:paraId="77B5E493"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Not Recorded</w:t>
            </w:r>
          </w:p>
        </w:tc>
        <w:tc>
          <w:tcPr>
            <w:tcW w:w="1530" w:type="dxa"/>
            <w:shd w:val="clear" w:color="auto" w:fill="auto"/>
            <w:noWrap/>
            <w:vAlign w:val="center"/>
            <w:hideMark/>
          </w:tcPr>
          <w:p w14:paraId="180EC3A1"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2942(6.4%)</w:t>
            </w:r>
          </w:p>
        </w:tc>
        <w:tc>
          <w:tcPr>
            <w:tcW w:w="1530" w:type="dxa"/>
            <w:shd w:val="clear" w:color="auto" w:fill="auto"/>
            <w:noWrap/>
            <w:vAlign w:val="center"/>
            <w:hideMark/>
          </w:tcPr>
          <w:p w14:paraId="0973C471"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292(5.3%)</w:t>
            </w:r>
          </w:p>
        </w:tc>
        <w:tc>
          <w:tcPr>
            <w:tcW w:w="1530" w:type="dxa"/>
            <w:shd w:val="clear" w:color="auto" w:fill="auto"/>
            <w:noWrap/>
            <w:vAlign w:val="center"/>
          </w:tcPr>
          <w:p w14:paraId="3943EB6F"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3234 (6.3%)</w:t>
            </w:r>
          </w:p>
        </w:tc>
      </w:tr>
      <w:tr w:rsidR="00CA0EF0" w:rsidRPr="00361E30" w14:paraId="2C49E507" w14:textId="77777777" w:rsidTr="003C13F4">
        <w:trPr>
          <w:cantSplit/>
          <w:trHeight w:val="300"/>
        </w:trPr>
        <w:tc>
          <w:tcPr>
            <w:tcW w:w="1368" w:type="dxa"/>
            <w:vMerge/>
            <w:shd w:val="clear" w:color="auto" w:fill="auto"/>
            <w:noWrap/>
            <w:hideMark/>
          </w:tcPr>
          <w:p w14:paraId="41F00F5D"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318A4CCF"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Median ISS (IQR)</w:t>
            </w:r>
          </w:p>
        </w:tc>
        <w:tc>
          <w:tcPr>
            <w:tcW w:w="1530" w:type="dxa"/>
            <w:shd w:val="clear" w:color="auto" w:fill="auto"/>
            <w:noWrap/>
            <w:vAlign w:val="center"/>
            <w:hideMark/>
          </w:tcPr>
          <w:p w14:paraId="21B17BDD"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 (0 - 5)</w:t>
            </w:r>
          </w:p>
        </w:tc>
        <w:tc>
          <w:tcPr>
            <w:tcW w:w="1530" w:type="dxa"/>
            <w:shd w:val="clear" w:color="auto" w:fill="auto"/>
            <w:noWrap/>
            <w:vAlign w:val="center"/>
            <w:hideMark/>
          </w:tcPr>
          <w:p w14:paraId="30E99EE2"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 (0 - 5)</w:t>
            </w:r>
          </w:p>
        </w:tc>
        <w:tc>
          <w:tcPr>
            <w:tcW w:w="1530" w:type="dxa"/>
            <w:shd w:val="clear" w:color="auto" w:fill="auto"/>
            <w:noWrap/>
            <w:vAlign w:val="center"/>
          </w:tcPr>
          <w:p w14:paraId="0D811687"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0 (0 - 4)</w:t>
            </w:r>
          </w:p>
        </w:tc>
      </w:tr>
      <w:tr w:rsidR="00CA0EF0" w:rsidRPr="00361E30" w14:paraId="095E1302" w14:textId="77777777" w:rsidTr="003C13F4">
        <w:trPr>
          <w:cantSplit/>
          <w:trHeight w:val="300"/>
        </w:trPr>
        <w:tc>
          <w:tcPr>
            <w:tcW w:w="1368" w:type="dxa"/>
            <w:vMerge w:val="restart"/>
            <w:tcBorders>
              <w:top w:val="single" w:sz="4" w:space="0" w:color="auto"/>
            </w:tcBorders>
            <w:shd w:val="clear" w:color="auto" w:fill="auto"/>
            <w:noWrap/>
            <w:hideMark/>
          </w:tcPr>
          <w:p w14:paraId="29E408EC" w14:textId="77777777" w:rsidR="00CA0EF0" w:rsidRPr="00361E30" w:rsidRDefault="00CA0EF0" w:rsidP="003C13F4">
            <w:pPr>
              <w:spacing w:after="0" w:line="240" w:lineRule="auto"/>
              <w:jc w:val="left"/>
              <w:rPr>
                <w:rFonts w:eastAsia="Times New Roman" w:cstheme="minorHAnsi"/>
                <w:b/>
                <w:bCs/>
                <w:color w:val="000000"/>
                <w:sz w:val="20"/>
                <w:szCs w:val="20"/>
              </w:rPr>
            </w:pPr>
            <w:r w:rsidRPr="00361E30">
              <w:rPr>
                <w:rFonts w:eastAsia="Times New Roman" w:cstheme="minorHAnsi"/>
                <w:b/>
                <w:bCs/>
                <w:color w:val="000000"/>
                <w:sz w:val="20"/>
                <w:szCs w:val="20"/>
              </w:rPr>
              <w:t>Pre-injury Medication</w:t>
            </w:r>
          </w:p>
          <w:p w14:paraId="2C37153C" w14:textId="77777777" w:rsidR="00CA0EF0" w:rsidRPr="00361E30" w:rsidRDefault="00CA0EF0" w:rsidP="003C13F4">
            <w:pPr>
              <w:spacing w:after="0" w:line="240" w:lineRule="auto"/>
              <w:jc w:val="left"/>
              <w:rPr>
                <w:rFonts w:eastAsia="Times New Roman" w:cstheme="minorHAnsi"/>
                <w:b/>
                <w:bCs/>
                <w:color w:val="000000"/>
                <w:sz w:val="20"/>
                <w:szCs w:val="20"/>
              </w:rPr>
            </w:pPr>
            <w:r w:rsidRPr="00361E30">
              <w:rPr>
                <w:rFonts w:eastAsia="Times New Roman" w:cstheme="minorHAnsi"/>
                <w:b/>
                <w:bCs/>
                <w:color w:val="000000"/>
                <w:sz w:val="20"/>
                <w:szCs w:val="20"/>
              </w:rPr>
              <w:t> </w:t>
            </w:r>
          </w:p>
        </w:tc>
        <w:tc>
          <w:tcPr>
            <w:tcW w:w="1710" w:type="dxa"/>
            <w:tcBorders>
              <w:top w:val="single" w:sz="4" w:space="0" w:color="auto"/>
            </w:tcBorders>
            <w:shd w:val="clear" w:color="auto" w:fill="auto"/>
            <w:noWrap/>
            <w:vAlign w:val="bottom"/>
            <w:hideMark/>
          </w:tcPr>
          <w:p w14:paraId="58366DEC"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Warfarin</w:t>
            </w:r>
          </w:p>
        </w:tc>
        <w:tc>
          <w:tcPr>
            <w:tcW w:w="1530" w:type="dxa"/>
            <w:tcBorders>
              <w:top w:val="single" w:sz="4" w:space="0" w:color="auto"/>
            </w:tcBorders>
            <w:shd w:val="clear" w:color="auto" w:fill="auto"/>
            <w:noWrap/>
            <w:vAlign w:val="center"/>
            <w:hideMark/>
          </w:tcPr>
          <w:p w14:paraId="3B23C962"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180(0.4%)</w:t>
            </w:r>
          </w:p>
        </w:tc>
        <w:tc>
          <w:tcPr>
            <w:tcW w:w="1530" w:type="dxa"/>
            <w:tcBorders>
              <w:top w:val="single" w:sz="4" w:space="0" w:color="auto"/>
            </w:tcBorders>
            <w:shd w:val="clear" w:color="auto" w:fill="auto"/>
            <w:noWrap/>
            <w:vAlign w:val="center"/>
            <w:hideMark/>
          </w:tcPr>
          <w:p w14:paraId="66F1757D"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24(0.4%)</w:t>
            </w:r>
          </w:p>
        </w:tc>
        <w:tc>
          <w:tcPr>
            <w:tcW w:w="1530" w:type="dxa"/>
            <w:tcBorders>
              <w:top w:val="single" w:sz="4" w:space="0" w:color="auto"/>
            </w:tcBorders>
            <w:shd w:val="clear" w:color="auto" w:fill="auto"/>
            <w:noWrap/>
            <w:vAlign w:val="center"/>
          </w:tcPr>
          <w:p w14:paraId="583521C9"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204(0.4%)</w:t>
            </w:r>
          </w:p>
        </w:tc>
      </w:tr>
      <w:tr w:rsidR="00CA0EF0" w:rsidRPr="00361E30" w14:paraId="062F674C" w14:textId="77777777" w:rsidTr="003C13F4">
        <w:trPr>
          <w:cantSplit/>
          <w:trHeight w:val="300"/>
        </w:trPr>
        <w:tc>
          <w:tcPr>
            <w:tcW w:w="1368" w:type="dxa"/>
            <w:vMerge/>
            <w:shd w:val="clear" w:color="auto" w:fill="auto"/>
            <w:noWrap/>
            <w:hideMark/>
          </w:tcPr>
          <w:p w14:paraId="790BF848"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5B40EA13"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Aspirin</w:t>
            </w:r>
          </w:p>
        </w:tc>
        <w:tc>
          <w:tcPr>
            <w:tcW w:w="1530" w:type="dxa"/>
            <w:shd w:val="clear" w:color="auto" w:fill="auto"/>
            <w:noWrap/>
            <w:vAlign w:val="center"/>
            <w:hideMark/>
          </w:tcPr>
          <w:p w14:paraId="6460C7EC"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120(0.3%)</w:t>
            </w:r>
          </w:p>
        </w:tc>
        <w:tc>
          <w:tcPr>
            <w:tcW w:w="1530" w:type="dxa"/>
            <w:shd w:val="clear" w:color="auto" w:fill="auto"/>
            <w:noWrap/>
            <w:vAlign w:val="center"/>
            <w:hideMark/>
          </w:tcPr>
          <w:p w14:paraId="6FE28D96"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10(0.2%)</w:t>
            </w:r>
          </w:p>
        </w:tc>
        <w:tc>
          <w:tcPr>
            <w:tcW w:w="1530" w:type="dxa"/>
            <w:shd w:val="clear" w:color="auto" w:fill="auto"/>
            <w:noWrap/>
            <w:vAlign w:val="center"/>
          </w:tcPr>
          <w:p w14:paraId="615EA010"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103(0.3%)</w:t>
            </w:r>
          </w:p>
        </w:tc>
      </w:tr>
      <w:tr w:rsidR="00CA0EF0" w:rsidRPr="00361E30" w14:paraId="14357F2F" w14:textId="77777777" w:rsidTr="003C13F4">
        <w:trPr>
          <w:cantSplit/>
          <w:trHeight w:val="300"/>
        </w:trPr>
        <w:tc>
          <w:tcPr>
            <w:tcW w:w="1368" w:type="dxa"/>
            <w:vMerge/>
            <w:shd w:val="clear" w:color="auto" w:fill="auto"/>
            <w:noWrap/>
            <w:hideMark/>
          </w:tcPr>
          <w:p w14:paraId="639A8E26"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3B4C22D8"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Clopidogrel</w:t>
            </w:r>
          </w:p>
        </w:tc>
        <w:tc>
          <w:tcPr>
            <w:tcW w:w="1530" w:type="dxa"/>
            <w:shd w:val="clear" w:color="auto" w:fill="auto"/>
            <w:noWrap/>
            <w:vAlign w:val="center"/>
            <w:hideMark/>
          </w:tcPr>
          <w:p w14:paraId="72E1868B"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26(0.1%)</w:t>
            </w:r>
          </w:p>
        </w:tc>
        <w:tc>
          <w:tcPr>
            <w:tcW w:w="1530" w:type="dxa"/>
            <w:shd w:val="clear" w:color="auto" w:fill="auto"/>
            <w:noWrap/>
            <w:vAlign w:val="center"/>
            <w:hideMark/>
          </w:tcPr>
          <w:p w14:paraId="50F366AD"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4(0.1%)</w:t>
            </w:r>
          </w:p>
        </w:tc>
        <w:tc>
          <w:tcPr>
            <w:tcW w:w="1530" w:type="dxa"/>
            <w:shd w:val="clear" w:color="auto" w:fill="auto"/>
            <w:noWrap/>
            <w:vAlign w:val="center"/>
          </w:tcPr>
          <w:p w14:paraId="24B6CF25"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30(0.1%)</w:t>
            </w:r>
          </w:p>
        </w:tc>
      </w:tr>
      <w:tr w:rsidR="00CA0EF0" w:rsidRPr="00361E30" w14:paraId="0C505D6E" w14:textId="77777777" w:rsidTr="003C13F4">
        <w:trPr>
          <w:cantSplit/>
          <w:trHeight w:val="300"/>
        </w:trPr>
        <w:tc>
          <w:tcPr>
            <w:tcW w:w="1368" w:type="dxa"/>
            <w:tcBorders>
              <w:top w:val="single" w:sz="4" w:space="0" w:color="auto"/>
            </w:tcBorders>
            <w:shd w:val="clear" w:color="auto" w:fill="auto"/>
            <w:noWrap/>
            <w:hideMark/>
          </w:tcPr>
          <w:p w14:paraId="635CDF27" w14:textId="77777777" w:rsidR="00CA0EF0" w:rsidRPr="00361E30" w:rsidRDefault="00CA0EF0" w:rsidP="003C13F4">
            <w:pPr>
              <w:spacing w:after="0" w:line="240" w:lineRule="auto"/>
              <w:jc w:val="left"/>
              <w:rPr>
                <w:rFonts w:eastAsia="Times New Roman" w:cstheme="minorHAnsi"/>
                <w:b/>
                <w:bCs/>
                <w:color w:val="000000"/>
                <w:sz w:val="20"/>
                <w:szCs w:val="20"/>
              </w:rPr>
            </w:pPr>
            <w:r w:rsidRPr="00361E30">
              <w:rPr>
                <w:rFonts w:eastAsia="Times New Roman" w:cstheme="minorHAnsi"/>
                <w:b/>
                <w:bCs/>
                <w:color w:val="000000"/>
                <w:sz w:val="20"/>
                <w:szCs w:val="20"/>
              </w:rPr>
              <w:t>Mechanism of Injury</w:t>
            </w:r>
          </w:p>
        </w:tc>
        <w:tc>
          <w:tcPr>
            <w:tcW w:w="1710" w:type="dxa"/>
            <w:tcBorders>
              <w:top w:val="single" w:sz="4" w:space="0" w:color="auto"/>
            </w:tcBorders>
            <w:shd w:val="clear" w:color="auto" w:fill="auto"/>
            <w:noWrap/>
            <w:vAlign w:val="center"/>
            <w:hideMark/>
          </w:tcPr>
          <w:p w14:paraId="7CE9B408"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Falls &lt;2m</w:t>
            </w:r>
          </w:p>
        </w:tc>
        <w:tc>
          <w:tcPr>
            <w:tcW w:w="1530" w:type="dxa"/>
            <w:tcBorders>
              <w:top w:val="single" w:sz="4" w:space="0" w:color="auto"/>
            </w:tcBorders>
            <w:shd w:val="clear" w:color="auto" w:fill="auto"/>
            <w:noWrap/>
            <w:vAlign w:val="center"/>
            <w:hideMark/>
          </w:tcPr>
          <w:p w14:paraId="2CAC8115"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36822(80.0%)</w:t>
            </w:r>
          </w:p>
        </w:tc>
        <w:tc>
          <w:tcPr>
            <w:tcW w:w="1530" w:type="dxa"/>
            <w:tcBorders>
              <w:top w:val="single" w:sz="4" w:space="0" w:color="auto"/>
            </w:tcBorders>
            <w:shd w:val="clear" w:color="auto" w:fill="auto"/>
            <w:noWrap/>
            <w:vAlign w:val="center"/>
            <w:hideMark/>
          </w:tcPr>
          <w:p w14:paraId="70E0C4F0"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3541(64.5%)</w:t>
            </w:r>
          </w:p>
        </w:tc>
        <w:tc>
          <w:tcPr>
            <w:tcW w:w="1530" w:type="dxa"/>
            <w:tcBorders>
              <w:top w:val="single" w:sz="4" w:space="0" w:color="auto"/>
            </w:tcBorders>
            <w:shd w:val="clear" w:color="auto" w:fill="auto"/>
            <w:noWrap/>
            <w:vAlign w:val="center"/>
          </w:tcPr>
          <w:p w14:paraId="79F021DF"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40363 (78.4%)</w:t>
            </w:r>
          </w:p>
        </w:tc>
      </w:tr>
      <w:tr w:rsidR="00CA0EF0" w:rsidRPr="00361E30" w14:paraId="781AEE95" w14:textId="77777777" w:rsidTr="003C13F4">
        <w:trPr>
          <w:cantSplit/>
          <w:trHeight w:val="300"/>
        </w:trPr>
        <w:tc>
          <w:tcPr>
            <w:tcW w:w="1368" w:type="dxa"/>
            <w:shd w:val="clear" w:color="auto" w:fill="auto"/>
            <w:noWrap/>
            <w:hideMark/>
          </w:tcPr>
          <w:p w14:paraId="021CEA5B"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center"/>
            <w:hideMark/>
          </w:tcPr>
          <w:p w14:paraId="2A574AAD"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Falls &gt;= 2m</w:t>
            </w:r>
          </w:p>
        </w:tc>
        <w:tc>
          <w:tcPr>
            <w:tcW w:w="1530" w:type="dxa"/>
            <w:shd w:val="clear" w:color="auto" w:fill="auto"/>
            <w:noWrap/>
            <w:vAlign w:val="center"/>
            <w:hideMark/>
          </w:tcPr>
          <w:p w14:paraId="71D8895E"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4669(10.2%)</w:t>
            </w:r>
          </w:p>
        </w:tc>
        <w:tc>
          <w:tcPr>
            <w:tcW w:w="1530" w:type="dxa"/>
            <w:shd w:val="clear" w:color="auto" w:fill="auto"/>
            <w:noWrap/>
            <w:vAlign w:val="center"/>
            <w:hideMark/>
          </w:tcPr>
          <w:p w14:paraId="1B1AC6AC"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892(16.2%)</w:t>
            </w:r>
          </w:p>
        </w:tc>
        <w:tc>
          <w:tcPr>
            <w:tcW w:w="1530" w:type="dxa"/>
            <w:shd w:val="clear" w:color="auto" w:fill="auto"/>
            <w:noWrap/>
            <w:vAlign w:val="center"/>
          </w:tcPr>
          <w:p w14:paraId="6D448122"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5561 (10.8%)</w:t>
            </w:r>
          </w:p>
        </w:tc>
      </w:tr>
      <w:tr w:rsidR="00CA0EF0" w:rsidRPr="00361E30" w14:paraId="129701ED" w14:textId="77777777" w:rsidTr="003C13F4">
        <w:trPr>
          <w:cantSplit/>
          <w:trHeight w:val="300"/>
        </w:trPr>
        <w:tc>
          <w:tcPr>
            <w:tcW w:w="3078" w:type="dxa"/>
            <w:gridSpan w:val="2"/>
            <w:shd w:val="clear" w:color="auto" w:fill="auto"/>
            <w:noWrap/>
            <w:vAlign w:val="center"/>
            <w:hideMark/>
          </w:tcPr>
          <w:p w14:paraId="3C3FC66F" w14:textId="77777777" w:rsidR="00CA0EF0" w:rsidRPr="00361E30" w:rsidRDefault="00CA0EF0" w:rsidP="003C13F4">
            <w:pPr>
              <w:spacing w:after="0" w:line="240" w:lineRule="auto"/>
              <w:jc w:val="right"/>
              <w:rPr>
                <w:rFonts w:eastAsia="Times New Roman" w:cstheme="minorHAnsi"/>
                <w:color w:val="000000"/>
                <w:sz w:val="20"/>
                <w:szCs w:val="20"/>
              </w:rPr>
            </w:pPr>
            <w:r w:rsidRPr="00361E30">
              <w:rPr>
                <w:rFonts w:eastAsia="Times New Roman" w:cstheme="minorHAnsi"/>
                <w:color w:val="000000"/>
                <w:sz w:val="20"/>
                <w:szCs w:val="20"/>
              </w:rPr>
              <w:t>Road Traffic Collision/Incident</w:t>
            </w:r>
          </w:p>
        </w:tc>
        <w:tc>
          <w:tcPr>
            <w:tcW w:w="1530" w:type="dxa"/>
            <w:shd w:val="clear" w:color="auto" w:fill="auto"/>
            <w:noWrap/>
            <w:vAlign w:val="center"/>
            <w:hideMark/>
          </w:tcPr>
          <w:p w14:paraId="75AC7759"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3496(7.6%)</w:t>
            </w:r>
          </w:p>
        </w:tc>
        <w:tc>
          <w:tcPr>
            <w:tcW w:w="1530" w:type="dxa"/>
            <w:shd w:val="clear" w:color="auto" w:fill="auto"/>
            <w:noWrap/>
            <w:vAlign w:val="center"/>
            <w:hideMark/>
          </w:tcPr>
          <w:p w14:paraId="746B882A"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871(15.9%)</w:t>
            </w:r>
          </w:p>
        </w:tc>
        <w:tc>
          <w:tcPr>
            <w:tcW w:w="1530" w:type="dxa"/>
            <w:shd w:val="clear" w:color="auto" w:fill="auto"/>
            <w:noWrap/>
            <w:vAlign w:val="center"/>
          </w:tcPr>
          <w:p w14:paraId="5C53B6C1" w14:textId="77777777" w:rsidR="00CA0EF0" w:rsidRPr="00361E30" w:rsidRDefault="00CA0EF0" w:rsidP="003C13F4">
            <w:pPr>
              <w:spacing w:after="0" w:line="240" w:lineRule="auto"/>
              <w:jc w:val="center"/>
              <w:rPr>
                <w:rFonts w:cstheme="minorHAnsi"/>
                <w:color w:val="000000"/>
                <w:sz w:val="20"/>
                <w:szCs w:val="20"/>
              </w:rPr>
            </w:pPr>
            <w:r w:rsidRPr="00361E30">
              <w:rPr>
                <w:rFonts w:cstheme="minorHAnsi"/>
                <w:color w:val="000000"/>
                <w:sz w:val="20"/>
                <w:szCs w:val="20"/>
              </w:rPr>
              <w:t>4367 (8.5%)</w:t>
            </w:r>
          </w:p>
        </w:tc>
      </w:tr>
      <w:tr w:rsidR="00CA0EF0" w:rsidRPr="00361E30" w14:paraId="43F5C8DB" w14:textId="77777777" w:rsidTr="003C13F4">
        <w:trPr>
          <w:cantSplit/>
          <w:trHeight w:val="300"/>
        </w:trPr>
        <w:tc>
          <w:tcPr>
            <w:tcW w:w="1368" w:type="dxa"/>
            <w:shd w:val="clear" w:color="auto" w:fill="auto"/>
            <w:noWrap/>
            <w:hideMark/>
          </w:tcPr>
          <w:p w14:paraId="4631A595"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center"/>
            <w:hideMark/>
          </w:tcPr>
          <w:p w14:paraId="79AA1FB7"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Other</w:t>
            </w:r>
          </w:p>
        </w:tc>
        <w:tc>
          <w:tcPr>
            <w:tcW w:w="1530" w:type="dxa"/>
            <w:shd w:val="clear" w:color="auto" w:fill="auto"/>
            <w:noWrap/>
            <w:vAlign w:val="center"/>
            <w:hideMark/>
          </w:tcPr>
          <w:p w14:paraId="0E8FA07A"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1013(2.2%)</w:t>
            </w:r>
          </w:p>
        </w:tc>
        <w:tc>
          <w:tcPr>
            <w:tcW w:w="1530" w:type="dxa"/>
            <w:shd w:val="clear" w:color="auto" w:fill="auto"/>
            <w:noWrap/>
            <w:vAlign w:val="center"/>
            <w:hideMark/>
          </w:tcPr>
          <w:p w14:paraId="370C1880"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187(3.4%)</w:t>
            </w:r>
          </w:p>
        </w:tc>
        <w:tc>
          <w:tcPr>
            <w:tcW w:w="1530" w:type="dxa"/>
            <w:shd w:val="clear" w:color="auto" w:fill="auto"/>
            <w:noWrap/>
            <w:vAlign w:val="center"/>
          </w:tcPr>
          <w:p w14:paraId="6614B878"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1200 (2.3%)</w:t>
            </w:r>
          </w:p>
        </w:tc>
      </w:tr>
      <w:tr w:rsidR="00CA0EF0" w:rsidRPr="00361E30" w14:paraId="7213C07C" w14:textId="77777777" w:rsidTr="003C13F4">
        <w:trPr>
          <w:cantSplit/>
          <w:trHeight w:val="300"/>
        </w:trPr>
        <w:tc>
          <w:tcPr>
            <w:tcW w:w="1368" w:type="dxa"/>
            <w:vMerge w:val="restart"/>
            <w:tcBorders>
              <w:top w:val="single" w:sz="4" w:space="0" w:color="auto"/>
            </w:tcBorders>
            <w:shd w:val="clear" w:color="auto" w:fill="auto"/>
            <w:hideMark/>
          </w:tcPr>
          <w:p w14:paraId="47275DAA" w14:textId="77777777" w:rsidR="00CA0EF0" w:rsidRPr="00361E30" w:rsidRDefault="00CA0EF0" w:rsidP="003C13F4">
            <w:pPr>
              <w:spacing w:after="0" w:line="240" w:lineRule="auto"/>
              <w:jc w:val="left"/>
              <w:rPr>
                <w:rFonts w:eastAsia="Times New Roman" w:cstheme="minorHAnsi"/>
                <w:b/>
                <w:bCs/>
                <w:color w:val="000000"/>
                <w:sz w:val="20"/>
                <w:szCs w:val="20"/>
              </w:rPr>
            </w:pPr>
            <w:r w:rsidRPr="00361E30">
              <w:rPr>
                <w:rFonts w:eastAsia="Times New Roman" w:cstheme="minorHAnsi"/>
                <w:b/>
                <w:bCs/>
                <w:color w:val="000000"/>
                <w:sz w:val="20"/>
                <w:szCs w:val="20"/>
              </w:rPr>
              <w:t>Injury Pattern (proportion of patients with injuries of AIS &gt;=3 in specified body areas)</w:t>
            </w:r>
          </w:p>
        </w:tc>
        <w:tc>
          <w:tcPr>
            <w:tcW w:w="1710" w:type="dxa"/>
            <w:tcBorders>
              <w:top w:val="single" w:sz="4" w:space="0" w:color="auto"/>
            </w:tcBorders>
            <w:shd w:val="clear" w:color="auto" w:fill="auto"/>
            <w:noWrap/>
            <w:vAlign w:val="bottom"/>
            <w:hideMark/>
          </w:tcPr>
          <w:p w14:paraId="4C411002"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Head and Neck</w:t>
            </w:r>
          </w:p>
        </w:tc>
        <w:tc>
          <w:tcPr>
            <w:tcW w:w="1530" w:type="dxa"/>
            <w:tcBorders>
              <w:top w:val="single" w:sz="4" w:space="0" w:color="auto"/>
            </w:tcBorders>
            <w:shd w:val="clear" w:color="auto" w:fill="auto"/>
            <w:noWrap/>
            <w:vAlign w:val="center"/>
            <w:hideMark/>
          </w:tcPr>
          <w:p w14:paraId="771000FA"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12131(26.4%)</w:t>
            </w:r>
          </w:p>
        </w:tc>
        <w:tc>
          <w:tcPr>
            <w:tcW w:w="1530" w:type="dxa"/>
            <w:tcBorders>
              <w:top w:val="single" w:sz="4" w:space="0" w:color="auto"/>
            </w:tcBorders>
            <w:shd w:val="clear" w:color="auto" w:fill="auto"/>
            <w:noWrap/>
            <w:vAlign w:val="center"/>
            <w:hideMark/>
          </w:tcPr>
          <w:p w14:paraId="3C02785F"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2443(44.5%)</w:t>
            </w:r>
          </w:p>
        </w:tc>
        <w:tc>
          <w:tcPr>
            <w:tcW w:w="1530" w:type="dxa"/>
            <w:tcBorders>
              <w:top w:val="single" w:sz="4" w:space="0" w:color="auto"/>
            </w:tcBorders>
            <w:shd w:val="clear" w:color="auto" w:fill="auto"/>
            <w:noWrap/>
            <w:vAlign w:val="center"/>
          </w:tcPr>
          <w:p w14:paraId="45D0B099"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14574 (28.3%)</w:t>
            </w:r>
          </w:p>
        </w:tc>
      </w:tr>
      <w:tr w:rsidR="00CA0EF0" w:rsidRPr="00361E30" w14:paraId="669FAC0D" w14:textId="77777777" w:rsidTr="003C13F4">
        <w:trPr>
          <w:cantSplit/>
          <w:trHeight w:val="300"/>
        </w:trPr>
        <w:tc>
          <w:tcPr>
            <w:tcW w:w="1368" w:type="dxa"/>
            <w:vMerge/>
            <w:hideMark/>
          </w:tcPr>
          <w:p w14:paraId="7ACC4C41"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0A965985"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Face</w:t>
            </w:r>
          </w:p>
        </w:tc>
        <w:tc>
          <w:tcPr>
            <w:tcW w:w="1530" w:type="dxa"/>
            <w:shd w:val="clear" w:color="auto" w:fill="auto"/>
            <w:noWrap/>
            <w:vAlign w:val="center"/>
            <w:hideMark/>
          </w:tcPr>
          <w:p w14:paraId="44F4F931"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40(0.1%)</w:t>
            </w:r>
          </w:p>
        </w:tc>
        <w:tc>
          <w:tcPr>
            <w:tcW w:w="1530" w:type="dxa"/>
            <w:shd w:val="clear" w:color="auto" w:fill="auto"/>
            <w:noWrap/>
            <w:vAlign w:val="center"/>
            <w:hideMark/>
          </w:tcPr>
          <w:p w14:paraId="05089749"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14(0.3%)</w:t>
            </w:r>
          </w:p>
        </w:tc>
        <w:tc>
          <w:tcPr>
            <w:tcW w:w="1530" w:type="dxa"/>
            <w:shd w:val="clear" w:color="auto" w:fill="auto"/>
            <w:noWrap/>
            <w:vAlign w:val="center"/>
          </w:tcPr>
          <w:p w14:paraId="35A06DC3"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54 (0.1%)</w:t>
            </w:r>
          </w:p>
        </w:tc>
      </w:tr>
      <w:tr w:rsidR="00CA0EF0" w:rsidRPr="00361E30" w14:paraId="1BFC56E7" w14:textId="77777777" w:rsidTr="003C13F4">
        <w:trPr>
          <w:cantSplit/>
          <w:trHeight w:val="300"/>
        </w:trPr>
        <w:tc>
          <w:tcPr>
            <w:tcW w:w="1368" w:type="dxa"/>
            <w:vMerge/>
            <w:hideMark/>
          </w:tcPr>
          <w:p w14:paraId="1698633D"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6F23DFF1"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Thorax</w:t>
            </w:r>
          </w:p>
        </w:tc>
        <w:tc>
          <w:tcPr>
            <w:tcW w:w="1530" w:type="dxa"/>
            <w:shd w:val="clear" w:color="auto" w:fill="auto"/>
            <w:noWrap/>
            <w:vAlign w:val="center"/>
            <w:hideMark/>
          </w:tcPr>
          <w:p w14:paraId="4E531703"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6560(14.3%)</w:t>
            </w:r>
          </w:p>
        </w:tc>
        <w:tc>
          <w:tcPr>
            <w:tcW w:w="1530" w:type="dxa"/>
            <w:shd w:val="clear" w:color="auto" w:fill="auto"/>
            <w:noWrap/>
            <w:vAlign w:val="center"/>
            <w:hideMark/>
          </w:tcPr>
          <w:p w14:paraId="64A6AEAC"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956(17.4%)</w:t>
            </w:r>
          </w:p>
        </w:tc>
        <w:tc>
          <w:tcPr>
            <w:tcW w:w="1530" w:type="dxa"/>
            <w:shd w:val="clear" w:color="auto" w:fill="auto"/>
            <w:noWrap/>
            <w:vAlign w:val="center"/>
          </w:tcPr>
          <w:p w14:paraId="6987DB7E"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7516 (14.6%)</w:t>
            </w:r>
          </w:p>
        </w:tc>
      </w:tr>
      <w:tr w:rsidR="00CA0EF0" w:rsidRPr="00361E30" w14:paraId="1CF4DAC8" w14:textId="77777777" w:rsidTr="003C13F4">
        <w:trPr>
          <w:cantSplit/>
          <w:trHeight w:val="300"/>
        </w:trPr>
        <w:tc>
          <w:tcPr>
            <w:tcW w:w="1368" w:type="dxa"/>
            <w:vMerge/>
            <w:hideMark/>
          </w:tcPr>
          <w:p w14:paraId="3A9EA580"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733FE136"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Abdomen</w:t>
            </w:r>
          </w:p>
        </w:tc>
        <w:tc>
          <w:tcPr>
            <w:tcW w:w="1530" w:type="dxa"/>
            <w:shd w:val="clear" w:color="auto" w:fill="auto"/>
            <w:noWrap/>
            <w:vAlign w:val="center"/>
            <w:hideMark/>
          </w:tcPr>
          <w:p w14:paraId="74AFB9EB"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466(1%)</w:t>
            </w:r>
          </w:p>
        </w:tc>
        <w:tc>
          <w:tcPr>
            <w:tcW w:w="1530" w:type="dxa"/>
            <w:shd w:val="clear" w:color="auto" w:fill="auto"/>
            <w:noWrap/>
            <w:vAlign w:val="center"/>
            <w:hideMark/>
          </w:tcPr>
          <w:p w14:paraId="147C5C64"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124(2.3%)</w:t>
            </w:r>
          </w:p>
        </w:tc>
        <w:tc>
          <w:tcPr>
            <w:tcW w:w="1530" w:type="dxa"/>
            <w:shd w:val="clear" w:color="auto" w:fill="auto"/>
            <w:noWrap/>
            <w:vAlign w:val="center"/>
          </w:tcPr>
          <w:p w14:paraId="01F13116"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590 (1.1%)</w:t>
            </w:r>
          </w:p>
        </w:tc>
      </w:tr>
      <w:tr w:rsidR="00CA0EF0" w:rsidRPr="00361E30" w14:paraId="7924DDFD" w14:textId="77777777" w:rsidTr="003C13F4">
        <w:trPr>
          <w:cantSplit/>
          <w:trHeight w:val="300"/>
        </w:trPr>
        <w:tc>
          <w:tcPr>
            <w:tcW w:w="1368" w:type="dxa"/>
            <w:vMerge/>
            <w:hideMark/>
          </w:tcPr>
          <w:p w14:paraId="7879F090"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790EC736"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Pelvis</w:t>
            </w:r>
          </w:p>
        </w:tc>
        <w:tc>
          <w:tcPr>
            <w:tcW w:w="1530" w:type="dxa"/>
            <w:shd w:val="clear" w:color="auto" w:fill="auto"/>
            <w:noWrap/>
            <w:vAlign w:val="center"/>
            <w:hideMark/>
          </w:tcPr>
          <w:p w14:paraId="46FD490B"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656(1.4%)</w:t>
            </w:r>
          </w:p>
        </w:tc>
        <w:tc>
          <w:tcPr>
            <w:tcW w:w="1530" w:type="dxa"/>
            <w:shd w:val="clear" w:color="auto" w:fill="auto"/>
            <w:noWrap/>
            <w:vAlign w:val="center"/>
            <w:hideMark/>
          </w:tcPr>
          <w:p w14:paraId="7DE81085"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241(4.4%)</w:t>
            </w:r>
          </w:p>
        </w:tc>
        <w:tc>
          <w:tcPr>
            <w:tcW w:w="1530" w:type="dxa"/>
            <w:shd w:val="clear" w:color="auto" w:fill="auto"/>
            <w:noWrap/>
            <w:vAlign w:val="center"/>
          </w:tcPr>
          <w:p w14:paraId="4ACEC33D"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897 (1.7%)</w:t>
            </w:r>
          </w:p>
        </w:tc>
      </w:tr>
      <w:tr w:rsidR="00CA0EF0" w:rsidRPr="00361E30" w14:paraId="55779684" w14:textId="77777777" w:rsidTr="003C13F4">
        <w:trPr>
          <w:cantSplit/>
          <w:trHeight w:val="300"/>
        </w:trPr>
        <w:tc>
          <w:tcPr>
            <w:tcW w:w="1368" w:type="dxa"/>
            <w:vMerge/>
            <w:hideMark/>
          </w:tcPr>
          <w:p w14:paraId="16652328"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41026CE7"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Spine</w:t>
            </w:r>
          </w:p>
        </w:tc>
        <w:tc>
          <w:tcPr>
            <w:tcW w:w="1530" w:type="dxa"/>
            <w:shd w:val="clear" w:color="auto" w:fill="auto"/>
            <w:noWrap/>
            <w:vAlign w:val="center"/>
            <w:hideMark/>
          </w:tcPr>
          <w:p w14:paraId="1518BCAD"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4351(9.5%)</w:t>
            </w:r>
          </w:p>
        </w:tc>
        <w:tc>
          <w:tcPr>
            <w:tcW w:w="1530" w:type="dxa"/>
            <w:shd w:val="clear" w:color="auto" w:fill="auto"/>
            <w:noWrap/>
            <w:vAlign w:val="center"/>
            <w:hideMark/>
          </w:tcPr>
          <w:p w14:paraId="710AFBC2"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848(15.4%)</w:t>
            </w:r>
          </w:p>
        </w:tc>
        <w:tc>
          <w:tcPr>
            <w:tcW w:w="1530" w:type="dxa"/>
            <w:shd w:val="clear" w:color="auto" w:fill="auto"/>
            <w:noWrap/>
            <w:vAlign w:val="center"/>
          </w:tcPr>
          <w:p w14:paraId="4D69232F"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5199 (10.1%)</w:t>
            </w:r>
          </w:p>
        </w:tc>
      </w:tr>
      <w:tr w:rsidR="00CA0EF0" w:rsidRPr="00361E30" w14:paraId="0DEE36DA" w14:textId="77777777" w:rsidTr="003C13F4">
        <w:trPr>
          <w:cantSplit/>
          <w:trHeight w:val="300"/>
        </w:trPr>
        <w:tc>
          <w:tcPr>
            <w:tcW w:w="1368" w:type="dxa"/>
            <w:vMerge/>
            <w:hideMark/>
          </w:tcPr>
          <w:p w14:paraId="67D63AFD"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20A1F17A"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Extremities</w:t>
            </w:r>
          </w:p>
        </w:tc>
        <w:tc>
          <w:tcPr>
            <w:tcW w:w="1530" w:type="dxa"/>
            <w:shd w:val="clear" w:color="auto" w:fill="auto"/>
            <w:noWrap/>
            <w:vAlign w:val="center"/>
            <w:hideMark/>
          </w:tcPr>
          <w:p w14:paraId="7FB98891"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12599(27.4%)</w:t>
            </w:r>
          </w:p>
        </w:tc>
        <w:tc>
          <w:tcPr>
            <w:tcW w:w="1530" w:type="dxa"/>
            <w:shd w:val="clear" w:color="auto" w:fill="auto"/>
            <w:noWrap/>
            <w:vAlign w:val="center"/>
            <w:hideMark/>
          </w:tcPr>
          <w:p w14:paraId="0BB92C2C"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926(16.9%)</w:t>
            </w:r>
          </w:p>
        </w:tc>
        <w:tc>
          <w:tcPr>
            <w:tcW w:w="1530" w:type="dxa"/>
            <w:shd w:val="clear" w:color="auto" w:fill="auto"/>
            <w:noWrap/>
            <w:vAlign w:val="center"/>
          </w:tcPr>
          <w:p w14:paraId="59E05373"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13525 (26.3%)</w:t>
            </w:r>
          </w:p>
        </w:tc>
      </w:tr>
      <w:tr w:rsidR="00CA0EF0" w:rsidRPr="00361E30" w14:paraId="7A2F87C7" w14:textId="77777777" w:rsidTr="003C13F4">
        <w:trPr>
          <w:cantSplit/>
          <w:trHeight w:val="300"/>
        </w:trPr>
        <w:tc>
          <w:tcPr>
            <w:tcW w:w="1368" w:type="dxa"/>
            <w:vMerge/>
            <w:hideMark/>
          </w:tcPr>
          <w:p w14:paraId="06BAF508"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4D56F159"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Other</w:t>
            </w:r>
          </w:p>
        </w:tc>
        <w:tc>
          <w:tcPr>
            <w:tcW w:w="1530" w:type="dxa"/>
            <w:shd w:val="clear" w:color="auto" w:fill="auto"/>
            <w:noWrap/>
            <w:vAlign w:val="center"/>
            <w:hideMark/>
          </w:tcPr>
          <w:p w14:paraId="1B75BB13"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129(0.3%)</w:t>
            </w:r>
          </w:p>
        </w:tc>
        <w:tc>
          <w:tcPr>
            <w:tcW w:w="1530" w:type="dxa"/>
            <w:shd w:val="clear" w:color="auto" w:fill="auto"/>
            <w:noWrap/>
            <w:vAlign w:val="center"/>
            <w:hideMark/>
          </w:tcPr>
          <w:p w14:paraId="0E969648"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20(0.4%)</w:t>
            </w:r>
          </w:p>
        </w:tc>
        <w:tc>
          <w:tcPr>
            <w:tcW w:w="1530" w:type="dxa"/>
            <w:shd w:val="clear" w:color="auto" w:fill="auto"/>
            <w:noWrap/>
            <w:vAlign w:val="center"/>
          </w:tcPr>
          <w:p w14:paraId="420FFB7B"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149 (0.3%)</w:t>
            </w:r>
          </w:p>
        </w:tc>
      </w:tr>
      <w:tr w:rsidR="00CA0EF0" w:rsidRPr="00361E30" w14:paraId="27672CB2" w14:textId="77777777" w:rsidTr="003C13F4">
        <w:trPr>
          <w:cantSplit/>
          <w:trHeight w:val="300"/>
        </w:trPr>
        <w:tc>
          <w:tcPr>
            <w:tcW w:w="1368" w:type="dxa"/>
            <w:vMerge w:val="restart"/>
            <w:tcBorders>
              <w:top w:val="single" w:sz="4" w:space="0" w:color="auto"/>
            </w:tcBorders>
            <w:shd w:val="clear" w:color="auto" w:fill="auto"/>
            <w:noWrap/>
            <w:hideMark/>
          </w:tcPr>
          <w:p w14:paraId="0C78E54B" w14:textId="77777777" w:rsidR="00CA0EF0" w:rsidRPr="00361E30" w:rsidRDefault="00CA0EF0" w:rsidP="003C13F4">
            <w:pPr>
              <w:spacing w:after="0" w:line="240" w:lineRule="auto"/>
              <w:jc w:val="left"/>
              <w:rPr>
                <w:rFonts w:eastAsia="Times New Roman" w:cstheme="minorHAnsi"/>
                <w:b/>
                <w:bCs/>
                <w:color w:val="000000"/>
                <w:sz w:val="20"/>
                <w:szCs w:val="20"/>
              </w:rPr>
            </w:pPr>
            <w:r w:rsidRPr="00361E30">
              <w:rPr>
                <w:rFonts w:eastAsia="Times New Roman" w:cstheme="minorHAnsi"/>
                <w:b/>
                <w:bCs/>
                <w:color w:val="000000"/>
                <w:sz w:val="20"/>
                <w:szCs w:val="20"/>
              </w:rPr>
              <w:t>Injury Severity Score</w:t>
            </w:r>
          </w:p>
          <w:p w14:paraId="15011570" w14:textId="77777777" w:rsidR="00CA0EF0" w:rsidRPr="00361E30" w:rsidRDefault="00CA0EF0" w:rsidP="003C13F4">
            <w:pPr>
              <w:spacing w:after="0" w:line="240" w:lineRule="auto"/>
              <w:jc w:val="left"/>
              <w:rPr>
                <w:rFonts w:eastAsia="Times New Roman" w:cstheme="minorHAnsi"/>
                <w:b/>
                <w:bCs/>
                <w:color w:val="000000"/>
                <w:sz w:val="20"/>
                <w:szCs w:val="20"/>
              </w:rPr>
            </w:pPr>
            <w:r w:rsidRPr="00361E30">
              <w:rPr>
                <w:rFonts w:eastAsia="Times New Roman" w:cstheme="minorHAnsi"/>
                <w:b/>
                <w:bCs/>
                <w:color w:val="000000"/>
                <w:sz w:val="20"/>
                <w:szCs w:val="20"/>
              </w:rPr>
              <w:t> </w:t>
            </w:r>
          </w:p>
        </w:tc>
        <w:tc>
          <w:tcPr>
            <w:tcW w:w="1710" w:type="dxa"/>
            <w:tcBorders>
              <w:top w:val="single" w:sz="4" w:space="0" w:color="auto"/>
            </w:tcBorders>
            <w:shd w:val="clear" w:color="auto" w:fill="auto"/>
            <w:noWrap/>
            <w:vAlign w:val="bottom"/>
            <w:hideMark/>
          </w:tcPr>
          <w:p w14:paraId="65A01D16"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&lt;9</w:t>
            </w:r>
          </w:p>
        </w:tc>
        <w:tc>
          <w:tcPr>
            <w:tcW w:w="1530" w:type="dxa"/>
            <w:tcBorders>
              <w:top w:val="single" w:sz="4" w:space="0" w:color="auto"/>
            </w:tcBorders>
            <w:shd w:val="clear" w:color="auto" w:fill="auto"/>
            <w:noWrap/>
            <w:vAlign w:val="center"/>
            <w:hideMark/>
          </w:tcPr>
          <w:p w14:paraId="4A88C60F"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11639(25.3%)</w:t>
            </w:r>
          </w:p>
        </w:tc>
        <w:tc>
          <w:tcPr>
            <w:tcW w:w="1530" w:type="dxa"/>
            <w:tcBorders>
              <w:top w:val="single" w:sz="4" w:space="0" w:color="auto"/>
            </w:tcBorders>
            <w:shd w:val="clear" w:color="auto" w:fill="auto"/>
            <w:noWrap/>
            <w:vAlign w:val="center"/>
            <w:hideMark/>
          </w:tcPr>
          <w:p w14:paraId="7C230AF5"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751(13.7%)</w:t>
            </w:r>
          </w:p>
        </w:tc>
        <w:tc>
          <w:tcPr>
            <w:tcW w:w="1530" w:type="dxa"/>
            <w:tcBorders>
              <w:top w:val="single" w:sz="4" w:space="0" w:color="auto"/>
            </w:tcBorders>
            <w:shd w:val="clear" w:color="auto" w:fill="auto"/>
            <w:noWrap/>
            <w:vAlign w:val="center"/>
          </w:tcPr>
          <w:p w14:paraId="67684D37"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12390 (24.1%)</w:t>
            </w:r>
          </w:p>
        </w:tc>
      </w:tr>
      <w:tr w:rsidR="00CA0EF0" w:rsidRPr="00361E30" w14:paraId="31CF8636" w14:textId="77777777" w:rsidTr="003C13F4">
        <w:trPr>
          <w:cantSplit/>
          <w:trHeight w:val="300"/>
        </w:trPr>
        <w:tc>
          <w:tcPr>
            <w:tcW w:w="1368" w:type="dxa"/>
            <w:vMerge/>
            <w:shd w:val="clear" w:color="auto" w:fill="auto"/>
            <w:noWrap/>
            <w:hideMark/>
          </w:tcPr>
          <w:p w14:paraId="3C2A69DA"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422BAB15"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9 - 15</w:t>
            </w:r>
          </w:p>
        </w:tc>
        <w:tc>
          <w:tcPr>
            <w:tcW w:w="1530" w:type="dxa"/>
            <w:shd w:val="clear" w:color="auto" w:fill="auto"/>
            <w:noWrap/>
            <w:vAlign w:val="center"/>
            <w:hideMark/>
          </w:tcPr>
          <w:p w14:paraId="204F2B22"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20315(44.2%)</w:t>
            </w:r>
          </w:p>
        </w:tc>
        <w:tc>
          <w:tcPr>
            <w:tcW w:w="1530" w:type="dxa"/>
            <w:shd w:val="clear" w:color="auto" w:fill="auto"/>
            <w:noWrap/>
            <w:vAlign w:val="center"/>
            <w:hideMark/>
          </w:tcPr>
          <w:p w14:paraId="18367D6A"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1591(29%)</w:t>
            </w:r>
          </w:p>
        </w:tc>
        <w:tc>
          <w:tcPr>
            <w:tcW w:w="1530" w:type="dxa"/>
            <w:shd w:val="clear" w:color="auto" w:fill="auto"/>
            <w:noWrap/>
            <w:vAlign w:val="center"/>
          </w:tcPr>
          <w:p w14:paraId="7D75F89C"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21906 (42.5%)</w:t>
            </w:r>
          </w:p>
        </w:tc>
      </w:tr>
      <w:tr w:rsidR="00CA0EF0" w:rsidRPr="00361E30" w14:paraId="2C94FDF1" w14:textId="77777777" w:rsidTr="003C13F4">
        <w:trPr>
          <w:cantSplit/>
          <w:trHeight w:val="300"/>
        </w:trPr>
        <w:tc>
          <w:tcPr>
            <w:tcW w:w="1368" w:type="dxa"/>
            <w:vMerge/>
            <w:shd w:val="clear" w:color="auto" w:fill="auto"/>
            <w:noWrap/>
            <w:hideMark/>
          </w:tcPr>
          <w:p w14:paraId="015CA41B"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5A105528"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16 - 24</w:t>
            </w:r>
          </w:p>
        </w:tc>
        <w:tc>
          <w:tcPr>
            <w:tcW w:w="1530" w:type="dxa"/>
            <w:shd w:val="clear" w:color="auto" w:fill="auto"/>
            <w:noWrap/>
            <w:vAlign w:val="center"/>
            <w:hideMark/>
          </w:tcPr>
          <w:p w14:paraId="3F9FC5F6"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7378(16%)</w:t>
            </w:r>
          </w:p>
        </w:tc>
        <w:tc>
          <w:tcPr>
            <w:tcW w:w="1530" w:type="dxa"/>
            <w:shd w:val="clear" w:color="auto" w:fill="auto"/>
            <w:noWrap/>
            <w:vAlign w:val="center"/>
            <w:hideMark/>
          </w:tcPr>
          <w:p w14:paraId="6F7A38EB"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1130(20.6%)</w:t>
            </w:r>
          </w:p>
        </w:tc>
        <w:tc>
          <w:tcPr>
            <w:tcW w:w="1530" w:type="dxa"/>
            <w:shd w:val="clear" w:color="auto" w:fill="auto"/>
            <w:noWrap/>
            <w:vAlign w:val="center"/>
          </w:tcPr>
          <w:p w14:paraId="3EE6854F"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8508 (16.5%)</w:t>
            </w:r>
          </w:p>
        </w:tc>
      </w:tr>
      <w:tr w:rsidR="00CA0EF0" w:rsidRPr="00361E30" w14:paraId="4BBA9783" w14:textId="77777777" w:rsidTr="003C13F4">
        <w:trPr>
          <w:cantSplit/>
          <w:trHeight w:val="300"/>
        </w:trPr>
        <w:tc>
          <w:tcPr>
            <w:tcW w:w="1368" w:type="dxa"/>
            <w:vMerge/>
            <w:shd w:val="clear" w:color="auto" w:fill="auto"/>
            <w:noWrap/>
            <w:hideMark/>
          </w:tcPr>
          <w:p w14:paraId="6ADEE303"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03B7C97A"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&gt;=25</w:t>
            </w:r>
          </w:p>
        </w:tc>
        <w:tc>
          <w:tcPr>
            <w:tcW w:w="1530" w:type="dxa"/>
            <w:shd w:val="clear" w:color="auto" w:fill="auto"/>
            <w:noWrap/>
            <w:vAlign w:val="center"/>
            <w:hideMark/>
          </w:tcPr>
          <w:p w14:paraId="3CB909A3"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6668(14.5%)</w:t>
            </w:r>
          </w:p>
        </w:tc>
        <w:tc>
          <w:tcPr>
            <w:tcW w:w="1530" w:type="dxa"/>
            <w:shd w:val="clear" w:color="auto" w:fill="auto"/>
            <w:noWrap/>
            <w:vAlign w:val="center"/>
            <w:hideMark/>
          </w:tcPr>
          <w:p w14:paraId="21B39486"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2019(36.8%)</w:t>
            </w:r>
          </w:p>
        </w:tc>
        <w:tc>
          <w:tcPr>
            <w:tcW w:w="1530" w:type="dxa"/>
            <w:shd w:val="clear" w:color="auto" w:fill="auto"/>
            <w:noWrap/>
            <w:vAlign w:val="center"/>
          </w:tcPr>
          <w:p w14:paraId="01559826"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8687 (16.9%)</w:t>
            </w:r>
          </w:p>
        </w:tc>
      </w:tr>
      <w:tr w:rsidR="00CA0EF0" w:rsidRPr="00361E30" w14:paraId="3821CFFE" w14:textId="77777777" w:rsidTr="003C13F4">
        <w:trPr>
          <w:cantSplit/>
          <w:trHeight w:val="300"/>
        </w:trPr>
        <w:tc>
          <w:tcPr>
            <w:tcW w:w="1368" w:type="dxa"/>
            <w:vMerge/>
            <w:shd w:val="clear" w:color="auto" w:fill="auto"/>
            <w:noWrap/>
            <w:hideMark/>
          </w:tcPr>
          <w:p w14:paraId="50534EC9"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2702644A"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Median ISS (IQR)</w:t>
            </w:r>
          </w:p>
        </w:tc>
        <w:tc>
          <w:tcPr>
            <w:tcW w:w="1530" w:type="dxa"/>
            <w:shd w:val="clear" w:color="auto" w:fill="auto"/>
            <w:noWrap/>
            <w:vAlign w:val="center"/>
            <w:hideMark/>
          </w:tcPr>
          <w:p w14:paraId="21CE3A9C"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9 (8 - 16)</w:t>
            </w:r>
          </w:p>
        </w:tc>
        <w:tc>
          <w:tcPr>
            <w:tcW w:w="1530" w:type="dxa"/>
            <w:shd w:val="clear" w:color="auto" w:fill="auto"/>
            <w:noWrap/>
            <w:vAlign w:val="center"/>
            <w:hideMark/>
          </w:tcPr>
          <w:p w14:paraId="7FAB3056"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16 (9 - 25)</w:t>
            </w:r>
          </w:p>
        </w:tc>
        <w:tc>
          <w:tcPr>
            <w:tcW w:w="1530" w:type="dxa"/>
            <w:shd w:val="clear" w:color="auto" w:fill="auto"/>
            <w:noWrap/>
            <w:vAlign w:val="center"/>
          </w:tcPr>
          <w:p w14:paraId="656A3FE3"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9 (9 - 18)</w:t>
            </w:r>
          </w:p>
        </w:tc>
      </w:tr>
      <w:tr w:rsidR="00CA0EF0" w:rsidRPr="00361E30" w14:paraId="674F3359" w14:textId="77777777" w:rsidTr="003C13F4">
        <w:trPr>
          <w:cantSplit/>
          <w:trHeight w:val="300"/>
        </w:trPr>
        <w:tc>
          <w:tcPr>
            <w:tcW w:w="1368" w:type="dxa"/>
            <w:vMerge w:val="restart"/>
            <w:tcBorders>
              <w:top w:val="single" w:sz="4" w:space="0" w:color="auto"/>
            </w:tcBorders>
            <w:shd w:val="clear" w:color="auto" w:fill="auto"/>
            <w:noWrap/>
            <w:hideMark/>
          </w:tcPr>
          <w:p w14:paraId="043505AA" w14:textId="77777777" w:rsidR="00CA0EF0" w:rsidRPr="00361E30" w:rsidRDefault="00CA0EF0" w:rsidP="003C13F4">
            <w:pPr>
              <w:spacing w:after="0" w:line="240" w:lineRule="auto"/>
              <w:jc w:val="left"/>
              <w:rPr>
                <w:rFonts w:eastAsia="Times New Roman" w:cstheme="minorHAnsi"/>
                <w:b/>
                <w:bCs/>
                <w:color w:val="000000"/>
                <w:sz w:val="20"/>
                <w:szCs w:val="20"/>
              </w:rPr>
            </w:pPr>
            <w:r w:rsidRPr="00361E30">
              <w:rPr>
                <w:rFonts w:eastAsia="Times New Roman" w:cstheme="minorHAnsi"/>
                <w:b/>
                <w:bCs/>
                <w:color w:val="000000"/>
                <w:sz w:val="20"/>
                <w:szCs w:val="20"/>
              </w:rPr>
              <w:t>Glasgow Coma Score at ED admission</w:t>
            </w:r>
          </w:p>
        </w:tc>
        <w:tc>
          <w:tcPr>
            <w:tcW w:w="1710" w:type="dxa"/>
            <w:tcBorders>
              <w:top w:val="single" w:sz="4" w:space="0" w:color="auto"/>
            </w:tcBorders>
            <w:shd w:val="clear" w:color="auto" w:fill="auto"/>
            <w:noWrap/>
            <w:vAlign w:val="bottom"/>
            <w:hideMark/>
          </w:tcPr>
          <w:p w14:paraId="0126FBB1"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15</w:t>
            </w:r>
          </w:p>
        </w:tc>
        <w:tc>
          <w:tcPr>
            <w:tcW w:w="1530" w:type="dxa"/>
            <w:tcBorders>
              <w:top w:val="single" w:sz="4" w:space="0" w:color="auto"/>
            </w:tcBorders>
            <w:shd w:val="clear" w:color="auto" w:fill="auto"/>
            <w:noWrap/>
            <w:vAlign w:val="center"/>
            <w:hideMark/>
          </w:tcPr>
          <w:p w14:paraId="4F9259DD"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30128(65.5%)</w:t>
            </w:r>
          </w:p>
        </w:tc>
        <w:tc>
          <w:tcPr>
            <w:tcW w:w="1530" w:type="dxa"/>
            <w:tcBorders>
              <w:top w:val="single" w:sz="4" w:space="0" w:color="auto"/>
            </w:tcBorders>
            <w:shd w:val="clear" w:color="auto" w:fill="auto"/>
            <w:noWrap/>
            <w:vAlign w:val="center"/>
            <w:hideMark/>
          </w:tcPr>
          <w:p w14:paraId="3C8E65B4"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2598(47.3%)</w:t>
            </w:r>
          </w:p>
        </w:tc>
        <w:tc>
          <w:tcPr>
            <w:tcW w:w="1530" w:type="dxa"/>
            <w:tcBorders>
              <w:top w:val="single" w:sz="4" w:space="0" w:color="auto"/>
            </w:tcBorders>
            <w:shd w:val="clear" w:color="auto" w:fill="auto"/>
            <w:noWrap/>
            <w:vAlign w:val="center"/>
          </w:tcPr>
          <w:p w14:paraId="3DE07758"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32726 (63.6%)</w:t>
            </w:r>
          </w:p>
        </w:tc>
      </w:tr>
      <w:tr w:rsidR="00CA0EF0" w:rsidRPr="00361E30" w14:paraId="4667765D" w14:textId="77777777" w:rsidTr="003C13F4">
        <w:trPr>
          <w:cantSplit/>
          <w:trHeight w:val="300"/>
        </w:trPr>
        <w:tc>
          <w:tcPr>
            <w:tcW w:w="1368" w:type="dxa"/>
            <w:vMerge/>
            <w:shd w:val="clear" w:color="auto" w:fill="auto"/>
            <w:noWrap/>
            <w:hideMark/>
          </w:tcPr>
          <w:p w14:paraId="6471C901"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center"/>
            <w:hideMark/>
          </w:tcPr>
          <w:p w14:paraId="7C3905E0"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13 - 14</w:t>
            </w:r>
          </w:p>
        </w:tc>
        <w:tc>
          <w:tcPr>
            <w:tcW w:w="1530" w:type="dxa"/>
            <w:shd w:val="clear" w:color="auto" w:fill="auto"/>
            <w:noWrap/>
            <w:vAlign w:val="center"/>
            <w:hideMark/>
          </w:tcPr>
          <w:p w14:paraId="32A34C66"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5936(12.9%)</w:t>
            </w:r>
          </w:p>
        </w:tc>
        <w:tc>
          <w:tcPr>
            <w:tcW w:w="1530" w:type="dxa"/>
            <w:shd w:val="clear" w:color="auto" w:fill="auto"/>
            <w:noWrap/>
            <w:vAlign w:val="center"/>
            <w:hideMark/>
          </w:tcPr>
          <w:p w14:paraId="3DB6BFCB"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704(12.8%)</w:t>
            </w:r>
          </w:p>
        </w:tc>
        <w:tc>
          <w:tcPr>
            <w:tcW w:w="1530" w:type="dxa"/>
            <w:shd w:val="clear" w:color="auto" w:fill="auto"/>
            <w:noWrap/>
            <w:vAlign w:val="center"/>
          </w:tcPr>
          <w:p w14:paraId="26E8A750"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6640 (12.9%)</w:t>
            </w:r>
          </w:p>
        </w:tc>
      </w:tr>
      <w:tr w:rsidR="00CA0EF0" w:rsidRPr="00361E30" w14:paraId="2C04AFE4" w14:textId="77777777" w:rsidTr="003C13F4">
        <w:trPr>
          <w:cantSplit/>
          <w:trHeight w:val="300"/>
        </w:trPr>
        <w:tc>
          <w:tcPr>
            <w:tcW w:w="1368" w:type="dxa"/>
            <w:vMerge/>
            <w:shd w:val="clear" w:color="auto" w:fill="auto"/>
            <w:noWrap/>
            <w:hideMark/>
          </w:tcPr>
          <w:p w14:paraId="0A34A082"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1FFE6316"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9 - 12</w:t>
            </w:r>
          </w:p>
        </w:tc>
        <w:tc>
          <w:tcPr>
            <w:tcW w:w="1530" w:type="dxa"/>
            <w:shd w:val="clear" w:color="auto" w:fill="auto"/>
            <w:noWrap/>
            <w:vAlign w:val="center"/>
            <w:hideMark/>
          </w:tcPr>
          <w:p w14:paraId="7D2BFDE2"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1119(2.4%)</w:t>
            </w:r>
          </w:p>
        </w:tc>
        <w:tc>
          <w:tcPr>
            <w:tcW w:w="1530" w:type="dxa"/>
            <w:shd w:val="clear" w:color="auto" w:fill="auto"/>
            <w:noWrap/>
            <w:vAlign w:val="center"/>
            <w:hideMark/>
          </w:tcPr>
          <w:p w14:paraId="1BB7BE77"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196(3.6%)</w:t>
            </w:r>
          </w:p>
        </w:tc>
        <w:tc>
          <w:tcPr>
            <w:tcW w:w="1530" w:type="dxa"/>
            <w:shd w:val="clear" w:color="auto" w:fill="auto"/>
            <w:noWrap/>
            <w:vAlign w:val="center"/>
          </w:tcPr>
          <w:p w14:paraId="73129C57"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1315 (2.6%)</w:t>
            </w:r>
          </w:p>
        </w:tc>
      </w:tr>
      <w:tr w:rsidR="00CA0EF0" w:rsidRPr="00361E30" w14:paraId="3924AD55" w14:textId="77777777" w:rsidTr="003C13F4">
        <w:trPr>
          <w:cantSplit/>
          <w:trHeight w:val="300"/>
        </w:trPr>
        <w:tc>
          <w:tcPr>
            <w:tcW w:w="1368" w:type="dxa"/>
            <w:vMerge/>
            <w:shd w:val="clear" w:color="auto" w:fill="auto"/>
            <w:noWrap/>
            <w:hideMark/>
          </w:tcPr>
          <w:p w14:paraId="4ADC8216"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0877720B"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6 - 8</w:t>
            </w:r>
          </w:p>
        </w:tc>
        <w:tc>
          <w:tcPr>
            <w:tcW w:w="1530" w:type="dxa"/>
            <w:shd w:val="clear" w:color="auto" w:fill="auto"/>
            <w:noWrap/>
            <w:vAlign w:val="center"/>
            <w:hideMark/>
          </w:tcPr>
          <w:p w14:paraId="695EC09F"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438(1%)</w:t>
            </w:r>
          </w:p>
        </w:tc>
        <w:tc>
          <w:tcPr>
            <w:tcW w:w="1530" w:type="dxa"/>
            <w:shd w:val="clear" w:color="auto" w:fill="auto"/>
            <w:noWrap/>
            <w:vAlign w:val="center"/>
            <w:hideMark/>
          </w:tcPr>
          <w:p w14:paraId="73108F8A"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59(1.1%)</w:t>
            </w:r>
          </w:p>
        </w:tc>
        <w:tc>
          <w:tcPr>
            <w:tcW w:w="1530" w:type="dxa"/>
            <w:shd w:val="clear" w:color="auto" w:fill="auto"/>
            <w:noWrap/>
            <w:vAlign w:val="center"/>
          </w:tcPr>
          <w:p w14:paraId="5D5FA408"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497 (1%)</w:t>
            </w:r>
          </w:p>
        </w:tc>
      </w:tr>
      <w:tr w:rsidR="00CA0EF0" w:rsidRPr="00361E30" w14:paraId="7FDB04D8" w14:textId="77777777" w:rsidTr="003C13F4">
        <w:trPr>
          <w:cantSplit/>
          <w:trHeight w:val="300"/>
        </w:trPr>
        <w:tc>
          <w:tcPr>
            <w:tcW w:w="1368" w:type="dxa"/>
            <w:vMerge/>
            <w:shd w:val="clear" w:color="auto" w:fill="auto"/>
            <w:noWrap/>
            <w:hideMark/>
          </w:tcPr>
          <w:p w14:paraId="4F1A7B55"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45FA4378"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4 - 5</w:t>
            </w:r>
          </w:p>
        </w:tc>
        <w:tc>
          <w:tcPr>
            <w:tcW w:w="1530" w:type="dxa"/>
            <w:shd w:val="clear" w:color="auto" w:fill="auto"/>
            <w:noWrap/>
            <w:vAlign w:val="center"/>
            <w:hideMark/>
          </w:tcPr>
          <w:p w14:paraId="2CFB3966"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225(0.5%)</w:t>
            </w:r>
          </w:p>
        </w:tc>
        <w:tc>
          <w:tcPr>
            <w:tcW w:w="1530" w:type="dxa"/>
            <w:shd w:val="clear" w:color="auto" w:fill="auto"/>
            <w:noWrap/>
            <w:vAlign w:val="center"/>
            <w:hideMark/>
          </w:tcPr>
          <w:p w14:paraId="3CD5B9A0"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24(0.4%)</w:t>
            </w:r>
          </w:p>
        </w:tc>
        <w:tc>
          <w:tcPr>
            <w:tcW w:w="1530" w:type="dxa"/>
            <w:shd w:val="clear" w:color="auto" w:fill="auto"/>
            <w:noWrap/>
            <w:vAlign w:val="center"/>
          </w:tcPr>
          <w:p w14:paraId="6E3EF21C"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249 (0.5%)</w:t>
            </w:r>
          </w:p>
        </w:tc>
      </w:tr>
      <w:tr w:rsidR="00CA0EF0" w:rsidRPr="00361E30" w14:paraId="44BA3766" w14:textId="77777777" w:rsidTr="003C13F4">
        <w:trPr>
          <w:cantSplit/>
          <w:trHeight w:val="300"/>
        </w:trPr>
        <w:tc>
          <w:tcPr>
            <w:tcW w:w="1368" w:type="dxa"/>
            <w:vMerge/>
            <w:shd w:val="clear" w:color="auto" w:fill="auto"/>
            <w:noWrap/>
            <w:hideMark/>
          </w:tcPr>
          <w:p w14:paraId="1055C93C"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4615B287"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3</w:t>
            </w:r>
          </w:p>
        </w:tc>
        <w:tc>
          <w:tcPr>
            <w:tcW w:w="1530" w:type="dxa"/>
            <w:shd w:val="clear" w:color="auto" w:fill="auto"/>
            <w:noWrap/>
            <w:vAlign w:val="center"/>
            <w:hideMark/>
          </w:tcPr>
          <w:p w14:paraId="496EB391"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367(0.8%)</w:t>
            </w:r>
          </w:p>
        </w:tc>
        <w:tc>
          <w:tcPr>
            <w:tcW w:w="1530" w:type="dxa"/>
            <w:shd w:val="clear" w:color="auto" w:fill="auto"/>
            <w:noWrap/>
            <w:vAlign w:val="center"/>
            <w:hideMark/>
          </w:tcPr>
          <w:p w14:paraId="36EBA94D"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67(1.2%)</w:t>
            </w:r>
          </w:p>
        </w:tc>
        <w:tc>
          <w:tcPr>
            <w:tcW w:w="1530" w:type="dxa"/>
            <w:shd w:val="clear" w:color="auto" w:fill="auto"/>
            <w:noWrap/>
            <w:vAlign w:val="center"/>
          </w:tcPr>
          <w:p w14:paraId="09CAD0D5"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434 (0.8%)</w:t>
            </w:r>
          </w:p>
        </w:tc>
      </w:tr>
      <w:tr w:rsidR="00CA0EF0" w:rsidRPr="00361E30" w14:paraId="531AFD1C" w14:textId="77777777" w:rsidTr="003C13F4">
        <w:trPr>
          <w:cantSplit/>
          <w:trHeight w:val="300"/>
        </w:trPr>
        <w:tc>
          <w:tcPr>
            <w:tcW w:w="1368" w:type="dxa"/>
            <w:vMerge/>
            <w:shd w:val="clear" w:color="auto" w:fill="auto"/>
            <w:noWrap/>
            <w:hideMark/>
          </w:tcPr>
          <w:p w14:paraId="36EC0A7D"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185B2D5D"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Intubated</w:t>
            </w:r>
          </w:p>
        </w:tc>
        <w:tc>
          <w:tcPr>
            <w:tcW w:w="1530" w:type="dxa"/>
            <w:shd w:val="clear" w:color="auto" w:fill="auto"/>
            <w:noWrap/>
            <w:vAlign w:val="center"/>
            <w:hideMark/>
          </w:tcPr>
          <w:p w14:paraId="7CE7F4FD"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759(1.7%)</w:t>
            </w:r>
          </w:p>
        </w:tc>
        <w:tc>
          <w:tcPr>
            <w:tcW w:w="1530" w:type="dxa"/>
            <w:shd w:val="clear" w:color="auto" w:fill="auto"/>
            <w:noWrap/>
            <w:vAlign w:val="center"/>
            <w:hideMark/>
          </w:tcPr>
          <w:p w14:paraId="69AE948E"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251(4.6%)</w:t>
            </w:r>
          </w:p>
        </w:tc>
        <w:tc>
          <w:tcPr>
            <w:tcW w:w="1530" w:type="dxa"/>
            <w:shd w:val="clear" w:color="auto" w:fill="auto"/>
            <w:noWrap/>
            <w:vAlign w:val="center"/>
          </w:tcPr>
          <w:p w14:paraId="6985F528"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1010 (2%)</w:t>
            </w:r>
          </w:p>
        </w:tc>
      </w:tr>
      <w:tr w:rsidR="00CA0EF0" w:rsidRPr="00361E30" w14:paraId="48F5A053" w14:textId="77777777" w:rsidTr="003C13F4">
        <w:trPr>
          <w:cantSplit/>
          <w:trHeight w:val="300"/>
        </w:trPr>
        <w:tc>
          <w:tcPr>
            <w:tcW w:w="3078" w:type="dxa"/>
            <w:gridSpan w:val="2"/>
            <w:shd w:val="clear" w:color="auto" w:fill="auto"/>
            <w:noWrap/>
            <w:hideMark/>
          </w:tcPr>
          <w:p w14:paraId="4D6D057F" w14:textId="77777777" w:rsidR="00CA0EF0" w:rsidRPr="00361E30" w:rsidRDefault="00CA0EF0" w:rsidP="003C13F4">
            <w:pPr>
              <w:spacing w:after="0" w:line="240" w:lineRule="auto"/>
              <w:jc w:val="right"/>
              <w:rPr>
                <w:rFonts w:eastAsia="Times New Roman" w:cstheme="minorHAnsi"/>
                <w:color w:val="000000"/>
                <w:sz w:val="20"/>
                <w:szCs w:val="20"/>
              </w:rPr>
            </w:pPr>
            <w:r w:rsidRPr="00361E30">
              <w:rPr>
                <w:rFonts w:eastAsia="Times New Roman" w:cstheme="minorHAnsi"/>
                <w:color w:val="000000"/>
                <w:sz w:val="20"/>
                <w:szCs w:val="20"/>
              </w:rPr>
              <w:t>Not recorded, presumed abn GCS</w:t>
            </w:r>
          </w:p>
        </w:tc>
        <w:tc>
          <w:tcPr>
            <w:tcW w:w="1530" w:type="dxa"/>
            <w:shd w:val="clear" w:color="auto" w:fill="auto"/>
            <w:noWrap/>
            <w:vAlign w:val="center"/>
            <w:hideMark/>
          </w:tcPr>
          <w:p w14:paraId="6A78A94F"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24(0.1%)</w:t>
            </w:r>
          </w:p>
        </w:tc>
        <w:tc>
          <w:tcPr>
            <w:tcW w:w="1530" w:type="dxa"/>
            <w:shd w:val="clear" w:color="auto" w:fill="auto"/>
            <w:noWrap/>
            <w:vAlign w:val="center"/>
            <w:hideMark/>
          </w:tcPr>
          <w:p w14:paraId="3204232D"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2(0%)</w:t>
            </w:r>
          </w:p>
        </w:tc>
        <w:tc>
          <w:tcPr>
            <w:tcW w:w="1530" w:type="dxa"/>
            <w:shd w:val="clear" w:color="auto" w:fill="auto"/>
            <w:noWrap/>
            <w:vAlign w:val="center"/>
          </w:tcPr>
          <w:p w14:paraId="63C64944"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26 (0.1%)</w:t>
            </w:r>
          </w:p>
        </w:tc>
      </w:tr>
      <w:tr w:rsidR="00CA0EF0" w:rsidRPr="00361E30" w14:paraId="731077BA" w14:textId="77777777" w:rsidTr="003C13F4">
        <w:trPr>
          <w:cantSplit/>
          <w:trHeight w:val="300"/>
        </w:trPr>
        <w:tc>
          <w:tcPr>
            <w:tcW w:w="3078" w:type="dxa"/>
            <w:gridSpan w:val="2"/>
            <w:shd w:val="clear" w:color="auto" w:fill="auto"/>
            <w:noWrap/>
            <w:hideMark/>
          </w:tcPr>
          <w:p w14:paraId="12147C34" w14:textId="77777777" w:rsidR="00CA0EF0" w:rsidRPr="00361E30" w:rsidRDefault="00CA0EF0" w:rsidP="003C13F4">
            <w:pPr>
              <w:spacing w:after="0" w:line="240" w:lineRule="auto"/>
              <w:jc w:val="right"/>
              <w:rPr>
                <w:rFonts w:eastAsia="Times New Roman" w:cstheme="minorHAnsi"/>
                <w:color w:val="000000"/>
                <w:sz w:val="20"/>
                <w:szCs w:val="20"/>
              </w:rPr>
            </w:pPr>
            <w:r w:rsidRPr="00361E30">
              <w:rPr>
                <w:rFonts w:eastAsia="Times New Roman" w:cstheme="minorHAnsi"/>
                <w:color w:val="000000"/>
                <w:sz w:val="20"/>
                <w:szCs w:val="20"/>
              </w:rPr>
              <w:t>Not recorded, GCS unknown</w:t>
            </w:r>
          </w:p>
        </w:tc>
        <w:tc>
          <w:tcPr>
            <w:tcW w:w="1530" w:type="dxa"/>
            <w:shd w:val="clear" w:color="auto" w:fill="auto"/>
            <w:noWrap/>
            <w:vAlign w:val="center"/>
            <w:hideMark/>
          </w:tcPr>
          <w:p w14:paraId="36ED8785"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7004(15.2%)</w:t>
            </w:r>
          </w:p>
        </w:tc>
        <w:tc>
          <w:tcPr>
            <w:tcW w:w="1530" w:type="dxa"/>
            <w:shd w:val="clear" w:color="auto" w:fill="auto"/>
            <w:noWrap/>
            <w:vAlign w:val="center"/>
            <w:hideMark/>
          </w:tcPr>
          <w:p w14:paraId="5174CEBC"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1590(29%)</w:t>
            </w:r>
          </w:p>
        </w:tc>
        <w:tc>
          <w:tcPr>
            <w:tcW w:w="1530" w:type="dxa"/>
            <w:shd w:val="clear" w:color="auto" w:fill="auto"/>
            <w:noWrap/>
            <w:vAlign w:val="center"/>
          </w:tcPr>
          <w:p w14:paraId="092BDED6"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8594 (16.7%)</w:t>
            </w:r>
          </w:p>
        </w:tc>
      </w:tr>
      <w:tr w:rsidR="00CA0EF0" w:rsidRPr="00361E30" w14:paraId="64CD31E0" w14:textId="77777777" w:rsidTr="003C13F4">
        <w:trPr>
          <w:cantSplit/>
          <w:trHeight w:val="300"/>
        </w:trPr>
        <w:tc>
          <w:tcPr>
            <w:tcW w:w="1368" w:type="dxa"/>
            <w:shd w:val="clear" w:color="auto" w:fill="auto"/>
            <w:noWrap/>
            <w:hideMark/>
          </w:tcPr>
          <w:p w14:paraId="59CE1F6B"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539827A8"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Median GCS (IQR)</w:t>
            </w:r>
          </w:p>
        </w:tc>
        <w:tc>
          <w:tcPr>
            <w:tcW w:w="1530" w:type="dxa"/>
            <w:shd w:val="clear" w:color="auto" w:fill="auto"/>
            <w:noWrap/>
            <w:vAlign w:val="center"/>
            <w:hideMark/>
          </w:tcPr>
          <w:p w14:paraId="0F36456E"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15 (15 - 15)</w:t>
            </w:r>
          </w:p>
        </w:tc>
        <w:tc>
          <w:tcPr>
            <w:tcW w:w="1530" w:type="dxa"/>
            <w:shd w:val="clear" w:color="auto" w:fill="auto"/>
            <w:noWrap/>
            <w:vAlign w:val="center"/>
            <w:hideMark/>
          </w:tcPr>
          <w:p w14:paraId="301247EE"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15 (14 - 15)</w:t>
            </w:r>
          </w:p>
        </w:tc>
        <w:tc>
          <w:tcPr>
            <w:tcW w:w="1530" w:type="dxa"/>
            <w:shd w:val="clear" w:color="auto" w:fill="auto"/>
            <w:noWrap/>
            <w:vAlign w:val="center"/>
          </w:tcPr>
          <w:p w14:paraId="485E4D6D"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15 (15 - 15)</w:t>
            </w:r>
          </w:p>
        </w:tc>
      </w:tr>
      <w:tr w:rsidR="00CA0EF0" w:rsidRPr="00361E30" w14:paraId="0B1D8EA6" w14:textId="77777777" w:rsidTr="003C13F4">
        <w:trPr>
          <w:cantSplit/>
          <w:trHeight w:val="350"/>
        </w:trPr>
        <w:tc>
          <w:tcPr>
            <w:tcW w:w="1368" w:type="dxa"/>
            <w:vMerge w:val="restart"/>
            <w:tcBorders>
              <w:top w:val="single" w:sz="4" w:space="0" w:color="auto"/>
            </w:tcBorders>
            <w:shd w:val="clear" w:color="auto" w:fill="auto"/>
            <w:hideMark/>
          </w:tcPr>
          <w:p w14:paraId="2EFF5211" w14:textId="77777777" w:rsidR="00CA0EF0" w:rsidRPr="00361E30" w:rsidRDefault="00CA0EF0" w:rsidP="003C13F4">
            <w:pPr>
              <w:spacing w:after="0" w:line="240" w:lineRule="auto"/>
              <w:jc w:val="left"/>
              <w:rPr>
                <w:rFonts w:eastAsia="Times New Roman" w:cstheme="minorHAnsi"/>
                <w:b/>
                <w:bCs/>
                <w:color w:val="000000"/>
                <w:sz w:val="20"/>
                <w:szCs w:val="20"/>
              </w:rPr>
            </w:pPr>
            <w:r w:rsidRPr="00361E30">
              <w:rPr>
                <w:rFonts w:eastAsia="Times New Roman" w:cstheme="minorHAnsi"/>
                <w:b/>
                <w:bCs/>
                <w:color w:val="000000"/>
                <w:sz w:val="20"/>
                <w:szCs w:val="20"/>
              </w:rPr>
              <w:t>SBP at ED Admission (mmHg)</w:t>
            </w:r>
          </w:p>
        </w:tc>
        <w:tc>
          <w:tcPr>
            <w:tcW w:w="1710" w:type="dxa"/>
            <w:tcBorders>
              <w:top w:val="single" w:sz="4" w:space="0" w:color="auto"/>
            </w:tcBorders>
            <w:shd w:val="clear" w:color="auto" w:fill="auto"/>
            <w:noWrap/>
            <w:vAlign w:val="bottom"/>
            <w:hideMark/>
          </w:tcPr>
          <w:p w14:paraId="13FC1B0A"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SBP &lt; 110mmHg</w:t>
            </w:r>
          </w:p>
        </w:tc>
        <w:tc>
          <w:tcPr>
            <w:tcW w:w="1530" w:type="dxa"/>
            <w:tcBorders>
              <w:top w:val="single" w:sz="4" w:space="0" w:color="auto"/>
            </w:tcBorders>
            <w:shd w:val="clear" w:color="auto" w:fill="auto"/>
            <w:noWrap/>
            <w:vAlign w:val="center"/>
            <w:hideMark/>
          </w:tcPr>
          <w:p w14:paraId="49A5FF56"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3700(8%)</w:t>
            </w:r>
          </w:p>
        </w:tc>
        <w:tc>
          <w:tcPr>
            <w:tcW w:w="1530" w:type="dxa"/>
            <w:tcBorders>
              <w:top w:val="single" w:sz="4" w:space="0" w:color="auto"/>
            </w:tcBorders>
            <w:shd w:val="clear" w:color="auto" w:fill="auto"/>
            <w:noWrap/>
            <w:vAlign w:val="center"/>
            <w:hideMark/>
          </w:tcPr>
          <w:p w14:paraId="004162A2"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416(7.6%)</w:t>
            </w:r>
          </w:p>
        </w:tc>
        <w:tc>
          <w:tcPr>
            <w:tcW w:w="1530" w:type="dxa"/>
            <w:tcBorders>
              <w:top w:val="single" w:sz="4" w:space="0" w:color="auto"/>
            </w:tcBorders>
            <w:shd w:val="clear" w:color="auto" w:fill="auto"/>
            <w:noWrap/>
            <w:vAlign w:val="center"/>
          </w:tcPr>
          <w:p w14:paraId="677192E7"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4116 (8%)</w:t>
            </w:r>
          </w:p>
        </w:tc>
      </w:tr>
      <w:tr w:rsidR="00CA0EF0" w:rsidRPr="00361E30" w14:paraId="3B8F9CCB" w14:textId="77777777" w:rsidTr="003C13F4">
        <w:trPr>
          <w:cantSplit/>
          <w:trHeight w:val="300"/>
        </w:trPr>
        <w:tc>
          <w:tcPr>
            <w:tcW w:w="1368" w:type="dxa"/>
            <w:vMerge/>
            <w:shd w:val="clear" w:color="auto" w:fill="auto"/>
            <w:hideMark/>
          </w:tcPr>
          <w:p w14:paraId="07F6394B"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0C00B490"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SBP &lt; 100mmHg</w:t>
            </w:r>
          </w:p>
        </w:tc>
        <w:tc>
          <w:tcPr>
            <w:tcW w:w="1530" w:type="dxa"/>
            <w:shd w:val="clear" w:color="auto" w:fill="auto"/>
            <w:noWrap/>
            <w:vAlign w:val="center"/>
            <w:hideMark/>
          </w:tcPr>
          <w:p w14:paraId="121BA247"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1768(3.8%)</w:t>
            </w:r>
          </w:p>
        </w:tc>
        <w:tc>
          <w:tcPr>
            <w:tcW w:w="1530" w:type="dxa"/>
            <w:shd w:val="clear" w:color="auto" w:fill="auto"/>
            <w:noWrap/>
            <w:vAlign w:val="center"/>
            <w:hideMark/>
          </w:tcPr>
          <w:p w14:paraId="492D267B"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222(4%)</w:t>
            </w:r>
          </w:p>
        </w:tc>
        <w:tc>
          <w:tcPr>
            <w:tcW w:w="1530" w:type="dxa"/>
            <w:shd w:val="clear" w:color="auto" w:fill="auto"/>
            <w:noWrap/>
            <w:vAlign w:val="center"/>
          </w:tcPr>
          <w:p w14:paraId="642A085C"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1990 (3.9%)</w:t>
            </w:r>
          </w:p>
        </w:tc>
      </w:tr>
      <w:tr w:rsidR="00CA0EF0" w:rsidRPr="00361E30" w14:paraId="5CC4B5EE" w14:textId="77777777" w:rsidTr="003C13F4">
        <w:trPr>
          <w:cantSplit/>
          <w:trHeight w:val="300"/>
        </w:trPr>
        <w:tc>
          <w:tcPr>
            <w:tcW w:w="1368" w:type="dxa"/>
            <w:vMerge/>
            <w:shd w:val="clear" w:color="auto" w:fill="auto"/>
            <w:hideMark/>
          </w:tcPr>
          <w:p w14:paraId="0F7EFCC1"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15B325E6"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SBP &lt;90mmHg</w:t>
            </w:r>
          </w:p>
        </w:tc>
        <w:tc>
          <w:tcPr>
            <w:tcW w:w="1530" w:type="dxa"/>
            <w:shd w:val="clear" w:color="auto" w:fill="auto"/>
            <w:noWrap/>
            <w:vAlign w:val="center"/>
            <w:hideMark/>
          </w:tcPr>
          <w:p w14:paraId="14C19B5C"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825(1.8%)</w:t>
            </w:r>
          </w:p>
        </w:tc>
        <w:tc>
          <w:tcPr>
            <w:tcW w:w="1530" w:type="dxa"/>
            <w:shd w:val="clear" w:color="auto" w:fill="auto"/>
            <w:noWrap/>
            <w:vAlign w:val="center"/>
            <w:hideMark/>
          </w:tcPr>
          <w:p w14:paraId="6271D1BE"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108(2%)</w:t>
            </w:r>
          </w:p>
        </w:tc>
        <w:tc>
          <w:tcPr>
            <w:tcW w:w="1530" w:type="dxa"/>
            <w:shd w:val="clear" w:color="auto" w:fill="auto"/>
            <w:noWrap/>
            <w:vAlign w:val="center"/>
          </w:tcPr>
          <w:p w14:paraId="43883E24"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933 (1.8%)</w:t>
            </w:r>
          </w:p>
        </w:tc>
      </w:tr>
      <w:tr w:rsidR="00CA0EF0" w:rsidRPr="00361E30" w14:paraId="6CFF5DA6" w14:textId="77777777" w:rsidTr="003C13F4">
        <w:trPr>
          <w:cantSplit/>
          <w:trHeight w:val="300"/>
        </w:trPr>
        <w:tc>
          <w:tcPr>
            <w:tcW w:w="1368" w:type="dxa"/>
            <w:vMerge/>
            <w:shd w:val="clear" w:color="auto" w:fill="auto"/>
            <w:noWrap/>
            <w:hideMark/>
          </w:tcPr>
          <w:p w14:paraId="018456EA"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4D06EE41"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Not Recorded</w:t>
            </w:r>
          </w:p>
        </w:tc>
        <w:tc>
          <w:tcPr>
            <w:tcW w:w="1530" w:type="dxa"/>
            <w:shd w:val="clear" w:color="auto" w:fill="auto"/>
            <w:noWrap/>
            <w:vAlign w:val="center"/>
            <w:hideMark/>
          </w:tcPr>
          <w:p w14:paraId="1DEF03A4" w14:textId="77777777" w:rsidR="00CA0EF0" w:rsidRPr="00361E30" w:rsidRDefault="00CA0EF0" w:rsidP="003C13F4">
            <w:pPr>
              <w:spacing w:after="0" w:line="240" w:lineRule="auto"/>
              <w:rPr>
                <w:rFonts w:eastAsia="Times New Roman" w:cstheme="minorHAnsi"/>
                <w:color w:val="000000"/>
                <w:sz w:val="20"/>
                <w:szCs w:val="20"/>
              </w:rPr>
            </w:pPr>
            <w:r w:rsidRPr="00361E30">
              <w:rPr>
                <w:rFonts w:eastAsia="Times New Roman" w:cstheme="minorHAnsi"/>
                <w:color w:val="000000"/>
                <w:sz w:val="20"/>
                <w:szCs w:val="20"/>
              </w:rPr>
              <w:t>5414(11.8%)</w:t>
            </w:r>
          </w:p>
        </w:tc>
        <w:tc>
          <w:tcPr>
            <w:tcW w:w="1530" w:type="dxa"/>
            <w:shd w:val="clear" w:color="auto" w:fill="auto"/>
            <w:noWrap/>
            <w:vAlign w:val="center"/>
            <w:hideMark/>
          </w:tcPr>
          <w:p w14:paraId="756B6937" w14:textId="77777777" w:rsidR="00CA0EF0" w:rsidRPr="00361E30" w:rsidRDefault="00CA0EF0" w:rsidP="003C13F4">
            <w:pPr>
              <w:spacing w:after="0" w:line="240" w:lineRule="auto"/>
              <w:rPr>
                <w:rFonts w:eastAsia="Times New Roman" w:cstheme="minorHAnsi"/>
                <w:color w:val="000000"/>
                <w:sz w:val="20"/>
                <w:szCs w:val="20"/>
              </w:rPr>
            </w:pPr>
            <w:r w:rsidRPr="00361E30">
              <w:rPr>
                <w:rFonts w:eastAsia="Times New Roman" w:cstheme="minorHAnsi"/>
                <w:color w:val="000000"/>
                <w:sz w:val="20"/>
                <w:szCs w:val="20"/>
              </w:rPr>
              <w:t>1599(29.1%)</w:t>
            </w:r>
          </w:p>
        </w:tc>
        <w:tc>
          <w:tcPr>
            <w:tcW w:w="1530" w:type="dxa"/>
            <w:shd w:val="clear" w:color="auto" w:fill="auto"/>
            <w:noWrap/>
            <w:vAlign w:val="center"/>
          </w:tcPr>
          <w:p w14:paraId="34B05D7D"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7013 (13.6%)</w:t>
            </w:r>
          </w:p>
        </w:tc>
      </w:tr>
      <w:tr w:rsidR="00CA0EF0" w:rsidRPr="00361E30" w14:paraId="61E3BF68" w14:textId="77777777" w:rsidTr="003C13F4">
        <w:trPr>
          <w:cantSplit/>
          <w:trHeight w:val="300"/>
        </w:trPr>
        <w:tc>
          <w:tcPr>
            <w:tcW w:w="3078" w:type="dxa"/>
            <w:gridSpan w:val="2"/>
            <w:shd w:val="clear" w:color="auto" w:fill="auto"/>
            <w:noWrap/>
            <w:vAlign w:val="center"/>
            <w:hideMark/>
          </w:tcPr>
          <w:p w14:paraId="1BB88FF6" w14:textId="77777777" w:rsidR="00CA0EF0" w:rsidRPr="00361E30" w:rsidRDefault="00CA0EF0" w:rsidP="003C13F4">
            <w:pPr>
              <w:spacing w:after="0" w:line="240" w:lineRule="auto"/>
              <w:jc w:val="right"/>
              <w:rPr>
                <w:rFonts w:eastAsia="Times New Roman" w:cstheme="minorHAnsi"/>
                <w:color w:val="000000"/>
                <w:sz w:val="20"/>
                <w:szCs w:val="20"/>
              </w:rPr>
            </w:pPr>
            <w:r w:rsidRPr="00361E30">
              <w:rPr>
                <w:rFonts w:eastAsia="Times New Roman" w:cstheme="minorHAnsi"/>
                <w:color w:val="000000"/>
                <w:sz w:val="20"/>
                <w:szCs w:val="20"/>
              </w:rPr>
              <w:t>Median SBP (IQR)</w:t>
            </w:r>
          </w:p>
        </w:tc>
        <w:tc>
          <w:tcPr>
            <w:tcW w:w="1530" w:type="dxa"/>
            <w:shd w:val="clear" w:color="auto" w:fill="auto"/>
            <w:noWrap/>
            <w:vAlign w:val="center"/>
            <w:hideMark/>
          </w:tcPr>
          <w:p w14:paraId="12777E27"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145 (127 - 164)</w:t>
            </w:r>
          </w:p>
        </w:tc>
        <w:tc>
          <w:tcPr>
            <w:tcW w:w="1530" w:type="dxa"/>
            <w:shd w:val="clear" w:color="auto" w:fill="auto"/>
            <w:noWrap/>
            <w:vAlign w:val="center"/>
            <w:hideMark/>
          </w:tcPr>
          <w:p w14:paraId="0D2F50F9"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143 (125 - 164)</w:t>
            </w:r>
          </w:p>
        </w:tc>
        <w:tc>
          <w:tcPr>
            <w:tcW w:w="1530" w:type="dxa"/>
            <w:shd w:val="clear" w:color="auto" w:fill="auto"/>
            <w:noWrap/>
            <w:vAlign w:val="center"/>
          </w:tcPr>
          <w:p w14:paraId="6B4219C6"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 xml:space="preserve">145 (127 </w:t>
            </w:r>
            <w:r w:rsidR="005E3024" w:rsidRPr="00361E30">
              <w:rPr>
                <w:rFonts w:eastAsia="Times New Roman" w:cstheme="minorHAnsi"/>
                <w:color w:val="000000"/>
                <w:sz w:val="20"/>
                <w:szCs w:val="20"/>
              </w:rPr>
              <w:t>- 164</w:t>
            </w:r>
            <w:r w:rsidRPr="00361E30">
              <w:rPr>
                <w:rFonts w:eastAsia="Times New Roman" w:cstheme="minorHAnsi"/>
                <w:color w:val="000000"/>
                <w:sz w:val="20"/>
                <w:szCs w:val="20"/>
              </w:rPr>
              <w:t>)</w:t>
            </w:r>
          </w:p>
        </w:tc>
      </w:tr>
      <w:tr w:rsidR="00CA0EF0" w:rsidRPr="00361E30" w14:paraId="7C148892" w14:textId="77777777" w:rsidTr="003C13F4">
        <w:trPr>
          <w:cantSplit/>
          <w:trHeight w:val="300"/>
        </w:trPr>
        <w:tc>
          <w:tcPr>
            <w:tcW w:w="1368" w:type="dxa"/>
            <w:vMerge w:val="restart"/>
            <w:tcBorders>
              <w:top w:val="single" w:sz="4" w:space="0" w:color="auto"/>
            </w:tcBorders>
            <w:shd w:val="clear" w:color="auto" w:fill="auto"/>
            <w:hideMark/>
          </w:tcPr>
          <w:p w14:paraId="7932E9FF" w14:textId="77777777" w:rsidR="00CA0EF0" w:rsidRPr="00361E30" w:rsidRDefault="00CA0EF0" w:rsidP="003C13F4">
            <w:pPr>
              <w:spacing w:after="0" w:line="240" w:lineRule="auto"/>
              <w:jc w:val="left"/>
              <w:rPr>
                <w:rFonts w:eastAsia="Times New Roman" w:cstheme="minorHAnsi"/>
                <w:b/>
                <w:bCs/>
                <w:color w:val="000000"/>
                <w:sz w:val="20"/>
                <w:szCs w:val="20"/>
              </w:rPr>
            </w:pPr>
            <w:r w:rsidRPr="00361E30">
              <w:rPr>
                <w:rFonts w:eastAsia="Times New Roman" w:cstheme="minorHAnsi"/>
                <w:b/>
                <w:bCs/>
                <w:color w:val="000000"/>
                <w:sz w:val="20"/>
                <w:szCs w:val="20"/>
              </w:rPr>
              <w:t>Respiratory Rate at ED Admission (bpm)</w:t>
            </w:r>
          </w:p>
          <w:p w14:paraId="3147C716" w14:textId="77777777" w:rsidR="00CA0EF0" w:rsidRPr="00361E30" w:rsidRDefault="00CA0EF0" w:rsidP="003C13F4">
            <w:pPr>
              <w:spacing w:after="0" w:line="240" w:lineRule="auto"/>
              <w:jc w:val="left"/>
              <w:rPr>
                <w:rFonts w:eastAsia="Times New Roman" w:cstheme="minorHAnsi"/>
                <w:b/>
                <w:bCs/>
                <w:color w:val="000000"/>
                <w:sz w:val="20"/>
                <w:szCs w:val="20"/>
              </w:rPr>
            </w:pPr>
            <w:r w:rsidRPr="00361E30">
              <w:rPr>
                <w:rFonts w:eastAsia="Times New Roman" w:cstheme="minorHAnsi"/>
                <w:b/>
                <w:bCs/>
                <w:color w:val="000000"/>
                <w:sz w:val="20"/>
                <w:szCs w:val="20"/>
              </w:rPr>
              <w:t> </w:t>
            </w:r>
          </w:p>
        </w:tc>
        <w:tc>
          <w:tcPr>
            <w:tcW w:w="1710" w:type="dxa"/>
            <w:tcBorders>
              <w:top w:val="single" w:sz="4" w:space="0" w:color="auto"/>
            </w:tcBorders>
            <w:shd w:val="clear" w:color="auto" w:fill="auto"/>
            <w:noWrap/>
            <w:vAlign w:val="bottom"/>
            <w:hideMark/>
          </w:tcPr>
          <w:p w14:paraId="29AD5CC1"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10 - 29 (Normal)</w:t>
            </w:r>
          </w:p>
        </w:tc>
        <w:tc>
          <w:tcPr>
            <w:tcW w:w="1530" w:type="dxa"/>
            <w:tcBorders>
              <w:top w:val="single" w:sz="4" w:space="0" w:color="auto"/>
            </w:tcBorders>
            <w:shd w:val="clear" w:color="auto" w:fill="auto"/>
            <w:noWrap/>
            <w:vAlign w:val="center"/>
            <w:hideMark/>
          </w:tcPr>
          <w:p w14:paraId="7ACC0FB5"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37969(82.5%)</w:t>
            </w:r>
          </w:p>
        </w:tc>
        <w:tc>
          <w:tcPr>
            <w:tcW w:w="1530" w:type="dxa"/>
            <w:tcBorders>
              <w:top w:val="single" w:sz="4" w:space="0" w:color="auto"/>
            </w:tcBorders>
            <w:shd w:val="clear" w:color="auto" w:fill="auto"/>
            <w:noWrap/>
            <w:vAlign w:val="center"/>
            <w:hideMark/>
          </w:tcPr>
          <w:p w14:paraId="01838A6B"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3328(60.6%)</w:t>
            </w:r>
          </w:p>
        </w:tc>
        <w:tc>
          <w:tcPr>
            <w:tcW w:w="1530" w:type="dxa"/>
            <w:tcBorders>
              <w:top w:val="single" w:sz="4" w:space="0" w:color="auto"/>
            </w:tcBorders>
            <w:shd w:val="clear" w:color="auto" w:fill="auto"/>
            <w:noWrap/>
            <w:vAlign w:val="center"/>
          </w:tcPr>
          <w:p w14:paraId="2E61E17F"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41297 (80.2%)</w:t>
            </w:r>
          </w:p>
        </w:tc>
      </w:tr>
      <w:tr w:rsidR="00CA0EF0" w:rsidRPr="00361E30" w14:paraId="0CE9A1AC" w14:textId="77777777" w:rsidTr="003C13F4">
        <w:trPr>
          <w:cantSplit/>
          <w:trHeight w:val="300"/>
        </w:trPr>
        <w:tc>
          <w:tcPr>
            <w:tcW w:w="1368" w:type="dxa"/>
            <w:vMerge/>
            <w:hideMark/>
          </w:tcPr>
          <w:p w14:paraId="3AC840AA"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2F65801E"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&gt;= 30</w:t>
            </w:r>
          </w:p>
        </w:tc>
        <w:tc>
          <w:tcPr>
            <w:tcW w:w="1530" w:type="dxa"/>
            <w:shd w:val="clear" w:color="auto" w:fill="auto"/>
            <w:noWrap/>
            <w:vAlign w:val="center"/>
            <w:hideMark/>
          </w:tcPr>
          <w:p w14:paraId="63F0C7E0"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900(2%)</w:t>
            </w:r>
          </w:p>
        </w:tc>
        <w:tc>
          <w:tcPr>
            <w:tcW w:w="1530" w:type="dxa"/>
            <w:shd w:val="clear" w:color="auto" w:fill="auto"/>
            <w:noWrap/>
            <w:vAlign w:val="center"/>
            <w:hideMark/>
          </w:tcPr>
          <w:p w14:paraId="2730D96F"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108(2%)</w:t>
            </w:r>
          </w:p>
        </w:tc>
        <w:tc>
          <w:tcPr>
            <w:tcW w:w="1530" w:type="dxa"/>
            <w:shd w:val="clear" w:color="auto" w:fill="auto"/>
            <w:noWrap/>
            <w:vAlign w:val="center"/>
          </w:tcPr>
          <w:p w14:paraId="181230DF"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1008 (2%)</w:t>
            </w:r>
          </w:p>
        </w:tc>
      </w:tr>
      <w:tr w:rsidR="00CA0EF0" w:rsidRPr="00361E30" w14:paraId="5BAB6416" w14:textId="77777777" w:rsidTr="003C13F4">
        <w:trPr>
          <w:cantSplit/>
          <w:trHeight w:val="300"/>
        </w:trPr>
        <w:tc>
          <w:tcPr>
            <w:tcW w:w="1368" w:type="dxa"/>
            <w:vMerge/>
            <w:shd w:val="clear" w:color="auto" w:fill="auto"/>
            <w:noWrap/>
            <w:hideMark/>
          </w:tcPr>
          <w:p w14:paraId="79EC01F9"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6E149A07"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6 - 9</w:t>
            </w:r>
          </w:p>
        </w:tc>
        <w:tc>
          <w:tcPr>
            <w:tcW w:w="1530" w:type="dxa"/>
            <w:shd w:val="clear" w:color="auto" w:fill="auto"/>
            <w:noWrap/>
            <w:vAlign w:val="center"/>
            <w:hideMark/>
          </w:tcPr>
          <w:p w14:paraId="2765E007"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50(0.1%)</w:t>
            </w:r>
          </w:p>
        </w:tc>
        <w:tc>
          <w:tcPr>
            <w:tcW w:w="1530" w:type="dxa"/>
            <w:shd w:val="clear" w:color="auto" w:fill="auto"/>
            <w:noWrap/>
            <w:vAlign w:val="center"/>
            <w:hideMark/>
          </w:tcPr>
          <w:p w14:paraId="0A502C29"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12(0.2%)</w:t>
            </w:r>
          </w:p>
        </w:tc>
        <w:tc>
          <w:tcPr>
            <w:tcW w:w="1530" w:type="dxa"/>
            <w:shd w:val="clear" w:color="auto" w:fill="auto"/>
            <w:noWrap/>
            <w:vAlign w:val="center"/>
          </w:tcPr>
          <w:p w14:paraId="40BADC8A"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62 (0.1%)</w:t>
            </w:r>
          </w:p>
        </w:tc>
      </w:tr>
      <w:tr w:rsidR="00CA0EF0" w:rsidRPr="00361E30" w14:paraId="2CF98AD2" w14:textId="77777777" w:rsidTr="003C13F4">
        <w:trPr>
          <w:cantSplit/>
          <w:trHeight w:val="300"/>
        </w:trPr>
        <w:tc>
          <w:tcPr>
            <w:tcW w:w="1368" w:type="dxa"/>
            <w:vMerge/>
            <w:shd w:val="clear" w:color="auto" w:fill="auto"/>
            <w:noWrap/>
            <w:hideMark/>
          </w:tcPr>
          <w:p w14:paraId="592B848B"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7588BF8E"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1 - 5</w:t>
            </w:r>
          </w:p>
        </w:tc>
        <w:tc>
          <w:tcPr>
            <w:tcW w:w="1530" w:type="dxa"/>
            <w:shd w:val="clear" w:color="auto" w:fill="auto"/>
            <w:noWrap/>
            <w:vAlign w:val="center"/>
            <w:hideMark/>
          </w:tcPr>
          <w:p w14:paraId="1A299C7B"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10(0%)</w:t>
            </w:r>
          </w:p>
        </w:tc>
        <w:tc>
          <w:tcPr>
            <w:tcW w:w="1530" w:type="dxa"/>
            <w:shd w:val="clear" w:color="auto" w:fill="auto"/>
            <w:noWrap/>
            <w:vAlign w:val="center"/>
            <w:hideMark/>
          </w:tcPr>
          <w:p w14:paraId="4964D1C1"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1(0%)</w:t>
            </w:r>
          </w:p>
        </w:tc>
        <w:tc>
          <w:tcPr>
            <w:tcW w:w="1530" w:type="dxa"/>
            <w:shd w:val="clear" w:color="auto" w:fill="auto"/>
            <w:noWrap/>
            <w:vAlign w:val="center"/>
          </w:tcPr>
          <w:p w14:paraId="3BCFC65C"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11 (0%)</w:t>
            </w:r>
          </w:p>
        </w:tc>
      </w:tr>
      <w:tr w:rsidR="00CA0EF0" w:rsidRPr="00361E30" w14:paraId="5C612A73" w14:textId="77777777" w:rsidTr="003C13F4">
        <w:trPr>
          <w:cantSplit/>
          <w:trHeight w:val="300"/>
        </w:trPr>
        <w:tc>
          <w:tcPr>
            <w:tcW w:w="1368" w:type="dxa"/>
            <w:vMerge/>
            <w:shd w:val="clear" w:color="auto" w:fill="auto"/>
            <w:noWrap/>
            <w:hideMark/>
          </w:tcPr>
          <w:p w14:paraId="7C4F5421"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0A5B7EE3"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0</w:t>
            </w:r>
          </w:p>
        </w:tc>
        <w:tc>
          <w:tcPr>
            <w:tcW w:w="1530" w:type="dxa"/>
            <w:shd w:val="clear" w:color="auto" w:fill="auto"/>
            <w:noWrap/>
            <w:vAlign w:val="center"/>
            <w:hideMark/>
          </w:tcPr>
          <w:p w14:paraId="731F788B"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21(0%)</w:t>
            </w:r>
          </w:p>
        </w:tc>
        <w:tc>
          <w:tcPr>
            <w:tcW w:w="1530" w:type="dxa"/>
            <w:shd w:val="clear" w:color="auto" w:fill="auto"/>
            <w:noWrap/>
            <w:vAlign w:val="center"/>
            <w:hideMark/>
          </w:tcPr>
          <w:p w14:paraId="19606189"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0(0%)</w:t>
            </w:r>
          </w:p>
        </w:tc>
        <w:tc>
          <w:tcPr>
            <w:tcW w:w="1530" w:type="dxa"/>
            <w:shd w:val="clear" w:color="auto" w:fill="auto"/>
            <w:noWrap/>
            <w:vAlign w:val="center"/>
          </w:tcPr>
          <w:p w14:paraId="218A941F"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21 (0%)</w:t>
            </w:r>
          </w:p>
        </w:tc>
      </w:tr>
      <w:tr w:rsidR="00CA0EF0" w:rsidRPr="00361E30" w14:paraId="1EAEC2F8" w14:textId="77777777" w:rsidTr="003C13F4">
        <w:trPr>
          <w:cantSplit/>
          <w:trHeight w:val="300"/>
        </w:trPr>
        <w:tc>
          <w:tcPr>
            <w:tcW w:w="1368" w:type="dxa"/>
            <w:vMerge/>
            <w:shd w:val="clear" w:color="auto" w:fill="auto"/>
            <w:noWrap/>
            <w:hideMark/>
          </w:tcPr>
          <w:p w14:paraId="16A658AB"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06A45843"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Not Recorded</w:t>
            </w:r>
          </w:p>
        </w:tc>
        <w:tc>
          <w:tcPr>
            <w:tcW w:w="1530" w:type="dxa"/>
            <w:shd w:val="clear" w:color="auto" w:fill="auto"/>
            <w:noWrap/>
            <w:vAlign w:val="center"/>
            <w:hideMark/>
          </w:tcPr>
          <w:p w14:paraId="69DAC865"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7050(15.3%)</w:t>
            </w:r>
          </w:p>
        </w:tc>
        <w:tc>
          <w:tcPr>
            <w:tcW w:w="1530" w:type="dxa"/>
            <w:shd w:val="clear" w:color="auto" w:fill="auto"/>
            <w:noWrap/>
            <w:vAlign w:val="center"/>
            <w:hideMark/>
          </w:tcPr>
          <w:p w14:paraId="0946C487"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2042(37.2%)</w:t>
            </w:r>
          </w:p>
        </w:tc>
        <w:tc>
          <w:tcPr>
            <w:tcW w:w="1530" w:type="dxa"/>
            <w:shd w:val="clear" w:color="auto" w:fill="auto"/>
            <w:noWrap/>
            <w:vAlign w:val="center"/>
          </w:tcPr>
          <w:p w14:paraId="7AEE2FDA" w14:textId="77777777" w:rsidR="00CA0EF0" w:rsidRPr="00361E30" w:rsidRDefault="00CA0EF0" w:rsidP="003C13F4">
            <w:pPr>
              <w:spacing w:after="0" w:line="240" w:lineRule="auto"/>
              <w:jc w:val="center"/>
              <w:rPr>
                <w:rFonts w:cstheme="minorHAnsi"/>
                <w:sz w:val="20"/>
                <w:szCs w:val="20"/>
              </w:rPr>
            </w:pPr>
            <w:r w:rsidRPr="00361E30">
              <w:rPr>
                <w:rFonts w:cstheme="minorHAnsi"/>
                <w:sz w:val="20"/>
                <w:szCs w:val="20"/>
              </w:rPr>
              <w:t>9092 (17.7%)</w:t>
            </w:r>
          </w:p>
        </w:tc>
      </w:tr>
      <w:tr w:rsidR="00CA0EF0" w:rsidRPr="00361E30" w14:paraId="2C8649A1" w14:textId="77777777" w:rsidTr="003C13F4">
        <w:trPr>
          <w:cantSplit/>
          <w:trHeight w:val="300"/>
        </w:trPr>
        <w:tc>
          <w:tcPr>
            <w:tcW w:w="1368" w:type="dxa"/>
            <w:vMerge/>
            <w:shd w:val="clear" w:color="auto" w:fill="auto"/>
            <w:noWrap/>
            <w:hideMark/>
          </w:tcPr>
          <w:p w14:paraId="317A78D7"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shd w:val="clear" w:color="auto" w:fill="auto"/>
            <w:noWrap/>
            <w:vAlign w:val="bottom"/>
            <w:hideMark/>
          </w:tcPr>
          <w:p w14:paraId="427A944A"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Median RR (IQR)</w:t>
            </w:r>
          </w:p>
        </w:tc>
        <w:tc>
          <w:tcPr>
            <w:tcW w:w="1530" w:type="dxa"/>
            <w:shd w:val="clear" w:color="auto" w:fill="auto"/>
            <w:noWrap/>
            <w:vAlign w:val="center"/>
            <w:hideMark/>
          </w:tcPr>
          <w:p w14:paraId="7397BFF5"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18 (16 - 20)</w:t>
            </w:r>
          </w:p>
        </w:tc>
        <w:tc>
          <w:tcPr>
            <w:tcW w:w="1530" w:type="dxa"/>
            <w:shd w:val="clear" w:color="auto" w:fill="auto"/>
            <w:noWrap/>
            <w:vAlign w:val="center"/>
            <w:hideMark/>
          </w:tcPr>
          <w:p w14:paraId="1FAC1B7B"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18 (16 - 20)</w:t>
            </w:r>
          </w:p>
        </w:tc>
        <w:tc>
          <w:tcPr>
            <w:tcW w:w="1530" w:type="dxa"/>
            <w:shd w:val="clear" w:color="auto" w:fill="auto"/>
            <w:noWrap/>
            <w:vAlign w:val="center"/>
          </w:tcPr>
          <w:p w14:paraId="28A712BB" w14:textId="77777777" w:rsidR="00CA0EF0" w:rsidRPr="00361E30" w:rsidRDefault="00CA0EF0" w:rsidP="003C13F4">
            <w:pPr>
              <w:spacing w:after="0" w:line="240" w:lineRule="auto"/>
              <w:jc w:val="center"/>
              <w:rPr>
                <w:rFonts w:eastAsia="Times New Roman" w:cstheme="minorHAnsi"/>
                <w:color w:val="000000"/>
                <w:sz w:val="20"/>
                <w:szCs w:val="20"/>
              </w:rPr>
            </w:pPr>
            <w:r w:rsidRPr="00361E30">
              <w:rPr>
                <w:rFonts w:eastAsia="Times New Roman" w:cstheme="minorHAnsi"/>
                <w:color w:val="000000"/>
                <w:sz w:val="20"/>
                <w:szCs w:val="20"/>
              </w:rPr>
              <w:t>18 (16 - 20)</w:t>
            </w:r>
          </w:p>
        </w:tc>
      </w:tr>
      <w:tr w:rsidR="00CA0EF0" w:rsidRPr="00361E30" w14:paraId="34FC3A52" w14:textId="77777777" w:rsidTr="003C13F4">
        <w:trPr>
          <w:cantSplit/>
          <w:trHeight w:val="300"/>
        </w:trPr>
        <w:tc>
          <w:tcPr>
            <w:tcW w:w="1368" w:type="dxa"/>
            <w:vMerge w:val="restart"/>
            <w:tcBorders>
              <w:top w:val="single" w:sz="4" w:space="0" w:color="auto"/>
            </w:tcBorders>
            <w:shd w:val="clear" w:color="auto" w:fill="auto"/>
            <w:noWrap/>
            <w:hideMark/>
          </w:tcPr>
          <w:p w14:paraId="36C37A15" w14:textId="77777777" w:rsidR="00CA0EF0" w:rsidRPr="00361E30" w:rsidRDefault="00CA0EF0" w:rsidP="003C13F4">
            <w:pPr>
              <w:spacing w:after="0" w:line="240" w:lineRule="auto"/>
              <w:jc w:val="left"/>
              <w:rPr>
                <w:rFonts w:eastAsia="Times New Roman" w:cstheme="minorHAnsi"/>
                <w:b/>
                <w:bCs/>
                <w:color w:val="000000"/>
                <w:sz w:val="20"/>
                <w:szCs w:val="20"/>
              </w:rPr>
            </w:pPr>
            <w:r w:rsidRPr="00361E30">
              <w:rPr>
                <w:rFonts w:eastAsia="Times New Roman" w:cstheme="minorHAnsi"/>
                <w:b/>
                <w:bCs/>
                <w:color w:val="000000"/>
                <w:sz w:val="20"/>
                <w:szCs w:val="20"/>
              </w:rPr>
              <w:t>Crude Mortality at 30 days</w:t>
            </w:r>
          </w:p>
        </w:tc>
        <w:tc>
          <w:tcPr>
            <w:tcW w:w="1710" w:type="dxa"/>
            <w:tcBorders>
              <w:top w:val="single" w:sz="4" w:space="0" w:color="auto"/>
            </w:tcBorders>
            <w:shd w:val="clear" w:color="auto" w:fill="auto"/>
            <w:noWrap/>
            <w:vAlign w:val="bottom"/>
            <w:hideMark/>
          </w:tcPr>
          <w:p w14:paraId="042F543F"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Survived</w:t>
            </w:r>
          </w:p>
        </w:tc>
        <w:tc>
          <w:tcPr>
            <w:tcW w:w="1530" w:type="dxa"/>
            <w:tcBorders>
              <w:top w:val="single" w:sz="4" w:space="0" w:color="auto"/>
            </w:tcBorders>
            <w:shd w:val="clear" w:color="auto" w:fill="auto"/>
            <w:noWrap/>
            <w:vAlign w:val="center"/>
            <w:hideMark/>
          </w:tcPr>
          <w:p w14:paraId="26BF957B"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41018(89.2%)</w:t>
            </w:r>
          </w:p>
        </w:tc>
        <w:tc>
          <w:tcPr>
            <w:tcW w:w="1530" w:type="dxa"/>
            <w:tcBorders>
              <w:top w:val="single" w:sz="4" w:space="0" w:color="auto"/>
            </w:tcBorders>
            <w:shd w:val="clear" w:color="auto" w:fill="auto"/>
            <w:noWrap/>
            <w:vAlign w:val="center"/>
            <w:hideMark/>
          </w:tcPr>
          <w:p w14:paraId="1ED66A0D" w14:textId="77777777" w:rsidR="00CA0EF0" w:rsidRPr="00361E30" w:rsidRDefault="00CA0EF0" w:rsidP="003C13F4">
            <w:pPr>
              <w:spacing w:after="0" w:line="240" w:lineRule="auto"/>
              <w:jc w:val="left"/>
              <w:rPr>
                <w:rFonts w:eastAsia="Times New Roman" w:cstheme="minorHAnsi"/>
                <w:color w:val="000000"/>
                <w:sz w:val="20"/>
                <w:szCs w:val="20"/>
              </w:rPr>
            </w:pPr>
          </w:p>
        </w:tc>
        <w:tc>
          <w:tcPr>
            <w:tcW w:w="1530" w:type="dxa"/>
            <w:tcBorders>
              <w:top w:val="single" w:sz="4" w:space="0" w:color="auto"/>
            </w:tcBorders>
            <w:shd w:val="clear" w:color="auto" w:fill="auto"/>
            <w:noWrap/>
            <w:vAlign w:val="center"/>
            <w:hideMark/>
          </w:tcPr>
          <w:p w14:paraId="22AF2A73" w14:textId="77777777" w:rsidR="00CA0EF0" w:rsidRPr="00361E30" w:rsidRDefault="00CA0EF0" w:rsidP="003C13F4">
            <w:pPr>
              <w:spacing w:after="0" w:line="240" w:lineRule="auto"/>
              <w:jc w:val="left"/>
              <w:rPr>
                <w:rFonts w:eastAsia="Times New Roman" w:cstheme="minorHAnsi"/>
                <w:color w:val="000000"/>
                <w:sz w:val="20"/>
                <w:szCs w:val="20"/>
              </w:rPr>
            </w:pPr>
          </w:p>
        </w:tc>
      </w:tr>
      <w:tr w:rsidR="00CA0EF0" w:rsidRPr="00361E30" w14:paraId="500C7A48" w14:textId="77777777" w:rsidTr="003C13F4">
        <w:trPr>
          <w:cantSplit/>
          <w:trHeight w:val="309"/>
        </w:trPr>
        <w:tc>
          <w:tcPr>
            <w:tcW w:w="1368" w:type="dxa"/>
            <w:vMerge/>
            <w:tcBorders>
              <w:bottom w:val="single" w:sz="4" w:space="0" w:color="auto"/>
            </w:tcBorders>
            <w:shd w:val="clear" w:color="auto" w:fill="auto"/>
            <w:noWrap/>
            <w:hideMark/>
          </w:tcPr>
          <w:p w14:paraId="4B562CA3" w14:textId="77777777" w:rsidR="00CA0EF0" w:rsidRPr="00361E30" w:rsidRDefault="00CA0EF0" w:rsidP="003C13F4">
            <w:pPr>
              <w:spacing w:after="0" w:line="240" w:lineRule="auto"/>
              <w:jc w:val="left"/>
              <w:rPr>
                <w:rFonts w:eastAsia="Times New Roman" w:cstheme="minorHAnsi"/>
                <w:b/>
                <w:bCs/>
                <w:color w:val="000000"/>
                <w:sz w:val="20"/>
                <w:szCs w:val="20"/>
              </w:rPr>
            </w:pPr>
          </w:p>
        </w:tc>
        <w:tc>
          <w:tcPr>
            <w:tcW w:w="1710" w:type="dxa"/>
            <w:tcBorders>
              <w:bottom w:val="single" w:sz="4" w:space="0" w:color="auto"/>
            </w:tcBorders>
            <w:shd w:val="clear" w:color="auto" w:fill="auto"/>
            <w:noWrap/>
            <w:vAlign w:val="center"/>
            <w:hideMark/>
          </w:tcPr>
          <w:p w14:paraId="43FB42AE"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Died</w:t>
            </w:r>
          </w:p>
        </w:tc>
        <w:tc>
          <w:tcPr>
            <w:tcW w:w="1530" w:type="dxa"/>
            <w:tcBorders>
              <w:bottom w:val="single" w:sz="4" w:space="0" w:color="auto"/>
            </w:tcBorders>
            <w:shd w:val="clear" w:color="auto" w:fill="auto"/>
            <w:noWrap/>
            <w:vAlign w:val="center"/>
            <w:hideMark/>
          </w:tcPr>
          <w:p w14:paraId="1939E268" w14:textId="77777777" w:rsidR="00CA0EF0" w:rsidRPr="00361E30" w:rsidRDefault="00CA0EF0" w:rsidP="003C13F4">
            <w:pPr>
              <w:spacing w:after="0" w:line="240" w:lineRule="auto"/>
              <w:jc w:val="left"/>
              <w:rPr>
                <w:rFonts w:eastAsia="Times New Roman" w:cstheme="minorHAnsi"/>
                <w:color w:val="000000"/>
                <w:sz w:val="20"/>
                <w:szCs w:val="20"/>
              </w:rPr>
            </w:pPr>
            <w:r w:rsidRPr="00361E30">
              <w:rPr>
                <w:rFonts w:eastAsia="Times New Roman" w:cstheme="minorHAnsi"/>
                <w:color w:val="000000"/>
                <w:sz w:val="20"/>
                <w:szCs w:val="20"/>
              </w:rPr>
              <w:t>4982(10.8%)</w:t>
            </w:r>
          </w:p>
        </w:tc>
        <w:tc>
          <w:tcPr>
            <w:tcW w:w="1530" w:type="dxa"/>
            <w:tcBorders>
              <w:bottom w:val="single" w:sz="4" w:space="0" w:color="auto"/>
            </w:tcBorders>
            <w:shd w:val="clear" w:color="auto" w:fill="auto"/>
            <w:noWrap/>
            <w:vAlign w:val="center"/>
            <w:hideMark/>
          </w:tcPr>
          <w:p w14:paraId="5CAF7769" w14:textId="77777777" w:rsidR="00CA0EF0" w:rsidRPr="00361E30" w:rsidRDefault="00CA0EF0" w:rsidP="003C13F4">
            <w:pPr>
              <w:spacing w:after="0" w:line="240" w:lineRule="auto"/>
              <w:jc w:val="left"/>
              <w:rPr>
                <w:rFonts w:eastAsia="Times New Roman" w:cstheme="minorHAnsi"/>
                <w:color w:val="000000"/>
                <w:sz w:val="20"/>
                <w:szCs w:val="20"/>
              </w:rPr>
            </w:pPr>
          </w:p>
        </w:tc>
        <w:tc>
          <w:tcPr>
            <w:tcW w:w="1530" w:type="dxa"/>
            <w:tcBorders>
              <w:bottom w:val="single" w:sz="4" w:space="0" w:color="auto"/>
            </w:tcBorders>
            <w:shd w:val="clear" w:color="auto" w:fill="auto"/>
            <w:noWrap/>
            <w:vAlign w:val="center"/>
            <w:hideMark/>
          </w:tcPr>
          <w:p w14:paraId="5284E9DC" w14:textId="77777777" w:rsidR="00CA0EF0" w:rsidRPr="00361E30" w:rsidRDefault="00CA0EF0" w:rsidP="003C13F4">
            <w:pPr>
              <w:spacing w:after="0" w:line="240" w:lineRule="auto"/>
              <w:jc w:val="left"/>
              <w:rPr>
                <w:rFonts w:eastAsia="Times New Roman" w:cstheme="minorHAnsi"/>
                <w:color w:val="000000"/>
                <w:sz w:val="20"/>
                <w:szCs w:val="20"/>
              </w:rPr>
            </w:pPr>
          </w:p>
        </w:tc>
      </w:tr>
    </w:tbl>
    <w:p w14:paraId="09BC0270" w14:textId="77777777" w:rsidR="00CA0EF0" w:rsidRPr="00361E30" w:rsidRDefault="00CA0EF0" w:rsidP="003C13F4">
      <w:pPr>
        <w:pStyle w:val="TableTitle"/>
      </w:pPr>
      <w:bookmarkStart w:id="110" w:name="_Toc528321044"/>
      <w:r w:rsidRPr="00361E30">
        <w:t>Table 4.2: Older patients with and without known outcomes</w:t>
      </w:r>
      <w:bookmarkEnd w:id="110"/>
      <w:r w:rsidRPr="00361E30">
        <w:t xml:space="preserve"> </w:t>
      </w:r>
    </w:p>
    <w:p w14:paraId="0CB633D8" w14:textId="77777777" w:rsidR="00CA0EF0" w:rsidRPr="00361E30" w:rsidRDefault="00CA0EF0" w:rsidP="003C13F4">
      <w:pPr>
        <w:pStyle w:val="Heading3"/>
      </w:pPr>
      <w:r w:rsidRPr="00361E30">
        <w:t xml:space="preserve">4.3.2.3 </w:t>
      </w:r>
      <w:r w:rsidRPr="00361E30">
        <w:tab/>
        <w:t>Mechanism of Injury</w:t>
      </w:r>
    </w:p>
    <w:p w14:paraId="44EF9EF0" w14:textId="77777777" w:rsidR="00CA0EF0" w:rsidRPr="00361E30" w:rsidRDefault="00CA0EF0" w:rsidP="003C13F4">
      <w:r w:rsidRPr="00361E30">
        <w:t>Low falls (falls of less than 2 metres) were the most common injury mechanism in older patients with and without known outcomes, with 40,363 (78.4%) sustaining their injuries through this mechanism. However, older patients with known outcomes were more likely to sustain injuries through low falls compared to those whose outcomes were not known (80.0% vs 64.5%). Conversely, older patients with known outcomes were less likely to have been involved in road traffic collisions than those with unknown outcomes (7.6% vs 16.9%).</w:t>
      </w:r>
    </w:p>
    <w:p w14:paraId="37B1433E" w14:textId="77777777" w:rsidR="00CA0EF0" w:rsidRPr="00361E30" w:rsidRDefault="00CA0EF0" w:rsidP="003C13F4">
      <w:pPr>
        <w:pStyle w:val="Heading2"/>
      </w:pPr>
      <w:bookmarkStart w:id="111" w:name="_Toc1902289"/>
      <w:r w:rsidRPr="00361E30">
        <w:t>4.3.3</w:t>
      </w:r>
      <w:r w:rsidRPr="00361E30">
        <w:tab/>
        <w:t>Physiological variables</w:t>
      </w:r>
      <w:bookmarkEnd w:id="111"/>
    </w:p>
    <w:p w14:paraId="266D6423" w14:textId="77777777" w:rsidR="00CA0EF0" w:rsidRPr="00361E30" w:rsidRDefault="00CA0EF0" w:rsidP="003C13F4">
      <w:r w:rsidRPr="00361E30">
        <w:t>The distribution of systolic blood pressure, Glasgow coma score and respiratory rate was compared between older patients with known and unknown outcomes.</w:t>
      </w:r>
    </w:p>
    <w:p w14:paraId="4DA7588C" w14:textId="77777777" w:rsidR="00CA0EF0" w:rsidRPr="00361E30" w:rsidRDefault="00CA0EF0" w:rsidP="003C13F4">
      <w:pPr>
        <w:pStyle w:val="Heading3"/>
      </w:pPr>
      <w:r w:rsidRPr="00361E30">
        <w:t xml:space="preserve">4.3.3.1 </w:t>
      </w:r>
      <w:r w:rsidRPr="00361E30">
        <w:tab/>
        <w:t>Systolic Blood Pressure</w:t>
      </w:r>
    </w:p>
    <w:p w14:paraId="27FCD7CA" w14:textId="77777777" w:rsidR="00CA0EF0" w:rsidRPr="00361E30" w:rsidRDefault="00CA0EF0" w:rsidP="003C13F4">
      <w:r w:rsidRPr="00361E30">
        <w:t>The median systolic blood pressure in older adults was 145mmHg (IQR 127 – 164mmHg). There was no difference in the median systolic blood pressures in those with and without known outcomes (Table 4.2).</w:t>
      </w:r>
    </w:p>
    <w:p w14:paraId="29EF2D90" w14:textId="77777777" w:rsidR="00CA0EF0" w:rsidRPr="00361E30" w:rsidRDefault="00CA0EF0" w:rsidP="003C13F4">
      <w:pPr>
        <w:pStyle w:val="Heading3"/>
      </w:pPr>
      <w:r w:rsidRPr="00361E30">
        <w:t xml:space="preserve">4.3.3.2 </w:t>
      </w:r>
      <w:r w:rsidRPr="00361E30">
        <w:tab/>
        <w:t>Glasgow Coma Score</w:t>
      </w:r>
    </w:p>
    <w:p w14:paraId="57B3A43C" w14:textId="77777777" w:rsidR="00CA0EF0" w:rsidRPr="00361E30" w:rsidRDefault="00CA0EF0" w:rsidP="003C13F4">
      <w:r w:rsidRPr="00361E30">
        <w:t>The median Glasgow coma score (GCS) for older patients with known outcomes was 15 (IQR 15 – 15) and 15 (IQR 14 – 15) in older patients with unknown outcomes. The number of patients with known outcomes who had a GCS of 15 was 30,128 (65.5%), compared to 2,598 (47.3%) patients whose outcomes were not known. Conversely, only 759 (1.7%) patients with known outcomes were intubated, compared to 251(4.6%) with outcomes that were not known.</w:t>
      </w:r>
    </w:p>
    <w:p w14:paraId="21B0711C" w14:textId="77777777" w:rsidR="00CA0EF0" w:rsidRPr="00361E30" w:rsidRDefault="00CA0EF0" w:rsidP="003C13F4">
      <w:pPr>
        <w:pStyle w:val="Heading3"/>
      </w:pPr>
      <w:r w:rsidRPr="00361E30">
        <w:lastRenderedPageBreak/>
        <w:t xml:space="preserve">4.3.3.3 </w:t>
      </w:r>
      <w:r w:rsidRPr="00361E30">
        <w:tab/>
        <w:t>Respiratory Rate</w:t>
      </w:r>
    </w:p>
    <w:p w14:paraId="08EFF473" w14:textId="77777777" w:rsidR="00CA0EF0" w:rsidRPr="00361E30" w:rsidRDefault="00CA0EF0" w:rsidP="003C13F4">
      <w:pPr>
        <w:spacing w:before="240"/>
      </w:pPr>
      <w:r w:rsidRPr="00361E30">
        <w:t>The median respiratory rate was 18 (IQR 16-20), with no difference between older patients with and without known outcomes. A normal respiratory rate on arrival (10 – 29 breaths per minute) was recorded in 41,297 (80.2%) older patients. The admission respiratory rate was not recorded in 9,092 (17.7%) older patients.</w:t>
      </w:r>
    </w:p>
    <w:p w14:paraId="788198DF" w14:textId="77777777" w:rsidR="00CA0EF0" w:rsidRPr="00361E30" w:rsidRDefault="00CA0EF0" w:rsidP="003C13F4">
      <w:pPr>
        <w:pStyle w:val="Heading1"/>
      </w:pPr>
      <w:bookmarkStart w:id="112" w:name="_Toc1902290"/>
      <w:r w:rsidRPr="00361E30">
        <w:t>4.4</w:t>
      </w:r>
      <w:r w:rsidRPr="00361E30">
        <w:tab/>
        <w:t>Conclusion</w:t>
      </w:r>
      <w:bookmarkEnd w:id="112"/>
    </w:p>
    <w:p w14:paraId="1ED28C97" w14:textId="77777777" w:rsidR="00CA0EF0" w:rsidRPr="00361E30" w:rsidRDefault="00CA0EF0" w:rsidP="003C13F4">
      <w:r w:rsidRPr="00361E30">
        <w:t xml:space="preserve">The TARN dataset demonstrated important differences in demographic and clinical characteristics of older and younger trauma patients. Older patients were more likely to be female, had a higher CCI, and were more likely to have sustained their injuries through low level falls than younger patients. In addition, injury severity scores for older patients were lower than for younger patients, as were injury patterns, with older patients more likely to suffer serious head and neck injuries, while younger patients were more likely to suffer serious chest injuries. Despite the lower injury severity scores in older patients, crude mortality was higher than in younger people. These trends have been commented on by other authors previously </w:t>
      </w:r>
      <w:r w:rsidRPr="00361E30">
        <w:rPr>
          <w:noProof/>
        </w:rPr>
        <w:t>(Giannoudis et al. 2009, Meldon, Reilly et al., 2002, Yeung et al. 2008)</w:t>
      </w:r>
      <w:r w:rsidRPr="00361E30">
        <w:t>.</w:t>
      </w:r>
    </w:p>
    <w:p w14:paraId="0E682DC9" w14:textId="77777777" w:rsidR="00CA0EF0" w:rsidRPr="00361E30" w:rsidRDefault="00CA0EF0" w:rsidP="003C13F4">
      <w:pPr>
        <w:ind w:firstLine="720"/>
      </w:pPr>
      <w:r w:rsidRPr="00361E30">
        <w:t xml:space="preserve">There were also important differences between older patients with and without known outcomes. Those with unknown outcomes tended to be younger, with a gender profile more in keeping with younger patients. They were more seriously </w:t>
      </w:r>
      <w:r w:rsidR="005E3024" w:rsidRPr="00361E30">
        <w:t>injured and</w:t>
      </w:r>
      <w:r w:rsidRPr="00361E30">
        <w:t xml:space="preserve"> were less likely to have sustained their injuries from low falls, compared to those with known outcomes. In addition, those with unknown outcomes were more likely to suffer severe head injuries, be intubated or have a lower Glasgow coma score than those with known outcomes. These differences may be because patients with unknown outcomes were generally patients who had been transferred for further care to a second hospital, but whose information from the second hospital was not entered in the TARN database. In general patients requiring transfer are likely to be more seriously injured, needing more specialised definitive care. In particular, many of the transfers involving older patients were likely to be for neurosurgical problems, as head injuries were the most common serious injuries in this age group. This would partly explain the lower GCS, and increased risk of intubation in these patients.</w:t>
      </w:r>
    </w:p>
    <w:p w14:paraId="4DB142F3" w14:textId="77777777" w:rsidR="00CA0EF0" w:rsidRPr="00361E30" w:rsidRDefault="00CA0EF0" w:rsidP="003C13F4">
      <w:pPr>
        <w:rPr>
          <w:b/>
        </w:rPr>
      </w:pPr>
    </w:p>
    <w:p w14:paraId="24623055" w14:textId="77777777" w:rsidR="00CA0EF0" w:rsidRPr="00361E30" w:rsidRDefault="00CA0EF0">
      <w:pPr>
        <w:spacing w:line="276" w:lineRule="auto"/>
        <w:jc w:val="left"/>
        <w:rPr>
          <w:rFonts w:eastAsiaTheme="majorEastAsia" w:cstheme="majorBidi"/>
          <w:b/>
          <w:color w:val="365F91" w:themeColor="accent1" w:themeShade="BF"/>
          <w:szCs w:val="32"/>
        </w:rPr>
      </w:pPr>
      <w:r w:rsidRPr="00361E30">
        <w:br w:type="page"/>
      </w:r>
    </w:p>
    <w:p w14:paraId="65E4EE5D" w14:textId="77777777" w:rsidR="00CA0EF0" w:rsidRPr="00361E30" w:rsidRDefault="00CA0EF0" w:rsidP="003C13F4">
      <w:pPr>
        <w:pStyle w:val="ChapterHeading"/>
      </w:pPr>
      <w:bookmarkStart w:id="113" w:name="_Toc1902291"/>
      <w:r w:rsidRPr="00361E30">
        <w:lastRenderedPageBreak/>
        <w:t>Chapter 5: Developing the Model: Analysis of Patient Characteristics</w:t>
      </w:r>
      <w:bookmarkEnd w:id="113"/>
    </w:p>
    <w:p w14:paraId="1A995C8D" w14:textId="77777777" w:rsidR="00CA0EF0" w:rsidRPr="00361E30" w:rsidRDefault="00CA0EF0" w:rsidP="003C13F4">
      <w:pPr>
        <w:pStyle w:val="Heading1"/>
        <w:rPr>
          <w:szCs w:val="22"/>
        </w:rPr>
      </w:pPr>
      <w:bookmarkStart w:id="114" w:name="_Toc1902292"/>
      <w:r w:rsidRPr="00361E30">
        <w:rPr>
          <w:szCs w:val="22"/>
        </w:rPr>
        <w:t>5.1</w:t>
      </w:r>
      <w:r w:rsidRPr="00361E30">
        <w:rPr>
          <w:szCs w:val="22"/>
        </w:rPr>
        <w:tab/>
        <w:t>Introduction</w:t>
      </w:r>
      <w:bookmarkEnd w:id="114"/>
    </w:p>
    <w:p w14:paraId="08803CE1" w14:textId="77777777" w:rsidR="00CA0EF0" w:rsidRPr="00361E30" w:rsidRDefault="00CA0EF0" w:rsidP="003C13F4">
      <w:r w:rsidRPr="00361E30">
        <w:t>This chapter discusses the rationale for the selection of the final multivariate outcome prediction model and the univariate and multivariate associations between patient characteristics (‘pre-injury patient characteristics’; ‘injury characteristics’ and ‘physiological variables’) and the main outcome. I will also explain the selection of the format of each variable (continuous versus categorical) in the final model.</w:t>
      </w:r>
    </w:p>
    <w:p w14:paraId="3AAC4B4C" w14:textId="77777777" w:rsidR="00CA0EF0" w:rsidRPr="00361E30" w:rsidRDefault="00CA0EF0" w:rsidP="003C13F4">
      <w:pPr>
        <w:ind w:firstLine="720"/>
      </w:pPr>
      <w:r w:rsidRPr="00361E30">
        <w:t xml:space="preserve">30-day survival (or survival to discharge, if discharged before 30 days) was used as the main outcome for this analysis as this provided a more standardised outcome </w:t>
      </w:r>
      <w:r w:rsidR="005E3024" w:rsidRPr="00361E30">
        <w:t>measure and</w:t>
      </w:r>
      <w:r w:rsidRPr="00361E30">
        <w:t xml:space="preserve"> reduced the risk of including patients with late deaths due to a non-trauma cause. Survival to 30 days (or survival to discharge, if discharged before 30 days) also allows direct comparisons between the cohort in this study and the rest of the TARN dataset. While ‘true’ 30 day survival (survival at 30 days, regardless of discharge status) would have been a more standardised outcome, this would have resulted in a loss of patients from the database, as some patients do not have an NHS number, and the 30-day outcome of patients discharged before 30 days is tracked using data from the Office of National Statistics (ONS data), which requires patients’ NHS numbers. In addition, Bouamra et al</w:t>
      </w:r>
      <w:r w:rsidR="00D94F92" w:rsidRPr="00361E30">
        <w:t xml:space="preserve"> (2015)</w:t>
      </w:r>
      <w:r w:rsidRPr="00361E30">
        <w:t xml:space="preserve"> demonstrated that the use of ‘true’ </w:t>
      </w:r>
      <w:r w:rsidR="005E3024" w:rsidRPr="00361E30">
        <w:t>30-day</w:t>
      </w:r>
      <w:r w:rsidRPr="00361E30">
        <w:t xml:space="preserve"> survival did not improve the accuracy of the PS14 predictive model beyond that seen when survival at 30 days or di</w:t>
      </w:r>
      <w:r w:rsidR="00D94F92" w:rsidRPr="00361E30">
        <w:t>scharge was used as the outcome</w:t>
      </w:r>
      <w:r w:rsidRPr="00361E30">
        <w:t>. For the rest of this chapter, ‘survival’ refers to survival to 30 days (or survival to discharge, if discharged before 30 days).</w:t>
      </w:r>
    </w:p>
    <w:p w14:paraId="7ED167FD" w14:textId="77777777" w:rsidR="00CA0EF0" w:rsidRPr="00361E30" w:rsidRDefault="00CA0EF0" w:rsidP="003C13F4">
      <w:pPr>
        <w:ind w:firstLine="720"/>
      </w:pPr>
      <w:r w:rsidRPr="00361E30">
        <w:t xml:space="preserve">Logistic regression was chosen as the technique to assess the association of variables with outcome, as survival is a binary outcome, suited to this method. This method of analysis is used by trauma registries internationally </w:t>
      </w:r>
      <w:r w:rsidRPr="00361E30">
        <w:rPr>
          <w:noProof/>
        </w:rPr>
        <w:t>(Cameron</w:t>
      </w:r>
      <w:r w:rsidR="003860F3" w:rsidRPr="00361E30">
        <w:rPr>
          <w:noProof/>
        </w:rPr>
        <w:t xml:space="preserve"> et al.</w:t>
      </w:r>
      <w:r w:rsidRPr="00361E30">
        <w:rPr>
          <w:noProof/>
        </w:rPr>
        <w:t xml:space="preserve"> 2005, Champion et al. 1990, Edwards et al. 2007, Lecky et al. 2014)</w:t>
      </w:r>
      <w:r w:rsidRPr="00361E30">
        <w:t>.</w:t>
      </w:r>
    </w:p>
    <w:p w14:paraId="428F5CC1" w14:textId="77777777" w:rsidR="00CA0EF0" w:rsidRPr="00361E30" w:rsidRDefault="00CA0EF0" w:rsidP="003C13F4">
      <w:pPr>
        <w:ind w:firstLine="720"/>
      </w:pPr>
      <w:r w:rsidRPr="00361E30">
        <w:t>The initial analysis included all variables that were identified as significant in the systematic review, and available on the TARN dataset as well as all variables used in the current PS14 model (Chapter 2). These included: demographic variables (age and gender); pre-injury clinical characteristics (comorbidities and pre-injury medication); injury characteristics (injury severity; mechanism of injury; injury pattern and number of injuries) and physiological variables (Glasgow coma score; systolic blood pressure and respiratory rate). The list of variables tested in the model are tabulated in Table 3.1 (Chapter3).</w:t>
      </w:r>
    </w:p>
    <w:p w14:paraId="10E63E18" w14:textId="77777777" w:rsidR="00CA0EF0" w:rsidRPr="00361E30" w:rsidRDefault="00CA0EF0" w:rsidP="003C13F4">
      <w:pPr>
        <w:pStyle w:val="Heading1"/>
      </w:pPr>
      <w:bookmarkStart w:id="115" w:name="_Toc1902293"/>
      <w:r w:rsidRPr="00361E30">
        <w:lastRenderedPageBreak/>
        <w:t>5.2</w:t>
      </w:r>
      <w:r w:rsidRPr="00361E30">
        <w:tab/>
        <w:t>Principles and Methodology for Including Variables in the Final Multivariate Model</w:t>
      </w:r>
      <w:bookmarkEnd w:id="115"/>
    </w:p>
    <w:p w14:paraId="6BE8DA5C" w14:textId="77777777" w:rsidR="00CA0EF0" w:rsidRPr="00361E30" w:rsidRDefault="00CA0EF0" w:rsidP="003C13F4">
      <w:pPr>
        <w:ind w:left="405"/>
      </w:pPr>
      <w:r w:rsidRPr="00361E30">
        <w:t>The following steps were followed in selecting variables for the final multivariate predictive model:</w:t>
      </w:r>
    </w:p>
    <w:p w14:paraId="5F0DEBBD" w14:textId="77777777" w:rsidR="00CA0EF0" w:rsidRPr="00361E30" w:rsidRDefault="00CA0EF0" w:rsidP="003C13F4">
      <w:pPr>
        <w:pStyle w:val="ListParagraph"/>
        <w:numPr>
          <w:ilvl w:val="0"/>
          <w:numId w:val="32"/>
        </w:numPr>
      </w:pPr>
      <w:r w:rsidRPr="00361E30">
        <w:t xml:space="preserve">Each variable’s ability to predict the probability of survival was examined using </w:t>
      </w:r>
      <w:r w:rsidR="005E3024" w:rsidRPr="00361E30">
        <w:t>univariate logistic</w:t>
      </w:r>
      <w:r w:rsidRPr="00361E30">
        <w:t xml:space="preserve"> regression</w:t>
      </w:r>
    </w:p>
    <w:p w14:paraId="3419964A" w14:textId="77777777" w:rsidR="00CA0EF0" w:rsidRPr="00361E30" w:rsidRDefault="00CA0EF0" w:rsidP="003C13F4">
      <w:pPr>
        <w:pStyle w:val="ListParagraph"/>
        <w:numPr>
          <w:ilvl w:val="0"/>
          <w:numId w:val="32"/>
        </w:numPr>
      </w:pPr>
      <w:r w:rsidRPr="00361E30">
        <w:t>For some integer and some ordinal variables assumptions of linearity were tested. Consideration of categorisation of these variables was also explored as informed by the systematic review.</w:t>
      </w:r>
    </w:p>
    <w:p w14:paraId="54A76C8C" w14:textId="77777777" w:rsidR="00CA0EF0" w:rsidRPr="00361E30" w:rsidRDefault="00CA0EF0" w:rsidP="003C13F4">
      <w:pPr>
        <w:pStyle w:val="ListParagraph"/>
        <w:numPr>
          <w:ilvl w:val="0"/>
          <w:numId w:val="32"/>
        </w:numPr>
      </w:pPr>
      <w:r w:rsidRPr="00361E30">
        <w:t>Once significant variables were identified on univariate analysis, the potential for multi collinearity was explored – where significant collinearity was identified between 2 covariates the variable with the least explanatory power on univariate analysis was excluded.</w:t>
      </w:r>
    </w:p>
    <w:p w14:paraId="35FC24A1" w14:textId="77777777" w:rsidR="00CA0EF0" w:rsidRPr="00361E30" w:rsidRDefault="00CA0EF0" w:rsidP="003C13F4">
      <w:pPr>
        <w:pStyle w:val="ListParagraph"/>
        <w:numPr>
          <w:ilvl w:val="0"/>
          <w:numId w:val="32"/>
        </w:numPr>
      </w:pPr>
      <w:r w:rsidRPr="00361E30">
        <w:t>Variables with a moderate association with survival on univariate analysis (p ≤0.2), that did not demonstrate significant multi-collinearity, were tested in the multivariate analysis. Further details of the assessments for linearity and multi-collinearity are explained in Section 5.2.1 and 5.2.2.</w:t>
      </w:r>
    </w:p>
    <w:p w14:paraId="2516124D" w14:textId="77777777" w:rsidR="00CA0EF0" w:rsidRPr="00361E30" w:rsidRDefault="00CA0EF0" w:rsidP="003C13F4">
      <w:pPr>
        <w:pStyle w:val="ListParagraph"/>
        <w:numPr>
          <w:ilvl w:val="0"/>
          <w:numId w:val="32"/>
        </w:numPr>
      </w:pPr>
      <w:r w:rsidRPr="00361E30">
        <w:t>The predictive performance of the multivariate model was assessed using the ‘C’ statistic, Nagelkerke’s R</w:t>
      </w:r>
      <w:r w:rsidRPr="0031223A">
        <w:rPr>
          <w:vertAlign w:val="superscript"/>
        </w:rPr>
        <w:t>2</w:t>
      </w:r>
      <w:r w:rsidRPr="00361E30">
        <w:t>, the Akaike information criteria and the H-L statistic for the models with these variables added.</w:t>
      </w:r>
    </w:p>
    <w:p w14:paraId="5AC8D755" w14:textId="77777777" w:rsidR="00CA0EF0" w:rsidRPr="00361E30" w:rsidRDefault="00CA0EF0" w:rsidP="00EF0F39">
      <w:pPr>
        <w:pStyle w:val="ListParagraph"/>
        <w:numPr>
          <w:ilvl w:val="0"/>
          <w:numId w:val="32"/>
        </w:numPr>
      </w:pPr>
      <w:r w:rsidRPr="00361E30">
        <w:t xml:space="preserve">The multivariate model was refined through a process of backward elimination of variables, aiming for a final model that provided the best predictive accuracy with the smallest number of variables (the principle of parsimony in multivariate predictive modelling). </w:t>
      </w:r>
    </w:p>
    <w:p w14:paraId="65F9BD08" w14:textId="77777777" w:rsidR="00CA0EF0" w:rsidRPr="00361E30" w:rsidRDefault="00CA0EF0" w:rsidP="003C13F4">
      <w:pPr>
        <w:pStyle w:val="Heading2"/>
      </w:pPr>
      <w:bookmarkStart w:id="116" w:name="_Toc1902294"/>
      <w:r w:rsidRPr="00361E30">
        <w:t>5.2.1</w:t>
      </w:r>
      <w:r w:rsidRPr="00361E30">
        <w:tab/>
        <w:t>Testing linearity of association between continuous variables and outcome</w:t>
      </w:r>
      <w:bookmarkEnd w:id="116"/>
    </w:p>
    <w:p w14:paraId="38D5BDFD" w14:textId="77777777" w:rsidR="00CA0EF0" w:rsidRPr="00361E30" w:rsidRDefault="00CA0EF0" w:rsidP="003C13F4">
      <w:r w:rsidRPr="00361E30">
        <w:t xml:space="preserve">Logistic regression analysis assumes a linear relationship between continuous variables and outcomes. In the case of logistic regression, the outcome is the log of the probability of a positive outcome (in this case, Ln[survival]) </w:t>
      </w:r>
      <w:r w:rsidRPr="00361E30">
        <w:rPr>
          <w:noProof/>
        </w:rPr>
        <w:t>(Campbel</w:t>
      </w:r>
      <w:r w:rsidR="00F80C71" w:rsidRPr="00361E30">
        <w:rPr>
          <w:noProof/>
        </w:rPr>
        <w:t>l</w:t>
      </w:r>
      <w:r w:rsidRPr="00361E30">
        <w:rPr>
          <w:noProof/>
        </w:rPr>
        <w:t xml:space="preserve"> 2006)</w:t>
      </w:r>
      <w:r w:rsidRPr="00361E30">
        <w:t xml:space="preserve">. Linearity was assessed by applying polynomial transformation to the </w:t>
      </w:r>
      <w:r w:rsidR="005E3024" w:rsidRPr="00361E30">
        <w:t>variable and</w:t>
      </w:r>
      <w:r w:rsidRPr="00361E30">
        <w:t xml:space="preserve"> plotting the variable against Ln[survival] or Ln[mortality], as described in Chapter 3, Section 3.3.3.4.3.</w:t>
      </w:r>
    </w:p>
    <w:p w14:paraId="7AE663D4" w14:textId="77777777" w:rsidR="00CA0EF0" w:rsidRPr="00361E30" w:rsidRDefault="00CA0EF0" w:rsidP="003C13F4">
      <w:pPr>
        <w:pStyle w:val="Heading2"/>
      </w:pPr>
      <w:bookmarkStart w:id="117" w:name="_Toc1902295"/>
      <w:r w:rsidRPr="00361E30">
        <w:t>5.2.2</w:t>
      </w:r>
      <w:r w:rsidRPr="00361E30">
        <w:tab/>
        <w:t>Assessing for multi-collinearity</w:t>
      </w:r>
      <w:bookmarkEnd w:id="117"/>
    </w:p>
    <w:p w14:paraId="7390C2CF" w14:textId="77777777" w:rsidR="00CA0EF0" w:rsidRPr="00361E30" w:rsidRDefault="00CA0EF0" w:rsidP="003C13F4">
      <w:r w:rsidRPr="00361E30">
        <w:t>Multi-collinearity between variables was assessed using the variance-covariance matrix (vce) and the variance inflation factor (vif). Assessment of multi-collinearity is described in greater detail in Chapter 3, Section 3.3.3.4.4.</w:t>
      </w:r>
    </w:p>
    <w:p w14:paraId="138E76B6" w14:textId="77777777" w:rsidR="00CA0EF0" w:rsidRPr="00361E30" w:rsidRDefault="00CA0EF0" w:rsidP="003C13F4">
      <w:pPr>
        <w:pStyle w:val="Heading1"/>
      </w:pPr>
      <w:bookmarkStart w:id="118" w:name="_Toc1902296"/>
      <w:r w:rsidRPr="00361E30">
        <w:lastRenderedPageBreak/>
        <w:t>5.3</w:t>
      </w:r>
      <w:r w:rsidRPr="00361E30">
        <w:tab/>
        <w:t>Results of the Univariate Analysis</w:t>
      </w:r>
      <w:bookmarkEnd w:id="118"/>
    </w:p>
    <w:p w14:paraId="5B6CF32A" w14:textId="77777777" w:rsidR="00CA0EF0" w:rsidRPr="00361E30" w:rsidRDefault="00CA0EF0" w:rsidP="003C13F4">
      <w:pPr>
        <w:pStyle w:val="Heading2"/>
      </w:pPr>
      <w:bookmarkStart w:id="119" w:name="_Toc1902297"/>
      <w:r w:rsidRPr="00361E30">
        <w:t>5.3.1</w:t>
      </w:r>
      <w:r w:rsidRPr="00361E30">
        <w:tab/>
        <w:t>Demographic Variables</w:t>
      </w:r>
      <w:bookmarkEnd w:id="119"/>
    </w:p>
    <w:p w14:paraId="7DB9844C" w14:textId="77777777" w:rsidR="00CA0EF0" w:rsidRPr="00361E30" w:rsidRDefault="00CA0EF0" w:rsidP="003C13F4">
      <w:pPr>
        <w:pStyle w:val="Heading3"/>
      </w:pPr>
      <w:r w:rsidRPr="00361E30">
        <w:t>5.3.1.1</w:t>
      </w:r>
      <w:r w:rsidRPr="00361E30">
        <w:tab/>
        <w:t>Age</w:t>
      </w:r>
    </w:p>
    <w:p w14:paraId="511542FB" w14:textId="77777777" w:rsidR="00CA0EF0" w:rsidRPr="00361E30" w:rsidRDefault="00CA0EF0" w:rsidP="003C13F4">
      <w:r w:rsidRPr="00361E30">
        <w:t xml:space="preserve">The univariate relationship between age and survival was investigated, testing age as a continuous variable and as a categorical variable (using the age categories 65 – 74 years, 75 – 84 years and ≥ 85 years). The categories used were different from the PS14 TARN model: the highest age category in the PS14 is ≥ 75 years </w:t>
      </w:r>
      <w:r w:rsidRPr="00361E30">
        <w:rPr>
          <w:noProof/>
        </w:rPr>
        <w:t>(Bouamra</w:t>
      </w:r>
      <w:r w:rsidR="00D94F92" w:rsidRPr="00361E30">
        <w:rPr>
          <w:noProof/>
        </w:rPr>
        <w:t xml:space="preserve"> et al.</w:t>
      </w:r>
      <w:r w:rsidRPr="00361E30">
        <w:rPr>
          <w:noProof/>
        </w:rPr>
        <w:t xml:space="preserve"> 2015)</w:t>
      </w:r>
      <w:r w:rsidRPr="00361E30">
        <w:t>. Additional categories (75 – 84 years; ≥ 85 years) were included in the new model, as the dataset showed an almost equal distribution of cases between these three age groups (see Chapter 4), reflecting the ongoing ageing of the population in England. Table 5.1 shows the unadjusted odds for survival with increasing age, using 65 – 74 years as the reference.</w:t>
      </w:r>
    </w:p>
    <w:p w14:paraId="37B77C43" w14:textId="77777777" w:rsidR="00CA0EF0" w:rsidRPr="00361E30" w:rsidRDefault="00CA0EF0" w:rsidP="003C13F4">
      <w:pPr>
        <w:ind w:firstLine="720"/>
      </w:pPr>
      <w:r w:rsidRPr="00361E30">
        <w:t xml:space="preserve">The relationship between age and survival was also assessed using age as a continuous variable. The odds of survival for each additional year of life was reduced by 0.964 (95% CI 0.960 - 0.967). There was an almost linear relationship between age and odds of death (Figure 5.1). On fractional polynomial transformation, the best fit model for the relationship was the linear model. </w:t>
      </w:r>
    </w:p>
    <w:p w14:paraId="1526F175" w14:textId="77777777" w:rsidR="00CA0EF0" w:rsidRPr="00361E30" w:rsidRDefault="00CA0EF0" w:rsidP="003C13F4">
      <w:pPr>
        <w:ind w:firstLine="720"/>
      </w:pPr>
      <w:r w:rsidRPr="00361E30">
        <w:t xml:space="preserve">On univariate analysis, the regression model for age and outcome performed similarly when the continuous or categorical forms of age were used (see Table 5.1). The degree of correlation between age and outcome was low for both the categorical and continuous forms of age (Nagelkerke’s R2 0.016 and 0.018 respectively). The main aim of this analysis was to determine the best predictive model for survival in older trauma patients. Given the importance of age in previous predictive models of mortality in major trauma </w:t>
      </w:r>
      <w:r w:rsidRPr="00361E30">
        <w:rPr>
          <w:noProof/>
        </w:rPr>
        <w:t>(Bouamra</w:t>
      </w:r>
      <w:r w:rsidR="00D94F92" w:rsidRPr="00361E30">
        <w:rPr>
          <w:noProof/>
        </w:rPr>
        <w:t xml:space="preserve"> et al.</w:t>
      </w:r>
      <w:r w:rsidRPr="00361E30">
        <w:rPr>
          <w:noProof/>
        </w:rPr>
        <w:t xml:space="preserve"> 2015, Bouamra et al. 2006a, Champion</w:t>
      </w:r>
      <w:r w:rsidR="0052214F" w:rsidRPr="00361E30">
        <w:rPr>
          <w:noProof/>
        </w:rPr>
        <w:t xml:space="preserve"> et al.</w:t>
      </w:r>
      <w:r w:rsidRPr="00361E30">
        <w:rPr>
          <w:noProof/>
        </w:rPr>
        <w:t xml:space="preserve"> 1990)</w:t>
      </w:r>
      <w:r w:rsidRPr="00361E30">
        <w:t>, it was therefore applied to the multivariate model as either a continuous or categorical variable, to determine which form of the variable would work best in the final multivariate model (Sections 5.7 - 5.10).</w:t>
      </w:r>
    </w:p>
    <w:p w14:paraId="1209C430" w14:textId="77777777" w:rsidR="00CA0EF0" w:rsidRPr="00361E30" w:rsidRDefault="00CA0EF0" w:rsidP="003C13F4">
      <w:pPr>
        <w:autoSpaceDE w:val="0"/>
        <w:autoSpaceDN w:val="0"/>
        <w:adjustRightInd w:val="0"/>
        <w:spacing w:after="0"/>
        <w:rPr>
          <w:rFonts w:ascii="Times New Roman" w:hAnsi="Times New Roman" w:cs="Times New Roman"/>
          <w:sz w:val="24"/>
          <w:szCs w:val="24"/>
        </w:rPr>
      </w:pPr>
      <w:r w:rsidRPr="00361E30">
        <w:rPr>
          <w:rFonts w:ascii="Times New Roman" w:hAnsi="Times New Roman" w:cs="Times New Roman"/>
          <w:noProof/>
          <w:sz w:val="24"/>
          <w:szCs w:val="24"/>
          <w:lang w:eastAsia="en-GB"/>
        </w:rPr>
        <w:lastRenderedPageBreak/>
        <w:drawing>
          <wp:inline distT="0" distB="0" distL="0" distR="0" wp14:anchorId="2743BED1" wp14:editId="6CFC2493">
            <wp:extent cx="4019177" cy="3215341"/>
            <wp:effectExtent l="0" t="0" r="63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9303" cy="3215442"/>
                    </a:xfrm>
                    <a:prstGeom prst="rect">
                      <a:avLst/>
                    </a:prstGeom>
                    <a:noFill/>
                    <a:ln>
                      <a:noFill/>
                    </a:ln>
                  </pic:spPr>
                </pic:pic>
              </a:graphicData>
            </a:graphic>
          </wp:inline>
        </w:drawing>
      </w:r>
    </w:p>
    <w:p w14:paraId="1BB81F23" w14:textId="77777777" w:rsidR="00CA0EF0" w:rsidRPr="00361E30" w:rsidRDefault="00CA0EF0" w:rsidP="003C13F4">
      <w:pPr>
        <w:pStyle w:val="FigureTitle"/>
      </w:pPr>
      <w:bookmarkStart w:id="120" w:name="_Toc529090338"/>
      <w:r w:rsidRPr="00361E30">
        <w:t>Figure 5.1: Plot of Ln(Odds of Death) against age.</w:t>
      </w:r>
      <w:bookmarkEnd w:id="120"/>
    </w:p>
    <w:p w14:paraId="018F2FF3" w14:textId="77777777" w:rsidR="00CA0EF0" w:rsidRPr="00361E30" w:rsidRDefault="00CA0EF0" w:rsidP="003C13F4">
      <w:pPr>
        <w:pStyle w:val="Heading3"/>
      </w:pPr>
      <w:r w:rsidRPr="00361E30">
        <w:t>5.3.1.2</w:t>
      </w:r>
      <w:r w:rsidRPr="00361E30">
        <w:tab/>
        <w:t>Gender</w:t>
      </w:r>
    </w:p>
    <w:p w14:paraId="6D2F3386" w14:textId="77777777" w:rsidR="00CA0EF0" w:rsidRPr="00361E30" w:rsidRDefault="00CA0EF0" w:rsidP="003C13F4">
      <w:r w:rsidRPr="00361E30">
        <w:t xml:space="preserve">On univariate analysis, there was a significant positive association between female gender and survival. The unadjusted odds of survival for female patients compared to male patients was 1.590 (95% CI 1.499 - 1.686). </w:t>
      </w:r>
    </w:p>
    <w:p w14:paraId="46D88900" w14:textId="77777777" w:rsidR="00CA0EF0" w:rsidRPr="00361E30" w:rsidRDefault="00CA0EF0" w:rsidP="003C13F4">
      <w:pPr>
        <w:ind w:firstLine="720"/>
      </w:pPr>
      <w:r w:rsidRPr="00361E30">
        <w:t>Previous work by Bouamra et al</w:t>
      </w:r>
      <w:r w:rsidR="00D94F92" w:rsidRPr="00361E30">
        <w:t xml:space="preserve"> (2006a, 2015)</w:t>
      </w:r>
      <w:r w:rsidRPr="00361E30">
        <w:t xml:space="preserve"> on the TARN database demonstrated an interaction between age and gender. The relationship between age, gender and survival was therefore examined in the dataset of older patients used in this study to determine whether this interaction was present. Figure 5.2 shows the relationship between survival and age categorised by gender. This confirmed that there was an interaction between age and gender; survival was greater in younger men compared to women of the same age, but survival was greater in women as age increased. This interaction was present whether age was represented as a continuous or categorical </w:t>
      </w:r>
      <w:r w:rsidR="005E3024" w:rsidRPr="00361E30">
        <w:t>variable and</w:t>
      </w:r>
      <w:r w:rsidRPr="00361E30">
        <w:t xml:space="preserve"> was therefore included in the final multivariate analysis. </w:t>
      </w:r>
    </w:p>
    <w:p w14:paraId="7C0CAAF9" w14:textId="77777777" w:rsidR="00CA0EF0" w:rsidRPr="00361E30" w:rsidRDefault="00CA0EF0" w:rsidP="003C13F4">
      <w:pPr>
        <w:rPr>
          <w:b/>
        </w:rPr>
      </w:pPr>
      <w:r w:rsidRPr="00361E30">
        <w:rPr>
          <w:b/>
          <w:noProof/>
          <w:lang w:eastAsia="en-GB"/>
        </w:rPr>
        <w:lastRenderedPageBreak/>
        <w:drawing>
          <wp:inline distT="0" distB="0" distL="0" distR="0" wp14:anchorId="201414A3" wp14:editId="3D688728">
            <wp:extent cx="3942080" cy="288163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2080" cy="2881630"/>
                    </a:xfrm>
                    <a:prstGeom prst="rect">
                      <a:avLst/>
                    </a:prstGeom>
                    <a:noFill/>
                    <a:ln>
                      <a:noFill/>
                    </a:ln>
                  </pic:spPr>
                </pic:pic>
              </a:graphicData>
            </a:graphic>
          </wp:inline>
        </w:drawing>
      </w:r>
    </w:p>
    <w:p w14:paraId="0D081AD4" w14:textId="77777777" w:rsidR="00CA0EF0" w:rsidRPr="00361E30" w:rsidRDefault="00CA0EF0" w:rsidP="003C13F4">
      <w:pPr>
        <w:pStyle w:val="FigureTitle"/>
      </w:pPr>
      <w:bookmarkStart w:id="121" w:name="_Toc529090339"/>
      <w:r w:rsidRPr="00361E30">
        <w:t>Figure 5.2: Relationship between age, gender and survival, showing interaction</w:t>
      </w:r>
      <w:bookmarkEnd w:id="121"/>
    </w:p>
    <w:p w14:paraId="0AFA00F9" w14:textId="77777777" w:rsidR="00CA0EF0" w:rsidRPr="00361E30" w:rsidRDefault="00CA0EF0" w:rsidP="003C13F4">
      <w:pPr>
        <w:pStyle w:val="Heading2"/>
      </w:pPr>
      <w:bookmarkStart w:id="122" w:name="_Toc1902298"/>
      <w:r w:rsidRPr="00361E30">
        <w:t>5.3.2</w:t>
      </w:r>
      <w:r w:rsidRPr="00361E30">
        <w:tab/>
        <w:t>Pre-injury Clinical Characteristics</w:t>
      </w:r>
      <w:bookmarkEnd w:id="122"/>
    </w:p>
    <w:p w14:paraId="34040EA6" w14:textId="77777777" w:rsidR="00CA0EF0" w:rsidRPr="00361E30" w:rsidRDefault="00CA0EF0" w:rsidP="003C13F4">
      <w:pPr>
        <w:pStyle w:val="Heading3"/>
      </w:pPr>
      <w:r w:rsidRPr="00361E30">
        <w:t xml:space="preserve">5.3.2.1 </w:t>
      </w:r>
      <w:r w:rsidRPr="00361E30">
        <w:tab/>
        <w:t>Charlson Comorbidity Score</w:t>
      </w:r>
    </w:p>
    <w:p w14:paraId="1AB2C701" w14:textId="77777777" w:rsidR="00CA0EF0" w:rsidRPr="00361E30" w:rsidRDefault="00CA0EF0" w:rsidP="003C13F4">
      <w:r w:rsidRPr="00361E30">
        <w:t>A modified form of the Charlson comorbidity index (CCI), as described by Bouamra et al</w:t>
      </w:r>
      <w:r w:rsidR="00D94F92" w:rsidRPr="00361E30">
        <w:t>. (2015)</w:t>
      </w:r>
      <w:r w:rsidRPr="00361E30">
        <w:t xml:space="preserve"> and used in the TARN predictive model, was included as an estimate of the impact of comorbid status on survival. This score is described in greater detail in Chapter 3 (Section 3.3.3.4.1) and Chapter 4 (Section 4.2.1.3). The modified CCI was included in the model as a categorical variable, as this produced a model that was easier to interpret and was also comparable with other TARN models that have utilised the modified CCI (for example, the PS14). On univariate analysis, using a reference CCI of ‘0’, the odds of survival for patients decreased with all higher levels of comorbidity (Table 5.1).</w:t>
      </w:r>
    </w:p>
    <w:p w14:paraId="57893CE4" w14:textId="77777777" w:rsidR="00CA0EF0" w:rsidRPr="00361E30" w:rsidRDefault="00CA0EF0" w:rsidP="003C13F4">
      <w:pPr>
        <w:pStyle w:val="Heading3"/>
      </w:pPr>
      <w:r w:rsidRPr="00361E30">
        <w:t xml:space="preserve">5.3.2.2 </w:t>
      </w:r>
      <w:r w:rsidRPr="00361E30">
        <w:tab/>
        <w:t>Pre-Injury Medication</w:t>
      </w:r>
    </w:p>
    <w:p w14:paraId="46F1D443" w14:textId="77777777" w:rsidR="00CA0EF0" w:rsidRPr="00361E30" w:rsidRDefault="00CA0EF0" w:rsidP="003C13F4">
      <w:r w:rsidRPr="00361E30">
        <w:t>On univariate analysis, the odds of survival were significantly lower in patients on warfarin (OR 0.342, 95% CI 0.245 to 0.477). The univariate relationship between aspirin and clopidogrel and survival was not statistically significant (Table 5.1). However, there was a very low prevalence of all medications in the sample (Warfarin, 496 cases [0.55%]; Aspirin, 429 cases [0.48%]; Clopidogrel, 62 cases [0.07%] and Dipyridamole, 4 cases [0.004%]). The most plausible explanation for this was a significant under-reporting of medication use on the TARN database. Medication use was therefore not included in the final multivariate model.</w:t>
      </w:r>
    </w:p>
    <w:p w14:paraId="4668FB96" w14:textId="77777777" w:rsidR="00CA0EF0" w:rsidRPr="00361E30" w:rsidRDefault="00CA0EF0" w:rsidP="003C13F4">
      <w:pPr>
        <w:pStyle w:val="Heading2"/>
      </w:pPr>
      <w:bookmarkStart w:id="123" w:name="_Toc1902299"/>
      <w:r w:rsidRPr="00361E30">
        <w:t>5.3.3</w:t>
      </w:r>
      <w:r w:rsidRPr="00361E30">
        <w:tab/>
        <w:t>Injury Characteristics</w:t>
      </w:r>
      <w:bookmarkEnd w:id="123"/>
    </w:p>
    <w:p w14:paraId="44887CE3" w14:textId="77777777" w:rsidR="00CA0EF0" w:rsidRPr="00361E30" w:rsidRDefault="00CA0EF0" w:rsidP="003C13F4">
      <w:r w:rsidRPr="00361E30">
        <w:t xml:space="preserve">Table 5.2 presents the univariate analyses for the association between various injury characteristics and survival. </w:t>
      </w:r>
    </w:p>
    <w:tbl>
      <w:tblPr>
        <w:tblW w:w="8298" w:type="dxa"/>
        <w:tblLook w:val="04A0" w:firstRow="1" w:lastRow="0" w:firstColumn="1" w:lastColumn="0" w:noHBand="0" w:noVBand="1"/>
      </w:tblPr>
      <w:tblGrid>
        <w:gridCol w:w="2117"/>
        <w:gridCol w:w="1771"/>
        <w:gridCol w:w="1260"/>
        <w:gridCol w:w="1080"/>
        <w:gridCol w:w="990"/>
        <w:gridCol w:w="1080"/>
      </w:tblGrid>
      <w:tr w:rsidR="00CA0EF0" w:rsidRPr="00361E30" w14:paraId="66103E22" w14:textId="77777777" w:rsidTr="003C13F4">
        <w:trPr>
          <w:trHeight w:val="315"/>
        </w:trPr>
        <w:tc>
          <w:tcPr>
            <w:tcW w:w="2117" w:type="dxa"/>
            <w:vMerge w:val="restart"/>
            <w:tcBorders>
              <w:top w:val="single" w:sz="4" w:space="0" w:color="auto"/>
              <w:left w:val="nil"/>
              <w:bottom w:val="double" w:sz="6" w:space="0" w:color="000000"/>
              <w:right w:val="nil"/>
            </w:tcBorders>
            <w:shd w:val="clear" w:color="auto" w:fill="auto"/>
            <w:vAlign w:val="center"/>
            <w:hideMark/>
          </w:tcPr>
          <w:p w14:paraId="432BF0AC" w14:textId="77777777" w:rsidR="00CA0EF0" w:rsidRPr="00361E30" w:rsidRDefault="00CA0EF0" w:rsidP="003C13F4">
            <w:pPr>
              <w:spacing w:after="0" w:line="240" w:lineRule="auto"/>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lastRenderedPageBreak/>
              <w:t>Variable</w:t>
            </w:r>
          </w:p>
        </w:tc>
        <w:tc>
          <w:tcPr>
            <w:tcW w:w="1771" w:type="dxa"/>
            <w:tcBorders>
              <w:top w:val="single" w:sz="4" w:space="0" w:color="auto"/>
              <w:left w:val="nil"/>
              <w:bottom w:val="nil"/>
              <w:right w:val="nil"/>
            </w:tcBorders>
            <w:shd w:val="clear" w:color="auto" w:fill="auto"/>
            <w:vAlign w:val="center"/>
            <w:hideMark/>
          </w:tcPr>
          <w:p w14:paraId="07BCD905"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 </w:t>
            </w:r>
          </w:p>
        </w:tc>
        <w:tc>
          <w:tcPr>
            <w:tcW w:w="1260" w:type="dxa"/>
            <w:vMerge w:val="restart"/>
            <w:tcBorders>
              <w:top w:val="single" w:sz="4" w:space="0" w:color="auto"/>
              <w:left w:val="nil"/>
              <w:bottom w:val="double" w:sz="6" w:space="0" w:color="000000"/>
              <w:right w:val="nil"/>
            </w:tcBorders>
            <w:shd w:val="clear" w:color="auto" w:fill="auto"/>
            <w:vAlign w:val="center"/>
            <w:hideMark/>
          </w:tcPr>
          <w:p w14:paraId="72DE42D2" w14:textId="77777777" w:rsidR="00CA0EF0" w:rsidRPr="00361E30" w:rsidRDefault="00CA0EF0" w:rsidP="003C13F4">
            <w:pPr>
              <w:spacing w:after="0" w:line="240" w:lineRule="auto"/>
              <w:jc w:val="center"/>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Odds Ratio</w:t>
            </w:r>
          </w:p>
        </w:tc>
        <w:tc>
          <w:tcPr>
            <w:tcW w:w="2070" w:type="dxa"/>
            <w:gridSpan w:val="2"/>
            <w:tcBorders>
              <w:top w:val="single" w:sz="4" w:space="0" w:color="auto"/>
              <w:left w:val="nil"/>
              <w:bottom w:val="nil"/>
              <w:right w:val="nil"/>
            </w:tcBorders>
            <w:shd w:val="clear" w:color="auto" w:fill="auto"/>
            <w:vAlign w:val="center"/>
            <w:hideMark/>
          </w:tcPr>
          <w:p w14:paraId="53B6605C" w14:textId="77777777" w:rsidR="00CA0EF0" w:rsidRPr="00361E30" w:rsidRDefault="00CA0EF0" w:rsidP="003C13F4">
            <w:pPr>
              <w:spacing w:after="0" w:line="240" w:lineRule="auto"/>
              <w:jc w:val="center"/>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95% C.I.</w:t>
            </w:r>
            <w:r w:rsidR="005E3024">
              <w:rPr>
                <w:rFonts w:ascii="Calibri" w:eastAsia="Times New Roman" w:hAnsi="Calibri" w:cs="Calibri"/>
                <w:b/>
                <w:bCs/>
                <w:color w:val="000000"/>
                <w:lang w:eastAsia="en-GB"/>
              </w:rPr>
              <w:t xml:space="preserve"> </w:t>
            </w:r>
            <w:r w:rsidRPr="00361E30">
              <w:rPr>
                <w:rFonts w:ascii="Calibri" w:eastAsia="Times New Roman" w:hAnsi="Calibri" w:cs="Calibri"/>
                <w:b/>
                <w:bCs/>
                <w:color w:val="000000"/>
                <w:lang w:eastAsia="en-GB"/>
              </w:rPr>
              <w:t>for EXP(B)</w:t>
            </w:r>
          </w:p>
        </w:tc>
        <w:tc>
          <w:tcPr>
            <w:tcW w:w="1080" w:type="dxa"/>
            <w:tcBorders>
              <w:top w:val="single" w:sz="4" w:space="0" w:color="auto"/>
              <w:left w:val="nil"/>
              <w:bottom w:val="nil"/>
              <w:right w:val="nil"/>
            </w:tcBorders>
            <w:shd w:val="clear" w:color="auto" w:fill="auto"/>
            <w:vAlign w:val="center"/>
            <w:hideMark/>
          </w:tcPr>
          <w:p w14:paraId="169B7CD2" w14:textId="77777777" w:rsidR="00CA0EF0" w:rsidRPr="00361E30" w:rsidRDefault="00CA0EF0" w:rsidP="003C13F4">
            <w:pPr>
              <w:spacing w:after="0" w:line="240" w:lineRule="auto"/>
              <w:jc w:val="center"/>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p value</w:t>
            </w:r>
          </w:p>
        </w:tc>
      </w:tr>
      <w:tr w:rsidR="00CA0EF0" w:rsidRPr="00361E30" w14:paraId="6FFAF739" w14:textId="77777777" w:rsidTr="003C13F4">
        <w:trPr>
          <w:trHeight w:val="315"/>
        </w:trPr>
        <w:tc>
          <w:tcPr>
            <w:tcW w:w="2117" w:type="dxa"/>
            <w:vMerge/>
            <w:tcBorders>
              <w:top w:val="single" w:sz="4" w:space="0" w:color="auto"/>
              <w:left w:val="nil"/>
              <w:bottom w:val="double" w:sz="6" w:space="0" w:color="000000"/>
              <w:right w:val="nil"/>
            </w:tcBorders>
            <w:vAlign w:val="center"/>
            <w:hideMark/>
          </w:tcPr>
          <w:p w14:paraId="182C80E3"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771" w:type="dxa"/>
            <w:tcBorders>
              <w:top w:val="nil"/>
              <w:left w:val="nil"/>
              <w:bottom w:val="double" w:sz="6" w:space="0" w:color="auto"/>
              <w:right w:val="nil"/>
            </w:tcBorders>
            <w:shd w:val="clear" w:color="auto" w:fill="auto"/>
            <w:vAlign w:val="center"/>
            <w:hideMark/>
          </w:tcPr>
          <w:p w14:paraId="7E593278"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 </w:t>
            </w:r>
          </w:p>
        </w:tc>
        <w:tc>
          <w:tcPr>
            <w:tcW w:w="1260" w:type="dxa"/>
            <w:vMerge/>
            <w:tcBorders>
              <w:top w:val="single" w:sz="4" w:space="0" w:color="auto"/>
              <w:left w:val="nil"/>
              <w:bottom w:val="double" w:sz="6" w:space="0" w:color="000000"/>
              <w:right w:val="nil"/>
            </w:tcBorders>
            <w:vAlign w:val="center"/>
            <w:hideMark/>
          </w:tcPr>
          <w:p w14:paraId="3EF213AA" w14:textId="77777777" w:rsidR="00CA0EF0" w:rsidRPr="00361E30" w:rsidRDefault="00CA0EF0" w:rsidP="003C13F4">
            <w:pPr>
              <w:spacing w:after="0" w:line="240" w:lineRule="auto"/>
              <w:jc w:val="center"/>
              <w:rPr>
                <w:rFonts w:ascii="Calibri" w:eastAsia="Times New Roman" w:hAnsi="Calibri" w:cs="Calibri"/>
                <w:b/>
                <w:bCs/>
                <w:color w:val="000000"/>
                <w:lang w:eastAsia="en-GB"/>
              </w:rPr>
            </w:pPr>
          </w:p>
        </w:tc>
        <w:tc>
          <w:tcPr>
            <w:tcW w:w="1080" w:type="dxa"/>
            <w:tcBorders>
              <w:top w:val="nil"/>
              <w:left w:val="nil"/>
              <w:bottom w:val="double" w:sz="6" w:space="0" w:color="auto"/>
              <w:right w:val="nil"/>
            </w:tcBorders>
            <w:shd w:val="clear" w:color="auto" w:fill="auto"/>
            <w:vAlign w:val="center"/>
            <w:hideMark/>
          </w:tcPr>
          <w:p w14:paraId="67E93427" w14:textId="77777777" w:rsidR="00CA0EF0" w:rsidRPr="00361E30" w:rsidRDefault="00CA0EF0" w:rsidP="003C13F4">
            <w:pPr>
              <w:spacing w:after="0" w:line="240" w:lineRule="auto"/>
              <w:jc w:val="center"/>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Lower</w:t>
            </w:r>
          </w:p>
        </w:tc>
        <w:tc>
          <w:tcPr>
            <w:tcW w:w="990" w:type="dxa"/>
            <w:tcBorders>
              <w:top w:val="nil"/>
              <w:left w:val="nil"/>
              <w:bottom w:val="double" w:sz="6" w:space="0" w:color="auto"/>
              <w:right w:val="nil"/>
            </w:tcBorders>
            <w:shd w:val="clear" w:color="auto" w:fill="auto"/>
            <w:vAlign w:val="center"/>
            <w:hideMark/>
          </w:tcPr>
          <w:p w14:paraId="78829C5F" w14:textId="77777777" w:rsidR="00CA0EF0" w:rsidRPr="00361E30" w:rsidRDefault="00CA0EF0" w:rsidP="003C13F4">
            <w:pPr>
              <w:spacing w:after="0" w:line="240" w:lineRule="auto"/>
              <w:jc w:val="center"/>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Upper</w:t>
            </w:r>
          </w:p>
        </w:tc>
        <w:tc>
          <w:tcPr>
            <w:tcW w:w="1080" w:type="dxa"/>
            <w:tcBorders>
              <w:top w:val="nil"/>
              <w:left w:val="nil"/>
              <w:bottom w:val="double" w:sz="6" w:space="0" w:color="auto"/>
              <w:right w:val="nil"/>
            </w:tcBorders>
            <w:shd w:val="clear" w:color="auto" w:fill="auto"/>
            <w:vAlign w:val="center"/>
            <w:hideMark/>
          </w:tcPr>
          <w:p w14:paraId="45B5F168" w14:textId="77777777" w:rsidR="00CA0EF0" w:rsidRPr="00361E30" w:rsidRDefault="00CA0EF0" w:rsidP="003C13F4">
            <w:pPr>
              <w:spacing w:after="0" w:line="240" w:lineRule="auto"/>
              <w:jc w:val="center"/>
              <w:rPr>
                <w:rFonts w:ascii="Calibri" w:eastAsia="Times New Roman" w:hAnsi="Calibri" w:cs="Calibri"/>
                <w:b/>
                <w:bCs/>
                <w:color w:val="000000"/>
                <w:lang w:eastAsia="en-GB"/>
              </w:rPr>
            </w:pPr>
          </w:p>
        </w:tc>
      </w:tr>
      <w:tr w:rsidR="00CA0EF0" w:rsidRPr="00361E30" w14:paraId="385FDACD" w14:textId="77777777" w:rsidTr="003C13F4">
        <w:trPr>
          <w:trHeight w:val="315"/>
        </w:trPr>
        <w:tc>
          <w:tcPr>
            <w:tcW w:w="2117" w:type="dxa"/>
            <w:vMerge w:val="restart"/>
            <w:tcBorders>
              <w:top w:val="nil"/>
              <w:left w:val="nil"/>
              <w:bottom w:val="nil"/>
              <w:right w:val="nil"/>
            </w:tcBorders>
            <w:shd w:val="clear" w:color="auto" w:fill="auto"/>
            <w:hideMark/>
          </w:tcPr>
          <w:p w14:paraId="09EB3AC0" w14:textId="77777777" w:rsidR="00CA0EF0" w:rsidRPr="00361E30" w:rsidRDefault="00CA0EF0" w:rsidP="003C13F4">
            <w:pPr>
              <w:spacing w:after="0" w:line="240" w:lineRule="auto"/>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Age (Continuous)</w:t>
            </w:r>
          </w:p>
        </w:tc>
        <w:tc>
          <w:tcPr>
            <w:tcW w:w="1771" w:type="dxa"/>
            <w:tcBorders>
              <w:top w:val="nil"/>
              <w:left w:val="nil"/>
              <w:bottom w:val="nil"/>
              <w:right w:val="nil"/>
            </w:tcBorders>
            <w:shd w:val="clear" w:color="auto" w:fill="auto"/>
            <w:vAlign w:val="center"/>
            <w:hideMark/>
          </w:tcPr>
          <w:p w14:paraId="203980BD"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Age (continuous)</w:t>
            </w:r>
          </w:p>
        </w:tc>
        <w:tc>
          <w:tcPr>
            <w:tcW w:w="1260" w:type="dxa"/>
            <w:tcBorders>
              <w:top w:val="nil"/>
              <w:left w:val="nil"/>
              <w:bottom w:val="nil"/>
              <w:right w:val="nil"/>
            </w:tcBorders>
            <w:shd w:val="clear" w:color="auto" w:fill="auto"/>
            <w:noWrap/>
            <w:vAlign w:val="center"/>
            <w:hideMark/>
          </w:tcPr>
          <w:p w14:paraId="590C93D9"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.964</w:t>
            </w:r>
          </w:p>
        </w:tc>
        <w:tc>
          <w:tcPr>
            <w:tcW w:w="1080" w:type="dxa"/>
            <w:tcBorders>
              <w:top w:val="nil"/>
              <w:left w:val="nil"/>
              <w:bottom w:val="nil"/>
              <w:right w:val="nil"/>
            </w:tcBorders>
            <w:shd w:val="clear" w:color="auto" w:fill="auto"/>
            <w:noWrap/>
            <w:vAlign w:val="center"/>
            <w:hideMark/>
          </w:tcPr>
          <w:p w14:paraId="5290C6B8"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.960</w:t>
            </w:r>
          </w:p>
        </w:tc>
        <w:tc>
          <w:tcPr>
            <w:tcW w:w="990" w:type="dxa"/>
            <w:tcBorders>
              <w:top w:val="nil"/>
              <w:left w:val="nil"/>
              <w:bottom w:val="nil"/>
              <w:right w:val="nil"/>
            </w:tcBorders>
            <w:shd w:val="clear" w:color="auto" w:fill="auto"/>
            <w:noWrap/>
            <w:vAlign w:val="center"/>
            <w:hideMark/>
          </w:tcPr>
          <w:p w14:paraId="17246759"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.967</w:t>
            </w:r>
          </w:p>
        </w:tc>
        <w:tc>
          <w:tcPr>
            <w:tcW w:w="1080" w:type="dxa"/>
            <w:tcBorders>
              <w:top w:val="nil"/>
              <w:left w:val="nil"/>
              <w:bottom w:val="nil"/>
              <w:right w:val="nil"/>
            </w:tcBorders>
            <w:shd w:val="clear" w:color="auto" w:fill="auto"/>
            <w:noWrap/>
            <w:vAlign w:val="center"/>
            <w:hideMark/>
          </w:tcPr>
          <w:p w14:paraId="6A9D8763"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w:t>
            </w:r>
          </w:p>
        </w:tc>
      </w:tr>
      <w:tr w:rsidR="00CA0EF0" w:rsidRPr="00361E30" w14:paraId="1C958079" w14:textId="77777777" w:rsidTr="003C13F4">
        <w:trPr>
          <w:trHeight w:val="300"/>
        </w:trPr>
        <w:tc>
          <w:tcPr>
            <w:tcW w:w="2117" w:type="dxa"/>
            <w:vMerge/>
            <w:tcBorders>
              <w:top w:val="nil"/>
              <w:left w:val="nil"/>
              <w:bottom w:val="nil"/>
              <w:right w:val="nil"/>
            </w:tcBorders>
            <w:vAlign w:val="center"/>
            <w:hideMark/>
          </w:tcPr>
          <w:p w14:paraId="5059AB49"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771" w:type="dxa"/>
            <w:tcBorders>
              <w:top w:val="nil"/>
              <w:left w:val="nil"/>
              <w:bottom w:val="nil"/>
              <w:right w:val="nil"/>
            </w:tcBorders>
            <w:shd w:val="clear" w:color="auto" w:fill="auto"/>
            <w:vAlign w:val="center"/>
            <w:hideMark/>
          </w:tcPr>
          <w:p w14:paraId="1B0CEDEF"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Constant</w:t>
            </w:r>
          </w:p>
        </w:tc>
        <w:tc>
          <w:tcPr>
            <w:tcW w:w="1260" w:type="dxa"/>
            <w:tcBorders>
              <w:top w:val="nil"/>
              <w:left w:val="nil"/>
              <w:bottom w:val="nil"/>
              <w:right w:val="nil"/>
            </w:tcBorders>
            <w:shd w:val="clear" w:color="auto" w:fill="auto"/>
            <w:noWrap/>
            <w:vAlign w:val="center"/>
            <w:hideMark/>
          </w:tcPr>
          <w:p w14:paraId="5A109834"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171.505</w:t>
            </w:r>
          </w:p>
        </w:tc>
        <w:tc>
          <w:tcPr>
            <w:tcW w:w="1080" w:type="dxa"/>
            <w:tcBorders>
              <w:top w:val="nil"/>
              <w:left w:val="nil"/>
              <w:bottom w:val="nil"/>
              <w:right w:val="nil"/>
            </w:tcBorders>
            <w:shd w:val="clear" w:color="auto" w:fill="auto"/>
            <w:vAlign w:val="center"/>
            <w:hideMark/>
          </w:tcPr>
          <w:p w14:paraId="49ABED70"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990" w:type="dxa"/>
            <w:tcBorders>
              <w:top w:val="nil"/>
              <w:left w:val="nil"/>
              <w:bottom w:val="nil"/>
              <w:right w:val="nil"/>
            </w:tcBorders>
            <w:shd w:val="clear" w:color="auto" w:fill="auto"/>
            <w:vAlign w:val="center"/>
            <w:hideMark/>
          </w:tcPr>
          <w:p w14:paraId="63C0C6C4"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080" w:type="dxa"/>
            <w:tcBorders>
              <w:top w:val="nil"/>
              <w:left w:val="nil"/>
              <w:bottom w:val="nil"/>
              <w:right w:val="nil"/>
            </w:tcBorders>
            <w:shd w:val="clear" w:color="auto" w:fill="auto"/>
            <w:noWrap/>
            <w:vAlign w:val="center"/>
            <w:hideMark/>
          </w:tcPr>
          <w:p w14:paraId="75962850"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w:t>
            </w:r>
          </w:p>
        </w:tc>
      </w:tr>
      <w:tr w:rsidR="00CA0EF0" w:rsidRPr="00361E30" w14:paraId="137D9D10" w14:textId="77777777" w:rsidTr="003C13F4">
        <w:trPr>
          <w:trHeight w:val="300"/>
        </w:trPr>
        <w:tc>
          <w:tcPr>
            <w:tcW w:w="2117" w:type="dxa"/>
            <w:tcBorders>
              <w:top w:val="nil"/>
              <w:left w:val="nil"/>
              <w:bottom w:val="single" w:sz="4" w:space="0" w:color="auto"/>
              <w:right w:val="nil"/>
            </w:tcBorders>
            <w:shd w:val="clear" w:color="auto" w:fill="auto"/>
            <w:hideMark/>
          </w:tcPr>
          <w:p w14:paraId="2E6E5BBA" w14:textId="77777777" w:rsidR="00CA0EF0" w:rsidRPr="00361E30" w:rsidRDefault="00CA0EF0" w:rsidP="003C13F4">
            <w:pPr>
              <w:spacing w:after="0" w:line="240" w:lineRule="auto"/>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 </w:t>
            </w:r>
          </w:p>
        </w:tc>
        <w:tc>
          <w:tcPr>
            <w:tcW w:w="1771" w:type="dxa"/>
            <w:tcBorders>
              <w:top w:val="nil"/>
              <w:left w:val="nil"/>
              <w:bottom w:val="single" w:sz="4" w:space="0" w:color="auto"/>
              <w:right w:val="nil"/>
            </w:tcBorders>
            <w:shd w:val="clear" w:color="auto" w:fill="auto"/>
            <w:vAlign w:val="center"/>
            <w:hideMark/>
          </w:tcPr>
          <w:p w14:paraId="5AC1CA22"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 </w:t>
            </w:r>
          </w:p>
        </w:tc>
        <w:tc>
          <w:tcPr>
            <w:tcW w:w="1260" w:type="dxa"/>
            <w:tcBorders>
              <w:top w:val="nil"/>
              <w:left w:val="nil"/>
              <w:bottom w:val="single" w:sz="4" w:space="0" w:color="auto"/>
              <w:right w:val="nil"/>
            </w:tcBorders>
            <w:shd w:val="clear" w:color="auto" w:fill="auto"/>
            <w:vAlign w:val="center"/>
            <w:hideMark/>
          </w:tcPr>
          <w:p w14:paraId="577452D7"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080" w:type="dxa"/>
            <w:tcBorders>
              <w:top w:val="nil"/>
              <w:left w:val="nil"/>
              <w:bottom w:val="single" w:sz="4" w:space="0" w:color="auto"/>
              <w:right w:val="nil"/>
            </w:tcBorders>
            <w:shd w:val="clear" w:color="auto" w:fill="auto"/>
            <w:vAlign w:val="center"/>
            <w:hideMark/>
          </w:tcPr>
          <w:p w14:paraId="249AEFCD"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990" w:type="dxa"/>
            <w:tcBorders>
              <w:top w:val="nil"/>
              <w:left w:val="nil"/>
              <w:bottom w:val="single" w:sz="4" w:space="0" w:color="auto"/>
              <w:right w:val="nil"/>
            </w:tcBorders>
            <w:shd w:val="clear" w:color="auto" w:fill="auto"/>
            <w:vAlign w:val="center"/>
            <w:hideMark/>
          </w:tcPr>
          <w:p w14:paraId="66EE6250"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080" w:type="dxa"/>
            <w:tcBorders>
              <w:top w:val="nil"/>
              <w:left w:val="nil"/>
              <w:bottom w:val="single" w:sz="4" w:space="0" w:color="auto"/>
              <w:right w:val="nil"/>
            </w:tcBorders>
            <w:shd w:val="clear" w:color="auto" w:fill="auto"/>
            <w:vAlign w:val="center"/>
            <w:hideMark/>
          </w:tcPr>
          <w:p w14:paraId="623E84E8"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08C559BA" w14:textId="77777777" w:rsidTr="003C13F4">
        <w:trPr>
          <w:trHeight w:val="300"/>
        </w:trPr>
        <w:tc>
          <w:tcPr>
            <w:tcW w:w="2117" w:type="dxa"/>
            <w:vMerge w:val="restart"/>
            <w:tcBorders>
              <w:top w:val="nil"/>
              <w:left w:val="nil"/>
              <w:bottom w:val="nil"/>
              <w:right w:val="nil"/>
            </w:tcBorders>
            <w:shd w:val="clear" w:color="auto" w:fill="auto"/>
            <w:hideMark/>
          </w:tcPr>
          <w:p w14:paraId="54FF2E0D" w14:textId="77777777" w:rsidR="00CA0EF0" w:rsidRPr="00361E30" w:rsidRDefault="00CA0EF0" w:rsidP="003C13F4">
            <w:pPr>
              <w:spacing w:after="0" w:line="240" w:lineRule="auto"/>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Age (Categorical)</w:t>
            </w:r>
          </w:p>
        </w:tc>
        <w:tc>
          <w:tcPr>
            <w:tcW w:w="1771" w:type="dxa"/>
            <w:tcBorders>
              <w:top w:val="nil"/>
              <w:left w:val="nil"/>
              <w:bottom w:val="nil"/>
              <w:right w:val="nil"/>
            </w:tcBorders>
            <w:shd w:val="clear" w:color="auto" w:fill="auto"/>
            <w:vAlign w:val="center"/>
            <w:hideMark/>
          </w:tcPr>
          <w:p w14:paraId="5C968E40"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65 - 74 years</w:t>
            </w:r>
          </w:p>
        </w:tc>
        <w:tc>
          <w:tcPr>
            <w:tcW w:w="1260" w:type="dxa"/>
            <w:tcBorders>
              <w:top w:val="nil"/>
              <w:left w:val="nil"/>
              <w:bottom w:val="nil"/>
              <w:right w:val="nil"/>
            </w:tcBorders>
            <w:shd w:val="clear" w:color="auto" w:fill="auto"/>
            <w:vAlign w:val="center"/>
            <w:hideMark/>
          </w:tcPr>
          <w:p w14:paraId="16DC0BD0"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(Reference)</w:t>
            </w:r>
          </w:p>
        </w:tc>
        <w:tc>
          <w:tcPr>
            <w:tcW w:w="1080" w:type="dxa"/>
            <w:tcBorders>
              <w:top w:val="nil"/>
              <w:left w:val="nil"/>
              <w:bottom w:val="nil"/>
              <w:right w:val="nil"/>
            </w:tcBorders>
            <w:shd w:val="clear" w:color="auto" w:fill="auto"/>
            <w:vAlign w:val="center"/>
            <w:hideMark/>
          </w:tcPr>
          <w:p w14:paraId="12BDE6E2"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990" w:type="dxa"/>
            <w:tcBorders>
              <w:top w:val="nil"/>
              <w:left w:val="nil"/>
              <w:bottom w:val="nil"/>
              <w:right w:val="nil"/>
            </w:tcBorders>
            <w:shd w:val="clear" w:color="auto" w:fill="auto"/>
            <w:vAlign w:val="center"/>
            <w:hideMark/>
          </w:tcPr>
          <w:p w14:paraId="1A4F280C"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080" w:type="dxa"/>
            <w:tcBorders>
              <w:top w:val="nil"/>
              <w:left w:val="nil"/>
              <w:bottom w:val="nil"/>
              <w:right w:val="nil"/>
            </w:tcBorders>
            <w:shd w:val="clear" w:color="auto" w:fill="auto"/>
            <w:noWrap/>
            <w:vAlign w:val="center"/>
            <w:hideMark/>
          </w:tcPr>
          <w:p w14:paraId="69C013D2"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w:t>
            </w:r>
          </w:p>
        </w:tc>
      </w:tr>
      <w:tr w:rsidR="00CA0EF0" w:rsidRPr="00361E30" w14:paraId="572E31DD" w14:textId="77777777" w:rsidTr="003C13F4">
        <w:trPr>
          <w:trHeight w:val="300"/>
        </w:trPr>
        <w:tc>
          <w:tcPr>
            <w:tcW w:w="2117" w:type="dxa"/>
            <w:vMerge/>
            <w:tcBorders>
              <w:top w:val="nil"/>
              <w:left w:val="nil"/>
              <w:bottom w:val="nil"/>
              <w:right w:val="nil"/>
            </w:tcBorders>
            <w:vAlign w:val="center"/>
            <w:hideMark/>
          </w:tcPr>
          <w:p w14:paraId="160FE068"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771" w:type="dxa"/>
            <w:tcBorders>
              <w:top w:val="nil"/>
              <w:left w:val="nil"/>
              <w:bottom w:val="nil"/>
              <w:right w:val="nil"/>
            </w:tcBorders>
            <w:shd w:val="clear" w:color="auto" w:fill="auto"/>
            <w:vAlign w:val="center"/>
            <w:hideMark/>
          </w:tcPr>
          <w:p w14:paraId="7A20B338"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75 - 84 years</w:t>
            </w:r>
          </w:p>
        </w:tc>
        <w:tc>
          <w:tcPr>
            <w:tcW w:w="1260" w:type="dxa"/>
            <w:tcBorders>
              <w:top w:val="nil"/>
              <w:left w:val="nil"/>
              <w:bottom w:val="nil"/>
              <w:right w:val="nil"/>
            </w:tcBorders>
            <w:shd w:val="clear" w:color="auto" w:fill="auto"/>
            <w:noWrap/>
            <w:vAlign w:val="center"/>
            <w:hideMark/>
          </w:tcPr>
          <w:p w14:paraId="53886972"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0.630</w:t>
            </w:r>
          </w:p>
        </w:tc>
        <w:tc>
          <w:tcPr>
            <w:tcW w:w="1080" w:type="dxa"/>
            <w:tcBorders>
              <w:top w:val="nil"/>
              <w:left w:val="nil"/>
              <w:bottom w:val="nil"/>
              <w:right w:val="nil"/>
            </w:tcBorders>
            <w:shd w:val="clear" w:color="auto" w:fill="auto"/>
            <w:noWrap/>
            <w:vAlign w:val="center"/>
            <w:hideMark/>
          </w:tcPr>
          <w:p w14:paraId="33422F3A"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0.578</w:t>
            </w:r>
          </w:p>
        </w:tc>
        <w:tc>
          <w:tcPr>
            <w:tcW w:w="990" w:type="dxa"/>
            <w:tcBorders>
              <w:top w:val="nil"/>
              <w:left w:val="nil"/>
              <w:bottom w:val="nil"/>
              <w:right w:val="nil"/>
            </w:tcBorders>
            <w:shd w:val="clear" w:color="auto" w:fill="auto"/>
            <w:noWrap/>
            <w:vAlign w:val="center"/>
            <w:hideMark/>
          </w:tcPr>
          <w:p w14:paraId="0D1AA4BB"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0.688</w:t>
            </w:r>
          </w:p>
        </w:tc>
        <w:tc>
          <w:tcPr>
            <w:tcW w:w="1080" w:type="dxa"/>
            <w:tcBorders>
              <w:top w:val="nil"/>
              <w:left w:val="nil"/>
              <w:bottom w:val="nil"/>
              <w:right w:val="nil"/>
            </w:tcBorders>
            <w:shd w:val="clear" w:color="auto" w:fill="auto"/>
            <w:noWrap/>
            <w:vAlign w:val="center"/>
            <w:hideMark/>
          </w:tcPr>
          <w:p w14:paraId="522E598C"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w:t>
            </w:r>
          </w:p>
        </w:tc>
      </w:tr>
      <w:tr w:rsidR="00CA0EF0" w:rsidRPr="00361E30" w14:paraId="3D10C6E9" w14:textId="77777777" w:rsidTr="003C13F4">
        <w:trPr>
          <w:trHeight w:val="300"/>
        </w:trPr>
        <w:tc>
          <w:tcPr>
            <w:tcW w:w="2117" w:type="dxa"/>
            <w:vMerge/>
            <w:tcBorders>
              <w:top w:val="nil"/>
              <w:left w:val="nil"/>
              <w:bottom w:val="nil"/>
              <w:right w:val="nil"/>
            </w:tcBorders>
            <w:vAlign w:val="center"/>
            <w:hideMark/>
          </w:tcPr>
          <w:p w14:paraId="223BDB9B"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771" w:type="dxa"/>
            <w:tcBorders>
              <w:top w:val="nil"/>
              <w:left w:val="nil"/>
              <w:bottom w:val="nil"/>
              <w:right w:val="nil"/>
            </w:tcBorders>
            <w:shd w:val="clear" w:color="auto" w:fill="auto"/>
            <w:vAlign w:val="center"/>
            <w:hideMark/>
          </w:tcPr>
          <w:p w14:paraId="6D64877F"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&gt;= 85 years</w:t>
            </w:r>
          </w:p>
        </w:tc>
        <w:tc>
          <w:tcPr>
            <w:tcW w:w="1260" w:type="dxa"/>
            <w:tcBorders>
              <w:top w:val="nil"/>
              <w:left w:val="nil"/>
              <w:bottom w:val="nil"/>
              <w:right w:val="nil"/>
            </w:tcBorders>
            <w:shd w:val="clear" w:color="auto" w:fill="auto"/>
            <w:noWrap/>
            <w:vAlign w:val="center"/>
            <w:hideMark/>
          </w:tcPr>
          <w:p w14:paraId="44AF0A33"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0.459</w:t>
            </w:r>
          </w:p>
        </w:tc>
        <w:tc>
          <w:tcPr>
            <w:tcW w:w="1080" w:type="dxa"/>
            <w:tcBorders>
              <w:top w:val="nil"/>
              <w:left w:val="nil"/>
              <w:bottom w:val="nil"/>
              <w:right w:val="nil"/>
            </w:tcBorders>
            <w:shd w:val="clear" w:color="auto" w:fill="auto"/>
            <w:noWrap/>
            <w:vAlign w:val="center"/>
            <w:hideMark/>
          </w:tcPr>
          <w:p w14:paraId="0A271222"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0.422</w:t>
            </w:r>
          </w:p>
        </w:tc>
        <w:tc>
          <w:tcPr>
            <w:tcW w:w="990" w:type="dxa"/>
            <w:tcBorders>
              <w:top w:val="nil"/>
              <w:left w:val="nil"/>
              <w:bottom w:val="nil"/>
              <w:right w:val="nil"/>
            </w:tcBorders>
            <w:shd w:val="clear" w:color="auto" w:fill="auto"/>
            <w:noWrap/>
            <w:vAlign w:val="center"/>
            <w:hideMark/>
          </w:tcPr>
          <w:p w14:paraId="17EF6065"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0.499</w:t>
            </w:r>
          </w:p>
        </w:tc>
        <w:tc>
          <w:tcPr>
            <w:tcW w:w="1080" w:type="dxa"/>
            <w:tcBorders>
              <w:top w:val="nil"/>
              <w:left w:val="nil"/>
              <w:bottom w:val="nil"/>
              <w:right w:val="nil"/>
            </w:tcBorders>
            <w:shd w:val="clear" w:color="auto" w:fill="auto"/>
            <w:noWrap/>
            <w:vAlign w:val="center"/>
            <w:hideMark/>
          </w:tcPr>
          <w:p w14:paraId="5551C574"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w:t>
            </w:r>
          </w:p>
        </w:tc>
      </w:tr>
      <w:tr w:rsidR="00CA0EF0" w:rsidRPr="00361E30" w14:paraId="7C1CBC39" w14:textId="77777777" w:rsidTr="003C13F4">
        <w:trPr>
          <w:trHeight w:val="300"/>
        </w:trPr>
        <w:tc>
          <w:tcPr>
            <w:tcW w:w="2117" w:type="dxa"/>
            <w:vMerge/>
            <w:tcBorders>
              <w:top w:val="nil"/>
              <w:left w:val="nil"/>
              <w:bottom w:val="nil"/>
              <w:right w:val="nil"/>
            </w:tcBorders>
            <w:vAlign w:val="center"/>
            <w:hideMark/>
          </w:tcPr>
          <w:p w14:paraId="47ABB555"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771" w:type="dxa"/>
            <w:tcBorders>
              <w:top w:val="nil"/>
              <w:left w:val="nil"/>
              <w:bottom w:val="nil"/>
              <w:right w:val="nil"/>
            </w:tcBorders>
            <w:shd w:val="clear" w:color="auto" w:fill="auto"/>
            <w:vAlign w:val="center"/>
            <w:hideMark/>
          </w:tcPr>
          <w:p w14:paraId="21584BCE"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Constant</w:t>
            </w:r>
          </w:p>
        </w:tc>
        <w:tc>
          <w:tcPr>
            <w:tcW w:w="1260" w:type="dxa"/>
            <w:tcBorders>
              <w:top w:val="nil"/>
              <w:left w:val="nil"/>
              <w:bottom w:val="nil"/>
              <w:right w:val="nil"/>
            </w:tcBorders>
            <w:shd w:val="clear" w:color="auto" w:fill="auto"/>
            <w:noWrap/>
            <w:vAlign w:val="center"/>
            <w:hideMark/>
          </w:tcPr>
          <w:p w14:paraId="5360F414"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.074</w:t>
            </w:r>
          </w:p>
        </w:tc>
        <w:tc>
          <w:tcPr>
            <w:tcW w:w="1080" w:type="dxa"/>
            <w:tcBorders>
              <w:top w:val="nil"/>
              <w:left w:val="nil"/>
              <w:bottom w:val="nil"/>
              <w:right w:val="nil"/>
            </w:tcBorders>
            <w:shd w:val="clear" w:color="auto" w:fill="auto"/>
            <w:vAlign w:val="center"/>
            <w:hideMark/>
          </w:tcPr>
          <w:p w14:paraId="49807FBA"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990" w:type="dxa"/>
            <w:tcBorders>
              <w:top w:val="nil"/>
              <w:left w:val="nil"/>
              <w:bottom w:val="nil"/>
              <w:right w:val="nil"/>
            </w:tcBorders>
            <w:shd w:val="clear" w:color="auto" w:fill="auto"/>
            <w:vAlign w:val="center"/>
            <w:hideMark/>
          </w:tcPr>
          <w:p w14:paraId="61B0E1F4"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080" w:type="dxa"/>
            <w:tcBorders>
              <w:top w:val="nil"/>
              <w:left w:val="nil"/>
              <w:bottom w:val="nil"/>
              <w:right w:val="nil"/>
            </w:tcBorders>
            <w:shd w:val="clear" w:color="auto" w:fill="auto"/>
            <w:noWrap/>
            <w:vAlign w:val="center"/>
            <w:hideMark/>
          </w:tcPr>
          <w:p w14:paraId="59D9303F"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0.000</w:t>
            </w:r>
          </w:p>
        </w:tc>
      </w:tr>
      <w:tr w:rsidR="00CA0EF0" w:rsidRPr="00361E30" w14:paraId="0191C450" w14:textId="77777777" w:rsidTr="003C13F4">
        <w:trPr>
          <w:trHeight w:val="300"/>
        </w:trPr>
        <w:tc>
          <w:tcPr>
            <w:tcW w:w="2117" w:type="dxa"/>
            <w:tcBorders>
              <w:top w:val="nil"/>
              <w:left w:val="nil"/>
              <w:bottom w:val="single" w:sz="4" w:space="0" w:color="auto"/>
              <w:right w:val="nil"/>
            </w:tcBorders>
            <w:shd w:val="clear" w:color="auto" w:fill="auto"/>
            <w:hideMark/>
          </w:tcPr>
          <w:p w14:paraId="756DC0A7" w14:textId="77777777" w:rsidR="00CA0EF0" w:rsidRPr="00361E30" w:rsidRDefault="00CA0EF0" w:rsidP="003C13F4">
            <w:pPr>
              <w:spacing w:after="0" w:line="240" w:lineRule="auto"/>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 </w:t>
            </w:r>
          </w:p>
        </w:tc>
        <w:tc>
          <w:tcPr>
            <w:tcW w:w="1771" w:type="dxa"/>
            <w:tcBorders>
              <w:top w:val="nil"/>
              <w:left w:val="nil"/>
              <w:bottom w:val="single" w:sz="4" w:space="0" w:color="auto"/>
              <w:right w:val="nil"/>
            </w:tcBorders>
            <w:shd w:val="clear" w:color="auto" w:fill="auto"/>
            <w:vAlign w:val="center"/>
            <w:hideMark/>
          </w:tcPr>
          <w:p w14:paraId="0E84C0E1"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 </w:t>
            </w:r>
          </w:p>
        </w:tc>
        <w:tc>
          <w:tcPr>
            <w:tcW w:w="1260" w:type="dxa"/>
            <w:tcBorders>
              <w:top w:val="nil"/>
              <w:left w:val="nil"/>
              <w:bottom w:val="single" w:sz="4" w:space="0" w:color="auto"/>
              <w:right w:val="nil"/>
            </w:tcBorders>
            <w:shd w:val="clear" w:color="auto" w:fill="auto"/>
            <w:noWrap/>
            <w:vAlign w:val="center"/>
            <w:hideMark/>
          </w:tcPr>
          <w:p w14:paraId="15E8351C"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080" w:type="dxa"/>
            <w:tcBorders>
              <w:top w:val="nil"/>
              <w:left w:val="nil"/>
              <w:bottom w:val="single" w:sz="4" w:space="0" w:color="auto"/>
              <w:right w:val="nil"/>
            </w:tcBorders>
            <w:shd w:val="clear" w:color="auto" w:fill="auto"/>
            <w:vAlign w:val="center"/>
            <w:hideMark/>
          </w:tcPr>
          <w:p w14:paraId="084A1D96"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990" w:type="dxa"/>
            <w:tcBorders>
              <w:top w:val="nil"/>
              <w:left w:val="nil"/>
              <w:bottom w:val="single" w:sz="4" w:space="0" w:color="auto"/>
              <w:right w:val="nil"/>
            </w:tcBorders>
            <w:shd w:val="clear" w:color="auto" w:fill="auto"/>
            <w:vAlign w:val="center"/>
            <w:hideMark/>
          </w:tcPr>
          <w:p w14:paraId="1E5DAFA1"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080" w:type="dxa"/>
            <w:tcBorders>
              <w:top w:val="nil"/>
              <w:left w:val="nil"/>
              <w:bottom w:val="single" w:sz="4" w:space="0" w:color="auto"/>
              <w:right w:val="nil"/>
            </w:tcBorders>
            <w:shd w:val="clear" w:color="auto" w:fill="auto"/>
            <w:noWrap/>
            <w:vAlign w:val="center"/>
            <w:hideMark/>
          </w:tcPr>
          <w:p w14:paraId="0B276671"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31285CA3" w14:textId="77777777" w:rsidTr="003C13F4">
        <w:trPr>
          <w:trHeight w:val="300"/>
        </w:trPr>
        <w:tc>
          <w:tcPr>
            <w:tcW w:w="2117" w:type="dxa"/>
            <w:vMerge w:val="restart"/>
            <w:tcBorders>
              <w:top w:val="nil"/>
              <w:left w:val="nil"/>
              <w:bottom w:val="nil"/>
              <w:right w:val="nil"/>
            </w:tcBorders>
            <w:shd w:val="clear" w:color="auto" w:fill="auto"/>
            <w:hideMark/>
          </w:tcPr>
          <w:p w14:paraId="5024DA92" w14:textId="77777777" w:rsidR="00CA0EF0" w:rsidRPr="00361E30" w:rsidRDefault="00CA0EF0" w:rsidP="003C13F4">
            <w:pPr>
              <w:spacing w:after="0" w:line="240" w:lineRule="auto"/>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Gender</w:t>
            </w:r>
          </w:p>
        </w:tc>
        <w:tc>
          <w:tcPr>
            <w:tcW w:w="1771" w:type="dxa"/>
            <w:tcBorders>
              <w:top w:val="nil"/>
              <w:left w:val="nil"/>
              <w:bottom w:val="nil"/>
              <w:right w:val="nil"/>
            </w:tcBorders>
            <w:shd w:val="clear" w:color="auto" w:fill="auto"/>
            <w:vAlign w:val="center"/>
            <w:hideMark/>
          </w:tcPr>
          <w:p w14:paraId="30E20502"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Male</w:t>
            </w:r>
          </w:p>
        </w:tc>
        <w:tc>
          <w:tcPr>
            <w:tcW w:w="1260" w:type="dxa"/>
            <w:tcBorders>
              <w:top w:val="nil"/>
              <w:left w:val="nil"/>
              <w:bottom w:val="nil"/>
              <w:right w:val="nil"/>
            </w:tcBorders>
            <w:shd w:val="clear" w:color="auto" w:fill="auto"/>
            <w:noWrap/>
            <w:vAlign w:val="center"/>
            <w:hideMark/>
          </w:tcPr>
          <w:p w14:paraId="69E6E73B"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(Reference)</w:t>
            </w:r>
          </w:p>
        </w:tc>
        <w:tc>
          <w:tcPr>
            <w:tcW w:w="1080" w:type="dxa"/>
            <w:tcBorders>
              <w:top w:val="nil"/>
              <w:left w:val="nil"/>
              <w:bottom w:val="nil"/>
              <w:right w:val="nil"/>
            </w:tcBorders>
            <w:shd w:val="clear" w:color="auto" w:fill="auto"/>
            <w:vAlign w:val="center"/>
            <w:hideMark/>
          </w:tcPr>
          <w:p w14:paraId="5A41A38A"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990" w:type="dxa"/>
            <w:tcBorders>
              <w:top w:val="nil"/>
              <w:left w:val="nil"/>
              <w:bottom w:val="nil"/>
              <w:right w:val="nil"/>
            </w:tcBorders>
            <w:shd w:val="clear" w:color="auto" w:fill="auto"/>
            <w:vAlign w:val="center"/>
            <w:hideMark/>
          </w:tcPr>
          <w:p w14:paraId="232BCE8F"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080" w:type="dxa"/>
            <w:tcBorders>
              <w:top w:val="nil"/>
              <w:left w:val="nil"/>
              <w:bottom w:val="nil"/>
              <w:right w:val="nil"/>
            </w:tcBorders>
            <w:shd w:val="clear" w:color="auto" w:fill="auto"/>
            <w:noWrap/>
            <w:vAlign w:val="center"/>
            <w:hideMark/>
          </w:tcPr>
          <w:p w14:paraId="62A00D3A"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5D886683" w14:textId="77777777" w:rsidTr="003C13F4">
        <w:trPr>
          <w:trHeight w:val="300"/>
        </w:trPr>
        <w:tc>
          <w:tcPr>
            <w:tcW w:w="2117" w:type="dxa"/>
            <w:vMerge/>
            <w:tcBorders>
              <w:top w:val="nil"/>
              <w:left w:val="nil"/>
              <w:bottom w:val="nil"/>
              <w:right w:val="nil"/>
            </w:tcBorders>
            <w:vAlign w:val="center"/>
            <w:hideMark/>
          </w:tcPr>
          <w:p w14:paraId="7476A8A3"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771" w:type="dxa"/>
            <w:tcBorders>
              <w:top w:val="nil"/>
              <w:left w:val="nil"/>
              <w:bottom w:val="nil"/>
              <w:right w:val="nil"/>
            </w:tcBorders>
            <w:shd w:val="clear" w:color="auto" w:fill="auto"/>
            <w:vAlign w:val="center"/>
            <w:hideMark/>
          </w:tcPr>
          <w:p w14:paraId="073063BD"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Female</w:t>
            </w:r>
          </w:p>
        </w:tc>
        <w:tc>
          <w:tcPr>
            <w:tcW w:w="1260" w:type="dxa"/>
            <w:tcBorders>
              <w:top w:val="nil"/>
              <w:left w:val="nil"/>
              <w:bottom w:val="nil"/>
              <w:right w:val="nil"/>
            </w:tcBorders>
            <w:shd w:val="clear" w:color="auto" w:fill="auto"/>
            <w:noWrap/>
            <w:vAlign w:val="center"/>
            <w:hideMark/>
          </w:tcPr>
          <w:p w14:paraId="666EFA23"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1.590</w:t>
            </w:r>
          </w:p>
        </w:tc>
        <w:tc>
          <w:tcPr>
            <w:tcW w:w="1080" w:type="dxa"/>
            <w:tcBorders>
              <w:top w:val="nil"/>
              <w:left w:val="nil"/>
              <w:bottom w:val="nil"/>
              <w:right w:val="nil"/>
            </w:tcBorders>
            <w:shd w:val="clear" w:color="auto" w:fill="auto"/>
            <w:noWrap/>
            <w:vAlign w:val="center"/>
            <w:hideMark/>
          </w:tcPr>
          <w:p w14:paraId="4A7EFE8F"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1.499</w:t>
            </w:r>
          </w:p>
        </w:tc>
        <w:tc>
          <w:tcPr>
            <w:tcW w:w="990" w:type="dxa"/>
            <w:tcBorders>
              <w:top w:val="nil"/>
              <w:left w:val="nil"/>
              <w:bottom w:val="nil"/>
              <w:right w:val="nil"/>
            </w:tcBorders>
            <w:shd w:val="clear" w:color="auto" w:fill="auto"/>
            <w:noWrap/>
            <w:vAlign w:val="center"/>
            <w:hideMark/>
          </w:tcPr>
          <w:p w14:paraId="04F898BB"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1.686</w:t>
            </w:r>
          </w:p>
        </w:tc>
        <w:tc>
          <w:tcPr>
            <w:tcW w:w="1080" w:type="dxa"/>
            <w:tcBorders>
              <w:top w:val="nil"/>
              <w:left w:val="nil"/>
              <w:bottom w:val="nil"/>
              <w:right w:val="nil"/>
            </w:tcBorders>
            <w:shd w:val="clear" w:color="auto" w:fill="auto"/>
            <w:noWrap/>
            <w:vAlign w:val="center"/>
            <w:hideMark/>
          </w:tcPr>
          <w:p w14:paraId="5007FD2C"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w:t>
            </w:r>
          </w:p>
        </w:tc>
      </w:tr>
      <w:tr w:rsidR="00CA0EF0" w:rsidRPr="00361E30" w14:paraId="7A7D677A" w14:textId="77777777" w:rsidTr="003C13F4">
        <w:trPr>
          <w:trHeight w:val="300"/>
        </w:trPr>
        <w:tc>
          <w:tcPr>
            <w:tcW w:w="2117" w:type="dxa"/>
            <w:vMerge/>
            <w:tcBorders>
              <w:top w:val="nil"/>
              <w:left w:val="nil"/>
              <w:bottom w:val="nil"/>
              <w:right w:val="nil"/>
            </w:tcBorders>
            <w:vAlign w:val="center"/>
            <w:hideMark/>
          </w:tcPr>
          <w:p w14:paraId="54D18E26"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771" w:type="dxa"/>
            <w:tcBorders>
              <w:top w:val="nil"/>
              <w:left w:val="nil"/>
              <w:bottom w:val="nil"/>
              <w:right w:val="nil"/>
            </w:tcBorders>
            <w:shd w:val="clear" w:color="auto" w:fill="auto"/>
            <w:vAlign w:val="center"/>
            <w:hideMark/>
          </w:tcPr>
          <w:p w14:paraId="06472A7D"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Constant</w:t>
            </w:r>
          </w:p>
        </w:tc>
        <w:tc>
          <w:tcPr>
            <w:tcW w:w="1260" w:type="dxa"/>
            <w:tcBorders>
              <w:top w:val="nil"/>
              <w:left w:val="nil"/>
              <w:bottom w:val="nil"/>
              <w:right w:val="nil"/>
            </w:tcBorders>
            <w:shd w:val="clear" w:color="auto" w:fill="auto"/>
            <w:noWrap/>
            <w:vAlign w:val="center"/>
            <w:hideMark/>
          </w:tcPr>
          <w:p w14:paraId="7335B95A"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6.353</w:t>
            </w:r>
          </w:p>
        </w:tc>
        <w:tc>
          <w:tcPr>
            <w:tcW w:w="1080" w:type="dxa"/>
            <w:tcBorders>
              <w:top w:val="nil"/>
              <w:left w:val="nil"/>
              <w:bottom w:val="nil"/>
              <w:right w:val="nil"/>
            </w:tcBorders>
            <w:shd w:val="clear" w:color="auto" w:fill="auto"/>
            <w:vAlign w:val="center"/>
            <w:hideMark/>
          </w:tcPr>
          <w:p w14:paraId="6F149785"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990" w:type="dxa"/>
            <w:tcBorders>
              <w:top w:val="nil"/>
              <w:left w:val="nil"/>
              <w:bottom w:val="nil"/>
              <w:right w:val="nil"/>
            </w:tcBorders>
            <w:shd w:val="clear" w:color="auto" w:fill="auto"/>
            <w:vAlign w:val="center"/>
            <w:hideMark/>
          </w:tcPr>
          <w:p w14:paraId="0405C3D4"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080" w:type="dxa"/>
            <w:tcBorders>
              <w:top w:val="nil"/>
              <w:left w:val="nil"/>
              <w:bottom w:val="nil"/>
              <w:right w:val="nil"/>
            </w:tcBorders>
            <w:shd w:val="clear" w:color="auto" w:fill="auto"/>
            <w:noWrap/>
            <w:vAlign w:val="center"/>
            <w:hideMark/>
          </w:tcPr>
          <w:p w14:paraId="6C364EE4"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0.000</w:t>
            </w:r>
          </w:p>
        </w:tc>
      </w:tr>
      <w:tr w:rsidR="00CA0EF0" w:rsidRPr="00361E30" w14:paraId="1E021164" w14:textId="77777777" w:rsidTr="003C13F4">
        <w:trPr>
          <w:trHeight w:val="300"/>
        </w:trPr>
        <w:tc>
          <w:tcPr>
            <w:tcW w:w="2117" w:type="dxa"/>
            <w:tcBorders>
              <w:top w:val="nil"/>
              <w:left w:val="nil"/>
              <w:bottom w:val="single" w:sz="4" w:space="0" w:color="auto"/>
              <w:right w:val="nil"/>
            </w:tcBorders>
            <w:shd w:val="clear" w:color="auto" w:fill="auto"/>
            <w:hideMark/>
          </w:tcPr>
          <w:p w14:paraId="37F7ADD4" w14:textId="77777777" w:rsidR="00CA0EF0" w:rsidRPr="00361E30" w:rsidRDefault="00CA0EF0" w:rsidP="003C13F4">
            <w:pPr>
              <w:spacing w:after="0" w:line="240" w:lineRule="auto"/>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 </w:t>
            </w:r>
          </w:p>
        </w:tc>
        <w:tc>
          <w:tcPr>
            <w:tcW w:w="1771" w:type="dxa"/>
            <w:tcBorders>
              <w:top w:val="nil"/>
              <w:left w:val="nil"/>
              <w:bottom w:val="single" w:sz="4" w:space="0" w:color="auto"/>
              <w:right w:val="nil"/>
            </w:tcBorders>
            <w:shd w:val="clear" w:color="auto" w:fill="auto"/>
            <w:vAlign w:val="center"/>
            <w:hideMark/>
          </w:tcPr>
          <w:p w14:paraId="33D47742"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 </w:t>
            </w:r>
          </w:p>
        </w:tc>
        <w:tc>
          <w:tcPr>
            <w:tcW w:w="1260" w:type="dxa"/>
            <w:tcBorders>
              <w:top w:val="nil"/>
              <w:left w:val="nil"/>
              <w:bottom w:val="single" w:sz="4" w:space="0" w:color="auto"/>
              <w:right w:val="nil"/>
            </w:tcBorders>
            <w:shd w:val="clear" w:color="auto" w:fill="auto"/>
            <w:vAlign w:val="center"/>
            <w:hideMark/>
          </w:tcPr>
          <w:p w14:paraId="78EFDF43"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080" w:type="dxa"/>
            <w:tcBorders>
              <w:top w:val="nil"/>
              <w:left w:val="nil"/>
              <w:bottom w:val="single" w:sz="4" w:space="0" w:color="auto"/>
              <w:right w:val="nil"/>
            </w:tcBorders>
            <w:shd w:val="clear" w:color="auto" w:fill="auto"/>
            <w:vAlign w:val="center"/>
            <w:hideMark/>
          </w:tcPr>
          <w:p w14:paraId="255507B3"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990" w:type="dxa"/>
            <w:tcBorders>
              <w:top w:val="nil"/>
              <w:left w:val="nil"/>
              <w:bottom w:val="single" w:sz="4" w:space="0" w:color="auto"/>
              <w:right w:val="nil"/>
            </w:tcBorders>
            <w:shd w:val="clear" w:color="auto" w:fill="auto"/>
            <w:vAlign w:val="center"/>
            <w:hideMark/>
          </w:tcPr>
          <w:p w14:paraId="4A152954"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080" w:type="dxa"/>
            <w:tcBorders>
              <w:top w:val="nil"/>
              <w:left w:val="nil"/>
              <w:bottom w:val="single" w:sz="4" w:space="0" w:color="auto"/>
              <w:right w:val="nil"/>
            </w:tcBorders>
            <w:shd w:val="clear" w:color="auto" w:fill="auto"/>
            <w:vAlign w:val="center"/>
            <w:hideMark/>
          </w:tcPr>
          <w:p w14:paraId="28DF6A69"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03D74410" w14:textId="77777777" w:rsidTr="003C13F4">
        <w:trPr>
          <w:trHeight w:val="285"/>
        </w:trPr>
        <w:tc>
          <w:tcPr>
            <w:tcW w:w="2117" w:type="dxa"/>
            <w:vMerge w:val="restart"/>
            <w:tcBorders>
              <w:top w:val="nil"/>
              <w:left w:val="nil"/>
              <w:bottom w:val="single" w:sz="4" w:space="0" w:color="000000"/>
              <w:right w:val="nil"/>
            </w:tcBorders>
            <w:shd w:val="clear" w:color="auto" w:fill="auto"/>
            <w:hideMark/>
          </w:tcPr>
          <w:p w14:paraId="5061FB99" w14:textId="77777777" w:rsidR="00CA0EF0" w:rsidRPr="00361E30" w:rsidRDefault="00CA0EF0" w:rsidP="003C13F4">
            <w:pPr>
              <w:spacing w:after="0" w:line="240" w:lineRule="auto"/>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Charlson Comorbidity Index (Categorical)</w:t>
            </w:r>
          </w:p>
        </w:tc>
        <w:tc>
          <w:tcPr>
            <w:tcW w:w="1771" w:type="dxa"/>
            <w:tcBorders>
              <w:top w:val="nil"/>
              <w:left w:val="nil"/>
              <w:bottom w:val="nil"/>
              <w:right w:val="nil"/>
            </w:tcBorders>
            <w:shd w:val="clear" w:color="auto" w:fill="auto"/>
            <w:vAlign w:val="center"/>
            <w:hideMark/>
          </w:tcPr>
          <w:p w14:paraId="59FE075B"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CCI = 0</w:t>
            </w:r>
          </w:p>
        </w:tc>
        <w:tc>
          <w:tcPr>
            <w:tcW w:w="1260" w:type="dxa"/>
            <w:tcBorders>
              <w:top w:val="nil"/>
              <w:left w:val="nil"/>
              <w:bottom w:val="nil"/>
              <w:right w:val="nil"/>
            </w:tcBorders>
            <w:shd w:val="clear" w:color="auto" w:fill="auto"/>
            <w:vAlign w:val="center"/>
            <w:hideMark/>
          </w:tcPr>
          <w:p w14:paraId="016D01AF"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(Reference)</w:t>
            </w:r>
          </w:p>
        </w:tc>
        <w:tc>
          <w:tcPr>
            <w:tcW w:w="1080" w:type="dxa"/>
            <w:tcBorders>
              <w:top w:val="nil"/>
              <w:left w:val="nil"/>
              <w:bottom w:val="nil"/>
              <w:right w:val="nil"/>
            </w:tcBorders>
            <w:shd w:val="clear" w:color="auto" w:fill="auto"/>
            <w:vAlign w:val="center"/>
            <w:hideMark/>
          </w:tcPr>
          <w:p w14:paraId="4DE63EF6"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990" w:type="dxa"/>
            <w:tcBorders>
              <w:top w:val="nil"/>
              <w:left w:val="nil"/>
              <w:bottom w:val="nil"/>
              <w:right w:val="nil"/>
            </w:tcBorders>
            <w:shd w:val="clear" w:color="auto" w:fill="auto"/>
            <w:vAlign w:val="center"/>
            <w:hideMark/>
          </w:tcPr>
          <w:p w14:paraId="150A398A"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080" w:type="dxa"/>
            <w:tcBorders>
              <w:top w:val="nil"/>
              <w:left w:val="nil"/>
              <w:bottom w:val="nil"/>
              <w:right w:val="nil"/>
            </w:tcBorders>
            <w:shd w:val="clear" w:color="auto" w:fill="auto"/>
            <w:noWrap/>
            <w:vAlign w:val="center"/>
            <w:hideMark/>
          </w:tcPr>
          <w:p w14:paraId="444E1DBA"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w:t>
            </w:r>
          </w:p>
        </w:tc>
      </w:tr>
      <w:tr w:rsidR="00CA0EF0" w:rsidRPr="00361E30" w14:paraId="1790BAB3" w14:textId="77777777" w:rsidTr="003C13F4">
        <w:trPr>
          <w:trHeight w:val="300"/>
        </w:trPr>
        <w:tc>
          <w:tcPr>
            <w:tcW w:w="2117" w:type="dxa"/>
            <w:vMerge/>
            <w:tcBorders>
              <w:top w:val="nil"/>
              <w:left w:val="nil"/>
              <w:bottom w:val="single" w:sz="4" w:space="0" w:color="000000"/>
              <w:right w:val="nil"/>
            </w:tcBorders>
            <w:vAlign w:val="center"/>
            <w:hideMark/>
          </w:tcPr>
          <w:p w14:paraId="745AC4F8"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771" w:type="dxa"/>
            <w:tcBorders>
              <w:top w:val="nil"/>
              <w:left w:val="nil"/>
              <w:bottom w:val="nil"/>
              <w:right w:val="nil"/>
            </w:tcBorders>
            <w:shd w:val="clear" w:color="auto" w:fill="auto"/>
            <w:vAlign w:val="center"/>
            <w:hideMark/>
          </w:tcPr>
          <w:p w14:paraId="59434FE9"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CCI 1 - 5</w:t>
            </w:r>
          </w:p>
        </w:tc>
        <w:tc>
          <w:tcPr>
            <w:tcW w:w="1260" w:type="dxa"/>
            <w:tcBorders>
              <w:top w:val="nil"/>
              <w:left w:val="nil"/>
              <w:bottom w:val="nil"/>
              <w:right w:val="nil"/>
            </w:tcBorders>
            <w:shd w:val="clear" w:color="auto" w:fill="auto"/>
            <w:noWrap/>
            <w:vAlign w:val="center"/>
            <w:hideMark/>
          </w:tcPr>
          <w:p w14:paraId="065D7431"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.543</w:t>
            </w:r>
          </w:p>
        </w:tc>
        <w:tc>
          <w:tcPr>
            <w:tcW w:w="1080" w:type="dxa"/>
            <w:tcBorders>
              <w:top w:val="nil"/>
              <w:left w:val="nil"/>
              <w:bottom w:val="nil"/>
              <w:right w:val="nil"/>
            </w:tcBorders>
            <w:shd w:val="clear" w:color="auto" w:fill="auto"/>
            <w:noWrap/>
            <w:vAlign w:val="center"/>
            <w:hideMark/>
          </w:tcPr>
          <w:p w14:paraId="4A3F2769"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.503</w:t>
            </w:r>
          </w:p>
        </w:tc>
        <w:tc>
          <w:tcPr>
            <w:tcW w:w="990" w:type="dxa"/>
            <w:tcBorders>
              <w:top w:val="nil"/>
              <w:left w:val="nil"/>
              <w:bottom w:val="nil"/>
              <w:right w:val="nil"/>
            </w:tcBorders>
            <w:shd w:val="clear" w:color="auto" w:fill="auto"/>
            <w:noWrap/>
            <w:vAlign w:val="center"/>
            <w:hideMark/>
          </w:tcPr>
          <w:p w14:paraId="73D7B60B"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.586</w:t>
            </w:r>
          </w:p>
        </w:tc>
        <w:tc>
          <w:tcPr>
            <w:tcW w:w="1080" w:type="dxa"/>
            <w:tcBorders>
              <w:top w:val="nil"/>
              <w:left w:val="nil"/>
              <w:bottom w:val="nil"/>
              <w:right w:val="nil"/>
            </w:tcBorders>
            <w:shd w:val="clear" w:color="auto" w:fill="auto"/>
            <w:noWrap/>
            <w:vAlign w:val="center"/>
            <w:hideMark/>
          </w:tcPr>
          <w:p w14:paraId="356FA81A"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w:t>
            </w:r>
          </w:p>
        </w:tc>
      </w:tr>
      <w:tr w:rsidR="00CA0EF0" w:rsidRPr="00361E30" w14:paraId="77CCFC5A" w14:textId="77777777" w:rsidTr="003C13F4">
        <w:trPr>
          <w:trHeight w:val="300"/>
        </w:trPr>
        <w:tc>
          <w:tcPr>
            <w:tcW w:w="2117" w:type="dxa"/>
            <w:vMerge/>
            <w:tcBorders>
              <w:top w:val="nil"/>
              <w:left w:val="nil"/>
              <w:bottom w:val="single" w:sz="4" w:space="0" w:color="000000"/>
              <w:right w:val="nil"/>
            </w:tcBorders>
            <w:vAlign w:val="center"/>
            <w:hideMark/>
          </w:tcPr>
          <w:p w14:paraId="265722EC"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771" w:type="dxa"/>
            <w:tcBorders>
              <w:top w:val="nil"/>
              <w:left w:val="nil"/>
              <w:bottom w:val="nil"/>
              <w:right w:val="nil"/>
            </w:tcBorders>
            <w:shd w:val="clear" w:color="auto" w:fill="auto"/>
            <w:vAlign w:val="center"/>
            <w:hideMark/>
          </w:tcPr>
          <w:p w14:paraId="77E36C8E"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CCI 6 - 10</w:t>
            </w:r>
          </w:p>
        </w:tc>
        <w:tc>
          <w:tcPr>
            <w:tcW w:w="1260" w:type="dxa"/>
            <w:tcBorders>
              <w:top w:val="nil"/>
              <w:left w:val="nil"/>
              <w:bottom w:val="nil"/>
              <w:right w:val="nil"/>
            </w:tcBorders>
            <w:shd w:val="clear" w:color="auto" w:fill="auto"/>
            <w:noWrap/>
            <w:vAlign w:val="center"/>
            <w:hideMark/>
          </w:tcPr>
          <w:p w14:paraId="6AC885F5"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.391</w:t>
            </w:r>
          </w:p>
        </w:tc>
        <w:tc>
          <w:tcPr>
            <w:tcW w:w="1080" w:type="dxa"/>
            <w:tcBorders>
              <w:top w:val="nil"/>
              <w:left w:val="nil"/>
              <w:bottom w:val="nil"/>
              <w:right w:val="nil"/>
            </w:tcBorders>
            <w:shd w:val="clear" w:color="auto" w:fill="auto"/>
            <w:noWrap/>
            <w:vAlign w:val="center"/>
            <w:hideMark/>
          </w:tcPr>
          <w:p w14:paraId="29C80A4E"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.358</w:t>
            </w:r>
          </w:p>
        </w:tc>
        <w:tc>
          <w:tcPr>
            <w:tcW w:w="990" w:type="dxa"/>
            <w:tcBorders>
              <w:top w:val="nil"/>
              <w:left w:val="nil"/>
              <w:bottom w:val="nil"/>
              <w:right w:val="nil"/>
            </w:tcBorders>
            <w:shd w:val="clear" w:color="auto" w:fill="auto"/>
            <w:noWrap/>
            <w:vAlign w:val="center"/>
            <w:hideMark/>
          </w:tcPr>
          <w:p w14:paraId="7A402760"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.428</w:t>
            </w:r>
          </w:p>
        </w:tc>
        <w:tc>
          <w:tcPr>
            <w:tcW w:w="1080" w:type="dxa"/>
            <w:tcBorders>
              <w:top w:val="nil"/>
              <w:left w:val="nil"/>
              <w:bottom w:val="nil"/>
              <w:right w:val="nil"/>
            </w:tcBorders>
            <w:shd w:val="clear" w:color="auto" w:fill="auto"/>
            <w:noWrap/>
            <w:vAlign w:val="center"/>
            <w:hideMark/>
          </w:tcPr>
          <w:p w14:paraId="0A33944D"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w:t>
            </w:r>
          </w:p>
        </w:tc>
      </w:tr>
      <w:tr w:rsidR="00CA0EF0" w:rsidRPr="00361E30" w14:paraId="36565FE2" w14:textId="77777777" w:rsidTr="003C13F4">
        <w:trPr>
          <w:trHeight w:val="300"/>
        </w:trPr>
        <w:tc>
          <w:tcPr>
            <w:tcW w:w="2117" w:type="dxa"/>
            <w:vMerge/>
            <w:tcBorders>
              <w:top w:val="nil"/>
              <w:left w:val="nil"/>
              <w:bottom w:val="single" w:sz="4" w:space="0" w:color="000000"/>
              <w:right w:val="nil"/>
            </w:tcBorders>
            <w:vAlign w:val="center"/>
            <w:hideMark/>
          </w:tcPr>
          <w:p w14:paraId="0DF9F33F"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771" w:type="dxa"/>
            <w:tcBorders>
              <w:top w:val="nil"/>
              <w:left w:val="nil"/>
              <w:bottom w:val="nil"/>
              <w:right w:val="nil"/>
            </w:tcBorders>
            <w:shd w:val="clear" w:color="auto" w:fill="auto"/>
            <w:vAlign w:val="center"/>
            <w:hideMark/>
          </w:tcPr>
          <w:p w14:paraId="48F576C0"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CCI &gt;10</w:t>
            </w:r>
          </w:p>
        </w:tc>
        <w:tc>
          <w:tcPr>
            <w:tcW w:w="1260" w:type="dxa"/>
            <w:tcBorders>
              <w:top w:val="nil"/>
              <w:left w:val="nil"/>
              <w:bottom w:val="nil"/>
              <w:right w:val="nil"/>
            </w:tcBorders>
            <w:shd w:val="clear" w:color="auto" w:fill="auto"/>
            <w:noWrap/>
            <w:vAlign w:val="center"/>
            <w:hideMark/>
          </w:tcPr>
          <w:p w14:paraId="0BD98CCE"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.277</w:t>
            </w:r>
          </w:p>
        </w:tc>
        <w:tc>
          <w:tcPr>
            <w:tcW w:w="1080" w:type="dxa"/>
            <w:tcBorders>
              <w:top w:val="nil"/>
              <w:left w:val="nil"/>
              <w:bottom w:val="nil"/>
              <w:right w:val="nil"/>
            </w:tcBorders>
            <w:shd w:val="clear" w:color="auto" w:fill="auto"/>
            <w:noWrap/>
            <w:vAlign w:val="center"/>
            <w:hideMark/>
          </w:tcPr>
          <w:p w14:paraId="33FB6146"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.247</w:t>
            </w:r>
          </w:p>
        </w:tc>
        <w:tc>
          <w:tcPr>
            <w:tcW w:w="990" w:type="dxa"/>
            <w:tcBorders>
              <w:top w:val="nil"/>
              <w:left w:val="nil"/>
              <w:bottom w:val="nil"/>
              <w:right w:val="nil"/>
            </w:tcBorders>
            <w:shd w:val="clear" w:color="auto" w:fill="auto"/>
            <w:noWrap/>
            <w:vAlign w:val="center"/>
            <w:hideMark/>
          </w:tcPr>
          <w:p w14:paraId="4DCF9B3D"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.311</w:t>
            </w:r>
          </w:p>
        </w:tc>
        <w:tc>
          <w:tcPr>
            <w:tcW w:w="1080" w:type="dxa"/>
            <w:tcBorders>
              <w:top w:val="nil"/>
              <w:left w:val="nil"/>
              <w:bottom w:val="nil"/>
              <w:right w:val="nil"/>
            </w:tcBorders>
            <w:shd w:val="clear" w:color="auto" w:fill="auto"/>
            <w:noWrap/>
            <w:vAlign w:val="center"/>
            <w:hideMark/>
          </w:tcPr>
          <w:p w14:paraId="308340B6"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w:t>
            </w:r>
          </w:p>
        </w:tc>
      </w:tr>
      <w:tr w:rsidR="00CA0EF0" w:rsidRPr="00361E30" w14:paraId="3F9FCE5D" w14:textId="77777777" w:rsidTr="003C13F4">
        <w:trPr>
          <w:trHeight w:val="300"/>
        </w:trPr>
        <w:tc>
          <w:tcPr>
            <w:tcW w:w="2117" w:type="dxa"/>
            <w:vMerge/>
            <w:tcBorders>
              <w:top w:val="nil"/>
              <w:left w:val="nil"/>
              <w:bottom w:val="single" w:sz="4" w:space="0" w:color="000000"/>
              <w:right w:val="nil"/>
            </w:tcBorders>
            <w:vAlign w:val="center"/>
            <w:hideMark/>
          </w:tcPr>
          <w:p w14:paraId="2AA92BCF"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771" w:type="dxa"/>
            <w:tcBorders>
              <w:top w:val="nil"/>
              <w:left w:val="nil"/>
              <w:bottom w:val="nil"/>
              <w:right w:val="nil"/>
            </w:tcBorders>
            <w:shd w:val="clear" w:color="auto" w:fill="auto"/>
            <w:vAlign w:val="center"/>
            <w:hideMark/>
          </w:tcPr>
          <w:p w14:paraId="37025B59"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CCI not recorded</w:t>
            </w:r>
          </w:p>
        </w:tc>
        <w:tc>
          <w:tcPr>
            <w:tcW w:w="1260" w:type="dxa"/>
            <w:tcBorders>
              <w:top w:val="nil"/>
              <w:left w:val="nil"/>
              <w:bottom w:val="nil"/>
              <w:right w:val="nil"/>
            </w:tcBorders>
            <w:shd w:val="clear" w:color="auto" w:fill="auto"/>
            <w:noWrap/>
            <w:vAlign w:val="center"/>
            <w:hideMark/>
          </w:tcPr>
          <w:p w14:paraId="7077332E"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.389</w:t>
            </w:r>
          </w:p>
        </w:tc>
        <w:tc>
          <w:tcPr>
            <w:tcW w:w="1080" w:type="dxa"/>
            <w:tcBorders>
              <w:top w:val="nil"/>
              <w:left w:val="nil"/>
              <w:bottom w:val="nil"/>
              <w:right w:val="nil"/>
            </w:tcBorders>
            <w:shd w:val="clear" w:color="auto" w:fill="auto"/>
            <w:noWrap/>
            <w:vAlign w:val="center"/>
            <w:hideMark/>
          </w:tcPr>
          <w:p w14:paraId="27F3615A"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.346</w:t>
            </w:r>
          </w:p>
        </w:tc>
        <w:tc>
          <w:tcPr>
            <w:tcW w:w="990" w:type="dxa"/>
            <w:tcBorders>
              <w:top w:val="nil"/>
              <w:left w:val="nil"/>
              <w:bottom w:val="nil"/>
              <w:right w:val="nil"/>
            </w:tcBorders>
            <w:shd w:val="clear" w:color="auto" w:fill="auto"/>
            <w:noWrap/>
            <w:vAlign w:val="center"/>
            <w:hideMark/>
          </w:tcPr>
          <w:p w14:paraId="3EEA7411"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.437</w:t>
            </w:r>
          </w:p>
        </w:tc>
        <w:tc>
          <w:tcPr>
            <w:tcW w:w="1080" w:type="dxa"/>
            <w:tcBorders>
              <w:top w:val="nil"/>
              <w:left w:val="nil"/>
              <w:bottom w:val="nil"/>
              <w:right w:val="nil"/>
            </w:tcBorders>
            <w:shd w:val="clear" w:color="auto" w:fill="auto"/>
            <w:noWrap/>
            <w:vAlign w:val="center"/>
            <w:hideMark/>
          </w:tcPr>
          <w:p w14:paraId="437376C2"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w:t>
            </w:r>
          </w:p>
        </w:tc>
      </w:tr>
      <w:tr w:rsidR="00CA0EF0" w:rsidRPr="00361E30" w14:paraId="5EEA1644" w14:textId="77777777" w:rsidTr="003C13F4">
        <w:trPr>
          <w:trHeight w:val="300"/>
        </w:trPr>
        <w:tc>
          <w:tcPr>
            <w:tcW w:w="2117" w:type="dxa"/>
            <w:vMerge/>
            <w:tcBorders>
              <w:top w:val="nil"/>
              <w:left w:val="nil"/>
              <w:bottom w:val="single" w:sz="4" w:space="0" w:color="000000"/>
              <w:right w:val="nil"/>
            </w:tcBorders>
            <w:vAlign w:val="center"/>
            <w:hideMark/>
          </w:tcPr>
          <w:p w14:paraId="70BC901D"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771" w:type="dxa"/>
            <w:tcBorders>
              <w:top w:val="nil"/>
              <w:left w:val="nil"/>
              <w:bottom w:val="single" w:sz="4" w:space="0" w:color="auto"/>
              <w:right w:val="nil"/>
            </w:tcBorders>
            <w:shd w:val="clear" w:color="auto" w:fill="auto"/>
            <w:vAlign w:val="center"/>
            <w:hideMark/>
          </w:tcPr>
          <w:p w14:paraId="0CF18992"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Constant</w:t>
            </w:r>
          </w:p>
        </w:tc>
        <w:tc>
          <w:tcPr>
            <w:tcW w:w="1260" w:type="dxa"/>
            <w:tcBorders>
              <w:top w:val="nil"/>
              <w:left w:val="nil"/>
              <w:bottom w:val="single" w:sz="4" w:space="0" w:color="auto"/>
              <w:right w:val="nil"/>
            </w:tcBorders>
            <w:shd w:val="clear" w:color="auto" w:fill="auto"/>
            <w:noWrap/>
            <w:vAlign w:val="center"/>
            <w:hideMark/>
          </w:tcPr>
          <w:p w14:paraId="29376235"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14.134</w:t>
            </w:r>
          </w:p>
        </w:tc>
        <w:tc>
          <w:tcPr>
            <w:tcW w:w="1080" w:type="dxa"/>
            <w:tcBorders>
              <w:top w:val="nil"/>
              <w:left w:val="nil"/>
              <w:bottom w:val="single" w:sz="4" w:space="0" w:color="auto"/>
              <w:right w:val="nil"/>
            </w:tcBorders>
            <w:shd w:val="clear" w:color="auto" w:fill="auto"/>
            <w:vAlign w:val="center"/>
            <w:hideMark/>
          </w:tcPr>
          <w:p w14:paraId="4CBF5F9F"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990" w:type="dxa"/>
            <w:tcBorders>
              <w:top w:val="nil"/>
              <w:left w:val="nil"/>
              <w:bottom w:val="single" w:sz="4" w:space="0" w:color="auto"/>
              <w:right w:val="nil"/>
            </w:tcBorders>
            <w:shd w:val="clear" w:color="auto" w:fill="auto"/>
            <w:vAlign w:val="center"/>
            <w:hideMark/>
          </w:tcPr>
          <w:p w14:paraId="64C444D4"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080" w:type="dxa"/>
            <w:tcBorders>
              <w:top w:val="nil"/>
              <w:left w:val="nil"/>
              <w:bottom w:val="single" w:sz="4" w:space="0" w:color="auto"/>
              <w:right w:val="nil"/>
            </w:tcBorders>
            <w:shd w:val="clear" w:color="auto" w:fill="auto"/>
            <w:noWrap/>
            <w:vAlign w:val="center"/>
            <w:hideMark/>
          </w:tcPr>
          <w:p w14:paraId="589172B3"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0.000</w:t>
            </w:r>
          </w:p>
        </w:tc>
      </w:tr>
      <w:tr w:rsidR="00CA0EF0" w:rsidRPr="00361E30" w14:paraId="04B5283C" w14:textId="77777777" w:rsidTr="003C13F4">
        <w:trPr>
          <w:trHeight w:val="300"/>
        </w:trPr>
        <w:tc>
          <w:tcPr>
            <w:tcW w:w="2117" w:type="dxa"/>
            <w:vMerge w:val="restart"/>
            <w:tcBorders>
              <w:top w:val="nil"/>
              <w:left w:val="nil"/>
              <w:bottom w:val="double" w:sz="6" w:space="0" w:color="000000"/>
              <w:right w:val="nil"/>
            </w:tcBorders>
            <w:shd w:val="clear" w:color="auto" w:fill="auto"/>
            <w:hideMark/>
          </w:tcPr>
          <w:p w14:paraId="5565155B" w14:textId="77777777" w:rsidR="00CA0EF0" w:rsidRPr="00361E30" w:rsidRDefault="00CA0EF0" w:rsidP="003C13F4">
            <w:pPr>
              <w:spacing w:after="0" w:line="240" w:lineRule="auto"/>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Medication (Reference for each Medicine was patients not on that drug)</w:t>
            </w:r>
          </w:p>
        </w:tc>
        <w:tc>
          <w:tcPr>
            <w:tcW w:w="1771" w:type="dxa"/>
            <w:tcBorders>
              <w:top w:val="nil"/>
              <w:left w:val="nil"/>
              <w:bottom w:val="nil"/>
              <w:right w:val="nil"/>
            </w:tcBorders>
            <w:shd w:val="clear" w:color="auto" w:fill="auto"/>
            <w:vAlign w:val="center"/>
            <w:hideMark/>
          </w:tcPr>
          <w:p w14:paraId="21F1180E"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Warfarin</w:t>
            </w:r>
          </w:p>
        </w:tc>
        <w:tc>
          <w:tcPr>
            <w:tcW w:w="1260" w:type="dxa"/>
            <w:tcBorders>
              <w:top w:val="nil"/>
              <w:left w:val="nil"/>
              <w:bottom w:val="nil"/>
              <w:right w:val="nil"/>
            </w:tcBorders>
            <w:shd w:val="clear" w:color="auto" w:fill="auto"/>
            <w:noWrap/>
            <w:vAlign w:val="center"/>
            <w:hideMark/>
          </w:tcPr>
          <w:p w14:paraId="39349C51"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0.342</w:t>
            </w:r>
          </w:p>
        </w:tc>
        <w:tc>
          <w:tcPr>
            <w:tcW w:w="1080" w:type="dxa"/>
            <w:tcBorders>
              <w:top w:val="nil"/>
              <w:left w:val="nil"/>
              <w:bottom w:val="nil"/>
              <w:right w:val="nil"/>
            </w:tcBorders>
            <w:shd w:val="clear" w:color="auto" w:fill="auto"/>
            <w:noWrap/>
            <w:vAlign w:val="center"/>
            <w:hideMark/>
          </w:tcPr>
          <w:p w14:paraId="325D90FD"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0.245</w:t>
            </w:r>
          </w:p>
        </w:tc>
        <w:tc>
          <w:tcPr>
            <w:tcW w:w="990" w:type="dxa"/>
            <w:tcBorders>
              <w:top w:val="nil"/>
              <w:left w:val="nil"/>
              <w:bottom w:val="nil"/>
              <w:right w:val="nil"/>
            </w:tcBorders>
            <w:shd w:val="clear" w:color="auto" w:fill="auto"/>
            <w:noWrap/>
            <w:vAlign w:val="center"/>
            <w:hideMark/>
          </w:tcPr>
          <w:p w14:paraId="4A901147"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0.477</w:t>
            </w:r>
          </w:p>
        </w:tc>
        <w:tc>
          <w:tcPr>
            <w:tcW w:w="1080" w:type="dxa"/>
            <w:tcBorders>
              <w:top w:val="nil"/>
              <w:left w:val="nil"/>
              <w:bottom w:val="nil"/>
              <w:right w:val="nil"/>
            </w:tcBorders>
            <w:shd w:val="clear" w:color="auto" w:fill="auto"/>
            <w:noWrap/>
            <w:vAlign w:val="center"/>
            <w:hideMark/>
          </w:tcPr>
          <w:p w14:paraId="13F3A2B1"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w:t>
            </w:r>
          </w:p>
        </w:tc>
      </w:tr>
      <w:tr w:rsidR="00CA0EF0" w:rsidRPr="00361E30" w14:paraId="6F68EDF0" w14:textId="77777777" w:rsidTr="003C13F4">
        <w:trPr>
          <w:trHeight w:val="300"/>
        </w:trPr>
        <w:tc>
          <w:tcPr>
            <w:tcW w:w="2117" w:type="dxa"/>
            <w:vMerge/>
            <w:tcBorders>
              <w:top w:val="nil"/>
              <w:left w:val="nil"/>
              <w:bottom w:val="double" w:sz="6" w:space="0" w:color="000000"/>
              <w:right w:val="nil"/>
            </w:tcBorders>
            <w:vAlign w:val="center"/>
            <w:hideMark/>
          </w:tcPr>
          <w:p w14:paraId="34D547A9"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771" w:type="dxa"/>
            <w:tcBorders>
              <w:top w:val="nil"/>
              <w:left w:val="nil"/>
              <w:bottom w:val="nil"/>
              <w:right w:val="nil"/>
            </w:tcBorders>
            <w:shd w:val="clear" w:color="auto" w:fill="auto"/>
            <w:vAlign w:val="center"/>
            <w:hideMark/>
          </w:tcPr>
          <w:p w14:paraId="752AEB45"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Aspirin</w:t>
            </w:r>
          </w:p>
        </w:tc>
        <w:tc>
          <w:tcPr>
            <w:tcW w:w="1260" w:type="dxa"/>
            <w:tcBorders>
              <w:top w:val="nil"/>
              <w:left w:val="nil"/>
              <w:bottom w:val="nil"/>
              <w:right w:val="nil"/>
            </w:tcBorders>
            <w:shd w:val="clear" w:color="auto" w:fill="auto"/>
            <w:noWrap/>
            <w:vAlign w:val="center"/>
            <w:hideMark/>
          </w:tcPr>
          <w:p w14:paraId="0A909DD8"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0.735</w:t>
            </w:r>
          </w:p>
        </w:tc>
        <w:tc>
          <w:tcPr>
            <w:tcW w:w="1080" w:type="dxa"/>
            <w:tcBorders>
              <w:top w:val="nil"/>
              <w:left w:val="nil"/>
              <w:bottom w:val="nil"/>
              <w:right w:val="nil"/>
            </w:tcBorders>
            <w:shd w:val="clear" w:color="auto" w:fill="auto"/>
            <w:noWrap/>
            <w:vAlign w:val="center"/>
            <w:hideMark/>
          </w:tcPr>
          <w:p w14:paraId="690430F9"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0.440</w:t>
            </w:r>
          </w:p>
        </w:tc>
        <w:tc>
          <w:tcPr>
            <w:tcW w:w="990" w:type="dxa"/>
            <w:tcBorders>
              <w:top w:val="nil"/>
              <w:left w:val="nil"/>
              <w:bottom w:val="nil"/>
              <w:right w:val="nil"/>
            </w:tcBorders>
            <w:shd w:val="clear" w:color="auto" w:fill="auto"/>
            <w:noWrap/>
            <w:vAlign w:val="center"/>
            <w:hideMark/>
          </w:tcPr>
          <w:p w14:paraId="60D7A190"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1.229</w:t>
            </w:r>
          </w:p>
        </w:tc>
        <w:tc>
          <w:tcPr>
            <w:tcW w:w="1080" w:type="dxa"/>
            <w:tcBorders>
              <w:top w:val="nil"/>
              <w:left w:val="nil"/>
              <w:bottom w:val="nil"/>
              <w:right w:val="nil"/>
            </w:tcBorders>
            <w:shd w:val="clear" w:color="auto" w:fill="auto"/>
            <w:noWrap/>
            <w:vAlign w:val="center"/>
            <w:hideMark/>
          </w:tcPr>
          <w:p w14:paraId="4B5DFABC" w14:textId="77777777" w:rsidR="00CA0EF0" w:rsidRPr="00361E30" w:rsidRDefault="00CA0EF0" w:rsidP="003C13F4">
            <w:pPr>
              <w:spacing w:after="0" w:line="240" w:lineRule="auto"/>
              <w:jc w:val="center"/>
              <w:rPr>
                <w:rFonts w:ascii="Calibri" w:eastAsia="Times New Roman" w:hAnsi="Calibri" w:cs="Calibri"/>
                <w:lang w:eastAsia="en-GB"/>
              </w:rPr>
            </w:pPr>
            <w:r w:rsidRPr="00361E30">
              <w:rPr>
                <w:rFonts w:ascii="Calibri" w:eastAsia="Times New Roman" w:hAnsi="Calibri" w:cs="Calibri"/>
                <w:lang w:eastAsia="en-GB"/>
              </w:rPr>
              <w:t>0.241</w:t>
            </w:r>
          </w:p>
        </w:tc>
      </w:tr>
      <w:tr w:rsidR="00CA0EF0" w:rsidRPr="00361E30" w14:paraId="5E65853D" w14:textId="77777777" w:rsidTr="003C13F4">
        <w:trPr>
          <w:trHeight w:val="315"/>
        </w:trPr>
        <w:tc>
          <w:tcPr>
            <w:tcW w:w="2117" w:type="dxa"/>
            <w:vMerge/>
            <w:tcBorders>
              <w:top w:val="nil"/>
              <w:left w:val="nil"/>
              <w:bottom w:val="double" w:sz="6" w:space="0" w:color="000000"/>
              <w:right w:val="nil"/>
            </w:tcBorders>
            <w:vAlign w:val="center"/>
            <w:hideMark/>
          </w:tcPr>
          <w:p w14:paraId="277D02C1"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771" w:type="dxa"/>
            <w:tcBorders>
              <w:top w:val="nil"/>
              <w:left w:val="nil"/>
              <w:bottom w:val="double" w:sz="6" w:space="0" w:color="auto"/>
              <w:right w:val="nil"/>
            </w:tcBorders>
            <w:shd w:val="clear" w:color="auto" w:fill="auto"/>
            <w:vAlign w:val="center"/>
            <w:hideMark/>
          </w:tcPr>
          <w:p w14:paraId="01DF759E"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Clopidogrel</w:t>
            </w:r>
          </w:p>
        </w:tc>
        <w:tc>
          <w:tcPr>
            <w:tcW w:w="1260" w:type="dxa"/>
            <w:tcBorders>
              <w:top w:val="nil"/>
              <w:left w:val="nil"/>
              <w:bottom w:val="double" w:sz="6" w:space="0" w:color="auto"/>
              <w:right w:val="nil"/>
            </w:tcBorders>
            <w:shd w:val="clear" w:color="auto" w:fill="auto"/>
            <w:noWrap/>
            <w:vAlign w:val="center"/>
            <w:hideMark/>
          </w:tcPr>
          <w:p w14:paraId="74AFD728"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0.405</w:t>
            </w:r>
          </w:p>
        </w:tc>
        <w:tc>
          <w:tcPr>
            <w:tcW w:w="1080" w:type="dxa"/>
            <w:tcBorders>
              <w:top w:val="nil"/>
              <w:left w:val="nil"/>
              <w:bottom w:val="double" w:sz="6" w:space="0" w:color="auto"/>
              <w:right w:val="nil"/>
            </w:tcBorders>
            <w:shd w:val="clear" w:color="auto" w:fill="auto"/>
            <w:noWrap/>
            <w:vAlign w:val="center"/>
            <w:hideMark/>
          </w:tcPr>
          <w:p w14:paraId="18DE128C"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0.162</w:t>
            </w:r>
          </w:p>
        </w:tc>
        <w:tc>
          <w:tcPr>
            <w:tcW w:w="990" w:type="dxa"/>
            <w:tcBorders>
              <w:top w:val="nil"/>
              <w:left w:val="nil"/>
              <w:bottom w:val="double" w:sz="6" w:space="0" w:color="auto"/>
              <w:right w:val="nil"/>
            </w:tcBorders>
            <w:shd w:val="clear" w:color="auto" w:fill="auto"/>
            <w:noWrap/>
            <w:vAlign w:val="center"/>
            <w:hideMark/>
          </w:tcPr>
          <w:p w14:paraId="1A7A3664"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1.008</w:t>
            </w:r>
          </w:p>
        </w:tc>
        <w:tc>
          <w:tcPr>
            <w:tcW w:w="1080" w:type="dxa"/>
            <w:tcBorders>
              <w:top w:val="nil"/>
              <w:left w:val="nil"/>
              <w:bottom w:val="double" w:sz="6" w:space="0" w:color="auto"/>
              <w:right w:val="nil"/>
            </w:tcBorders>
            <w:shd w:val="clear" w:color="auto" w:fill="auto"/>
            <w:noWrap/>
            <w:vAlign w:val="center"/>
            <w:hideMark/>
          </w:tcPr>
          <w:p w14:paraId="5D855046"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0.052</w:t>
            </w:r>
          </w:p>
        </w:tc>
      </w:tr>
    </w:tbl>
    <w:p w14:paraId="77B56001" w14:textId="77777777" w:rsidR="00CA0EF0" w:rsidRPr="00361E30" w:rsidRDefault="00CA0EF0" w:rsidP="003C13F4">
      <w:pPr>
        <w:pStyle w:val="TableTitle"/>
      </w:pPr>
      <w:bookmarkStart w:id="124" w:name="_Toc528321045"/>
      <w:r w:rsidRPr="00361E30">
        <w:t>Table 5.1: Univariate analysis of the association between pre-injury patient characteristics and 30-day survival</w:t>
      </w:r>
      <w:bookmarkEnd w:id="124"/>
    </w:p>
    <w:p w14:paraId="04310752" w14:textId="77777777" w:rsidR="00CA0EF0" w:rsidRPr="00361E30" w:rsidRDefault="00CA0EF0" w:rsidP="003C13F4">
      <w:pPr>
        <w:pStyle w:val="Heading3"/>
      </w:pPr>
      <w:r w:rsidRPr="00361E30">
        <w:t xml:space="preserve">5.3.3.1 </w:t>
      </w:r>
      <w:r w:rsidRPr="00361E30">
        <w:tab/>
        <w:t>Injury Severity Score</w:t>
      </w:r>
    </w:p>
    <w:p w14:paraId="67F27921" w14:textId="77777777" w:rsidR="00CA0EF0" w:rsidRPr="00361E30" w:rsidRDefault="00CA0EF0" w:rsidP="003C13F4">
      <w:r w:rsidRPr="00361E30">
        <w:t>Injury Severity Score (ISS) was explored as both a continuous and a categorical variable. For both forms of ISS, survival decreased significantly with increasing injury severity score.</w:t>
      </w:r>
    </w:p>
    <w:p w14:paraId="5C1DC47F" w14:textId="77777777" w:rsidR="00CA0EF0" w:rsidRPr="00361E30" w:rsidRDefault="00CA0EF0" w:rsidP="003C13F4">
      <w:pPr>
        <w:ind w:firstLine="720"/>
      </w:pPr>
      <w:r w:rsidRPr="00361E30">
        <w:t xml:space="preserve">While the TARN PS14 predictive model uses ISS as a continuous variable, the categorisation of ISS according to injury severity has been used descriptively by many trauma registries </w:t>
      </w:r>
      <w:r w:rsidRPr="00361E30">
        <w:rPr>
          <w:noProof/>
        </w:rPr>
        <w:t>(Hollis</w:t>
      </w:r>
      <w:r w:rsidR="00A62187" w:rsidRPr="00361E30">
        <w:rPr>
          <w:noProof/>
        </w:rPr>
        <w:t xml:space="preserve"> et al.</w:t>
      </w:r>
      <w:r w:rsidRPr="00361E30">
        <w:rPr>
          <w:noProof/>
        </w:rPr>
        <w:t xml:space="preserve"> 2006, Richmond et al. 2002, Yeung et al. 2008)</w:t>
      </w:r>
      <w:r w:rsidRPr="00361E30">
        <w:t xml:space="preserve">. Traditionally these categories have included: Mild injuries (ISS 0 – 8), moderate injuries (ISS 9 – 15), severe injuries (16 – 24) and </w:t>
      </w:r>
      <w:r w:rsidR="005E3024" w:rsidRPr="00361E30">
        <w:t>life-threatening</w:t>
      </w:r>
      <w:r w:rsidRPr="00361E30">
        <w:t xml:space="preserve"> injuries (≥ 25) </w:t>
      </w:r>
      <w:r w:rsidR="00A62187" w:rsidRPr="00361E30">
        <w:rPr>
          <w:noProof/>
        </w:rPr>
        <w:t>(Bouamra et al. 2006b, Hollis et al.</w:t>
      </w:r>
      <w:r w:rsidRPr="00361E30">
        <w:rPr>
          <w:noProof/>
        </w:rPr>
        <w:t xml:space="preserve"> 2006)</w:t>
      </w:r>
      <w:r w:rsidRPr="00361E30">
        <w:t xml:space="preserve">. The relationship between these categories and outcome was explored, as this could potentially provide a simpler model of outcome prediction than using fractional polynomial transformations. </w:t>
      </w:r>
    </w:p>
    <w:p w14:paraId="7D083059" w14:textId="77777777" w:rsidR="00CA0EF0" w:rsidRPr="00361E30" w:rsidRDefault="00CA0EF0" w:rsidP="003C13F4">
      <w:pPr>
        <w:ind w:firstLine="720"/>
      </w:pPr>
      <w:r w:rsidRPr="00361E30">
        <w:t xml:space="preserve">The relationship between the continuous form of ISS and outcome was not linear in the cohort of patients aged ≥65 years used in this study (Figure 5.3). Using fractional </w:t>
      </w:r>
      <w:r w:rsidRPr="00361E30">
        <w:lastRenderedPageBreak/>
        <w:t xml:space="preserve">polynomial transformation, first and second order transformations provided the best approximation to a linear relationship with survival. </w:t>
      </w:r>
    </w:p>
    <w:p w14:paraId="3E33BBF8" w14:textId="77777777" w:rsidR="00CA0EF0" w:rsidRPr="00361E30" w:rsidRDefault="00CA0EF0" w:rsidP="003C13F4">
      <w:pPr>
        <w:ind w:firstLine="720"/>
      </w:pPr>
      <w:r w:rsidRPr="00361E30">
        <w:t>The choice of the form of ISS used in the final (categorical or continuous) was made only after each was tested on multivariate analysis (see Section 5.4.6.2).</w:t>
      </w:r>
    </w:p>
    <w:p w14:paraId="61BEF9D3" w14:textId="77777777" w:rsidR="00CA0EF0" w:rsidRPr="00361E30" w:rsidRDefault="00CA0EF0" w:rsidP="003C13F4">
      <w:pPr>
        <w:autoSpaceDE w:val="0"/>
        <w:autoSpaceDN w:val="0"/>
        <w:adjustRightInd w:val="0"/>
        <w:spacing w:after="0"/>
        <w:rPr>
          <w:rFonts w:ascii="Times New Roman" w:hAnsi="Times New Roman" w:cs="Times New Roman"/>
          <w:sz w:val="24"/>
          <w:szCs w:val="24"/>
        </w:rPr>
      </w:pPr>
      <w:r w:rsidRPr="00361E30">
        <w:rPr>
          <w:rFonts w:ascii="Times New Roman" w:hAnsi="Times New Roman" w:cs="Times New Roman"/>
          <w:noProof/>
          <w:sz w:val="24"/>
          <w:szCs w:val="24"/>
          <w:lang w:eastAsia="en-GB"/>
        </w:rPr>
        <w:drawing>
          <wp:inline distT="0" distB="0" distL="0" distR="0" wp14:anchorId="6E15F07B" wp14:editId="5AB78E8D">
            <wp:extent cx="3846879" cy="3076353"/>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7051" cy="3076491"/>
                    </a:xfrm>
                    <a:prstGeom prst="rect">
                      <a:avLst/>
                    </a:prstGeom>
                    <a:noFill/>
                    <a:ln>
                      <a:noFill/>
                    </a:ln>
                  </pic:spPr>
                </pic:pic>
              </a:graphicData>
            </a:graphic>
          </wp:inline>
        </w:drawing>
      </w:r>
    </w:p>
    <w:p w14:paraId="76830098" w14:textId="77777777" w:rsidR="00CA0EF0" w:rsidRPr="00361E30" w:rsidRDefault="00CA0EF0" w:rsidP="003C13F4">
      <w:pPr>
        <w:pStyle w:val="FigureTitle"/>
      </w:pPr>
      <w:bookmarkStart w:id="125" w:name="_Toc529090340"/>
      <w:r w:rsidRPr="00361E30">
        <w:t>Figure 5.3: Plot of Ln(Odds of Death) against ISS, demonstrating non-linear relationship.</w:t>
      </w:r>
      <w:bookmarkEnd w:id="125"/>
    </w:p>
    <w:p w14:paraId="1ABACB78" w14:textId="77777777" w:rsidR="00CA0EF0" w:rsidRPr="00361E30" w:rsidRDefault="00CA0EF0" w:rsidP="003C13F4">
      <w:pPr>
        <w:pStyle w:val="Heading3"/>
      </w:pPr>
      <w:r w:rsidRPr="00361E30">
        <w:t xml:space="preserve">5.3.3.2 </w:t>
      </w:r>
      <w:r w:rsidRPr="00361E30">
        <w:tab/>
        <w:t>Injury Pattern</w:t>
      </w:r>
    </w:p>
    <w:p w14:paraId="0B1C8500" w14:textId="77777777" w:rsidR="00CA0EF0" w:rsidRPr="00361E30" w:rsidRDefault="00CA0EF0" w:rsidP="003C13F4">
      <w:r w:rsidRPr="00361E30">
        <w:t xml:space="preserve">The impact of injury pattern on outcome was explored by assessing the association between the presence of severe head injury (AIS </w:t>
      </w:r>
      <w:r w:rsidRPr="00361E30">
        <w:rPr>
          <w:rFonts w:cstheme="minorHAnsi"/>
        </w:rPr>
        <w:t>≥</w:t>
      </w:r>
      <w:r w:rsidRPr="00361E30">
        <w:t>3) and survival (Table 5.2). Patients with severe head injuries were found to have significantly lower odds of survival on univariate analysis. The potential collinearity between severity of head injury and overall injury severity was recognised, and this was further explored following initial multivariate modelling (Section 5.4.6.2).</w:t>
      </w:r>
    </w:p>
    <w:p w14:paraId="602712A3" w14:textId="77777777" w:rsidR="00CA0EF0" w:rsidRPr="00361E30" w:rsidRDefault="00CA0EF0" w:rsidP="003C13F4">
      <w:pPr>
        <w:autoSpaceDE w:val="0"/>
        <w:autoSpaceDN w:val="0"/>
        <w:adjustRightInd w:val="0"/>
        <w:spacing w:after="0"/>
        <w:rPr>
          <w:rFonts w:ascii="Times New Roman" w:hAnsi="Times New Roman" w:cs="Times New Roman"/>
          <w:sz w:val="24"/>
          <w:szCs w:val="24"/>
        </w:rPr>
      </w:pPr>
      <w:r w:rsidRPr="00361E30">
        <w:rPr>
          <w:rFonts w:ascii="Times New Roman" w:hAnsi="Times New Roman" w:cs="Times New Roman"/>
          <w:noProof/>
          <w:sz w:val="24"/>
          <w:szCs w:val="24"/>
          <w:lang w:eastAsia="en-GB"/>
        </w:rPr>
        <w:lastRenderedPageBreak/>
        <w:drawing>
          <wp:inline distT="0" distB="0" distL="0" distR="0" wp14:anchorId="4EE49867" wp14:editId="32B797D0">
            <wp:extent cx="3944380" cy="315432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6030" cy="3155644"/>
                    </a:xfrm>
                    <a:prstGeom prst="rect">
                      <a:avLst/>
                    </a:prstGeom>
                    <a:noFill/>
                    <a:ln>
                      <a:noFill/>
                    </a:ln>
                  </pic:spPr>
                </pic:pic>
              </a:graphicData>
            </a:graphic>
          </wp:inline>
        </w:drawing>
      </w:r>
    </w:p>
    <w:p w14:paraId="5602D58C" w14:textId="77777777" w:rsidR="00CA0EF0" w:rsidRPr="00361E30" w:rsidRDefault="00CA0EF0" w:rsidP="003C13F4">
      <w:pPr>
        <w:pStyle w:val="FigureTitle"/>
      </w:pPr>
      <w:bookmarkStart w:id="126" w:name="_Toc529090341"/>
      <w:r w:rsidRPr="00361E30">
        <w:t>Figure 5.4: Plot of Ln(Odds of Death) against Number of Injuries, demonstrating non-linear relationship.</w:t>
      </w:r>
      <w:bookmarkEnd w:id="126"/>
    </w:p>
    <w:p w14:paraId="45C75000" w14:textId="77777777" w:rsidR="00CA0EF0" w:rsidRPr="00361E30" w:rsidRDefault="00CA0EF0" w:rsidP="003C13F4">
      <w:pPr>
        <w:pStyle w:val="Heading3"/>
      </w:pPr>
      <w:r w:rsidRPr="00361E30">
        <w:t xml:space="preserve">5.3.3.3 </w:t>
      </w:r>
      <w:r w:rsidRPr="00361E30">
        <w:tab/>
        <w:t>Number of Injuries</w:t>
      </w:r>
    </w:p>
    <w:p w14:paraId="0A54D84F" w14:textId="77777777" w:rsidR="00CA0EF0" w:rsidRPr="00361E30" w:rsidRDefault="00CA0EF0" w:rsidP="003C13F4">
      <w:r w:rsidRPr="00361E30">
        <w:t xml:space="preserve">The number of injuries sustained in older trauma patients was found to be an independent predictor of outcome in previous studies identified in the systematic review (Chapter 2). Both continuous and categorical forms of this variable were explored. </w:t>
      </w:r>
      <w:r w:rsidR="005E3024" w:rsidRPr="00361E30">
        <w:t>Most</w:t>
      </w:r>
      <w:r w:rsidRPr="00361E30">
        <w:t xml:space="preserve"> patients (41,788 patients, 90.8%) sustained 5 injuries or less. The number of injuries sustained was separated into three categories (1, 2 and 3 or more injuries), as this divided the sample into three approximately equal groups. When assessed as a categorical variable, using patients with one injury as a reference, the odds of survival decreased in patients with more injuries.</w:t>
      </w:r>
    </w:p>
    <w:p w14:paraId="73FB0D09" w14:textId="77777777" w:rsidR="00CA0EF0" w:rsidRPr="00361E30" w:rsidRDefault="00CA0EF0" w:rsidP="003C13F4">
      <w:pPr>
        <w:ind w:firstLine="720"/>
      </w:pPr>
      <w:r w:rsidRPr="00361E30">
        <w:t>When assessing number of injuries as a continuous variable on univariate analysis, the odds of survival declined by 0.806 (95% CI 0.797 - 0.814) for each additional injury sustained. On univariate analysis, number of injuries sustained performed better as a continuous variable than in its categorical form (Nagelkerke’s R</w:t>
      </w:r>
      <w:r w:rsidRPr="00361E30">
        <w:rPr>
          <w:vertAlign w:val="superscript"/>
        </w:rPr>
        <w:t>2</w:t>
      </w:r>
      <w:r w:rsidRPr="00361E30">
        <w:t xml:space="preserve"> 0.74 vs 0.56), so the continuous form of the variable was used in the multivariate analysis. Fractional polynomial transformation was applied to the variable to adjust for non-linearity. Figure 5.4 shows the non-linear relationship between number of injuries and survival.</w:t>
      </w:r>
    </w:p>
    <w:p w14:paraId="01301745" w14:textId="77777777" w:rsidR="00CA0EF0" w:rsidRPr="00361E30" w:rsidRDefault="00CA0EF0" w:rsidP="003C13F4">
      <w:pPr>
        <w:pStyle w:val="Heading3"/>
      </w:pPr>
      <w:r w:rsidRPr="00361E30">
        <w:t xml:space="preserve">5.3.3.4 </w:t>
      </w:r>
      <w:r w:rsidRPr="00361E30">
        <w:tab/>
        <w:t>Mechanism of Injury</w:t>
      </w:r>
    </w:p>
    <w:p w14:paraId="2CF9756E" w14:textId="77777777" w:rsidR="00CA0EF0" w:rsidRPr="00361E30" w:rsidRDefault="00CA0EF0" w:rsidP="003C13F4">
      <w:r w:rsidRPr="00361E30">
        <w:t>Using ‘falls &lt; 2 metres’ as the reference category, all other mechanisms of injury had a lower odds of survival on univariate analysis. The odds of survival from ‘falls ≥ 2 metres’ were 0.548 (95% CI 0.518 - 0.580) and from ‘road traffic collisions/incidents’ they were 0.727 (95% CI 0.677 - 0.779).</w:t>
      </w:r>
    </w:p>
    <w:tbl>
      <w:tblPr>
        <w:tblW w:w="8478" w:type="dxa"/>
        <w:tblLook w:val="04A0" w:firstRow="1" w:lastRow="0" w:firstColumn="1" w:lastColumn="0" w:noHBand="0" w:noVBand="1"/>
      </w:tblPr>
      <w:tblGrid>
        <w:gridCol w:w="2127"/>
        <w:gridCol w:w="1667"/>
        <w:gridCol w:w="1354"/>
        <w:gridCol w:w="1080"/>
        <w:gridCol w:w="1080"/>
        <w:gridCol w:w="1170"/>
      </w:tblGrid>
      <w:tr w:rsidR="00CA0EF0" w:rsidRPr="00361E30" w14:paraId="6378AA79" w14:textId="77777777" w:rsidTr="003C13F4">
        <w:trPr>
          <w:trHeight w:val="300"/>
        </w:trPr>
        <w:tc>
          <w:tcPr>
            <w:tcW w:w="2127" w:type="dxa"/>
            <w:tcBorders>
              <w:top w:val="single" w:sz="4" w:space="0" w:color="auto"/>
              <w:left w:val="nil"/>
              <w:bottom w:val="nil"/>
              <w:right w:val="nil"/>
            </w:tcBorders>
            <w:shd w:val="clear" w:color="auto" w:fill="auto"/>
            <w:vAlign w:val="center"/>
            <w:hideMark/>
          </w:tcPr>
          <w:p w14:paraId="791ABBC0" w14:textId="77777777" w:rsidR="00CA0EF0" w:rsidRPr="00361E30" w:rsidRDefault="00CA0EF0" w:rsidP="003C13F4">
            <w:pPr>
              <w:spacing w:after="0" w:line="240" w:lineRule="auto"/>
              <w:rPr>
                <w:rFonts w:ascii="Arial" w:eastAsia="Times New Roman" w:hAnsi="Arial" w:cs="Arial"/>
                <w:b/>
                <w:color w:val="000000"/>
                <w:sz w:val="18"/>
                <w:szCs w:val="18"/>
              </w:rPr>
            </w:pPr>
            <w:r w:rsidRPr="00361E30">
              <w:rPr>
                <w:rFonts w:ascii="Arial" w:eastAsia="Times New Roman" w:hAnsi="Arial" w:cs="Arial"/>
                <w:b/>
                <w:color w:val="000000"/>
                <w:sz w:val="18"/>
                <w:szCs w:val="18"/>
              </w:rPr>
              <w:lastRenderedPageBreak/>
              <w:t> Covariate</w:t>
            </w:r>
          </w:p>
        </w:tc>
        <w:tc>
          <w:tcPr>
            <w:tcW w:w="1667" w:type="dxa"/>
            <w:tcBorders>
              <w:top w:val="single" w:sz="4" w:space="0" w:color="auto"/>
              <w:left w:val="nil"/>
              <w:bottom w:val="nil"/>
              <w:right w:val="nil"/>
            </w:tcBorders>
            <w:shd w:val="clear" w:color="auto" w:fill="auto"/>
            <w:vAlign w:val="center"/>
            <w:hideMark/>
          </w:tcPr>
          <w:p w14:paraId="11A1A256" w14:textId="77777777" w:rsidR="00CA0EF0" w:rsidRPr="00361E30" w:rsidRDefault="00CA0EF0" w:rsidP="003C13F4">
            <w:pPr>
              <w:spacing w:after="0" w:line="240" w:lineRule="auto"/>
              <w:rPr>
                <w:rFonts w:ascii="Arial" w:eastAsia="Times New Roman" w:hAnsi="Arial" w:cs="Arial"/>
                <w:b/>
                <w:color w:val="000000"/>
                <w:sz w:val="18"/>
                <w:szCs w:val="18"/>
              </w:rPr>
            </w:pPr>
            <w:r w:rsidRPr="00361E30">
              <w:rPr>
                <w:rFonts w:ascii="Arial" w:eastAsia="Times New Roman" w:hAnsi="Arial" w:cs="Arial"/>
                <w:b/>
                <w:color w:val="000000"/>
                <w:sz w:val="18"/>
                <w:szCs w:val="18"/>
              </w:rPr>
              <w:t>Categories</w:t>
            </w:r>
          </w:p>
        </w:tc>
        <w:tc>
          <w:tcPr>
            <w:tcW w:w="1354" w:type="dxa"/>
            <w:tcBorders>
              <w:top w:val="single" w:sz="4" w:space="0" w:color="auto"/>
              <w:left w:val="nil"/>
              <w:bottom w:val="nil"/>
              <w:right w:val="nil"/>
            </w:tcBorders>
            <w:shd w:val="clear" w:color="auto" w:fill="auto"/>
            <w:vAlign w:val="center"/>
            <w:hideMark/>
          </w:tcPr>
          <w:p w14:paraId="00DD7691" w14:textId="77777777" w:rsidR="00CA0EF0" w:rsidRPr="00361E30" w:rsidRDefault="00CA0EF0" w:rsidP="003C13F4">
            <w:pPr>
              <w:spacing w:after="0" w:line="240" w:lineRule="auto"/>
              <w:jc w:val="center"/>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Odds Ratio</w:t>
            </w:r>
          </w:p>
        </w:tc>
        <w:tc>
          <w:tcPr>
            <w:tcW w:w="2160" w:type="dxa"/>
            <w:gridSpan w:val="2"/>
            <w:tcBorders>
              <w:top w:val="single" w:sz="4" w:space="0" w:color="auto"/>
              <w:left w:val="nil"/>
              <w:bottom w:val="nil"/>
              <w:right w:val="nil"/>
            </w:tcBorders>
            <w:shd w:val="clear" w:color="auto" w:fill="auto"/>
            <w:vAlign w:val="center"/>
            <w:hideMark/>
          </w:tcPr>
          <w:p w14:paraId="4B1A4A6E" w14:textId="77777777" w:rsidR="00CA0EF0" w:rsidRPr="00361E30" w:rsidRDefault="00CA0EF0" w:rsidP="003C13F4">
            <w:pPr>
              <w:spacing w:after="0" w:line="240" w:lineRule="auto"/>
              <w:jc w:val="center"/>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95% C.I.</w:t>
            </w:r>
            <w:r w:rsidR="005E3024">
              <w:rPr>
                <w:rFonts w:ascii="Arial" w:eastAsia="Times New Roman" w:hAnsi="Arial" w:cs="Arial"/>
                <w:b/>
                <w:bCs/>
                <w:color w:val="000000"/>
                <w:sz w:val="18"/>
                <w:szCs w:val="18"/>
              </w:rPr>
              <w:t xml:space="preserve"> </w:t>
            </w:r>
            <w:r w:rsidRPr="00361E30">
              <w:rPr>
                <w:rFonts w:ascii="Arial" w:eastAsia="Times New Roman" w:hAnsi="Arial" w:cs="Arial"/>
                <w:b/>
                <w:bCs/>
                <w:color w:val="000000"/>
                <w:sz w:val="18"/>
                <w:szCs w:val="18"/>
              </w:rPr>
              <w:t>for OR</w:t>
            </w:r>
          </w:p>
        </w:tc>
        <w:tc>
          <w:tcPr>
            <w:tcW w:w="1170" w:type="dxa"/>
            <w:tcBorders>
              <w:top w:val="single" w:sz="4" w:space="0" w:color="auto"/>
              <w:left w:val="nil"/>
              <w:bottom w:val="nil"/>
              <w:right w:val="nil"/>
            </w:tcBorders>
            <w:shd w:val="clear" w:color="auto" w:fill="auto"/>
            <w:vAlign w:val="center"/>
            <w:hideMark/>
          </w:tcPr>
          <w:p w14:paraId="4AA628D1" w14:textId="77777777" w:rsidR="00CA0EF0" w:rsidRPr="00361E30" w:rsidRDefault="00CA0EF0" w:rsidP="003C13F4">
            <w:pPr>
              <w:spacing w:after="0" w:line="240" w:lineRule="auto"/>
              <w:jc w:val="center"/>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p value</w:t>
            </w:r>
          </w:p>
        </w:tc>
      </w:tr>
      <w:tr w:rsidR="00CA0EF0" w:rsidRPr="00361E30" w14:paraId="2CBE65D6" w14:textId="77777777" w:rsidTr="003C13F4">
        <w:trPr>
          <w:trHeight w:val="315"/>
        </w:trPr>
        <w:tc>
          <w:tcPr>
            <w:tcW w:w="2127" w:type="dxa"/>
            <w:tcBorders>
              <w:top w:val="nil"/>
              <w:left w:val="nil"/>
              <w:bottom w:val="double" w:sz="6" w:space="0" w:color="auto"/>
              <w:right w:val="nil"/>
            </w:tcBorders>
            <w:shd w:val="clear" w:color="auto" w:fill="auto"/>
            <w:vAlign w:val="center"/>
            <w:hideMark/>
          </w:tcPr>
          <w:p w14:paraId="2730C7EA" w14:textId="77777777" w:rsidR="00CA0EF0" w:rsidRPr="00361E30" w:rsidRDefault="00CA0EF0" w:rsidP="003C13F4">
            <w:pPr>
              <w:spacing w:after="0" w:line="240" w:lineRule="auto"/>
              <w:rPr>
                <w:rFonts w:ascii="Arial" w:eastAsia="Times New Roman" w:hAnsi="Arial" w:cs="Arial"/>
                <w:color w:val="000000"/>
                <w:sz w:val="18"/>
                <w:szCs w:val="18"/>
              </w:rPr>
            </w:pPr>
            <w:r w:rsidRPr="00361E30">
              <w:rPr>
                <w:rFonts w:ascii="Arial" w:eastAsia="Times New Roman" w:hAnsi="Arial" w:cs="Arial"/>
                <w:color w:val="000000"/>
                <w:sz w:val="18"/>
                <w:szCs w:val="18"/>
              </w:rPr>
              <w:t> </w:t>
            </w:r>
          </w:p>
        </w:tc>
        <w:tc>
          <w:tcPr>
            <w:tcW w:w="1667" w:type="dxa"/>
            <w:tcBorders>
              <w:top w:val="nil"/>
              <w:left w:val="nil"/>
              <w:bottom w:val="double" w:sz="6" w:space="0" w:color="auto"/>
              <w:right w:val="nil"/>
            </w:tcBorders>
            <w:shd w:val="clear" w:color="auto" w:fill="auto"/>
            <w:vAlign w:val="center"/>
            <w:hideMark/>
          </w:tcPr>
          <w:p w14:paraId="15721B53" w14:textId="77777777" w:rsidR="00CA0EF0" w:rsidRPr="00361E30" w:rsidRDefault="00CA0EF0" w:rsidP="003C13F4">
            <w:pPr>
              <w:spacing w:after="0" w:line="240" w:lineRule="auto"/>
              <w:rPr>
                <w:rFonts w:ascii="Arial" w:eastAsia="Times New Roman" w:hAnsi="Arial" w:cs="Arial"/>
                <w:color w:val="000000"/>
                <w:sz w:val="18"/>
                <w:szCs w:val="18"/>
              </w:rPr>
            </w:pPr>
            <w:r w:rsidRPr="00361E30">
              <w:rPr>
                <w:rFonts w:ascii="Arial" w:eastAsia="Times New Roman" w:hAnsi="Arial" w:cs="Arial"/>
                <w:color w:val="000000"/>
                <w:sz w:val="18"/>
                <w:szCs w:val="18"/>
              </w:rPr>
              <w:t> </w:t>
            </w:r>
          </w:p>
        </w:tc>
        <w:tc>
          <w:tcPr>
            <w:tcW w:w="1354" w:type="dxa"/>
            <w:tcBorders>
              <w:top w:val="nil"/>
              <w:left w:val="nil"/>
              <w:bottom w:val="double" w:sz="6" w:space="0" w:color="auto"/>
              <w:right w:val="nil"/>
            </w:tcBorders>
            <w:shd w:val="clear" w:color="auto" w:fill="auto"/>
            <w:vAlign w:val="center"/>
            <w:hideMark/>
          </w:tcPr>
          <w:p w14:paraId="558F0549" w14:textId="77777777" w:rsidR="00CA0EF0" w:rsidRPr="00361E30" w:rsidRDefault="00CA0EF0" w:rsidP="003C13F4">
            <w:pPr>
              <w:spacing w:after="0" w:line="240" w:lineRule="auto"/>
              <w:jc w:val="center"/>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 </w:t>
            </w:r>
          </w:p>
        </w:tc>
        <w:tc>
          <w:tcPr>
            <w:tcW w:w="1080" w:type="dxa"/>
            <w:tcBorders>
              <w:top w:val="nil"/>
              <w:left w:val="nil"/>
              <w:bottom w:val="double" w:sz="6" w:space="0" w:color="auto"/>
              <w:right w:val="nil"/>
            </w:tcBorders>
            <w:shd w:val="clear" w:color="auto" w:fill="auto"/>
            <w:vAlign w:val="center"/>
            <w:hideMark/>
          </w:tcPr>
          <w:p w14:paraId="6ACA9BF5" w14:textId="77777777" w:rsidR="00CA0EF0" w:rsidRPr="00361E30" w:rsidRDefault="00CA0EF0" w:rsidP="003C13F4">
            <w:pPr>
              <w:spacing w:after="0" w:line="240" w:lineRule="auto"/>
              <w:jc w:val="center"/>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Lower</w:t>
            </w:r>
          </w:p>
        </w:tc>
        <w:tc>
          <w:tcPr>
            <w:tcW w:w="1080" w:type="dxa"/>
            <w:tcBorders>
              <w:top w:val="nil"/>
              <w:left w:val="nil"/>
              <w:bottom w:val="double" w:sz="6" w:space="0" w:color="auto"/>
              <w:right w:val="nil"/>
            </w:tcBorders>
            <w:shd w:val="clear" w:color="auto" w:fill="auto"/>
            <w:vAlign w:val="center"/>
            <w:hideMark/>
          </w:tcPr>
          <w:p w14:paraId="79CDE90E" w14:textId="77777777" w:rsidR="00CA0EF0" w:rsidRPr="00361E30" w:rsidRDefault="00CA0EF0" w:rsidP="003C13F4">
            <w:pPr>
              <w:spacing w:after="0" w:line="240" w:lineRule="auto"/>
              <w:jc w:val="center"/>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Upper</w:t>
            </w:r>
          </w:p>
        </w:tc>
        <w:tc>
          <w:tcPr>
            <w:tcW w:w="1170" w:type="dxa"/>
            <w:tcBorders>
              <w:top w:val="nil"/>
              <w:left w:val="nil"/>
              <w:bottom w:val="double" w:sz="6" w:space="0" w:color="auto"/>
              <w:right w:val="nil"/>
            </w:tcBorders>
            <w:shd w:val="clear" w:color="auto" w:fill="auto"/>
            <w:vAlign w:val="center"/>
            <w:hideMark/>
          </w:tcPr>
          <w:p w14:paraId="6B72C362" w14:textId="77777777" w:rsidR="00CA0EF0" w:rsidRPr="00361E30" w:rsidRDefault="00CA0EF0" w:rsidP="003C13F4">
            <w:pPr>
              <w:spacing w:after="0" w:line="240" w:lineRule="auto"/>
              <w:jc w:val="center"/>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 </w:t>
            </w:r>
          </w:p>
        </w:tc>
      </w:tr>
      <w:tr w:rsidR="00CA0EF0" w:rsidRPr="00361E30" w14:paraId="2E51382A" w14:textId="77777777" w:rsidTr="003C13F4">
        <w:trPr>
          <w:trHeight w:val="315"/>
        </w:trPr>
        <w:tc>
          <w:tcPr>
            <w:tcW w:w="2127" w:type="dxa"/>
            <w:tcBorders>
              <w:top w:val="nil"/>
              <w:left w:val="nil"/>
              <w:bottom w:val="nil"/>
              <w:right w:val="nil"/>
            </w:tcBorders>
            <w:shd w:val="clear" w:color="auto" w:fill="auto"/>
            <w:vAlign w:val="center"/>
            <w:hideMark/>
          </w:tcPr>
          <w:p w14:paraId="1F55977D" w14:textId="77777777" w:rsidR="00CA0EF0" w:rsidRPr="00361E30" w:rsidRDefault="00CA0EF0" w:rsidP="003C13F4">
            <w:pPr>
              <w:spacing w:after="0" w:line="240" w:lineRule="auto"/>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Injury Severity Score (Continuous)</w:t>
            </w:r>
          </w:p>
        </w:tc>
        <w:tc>
          <w:tcPr>
            <w:tcW w:w="1667" w:type="dxa"/>
            <w:tcBorders>
              <w:top w:val="nil"/>
              <w:left w:val="nil"/>
              <w:bottom w:val="nil"/>
              <w:right w:val="nil"/>
            </w:tcBorders>
            <w:shd w:val="clear" w:color="auto" w:fill="auto"/>
            <w:vAlign w:val="center"/>
            <w:hideMark/>
          </w:tcPr>
          <w:p w14:paraId="31A15A99" w14:textId="77777777" w:rsidR="00CA0EF0" w:rsidRPr="00361E30" w:rsidRDefault="00CA0EF0" w:rsidP="003C13F4">
            <w:pPr>
              <w:spacing w:after="0" w:line="240" w:lineRule="auto"/>
              <w:rPr>
                <w:rFonts w:ascii="Arial" w:eastAsia="Times New Roman" w:hAnsi="Arial" w:cs="Arial"/>
                <w:color w:val="000000"/>
                <w:sz w:val="18"/>
                <w:szCs w:val="18"/>
              </w:rPr>
            </w:pPr>
          </w:p>
        </w:tc>
        <w:tc>
          <w:tcPr>
            <w:tcW w:w="1354" w:type="dxa"/>
            <w:tcBorders>
              <w:top w:val="nil"/>
              <w:left w:val="nil"/>
              <w:bottom w:val="nil"/>
              <w:right w:val="nil"/>
            </w:tcBorders>
            <w:shd w:val="clear" w:color="auto" w:fill="auto"/>
            <w:noWrap/>
            <w:vAlign w:val="center"/>
            <w:hideMark/>
          </w:tcPr>
          <w:p w14:paraId="161D5E4D"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.908</w:t>
            </w:r>
          </w:p>
        </w:tc>
        <w:tc>
          <w:tcPr>
            <w:tcW w:w="1080" w:type="dxa"/>
            <w:tcBorders>
              <w:top w:val="nil"/>
              <w:left w:val="nil"/>
              <w:bottom w:val="nil"/>
              <w:right w:val="nil"/>
            </w:tcBorders>
            <w:shd w:val="clear" w:color="auto" w:fill="auto"/>
            <w:noWrap/>
            <w:vAlign w:val="center"/>
            <w:hideMark/>
          </w:tcPr>
          <w:p w14:paraId="7FB764B8"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.905</w:t>
            </w:r>
          </w:p>
        </w:tc>
        <w:tc>
          <w:tcPr>
            <w:tcW w:w="1080" w:type="dxa"/>
            <w:tcBorders>
              <w:top w:val="nil"/>
              <w:left w:val="nil"/>
              <w:bottom w:val="nil"/>
              <w:right w:val="nil"/>
            </w:tcBorders>
            <w:shd w:val="clear" w:color="auto" w:fill="auto"/>
            <w:noWrap/>
            <w:vAlign w:val="center"/>
            <w:hideMark/>
          </w:tcPr>
          <w:p w14:paraId="399FE240"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.911</w:t>
            </w:r>
          </w:p>
        </w:tc>
        <w:tc>
          <w:tcPr>
            <w:tcW w:w="1170" w:type="dxa"/>
            <w:tcBorders>
              <w:top w:val="nil"/>
              <w:left w:val="nil"/>
              <w:bottom w:val="nil"/>
              <w:right w:val="nil"/>
            </w:tcBorders>
            <w:shd w:val="clear" w:color="auto" w:fill="auto"/>
            <w:noWrap/>
            <w:vAlign w:val="center"/>
            <w:hideMark/>
          </w:tcPr>
          <w:p w14:paraId="45B79162"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0.000</w:t>
            </w:r>
          </w:p>
        </w:tc>
      </w:tr>
      <w:tr w:rsidR="00CA0EF0" w:rsidRPr="00361E30" w14:paraId="464F0CE8" w14:textId="77777777" w:rsidTr="003C13F4">
        <w:trPr>
          <w:trHeight w:val="300"/>
        </w:trPr>
        <w:tc>
          <w:tcPr>
            <w:tcW w:w="2127" w:type="dxa"/>
            <w:tcBorders>
              <w:top w:val="nil"/>
              <w:left w:val="nil"/>
              <w:bottom w:val="single" w:sz="4" w:space="0" w:color="auto"/>
              <w:right w:val="nil"/>
            </w:tcBorders>
            <w:shd w:val="clear" w:color="auto" w:fill="auto"/>
            <w:vAlign w:val="center"/>
            <w:hideMark/>
          </w:tcPr>
          <w:p w14:paraId="7CE47BBF" w14:textId="77777777" w:rsidR="00CA0EF0" w:rsidRPr="00361E30" w:rsidRDefault="00CA0EF0" w:rsidP="003C13F4">
            <w:pPr>
              <w:spacing w:after="0" w:line="240" w:lineRule="auto"/>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 </w:t>
            </w:r>
          </w:p>
        </w:tc>
        <w:tc>
          <w:tcPr>
            <w:tcW w:w="1667" w:type="dxa"/>
            <w:tcBorders>
              <w:top w:val="nil"/>
              <w:left w:val="nil"/>
              <w:bottom w:val="single" w:sz="4" w:space="0" w:color="auto"/>
              <w:right w:val="nil"/>
            </w:tcBorders>
            <w:shd w:val="clear" w:color="auto" w:fill="auto"/>
            <w:vAlign w:val="center"/>
            <w:hideMark/>
          </w:tcPr>
          <w:p w14:paraId="646C3C14" w14:textId="77777777" w:rsidR="00CA0EF0" w:rsidRPr="00361E30" w:rsidRDefault="00CA0EF0" w:rsidP="003C13F4">
            <w:pPr>
              <w:spacing w:after="0" w:line="240" w:lineRule="auto"/>
              <w:rPr>
                <w:rFonts w:ascii="Arial" w:eastAsia="Times New Roman" w:hAnsi="Arial" w:cs="Arial"/>
                <w:color w:val="000000"/>
                <w:sz w:val="18"/>
                <w:szCs w:val="18"/>
              </w:rPr>
            </w:pPr>
            <w:r w:rsidRPr="00361E30">
              <w:rPr>
                <w:rFonts w:ascii="Arial" w:eastAsia="Times New Roman" w:hAnsi="Arial" w:cs="Arial"/>
                <w:color w:val="000000"/>
                <w:sz w:val="18"/>
                <w:szCs w:val="18"/>
              </w:rPr>
              <w:t>Constant</w:t>
            </w:r>
          </w:p>
        </w:tc>
        <w:tc>
          <w:tcPr>
            <w:tcW w:w="1354" w:type="dxa"/>
            <w:tcBorders>
              <w:top w:val="nil"/>
              <w:left w:val="nil"/>
              <w:bottom w:val="single" w:sz="4" w:space="0" w:color="auto"/>
              <w:right w:val="nil"/>
            </w:tcBorders>
            <w:shd w:val="clear" w:color="auto" w:fill="auto"/>
            <w:vAlign w:val="center"/>
            <w:hideMark/>
          </w:tcPr>
          <w:p w14:paraId="2749C879"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34.274</w:t>
            </w:r>
          </w:p>
        </w:tc>
        <w:tc>
          <w:tcPr>
            <w:tcW w:w="1080" w:type="dxa"/>
            <w:tcBorders>
              <w:top w:val="nil"/>
              <w:left w:val="nil"/>
              <w:bottom w:val="single" w:sz="4" w:space="0" w:color="auto"/>
              <w:right w:val="nil"/>
            </w:tcBorders>
            <w:shd w:val="clear" w:color="auto" w:fill="auto"/>
            <w:vAlign w:val="center"/>
            <w:hideMark/>
          </w:tcPr>
          <w:p w14:paraId="549C9170"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080" w:type="dxa"/>
            <w:tcBorders>
              <w:top w:val="nil"/>
              <w:left w:val="nil"/>
              <w:bottom w:val="single" w:sz="4" w:space="0" w:color="auto"/>
              <w:right w:val="nil"/>
            </w:tcBorders>
            <w:shd w:val="clear" w:color="auto" w:fill="auto"/>
            <w:vAlign w:val="center"/>
            <w:hideMark/>
          </w:tcPr>
          <w:p w14:paraId="15845A78"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170" w:type="dxa"/>
            <w:tcBorders>
              <w:top w:val="nil"/>
              <w:left w:val="nil"/>
              <w:bottom w:val="single" w:sz="4" w:space="0" w:color="auto"/>
              <w:right w:val="nil"/>
            </w:tcBorders>
            <w:shd w:val="clear" w:color="auto" w:fill="auto"/>
            <w:vAlign w:val="center"/>
            <w:hideMark/>
          </w:tcPr>
          <w:p w14:paraId="118F6CD6"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0.000</w:t>
            </w:r>
          </w:p>
        </w:tc>
      </w:tr>
      <w:tr w:rsidR="00CA0EF0" w:rsidRPr="00361E30" w14:paraId="5158EF01" w14:textId="77777777" w:rsidTr="003C13F4">
        <w:trPr>
          <w:trHeight w:val="300"/>
        </w:trPr>
        <w:tc>
          <w:tcPr>
            <w:tcW w:w="2127" w:type="dxa"/>
            <w:tcBorders>
              <w:top w:val="nil"/>
              <w:left w:val="nil"/>
              <w:bottom w:val="nil"/>
              <w:right w:val="nil"/>
            </w:tcBorders>
            <w:shd w:val="clear" w:color="auto" w:fill="auto"/>
            <w:vAlign w:val="center"/>
            <w:hideMark/>
          </w:tcPr>
          <w:p w14:paraId="61AEFED7" w14:textId="77777777" w:rsidR="00CA0EF0" w:rsidRPr="00361E30" w:rsidRDefault="00CA0EF0" w:rsidP="003C13F4">
            <w:pPr>
              <w:spacing w:after="0" w:line="240" w:lineRule="auto"/>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Injury Severity Score (Categorical)</w:t>
            </w:r>
          </w:p>
        </w:tc>
        <w:tc>
          <w:tcPr>
            <w:tcW w:w="1667" w:type="dxa"/>
            <w:tcBorders>
              <w:top w:val="nil"/>
              <w:left w:val="nil"/>
              <w:bottom w:val="nil"/>
              <w:right w:val="nil"/>
            </w:tcBorders>
            <w:shd w:val="clear" w:color="auto" w:fill="auto"/>
            <w:vAlign w:val="center"/>
            <w:hideMark/>
          </w:tcPr>
          <w:p w14:paraId="117360CA" w14:textId="77777777" w:rsidR="00CA0EF0" w:rsidRPr="00361E30" w:rsidRDefault="00CA0EF0" w:rsidP="003C13F4">
            <w:pPr>
              <w:spacing w:after="0" w:line="240" w:lineRule="auto"/>
              <w:rPr>
                <w:rFonts w:ascii="Arial" w:eastAsia="Times New Roman" w:hAnsi="Arial" w:cs="Arial"/>
                <w:color w:val="000000"/>
                <w:sz w:val="18"/>
                <w:szCs w:val="18"/>
              </w:rPr>
            </w:pPr>
            <w:r w:rsidRPr="00361E30">
              <w:rPr>
                <w:rFonts w:ascii="Arial" w:eastAsia="Times New Roman" w:hAnsi="Arial" w:cs="Arial"/>
                <w:color w:val="000000"/>
                <w:sz w:val="18"/>
                <w:szCs w:val="18"/>
              </w:rPr>
              <w:t>ISS 0 - 8</w:t>
            </w:r>
          </w:p>
        </w:tc>
        <w:tc>
          <w:tcPr>
            <w:tcW w:w="1354" w:type="dxa"/>
            <w:tcBorders>
              <w:top w:val="nil"/>
              <w:left w:val="nil"/>
              <w:bottom w:val="nil"/>
              <w:right w:val="nil"/>
            </w:tcBorders>
            <w:shd w:val="clear" w:color="auto" w:fill="auto"/>
            <w:vAlign w:val="center"/>
            <w:hideMark/>
          </w:tcPr>
          <w:p w14:paraId="1254E154"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Reference</w:t>
            </w:r>
          </w:p>
        </w:tc>
        <w:tc>
          <w:tcPr>
            <w:tcW w:w="1080" w:type="dxa"/>
            <w:tcBorders>
              <w:top w:val="nil"/>
              <w:left w:val="nil"/>
              <w:bottom w:val="nil"/>
              <w:right w:val="nil"/>
            </w:tcBorders>
            <w:shd w:val="clear" w:color="auto" w:fill="auto"/>
            <w:vAlign w:val="center"/>
            <w:hideMark/>
          </w:tcPr>
          <w:p w14:paraId="5D5512FA"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080" w:type="dxa"/>
            <w:tcBorders>
              <w:top w:val="nil"/>
              <w:left w:val="nil"/>
              <w:bottom w:val="nil"/>
              <w:right w:val="nil"/>
            </w:tcBorders>
            <w:shd w:val="clear" w:color="auto" w:fill="auto"/>
            <w:vAlign w:val="center"/>
            <w:hideMark/>
          </w:tcPr>
          <w:p w14:paraId="23C5FB41"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170" w:type="dxa"/>
            <w:tcBorders>
              <w:top w:val="nil"/>
              <w:left w:val="nil"/>
              <w:bottom w:val="nil"/>
              <w:right w:val="nil"/>
            </w:tcBorders>
            <w:shd w:val="clear" w:color="auto" w:fill="auto"/>
            <w:noWrap/>
            <w:vAlign w:val="center"/>
            <w:hideMark/>
          </w:tcPr>
          <w:p w14:paraId="7D44BECE"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r>
      <w:tr w:rsidR="00CA0EF0" w:rsidRPr="00361E30" w14:paraId="130DE401" w14:textId="77777777" w:rsidTr="003C13F4">
        <w:trPr>
          <w:trHeight w:val="300"/>
        </w:trPr>
        <w:tc>
          <w:tcPr>
            <w:tcW w:w="2127" w:type="dxa"/>
            <w:tcBorders>
              <w:top w:val="nil"/>
              <w:left w:val="nil"/>
              <w:bottom w:val="nil"/>
              <w:right w:val="nil"/>
            </w:tcBorders>
            <w:shd w:val="clear" w:color="auto" w:fill="auto"/>
            <w:vAlign w:val="center"/>
            <w:hideMark/>
          </w:tcPr>
          <w:p w14:paraId="5BD5D11A" w14:textId="77777777" w:rsidR="00CA0EF0" w:rsidRPr="00361E30" w:rsidRDefault="00CA0EF0" w:rsidP="003C13F4">
            <w:pPr>
              <w:spacing w:after="0" w:line="240" w:lineRule="auto"/>
              <w:rPr>
                <w:rFonts w:ascii="Arial" w:eastAsia="Times New Roman" w:hAnsi="Arial" w:cs="Arial"/>
                <w:b/>
                <w:bCs/>
                <w:color w:val="000000"/>
                <w:sz w:val="18"/>
                <w:szCs w:val="18"/>
              </w:rPr>
            </w:pPr>
          </w:p>
        </w:tc>
        <w:tc>
          <w:tcPr>
            <w:tcW w:w="1667" w:type="dxa"/>
            <w:tcBorders>
              <w:top w:val="nil"/>
              <w:left w:val="nil"/>
              <w:bottom w:val="nil"/>
              <w:right w:val="nil"/>
            </w:tcBorders>
            <w:shd w:val="clear" w:color="auto" w:fill="auto"/>
            <w:vAlign w:val="center"/>
            <w:hideMark/>
          </w:tcPr>
          <w:p w14:paraId="34C3C72F" w14:textId="77777777" w:rsidR="00CA0EF0" w:rsidRPr="00361E30" w:rsidRDefault="00CA0EF0" w:rsidP="003C13F4">
            <w:pPr>
              <w:spacing w:after="0" w:line="240" w:lineRule="auto"/>
              <w:rPr>
                <w:rFonts w:ascii="Arial" w:eastAsia="Times New Roman" w:hAnsi="Arial" w:cs="Arial"/>
                <w:color w:val="000000"/>
                <w:sz w:val="18"/>
                <w:szCs w:val="18"/>
              </w:rPr>
            </w:pPr>
            <w:r w:rsidRPr="00361E30">
              <w:rPr>
                <w:rFonts w:ascii="Arial" w:eastAsia="Times New Roman" w:hAnsi="Arial" w:cs="Arial"/>
                <w:color w:val="000000"/>
                <w:sz w:val="18"/>
                <w:szCs w:val="18"/>
              </w:rPr>
              <w:t>ISS 9 - 15</w:t>
            </w:r>
          </w:p>
        </w:tc>
        <w:tc>
          <w:tcPr>
            <w:tcW w:w="1354" w:type="dxa"/>
            <w:tcBorders>
              <w:top w:val="nil"/>
              <w:left w:val="nil"/>
              <w:bottom w:val="nil"/>
              <w:right w:val="nil"/>
            </w:tcBorders>
            <w:shd w:val="clear" w:color="auto" w:fill="auto"/>
            <w:noWrap/>
            <w:vAlign w:val="center"/>
            <w:hideMark/>
          </w:tcPr>
          <w:p w14:paraId="55BD2FC3"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.600</w:t>
            </w:r>
          </w:p>
        </w:tc>
        <w:tc>
          <w:tcPr>
            <w:tcW w:w="1080" w:type="dxa"/>
            <w:tcBorders>
              <w:top w:val="nil"/>
              <w:left w:val="nil"/>
              <w:bottom w:val="nil"/>
              <w:right w:val="nil"/>
            </w:tcBorders>
            <w:shd w:val="clear" w:color="auto" w:fill="auto"/>
            <w:noWrap/>
            <w:vAlign w:val="center"/>
            <w:hideMark/>
          </w:tcPr>
          <w:p w14:paraId="55DE35F0"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.539</w:t>
            </w:r>
          </w:p>
        </w:tc>
        <w:tc>
          <w:tcPr>
            <w:tcW w:w="1080" w:type="dxa"/>
            <w:tcBorders>
              <w:top w:val="nil"/>
              <w:left w:val="nil"/>
              <w:bottom w:val="nil"/>
              <w:right w:val="nil"/>
            </w:tcBorders>
            <w:shd w:val="clear" w:color="auto" w:fill="auto"/>
            <w:noWrap/>
            <w:vAlign w:val="center"/>
            <w:hideMark/>
          </w:tcPr>
          <w:p w14:paraId="48C819D2"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.667</w:t>
            </w:r>
          </w:p>
        </w:tc>
        <w:tc>
          <w:tcPr>
            <w:tcW w:w="1170" w:type="dxa"/>
            <w:tcBorders>
              <w:top w:val="nil"/>
              <w:left w:val="nil"/>
              <w:bottom w:val="nil"/>
              <w:right w:val="nil"/>
            </w:tcBorders>
            <w:shd w:val="clear" w:color="auto" w:fill="auto"/>
            <w:noWrap/>
            <w:vAlign w:val="center"/>
            <w:hideMark/>
          </w:tcPr>
          <w:p w14:paraId="3F935AC4"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w:t>
            </w:r>
          </w:p>
        </w:tc>
      </w:tr>
      <w:tr w:rsidR="00CA0EF0" w:rsidRPr="00361E30" w14:paraId="6E5B5B89" w14:textId="77777777" w:rsidTr="003C13F4">
        <w:trPr>
          <w:trHeight w:val="300"/>
        </w:trPr>
        <w:tc>
          <w:tcPr>
            <w:tcW w:w="2127" w:type="dxa"/>
            <w:tcBorders>
              <w:top w:val="nil"/>
              <w:left w:val="nil"/>
              <w:bottom w:val="nil"/>
              <w:right w:val="nil"/>
            </w:tcBorders>
            <w:shd w:val="clear" w:color="auto" w:fill="auto"/>
            <w:vAlign w:val="center"/>
            <w:hideMark/>
          </w:tcPr>
          <w:p w14:paraId="16F0A2D4" w14:textId="77777777" w:rsidR="00CA0EF0" w:rsidRPr="00361E30" w:rsidRDefault="00CA0EF0" w:rsidP="003C13F4">
            <w:pPr>
              <w:spacing w:after="0" w:line="240" w:lineRule="auto"/>
              <w:rPr>
                <w:rFonts w:ascii="Arial" w:eastAsia="Times New Roman" w:hAnsi="Arial" w:cs="Arial"/>
                <w:b/>
                <w:bCs/>
                <w:color w:val="000000"/>
                <w:sz w:val="18"/>
                <w:szCs w:val="18"/>
              </w:rPr>
            </w:pPr>
          </w:p>
        </w:tc>
        <w:tc>
          <w:tcPr>
            <w:tcW w:w="1667" w:type="dxa"/>
            <w:tcBorders>
              <w:top w:val="nil"/>
              <w:left w:val="nil"/>
              <w:bottom w:val="nil"/>
              <w:right w:val="nil"/>
            </w:tcBorders>
            <w:shd w:val="clear" w:color="auto" w:fill="auto"/>
            <w:vAlign w:val="center"/>
            <w:hideMark/>
          </w:tcPr>
          <w:p w14:paraId="28A355CA" w14:textId="77777777" w:rsidR="00CA0EF0" w:rsidRPr="00361E30" w:rsidRDefault="00CA0EF0" w:rsidP="003C13F4">
            <w:pPr>
              <w:spacing w:after="0" w:line="240" w:lineRule="auto"/>
              <w:rPr>
                <w:rFonts w:ascii="Arial" w:eastAsia="Times New Roman" w:hAnsi="Arial" w:cs="Arial"/>
                <w:color w:val="000000"/>
                <w:sz w:val="18"/>
                <w:szCs w:val="18"/>
              </w:rPr>
            </w:pPr>
            <w:r w:rsidRPr="00361E30">
              <w:rPr>
                <w:rFonts w:ascii="Arial" w:eastAsia="Times New Roman" w:hAnsi="Arial" w:cs="Arial"/>
                <w:color w:val="000000"/>
                <w:sz w:val="18"/>
                <w:szCs w:val="18"/>
              </w:rPr>
              <w:t>ISS 16 - 24</w:t>
            </w:r>
          </w:p>
        </w:tc>
        <w:tc>
          <w:tcPr>
            <w:tcW w:w="1354" w:type="dxa"/>
            <w:tcBorders>
              <w:top w:val="nil"/>
              <w:left w:val="nil"/>
              <w:bottom w:val="nil"/>
              <w:right w:val="nil"/>
            </w:tcBorders>
            <w:shd w:val="clear" w:color="auto" w:fill="auto"/>
            <w:noWrap/>
            <w:vAlign w:val="center"/>
            <w:hideMark/>
          </w:tcPr>
          <w:p w14:paraId="1D1EF7C2"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.340</w:t>
            </w:r>
          </w:p>
        </w:tc>
        <w:tc>
          <w:tcPr>
            <w:tcW w:w="1080" w:type="dxa"/>
            <w:tcBorders>
              <w:top w:val="nil"/>
              <w:left w:val="nil"/>
              <w:bottom w:val="nil"/>
              <w:right w:val="nil"/>
            </w:tcBorders>
            <w:shd w:val="clear" w:color="auto" w:fill="auto"/>
            <w:noWrap/>
            <w:vAlign w:val="center"/>
            <w:hideMark/>
          </w:tcPr>
          <w:p w14:paraId="48138AFE"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.303</w:t>
            </w:r>
          </w:p>
        </w:tc>
        <w:tc>
          <w:tcPr>
            <w:tcW w:w="1080" w:type="dxa"/>
            <w:tcBorders>
              <w:top w:val="nil"/>
              <w:left w:val="nil"/>
              <w:bottom w:val="nil"/>
              <w:right w:val="nil"/>
            </w:tcBorders>
            <w:shd w:val="clear" w:color="auto" w:fill="auto"/>
            <w:noWrap/>
            <w:vAlign w:val="center"/>
            <w:hideMark/>
          </w:tcPr>
          <w:p w14:paraId="30C810FC"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.382</w:t>
            </w:r>
          </w:p>
        </w:tc>
        <w:tc>
          <w:tcPr>
            <w:tcW w:w="1170" w:type="dxa"/>
            <w:tcBorders>
              <w:top w:val="nil"/>
              <w:left w:val="nil"/>
              <w:bottom w:val="nil"/>
              <w:right w:val="nil"/>
            </w:tcBorders>
            <w:shd w:val="clear" w:color="auto" w:fill="auto"/>
            <w:noWrap/>
            <w:vAlign w:val="center"/>
            <w:hideMark/>
          </w:tcPr>
          <w:p w14:paraId="06405DCE"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w:t>
            </w:r>
          </w:p>
        </w:tc>
      </w:tr>
      <w:tr w:rsidR="00CA0EF0" w:rsidRPr="00361E30" w14:paraId="3A31A4A5" w14:textId="77777777" w:rsidTr="003C13F4">
        <w:trPr>
          <w:trHeight w:val="300"/>
        </w:trPr>
        <w:tc>
          <w:tcPr>
            <w:tcW w:w="2127" w:type="dxa"/>
            <w:tcBorders>
              <w:top w:val="nil"/>
              <w:left w:val="nil"/>
              <w:right w:val="nil"/>
            </w:tcBorders>
            <w:shd w:val="clear" w:color="auto" w:fill="auto"/>
            <w:vAlign w:val="center"/>
            <w:hideMark/>
          </w:tcPr>
          <w:p w14:paraId="41D37D59" w14:textId="77777777" w:rsidR="00CA0EF0" w:rsidRPr="00361E30" w:rsidRDefault="00CA0EF0" w:rsidP="003C13F4">
            <w:pPr>
              <w:spacing w:after="0" w:line="240" w:lineRule="auto"/>
              <w:rPr>
                <w:rFonts w:ascii="Arial" w:eastAsia="Times New Roman" w:hAnsi="Arial" w:cs="Arial"/>
                <w:b/>
                <w:bCs/>
                <w:color w:val="000000"/>
                <w:sz w:val="18"/>
                <w:szCs w:val="18"/>
              </w:rPr>
            </w:pPr>
          </w:p>
        </w:tc>
        <w:tc>
          <w:tcPr>
            <w:tcW w:w="1667" w:type="dxa"/>
            <w:tcBorders>
              <w:top w:val="nil"/>
              <w:left w:val="nil"/>
              <w:bottom w:val="nil"/>
              <w:right w:val="nil"/>
            </w:tcBorders>
            <w:shd w:val="clear" w:color="auto" w:fill="auto"/>
            <w:vAlign w:val="center"/>
            <w:hideMark/>
          </w:tcPr>
          <w:p w14:paraId="697C8C6E" w14:textId="77777777" w:rsidR="00CA0EF0" w:rsidRPr="00361E30" w:rsidRDefault="00CA0EF0" w:rsidP="003C13F4">
            <w:pPr>
              <w:spacing w:after="0" w:line="240" w:lineRule="auto"/>
              <w:rPr>
                <w:rFonts w:ascii="Arial" w:eastAsia="Times New Roman" w:hAnsi="Arial" w:cs="Arial"/>
                <w:color w:val="000000"/>
                <w:sz w:val="18"/>
                <w:szCs w:val="18"/>
              </w:rPr>
            </w:pPr>
            <w:r w:rsidRPr="00361E30">
              <w:rPr>
                <w:rFonts w:ascii="Arial" w:eastAsia="Times New Roman" w:hAnsi="Arial" w:cs="Arial"/>
                <w:color w:val="000000"/>
                <w:sz w:val="18"/>
                <w:szCs w:val="18"/>
              </w:rPr>
              <w:t>ISS &gt;=25</w:t>
            </w:r>
          </w:p>
        </w:tc>
        <w:tc>
          <w:tcPr>
            <w:tcW w:w="1354" w:type="dxa"/>
            <w:tcBorders>
              <w:top w:val="nil"/>
              <w:left w:val="nil"/>
              <w:bottom w:val="nil"/>
              <w:right w:val="nil"/>
            </w:tcBorders>
            <w:shd w:val="clear" w:color="auto" w:fill="auto"/>
            <w:noWrap/>
            <w:vAlign w:val="center"/>
            <w:hideMark/>
          </w:tcPr>
          <w:p w14:paraId="6A2454A4"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.082</w:t>
            </w:r>
          </w:p>
        </w:tc>
        <w:tc>
          <w:tcPr>
            <w:tcW w:w="1080" w:type="dxa"/>
            <w:tcBorders>
              <w:top w:val="nil"/>
              <w:left w:val="nil"/>
              <w:bottom w:val="nil"/>
              <w:right w:val="nil"/>
            </w:tcBorders>
            <w:shd w:val="clear" w:color="auto" w:fill="auto"/>
            <w:noWrap/>
            <w:vAlign w:val="center"/>
            <w:hideMark/>
          </w:tcPr>
          <w:p w14:paraId="0ECFFB03"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.074</w:t>
            </w:r>
          </w:p>
        </w:tc>
        <w:tc>
          <w:tcPr>
            <w:tcW w:w="1080" w:type="dxa"/>
            <w:tcBorders>
              <w:top w:val="nil"/>
              <w:left w:val="nil"/>
              <w:bottom w:val="nil"/>
              <w:right w:val="nil"/>
            </w:tcBorders>
            <w:shd w:val="clear" w:color="auto" w:fill="auto"/>
            <w:noWrap/>
            <w:vAlign w:val="center"/>
            <w:hideMark/>
          </w:tcPr>
          <w:p w14:paraId="5BDD56FD"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.091</w:t>
            </w:r>
          </w:p>
        </w:tc>
        <w:tc>
          <w:tcPr>
            <w:tcW w:w="1170" w:type="dxa"/>
            <w:tcBorders>
              <w:top w:val="nil"/>
              <w:left w:val="nil"/>
              <w:bottom w:val="nil"/>
              <w:right w:val="nil"/>
            </w:tcBorders>
            <w:shd w:val="clear" w:color="auto" w:fill="auto"/>
            <w:noWrap/>
            <w:vAlign w:val="center"/>
            <w:hideMark/>
          </w:tcPr>
          <w:p w14:paraId="555F0AE4"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0.000</w:t>
            </w:r>
          </w:p>
        </w:tc>
      </w:tr>
      <w:tr w:rsidR="00CA0EF0" w:rsidRPr="00361E30" w14:paraId="404A6182" w14:textId="77777777" w:rsidTr="003C13F4">
        <w:trPr>
          <w:trHeight w:val="300"/>
        </w:trPr>
        <w:tc>
          <w:tcPr>
            <w:tcW w:w="2127" w:type="dxa"/>
            <w:tcBorders>
              <w:top w:val="nil"/>
              <w:left w:val="nil"/>
              <w:bottom w:val="single" w:sz="4" w:space="0" w:color="auto"/>
              <w:right w:val="nil"/>
            </w:tcBorders>
            <w:shd w:val="clear" w:color="auto" w:fill="auto"/>
            <w:vAlign w:val="center"/>
            <w:hideMark/>
          </w:tcPr>
          <w:p w14:paraId="1D86234A" w14:textId="77777777" w:rsidR="00CA0EF0" w:rsidRPr="00361E30" w:rsidRDefault="00CA0EF0" w:rsidP="003C13F4">
            <w:pPr>
              <w:spacing w:after="0" w:line="240" w:lineRule="auto"/>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 </w:t>
            </w:r>
          </w:p>
        </w:tc>
        <w:tc>
          <w:tcPr>
            <w:tcW w:w="1667" w:type="dxa"/>
            <w:tcBorders>
              <w:top w:val="nil"/>
              <w:left w:val="nil"/>
              <w:bottom w:val="single" w:sz="4" w:space="0" w:color="auto"/>
              <w:right w:val="nil"/>
            </w:tcBorders>
            <w:shd w:val="clear" w:color="auto" w:fill="auto"/>
            <w:vAlign w:val="center"/>
            <w:hideMark/>
          </w:tcPr>
          <w:p w14:paraId="3E047D17" w14:textId="77777777" w:rsidR="00CA0EF0" w:rsidRPr="00361E30" w:rsidRDefault="00CA0EF0" w:rsidP="003C13F4">
            <w:pPr>
              <w:spacing w:after="0" w:line="240" w:lineRule="auto"/>
              <w:rPr>
                <w:rFonts w:ascii="Arial" w:eastAsia="Times New Roman" w:hAnsi="Arial" w:cs="Arial"/>
                <w:color w:val="000000"/>
                <w:sz w:val="18"/>
                <w:szCs w:val="18"/>
              </w:rPr>
            </w:pPr>
            <w:r w:rsidRPr="00361E30">
              <w:rPr>
                <w:rFonts w:ascii="Arial" w:eastAsia="Times New Roman" w:hAnsi="Arial" w:cs="Arial"/>
                <w:color w:val="000000"/>
                <w:sz w:val="18"/>
                <w:szCs w:val="18"/>
              </w:rPr>
              <w:t>Constant</w:t>
            </w:r>
          </w:p>
        </w:tc>
        <w:tc>
          <w:tcPr>
            <w:tcW w:w="1354" w:type="dxa"/>
            <w:tcBorders>
              <w:top w:val="nil"/>
              <w:left w:val="nil"/>
              <w:bottom w:val="single" w:sz="4" w:space="0" w:color="auto"/>
              <w:right w:val="nil"/>
            </w:tcBorders>
            <w:shd w:val="clear" w:color="auto" w:fill="auto"/>
            <w:vAlign w:val="center"/>
            <w:hideMark/>
          </w:tcPr>
          <w:p w14:paraId="4D3F9F77"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23.097</w:t>
            </w:r>
          </w:p>
        </w:tc>
        <w:tc>
          <w:tcPr>
            <w:tcW w:w="1080" w:type="dxa"/>
            <w:tcBorders>
              <w:top w:val="nil"/>
              <w:left w:val="nil"/>
              <w:bottom w:val="single" w:sz="4" w:space="0" w:color="auto"/>
              <w:right w:val="nil"/>
            </w:tcBorders>
            <w:shd w:val="clear" w:color="auto" w:fill="auto"/>
            <w:vAlign w:val="center"/>
            <w:hideMark/>
          </w:tcPr>
          <w:p w14:paraId="1CD57658"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080" w:type="dxa"/>
            <w:tcBorders>
              <w:top w:val="nil"/>
              <w:left w:val="nil"/>
              <w:bottom w:val="single" w:sz="4" w:space="0" w:color="auto"/>
              <w:right w:val="nil"/>
            </w:tcBorders>
            <w:shd w:val="clear" w:color="auto" w:fill="auto"/>
            <w:vAlign w:val="center"/>
            <w:hideMark/>
          </w:tcPr>
          <w:p w14:paraId="4429C6D7"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170" w:type="dxa"/>
            <w:tcBorders>
              <w:top w:val="nil"/>
              <w:left w:val="nil"/>
              <w:bottom w:val="single" w:sz="4" w:space="0" w:color="auto"/>
              <w:right w:val="nil"/>
            </w:tcBorders>
            <w:shd w:val="clear" w:color="auto" w:fill="auto"/>
            <w:vAlign w:val="center"/>
            <w:hideMark/>
          </w:tcPr>
          <w:p w14:paraId="11BDFAC7"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0.000</w:t>
            </w:r>
          </w:p>
        </w:tc>
      </w:tr>
      <w:tr w:rsidR="00CA0EF0" w:rsidRPr="00361E30" w14:paraId="7E40B187" w14:textId="77777777" w:rsidTr="003C13F4">
        <w:trPr>
          <w:trHeight w:val="300"/>
        </w:trPr>
        <w:tc>
          <w:tcPr>
            <w:tcW w:w="2127" w:type="dxa"/>
            <w:vMerge w:val="restart"/>
            <w:tcBorders>
              <w:top w:val="single" w:sz="4" w:space="0" w:color="auto"/>
              <w:left w:val="nil"/>
              <w:right w:val="nil"/>
            </w:tcBorders>
            <w:shd w:val="clear" w:color="auto" w:fill="auto"/>
            <w:hideMark/>
          </w:tcPr>
          <w:p w14:paraId="008BA16E" w14:textId="77777777" w:rsidR="00CA0EF0" w:rsidRPr="00361E30" w:rsidRDefault="00CA0EF0" w:rsidP="003C13F4">
            <w:pPr>
              <w:spacing w:after="0" w:line="240" w:lineRule="auto"/>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Presence of Severe Traumatic Brain Injury (TBI)</w:t>
            </w:r>
          </w:p>
        </w:tc>
        <w:tc>
          <w:tcPr>
            <w:tcW w:w="1667" w:type="dxa"/>
            <w:tcBorders>
              <w:top w:val="nil"/>
              <w:left w:val="nil"/>
              <w:bottom w:val="nil"/>
              <w:right w:val="nil"/>
            </w:tcBorders>
            <w:shd w:val="clear" w:color="auto" w:fill="auto"/>
            <w:vAlign w:val="center"/>
            <w:hideMark/>
          </w:tcPr>
          <w:p w14:paraId="07BCAD57" w14:textId="77777777" w:rsidR="00CA0EF0" w:rsidRPr="00361E30" w:rsidRDefault="00CA0EF0" w:rsidP="003C13F4">
            <w:pPr>
              <w:spacing w:after="0" w:line="240" w:lineRule="auto"/>
              <w:rPr>
                <w:rFonts w:ascii="Arial" w:eastAsia="Times New Roman" w:hAnsi="Arial" w:cs="Arial"/>
                <w:color w:val="000000"/>
                <w:sz w:val="18"/>
                <w:szCs w:val="18"/>
              </w:rPr>
            </w:pPr>
            <w:r w:rsidRPr="00361E30">
              <w:rPr>
                <w:rFonts w:ascii="Arial" w:eastAsia="Times New Roman" w:hAnsi="Arial" w:cs="Arial"/>
                <w:color w:val="000000"/>
                <w:sz w:val="18"/>
                <w:szCs w:val="18"/>
              </w:rPr>
              <w:t>No severe TBI</w:t>
            </w:r>
          </w:p>
        </w:tc>
        <w:tc>
          <w:tcPr>
            <w:tcW w:w="1354" w:type="dxa"/>
            <w:tcBorders>
              <w:top w:val="nil"/>
              <w:left w:val="nil"/>
              <w:bottom w:val="nil"/>
              <w:right w:val="nil"/>
            </w:tcBorders>
            <w:shd w:val="clear" w:color="auto" w:fill="auto"/>
            <w:noWrap/>
            <w:vAlign w:val="center"/>
            <w:hideMark/>
          </w:tcPr>
          <w:p w14:paraId="6C5294CE"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Reference</w:t>
            </w:r>
          </w:p>
        </w:tc>
        <w:tc>
          <w:tcPr>
            <w:tcW w:w="1080" w:type="dxa"/>
            <w:tcBorders>
              <w:top w:val="nil"/>
              <w:left w:val="nil"/>
              <w:bottom w:val="nil"/>
              <w:right w:val="nil"/>
            </w:tcBorders>
            <w:shd w:val="clear" w:color="auto" w:fill="auto"/>
            <w:noWrap/>
            <w:vAlign w:val="center"/>
            <w:hideMark/>
          </w:tcPr>
          <w:p w14:paraId="3723A300"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080" w:type="dxa"/>
            <w:tcBorders>
              <w:top w:val="nil"/>
              <w:left w:val="nil"/>
              <w:bottom w:val="nil"/>
              <w:right w:val="nil"/>
            </w:tcBorders>
            <w:shd w:val="clear" w:color="auto" w:fill="auto"/>
            <w:vAlign w:val="center"/>
            <w:hideMark/>
          </w:tcPr>
          <w:p w14:paraId="6D31187B"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170" w:type="dxa"/>
            <w:tcBorders>
              <w:top w:val="nil"/>
              <w:left w:val="nil"/>
              <w:bottom w:val="nil"/>
              <w:right w:val="nil"/>
            </w:tcBorders>
            <w:shd w:val="clear" w:color="auto" w:fill="auto"/>
            <w:vAlign w:val="center"/>
            <w:hideMark/>
          </w:tcPr>
          <w:p w14:paraId="0F850C97"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r>
      <w:tr w:rsidR="00CA0EF0" w:rsidRPr="00361E30" w14:paraId="34F033F6" w14:textId="77777777" w:rsidTr="003C13F4">
        <w:trPr>
          <w:trHeight w:val="300"/>
        </w:trPr>
        <w:tc>
          <w:tcPr>
            <w:tcW w:w="2127" w:type="dxa"/>
            <w:vMerge/>
            <w:tcBorders>
              <w:left w:val="nil"/>
              <w:bottom w:val="nil"/>
              <w:right w:val="nil"/>
            </w:tcBorders>
            <w:shd w:val="clear" w:color="auto" w:fill="auto"/>
            <w:hideMark/>
          </w:tcPr>
          <w:p w14:paraId="12E77C7C" w14:textId="77777777" w:rsidR="00CA0EF0" w:rsidRPr="00361E30" w:rsidRDefault="00CA0EF0" w:rsidP="003C13F4">
            <w:pPr>
              <w:spacing w:after="0" w:line="240" w:lineRule="auto"/>
              <w:rPr>
                <w:rFonts w:ascii="Arial" w:eastAsia="Times New Roman" w:hAnsi="Arial" w:cs="Arial"/>
                <w:b/>
                <w:bCs/>
                <w:color w:val="000000"/>
                <w:sz w:val="18"/>
                <w:szCs w:val="18"/>
              </w:rPr>
            </w:pPr>
          </w:p>
        </w:tc>
        <w:tc>
          <w:tcPr>
            <w:tcW w:w="1667" w:type="dxa"/>
            <w:tcBorders>
              <w:top w:val="nil"/>
              <w:left w:val="nil"/>
              <w:bottom w:val="nil"/>
              <w:right w:val="nil"/>
            </w:tcBorders>
            <w:shd w:val="clear" w:color="auto" w:fill="auto"/>
            <w:vAlign w:val="center"/>
            <w:hideMark/>
          </w:tcPr>
          <w:p w14:paraId="559F5F03" w14:textId="77777777" w:rsidR="00CA0EF0" w:rsidRPr="00361E30" w:rsidRDefault="00CA0EF0" w:rsidP="003C13F4">
            <w:pPr>
              <w:spacing w:after="0" w:line="240" w:lineRule="auto"/>
              <w:rPr>
                <w:rFonts w:ascii="Arial" w:eastAsia="Times New Roman" w:hAnsi="Arial" w:cs="Arial"/>
                <w:color w:val="000000"/>
                <w:sz w:val="18"/>
                <w:szCs w:val="18"/>
              </w:rPr>
            </w:pPr>
            <w:r w:rsidRPr="00361E30">
              <w:rPr>
                <w:rFonts w:ascii="Arial" w:eastAsia="Times New Roman" w:hAnsi="Arial" w:cs="Arial"/>
                <w:color w:val="000000"/>
                <w:sz w:val="18"/>
                <w:szCs w:val="18"/>
              </w:rPr>
              <w:t>Severe TBI</w:t>
            </w:r>
          </w:p>
        </w:tc>
        <w:tc>
          <w:tcPr>
            <w:tcW w:w="1354" w:type="dxa"/>
            <w:tcBorders>
              <w:top w:val="nil"/>
              <w:left w:val="nil"/>
              <w:bottom w:val="nil"/>
              <w:right w:val="nil"/>
            </w:tcBorders>
            <w:shd w:val="clear" w:color="auto" w:fill="auto"/>
            <w:noWrap/>
            <w:vAlign w:val="center"/>
            <w:hideMark/>
          </w:tcPr>
          <w:p w14:paraId="5E0CD83F"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0.246</w:t>
            </w:r>
          </w:p>
        </w:tc>
        <w:tc>
          <w:tcPr>
            <w:tcW w:w="1080" w:type="dxa"/>
            <w:tcBorders>
              <w:top w:val="nil"/>
              <w:left w:val="nil"/>
              <w:bottom w:val="nil"/>
              <w:right w:val="nil"/>
            </w:tcBorders>
            <w:shd w:val="clear" w:color="auto" w:fill="auto"/>
            <w:vAlign w:val="center"/>
            <w:hideMark/>
          </w:tcPr>
          <w:p w14:paraId="2DD0C0C7"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0.232</w:t>
            </w:r>
          </w:p>
        </w:tc>
        <w:tc>
          <w:tcPr>
            <w:tcW w:w="1080" w:type="dxa"/>
            <w:tcBorders>
              <w:top w:val="nil"/>
              <w:left w:val="nil"/>
              <w:bottom w:val="nil"/>
              <w:right w:val="nil"/>
            </w:tcBorders>
            <w:shd w:val="clear" w:color="auto" w:fill="auto"/>
            <w:vAlign w:val="center"/>
            <w:hideMark/>
          </w:tcPr>
          <w:p w14:paraId="3C806E9B"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0.262</w:t>
            </w:r>
          </w:p>
        </w:tc>
        <w:tc>
          <w:tcPr>
            <w:tcW w:w="1170" w:type="dxa"/>
            <w:tcBorders>
              <w:top w:val="nil"/>
              <w:left w:val="nil"/>
              <w:bottom w:val="nil"/>
              <w:right w:val="nil"/>
            </w:tcBorders>
            <w:shd w:val="clear" w:color="auto" w:fill="auto"/>
            <w:noWrap/>
            <w:vAlign w:val="center"/>
            <w:hideMark/>
          </w:tcPr>
          <w:p w14:paraId="262001C2"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6952ACF7" w14:textId="77777777" w:rsidTr="003C13F4">
        <w:trPr>
          <w:trHeight w:val="300"/>
        </w:trPr>
        <w:tc>
          <w:tcPr>
            <w:tcW w:w="2127" w:type="dxa"/>
            <w:tcBorders>
              <w:top w:val="nil"/>
              <w:left w:val="nil"/>
              <w:bottom w:val="single" w:sz="4" w:space="0" w:color="auto"/>
              <w:right w:val="nil"/>
            </w:tcBorders>
            <w:shd w:val="clear" w:color="auto" w:fill="auto"/>
            <w:hideMark/>
          </w:tcPr>
          <w:p w14:paraId="7E063EF4" w14:textId="77777777" w:rsidR="00CA0EF0" w:rsidRPr="00361E30" w:rsidRDefault="00CA0EF0" w:rsidP="003C13F4">
            <w:pPr>
              <w:spacing w:after="0" w:line="240" w:lineRule="auto"/>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 (AIS &gt;=3)</w:t>
            </w:r>
          </w:p>
        </w:tc>
        <w:tc>
          <w:tcPr>
            <w:tcW w:w="1667" w:type="dxa"/>
            <w:tcBorders>
              <w:top w:val="nil"/>
              <w:left w:val="nil"/>
              <w:bottom w:val="single" w:sz="4" w:space="0" w:color="auto"/>
              <w:right w:val="nil"/>
            </w:tcBorders>
            <w:shd w:val="clear" w:color="auto" w:fill="auto"/>
            <w:vAlign w:val="center"/>
            <w:hideMark/>
          </w:tcPr>
          <w:p w14:paraId="50AA07A2" w14:textId="77777777" w:rsidR="00CA0EF0" w:rsidRPr="00361E30" w:rsidRDefault="00CA0EF0" w:rsidP="003C13F4">
            <w:pPr>
              <w:spacing w:after="0" w:line="240" w:lineRule="auto"/>
              <w:rPr>
                <w:rFonts w:ascii="Arial" w:eastAsia="Times New Roman" w:hAnsi="Arial" w:cs="Arial"/>
                <w:color w:val="000000"/>
                <w:sz w:val="18"/>
                <w:szCs w:val="18"/>
              </w:rPr>
            </w:pPr>
            <w:r w:rsidRPr="00361E30">
              <w:rPr>
                <w:rFonts w:ascii="Arial" w:eastAsia="Times New Roman" w:hAnsi="Arial" w:cs="Arial"/>
                <w:color w:val="000000"/>
                <w:sz w:val="18"/>
                <w:szCs w:val="18"/>
              </w:rPr>
              <w:t>Constant</w:t>
            </w:r>
          </w:p>
        </w:tc>
        <w:tc>
          <w:tcPr>
            <w:tcW w:w="1354" w:type="dxa"/>
            <w:tcBorders>
              <w:top w:val="nil"/>
              <w:left w:val="nil"/>
              <w:bottom w:val="single" w:sz="4" w:space="0" w:color="auto"/>
              <w:right w:val="nil"/>
            </w:tcBorders>
            <w:shd w:val="clear" w:color="auto" w:fill="auto"/>
            <w:noWrap/>
            <w:vAlign w:val="center"/>
            <w:hideMark/>
          </w:tcPr>
          <w:p w14:paraId="25F3A865"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14.013</w:t>
            </w:r>
          </w:p>
        </w:tc>
        <w:tc>
          <w:tcPr>
            <w:tcW w:w="1080" w:type="dxa"/>
            <w:tcBorders>
              <w:top w:val="nil"/>
              <w:left w:val="nil"/>
              <w:bottom w:val="single" w:sz="4" w:space="0" w:color="auto"/>
              <w:right w:val="nil"/>
            </w:tcBorders>
            <w:shd w:val="clear" w:color="auto" w:fill="auto"/>
            <w:noWrap/>
            <w:vAlign w:val="center"/>
            <w:hideMark/>
          </w:tcPr>
          <w:p w14:paraId="0F8FFCAB"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 </w:t>
            </w:r>
          </w:p>
        </w:tc>
        <w:tc>
          <w:tcPr>
            <w:tcW w:w="1080" w:type="dxa"/>
            <w:tcBorders>
              <w:top w:val="nil"/>
              <w:left w:val="nil"/>
              <w:bottom w:val="single" w:sz="4" w:space="0" w:color="auto"/>
              <w:right w:val="nil"/>
            </w:tcBorders>
            <w:shd w:val="clear" w:color="auto" w:fill="auto"/>
            <w:vAlign w:val="center"/>
            <w:hideMark/>
          </w:tcPr>
          <w:p w14:paraId="21DCD4A9"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 </w:t>
            </w:r>
          </w:p>
        </w:tc>
        <w:tc>
          <w:tcPr>
            <w:tcW w:w="1170" w:type="dxa"/>
            <w:tcBorders>
              <w:top w:val="nil"/>
              <w:left w:val="nil"/>
              <w:bottom w:val="single" w:sz="4" w:space="0" w:color="auto"/>
              <w:right w:val="nil"/>
            </w:tcBorders>
            <w:shd w:val="clear" w:color="auto" w:fill="auto"/>
            <w:vAlign w:val="center"/>
            <w:hideMark/>
          </w:tcPr>
          <w:p w14:paraId="2FD71523"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 </w:t>
            </w:r>
          </w:p>
        </w:tc>
      </w:tr>
      <w:tr w:rsidR="00CA0EF0" w:rsidRPr="00361E30" w14:paraId="35F926DD" w14:textId="77777777" w:rsidTr="003C13F4">
        <w:trPr>
          <w:trHeight w:val="300"/>
        </w:trPr>
        <w:tc>
          <w:tcPr>
            <w:tcW w:w="2127" w:type="dxa"/>
            <w:tcBorders>
              <w:top w:val="nil"/>
              <w:left w:val="nil"/>
              <w:bottom w:val="nil"/>
              <w:right w:val="nil"/>
            </w:tcBorders>
            <w:shd w:val="clear" w:color="auto" w:fill="auto"/>
            <w:vAlign w:val="center"/>
            <w:hideMark/>
          </w:tcPr>
          <w:p w14:paraId="23C263FD" w14:textId="77777777" w:rsidR="00CA0EF0" w:rsidRPr="00361E30" w:rsidRDefault="00CA0EF0" w:rsidP="003C13F4">
            <w:pPr>
              <w:spacing w:after="0" w:line="240" w:lineRule="auto"/>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Number of Injuries (Categorical)</w:t>
            </w:r>
          </w:p>
        </w:tc>
        <w:tc>
          <w:tcPr>
            <w:tcW w:w="1667" w:type="dxa"/>
            <w:tcBorders>
              <w:top w:val="nil"/>
              <w:left w:val="nil"/>
              <w:bottom w:val="nil"/>
              <w:right w:val="nil"/>
            </w:tcBorders>
            <w:shd w:val="clear" w:color="auto" w:fill="auto"/>
            <w:vAlign w:val="center"/>
            <w:hideMark/>
          </w:tcPr>
          <w:p w14:paraId="738295BB" w14:textId="77777777" w:rsidR="00CA0EF0" w:rsidRPr="00361E30" w:rsidRDefault="00CA0EF0" w:rsidP="003C13F4">
            <w:pPr>
              <w:spacing w:after="0" w:line="240" w:lineRule="auto"/>
              <w:rPr>
                <w:rFonts w:ascii="Arial" w:eastAsia="Times New Roman" w:hAnsi="Arial" w:cs="Arial"/>
                <w:color w:val="000000"/>
                <w:sz w:val="18"/>
                <w:szCs w:val="18"/>
              </w:rPr>
            </w:pPr>
            <w:r w:rsidRPr="00361E30">
              <w:rPr>
                <w:rFonts w:ascii="Arial" w:eastAsia="Times New Roman" w:hAnsi="Arial" w:cs="Arial"/>
                <w:color w:val="000000"/>
                <w:sz w:val="18"/>
                <w:szCs w:val="18"/>
              </w:rPr>
              <w:t>1 Injury</w:t>
            </w:r>
          </w:p>
        </w:tc>
        <w:tc>
          <w:tcPr>
            <w:tcW w:w="1354" w:type="dxa"/>
            <w:tcBorders>
              <w:top w:val="nil"/>
              <w:left w:val="nil"/>
              <w:bottom w:val="nil"/>
              <w:right w:val="nil"/>
            </w:tcBorders>
            <w:shd w:val="clear" w:color="auto" w:fill="auto"/>
            <w:vAlign w:val="center"/>
            <w:hideMark/>
          </w:tcPr>
          <w:p w14:paraId="73B7294E"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Reference</w:t>
            </w:r>
          </w:p>
        </w:tc>
        <w:tc>
          <w:tcPr>
            <w:tcW w:w="1080" w:type="dxa"/>
            <w:tcBorders>
              <w:top w:val="nil"/>
              <w:left w:val="nil"/>
              <w:bottom w:val="nil"/>
              <w:right w:val="nil"/>
            </w:tcBorders>
            <w:shd w:val="clear" w:color="auto" w:fill="auto"/>
            <w:vAlign w:val="center"/>
            <w:hideMark/>
          </w:tcPr>
          <w:p w14:paraId="54B897A3"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080" w:type="dxa"/>
            <w:tcBorders>
              <w:top w:val="nil"/>
              <w:left w:val="nil"/>
              <w:bottom w:val="nil"/>
              <w:right w:val="nil"/>
            </w:tcBorders>
            <w:shd w:val="clear" w:color="auto" w:fill="auto"/>
            <w:vAlign w:val="center"/>
            <w:hideMark/>
          </w:tcPr>
          <w:p w14:paraId="489E1D42"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170" w:type="dxa"/>
            <w:tcBorders>
              <w:top w:val="nil"/>
              <w:left w:val="nil"/>
              <w:bottom w:val="nil"/>
              <w:right w:val="nil"/>
            </w:tcBorders>
            <w:shd w:val="clear" w:color="auto" w:fill="auto"/>
            <w:noWrap/>
            <w:vAlign w:val="center"/>
            <w:hideMark/>
          </w:tcPr>
          <w:p w14:paraId="74D54D08"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r>
      <w:tr w:rsidR="00CA0EF0" w:rsidRPr="00361E30" w14:paraId="2E153772" w14:textId="77777777" w:rsidTr="003C13F4">
        <w:trPr>
          <w:trHeight w:val="300"/>
        </w:trPr>
        <w:tc>
          <w:tcPr>
            <w:tcW w:w="2127" w:type="dxa"/>
            <w:tcBorders>
              <w:top w:val="nil"/>
              <w:left w:val="nil"/>
              <w:bottom w:val="nil"/>
              <w:right w:val="nil"/>
            </w:tcBorders>
            <w:shd w:val="clear" w:color="auto" w:fill="auto"/>
            <w:vAlign w:val="center"/>
            <w:hideMark/>
          </w:tcPr>
          <w:p w14:paraId="3254C8F9" w14:textId="77777777" w:rsidR="00CA0EF0" w:rsidRPr="00361E30" w:rsidRDefault="00CA0EF0" w:rsidP="003C13F4">
            <w:pPr>
              <w:spacing w:after="0" w:line="240" w:lineRule="auto"/>
              <w:rPr>
                <w:rFonts w:ascii="Arial" w:eastAsia="Times New Roman" w:hAnsi="Arial" w:cs="Arial"/>
                <w:b/>
                <w:bCs/>
                <w:color w:val="000000"/>
                <w:sz w:val="18"/>
                <w:szCs w:val="18"/>
              </w:rPr>
            </w:pPr>
          </w:p>
        </w:tc>
        <w:tc>
          <w:tcPr>
            <w:tcW w:w="1667" w:type="dxa"/>
            <w:tcBorders>
              <w:top w:val="nil"/>
              <w:left w:val="nil"/>
              <w:bottom w:val="nil"/>
              <w:right w:val="nil"/>
            </w:tcBorders>
            <w:shd w:val="clear" w:color="auto" w:fill="auto"/>
            <w:vAlign w:val="center"/>
            <w:hideMark/>
          </w:tcPr>
          <w:p w14:paraId="79AEC661" w14:textId="77777777" w:rsidR="00CA0EF0" w:rsidRPr="00361E30" w:rsidRDefault="00CA0EF0" w:rsidP="003C13F4">
            <w:pPr>
              <w:spacing w:after="0" w:line="240" w:lineRule="auto"/>
              <w:rPr>
                <w:rFonts w:ascii="Arial" w:eastAsia="Times New Roman" w:hAnsi="Arial" w:cs="Arial"/>
                <w:color w:val="000000"/>
                <w:sz w:val="18"/>
                <w:szCs w:val="18"/>
              </w:rPr>
            </w:pPr>
            <w:r w:rsidRPr="00361E30">
              <w:rPr>
                <w:rFonts w:ascii="Arial" w:eastAsia="Times New Roman" w:hAnsi="Arial" w:cs="Arial"/>
                <w:color w:val="000000"/>
                <w:sz w:val="18"/>
                <w:szCs w:val="18"/>
              </w:rPr>
              <w:t>2 Injuries</w:t>
            </w:r>
          </w:p>
        </w:tc>
        <w:tc>
          <w:tcPr>
            <w:tcW w:w="1354" w:type="dxa"/>
            <w:tcBorders>
              <w:top w:val="nil"/>
              <w:left w:val="nil"/>
              <w:bottom w:val="nil"/>
              <w:right w:val="nil"/>
            </w:tcBorders>
            <w:shd w:val="clear" w:color="auto" w:fill="auto"/>
            <w:noWrap/>
            <w:vAlign w:val="center"/>
            <w:hideMark/>
          </w:tcPr>
          <w:p w14:paraId="40FD73D8"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.695</w:t>
            </w:r>
          </w:p>
        </w:tc>
        <w:tc>
          <w:tcPr>
            <w:tcW w:w="1080" w:type="dxa"/>
            <w:tcBorders>
              <w:top w:val="nil"/>
              <w:left w:val="nil"/>
              <w:bottom w:val="nil"/>
              <w:right w:val="nil"/>
            </w:tcBorders>
            <w:shd w:val="clear" w:color="auto" w:fill="auto"/>
            <w:noWrap/>
            <w:vAlign w:val="center"/>
            <w:hideMark/>
          </w:tcPr>
          <w:p w14:paraId="56520201"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.635</w:t>
            </w:r>
          </w:p>
        </w:tc>
        <w:tc>
          <w:tcPr>
            <w:tcW w:w="1080" w:type="dxa"/>
            <w:tcBorders>
              <w:top w:val="nil"/>
              <w:left w:val="nil"/>
              <w:bottom w:val="nil"/>
              <w:right w:val="nil"/>
            </w:tcBorders>
            <w:shd w:val="clear" w:color="auto" w:fill="auto"/>
            <w:noWrap/>
            <w:vAlign w:val="center"/>
            <w:hideMark/>
          </w:tcPr>
          <w:p w14:paraId="2323C6B8"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.760</w:t>
            </w:r>
          </w:p>
        </w:tc>
        <w:tc>
          <w:tcPr>
            <w:tcW w:w="1170" w:type="dxa"/>
            <w:tcBorders>
              <w:top w:val="nil"/>
              <w:left w:val="nil"/>
              <w:bottom w:val="nil"/>
              <w:right w:val="nil"/>
            </w:tcBorders>
            <w:shd w:val="clear" w:color="auto" w:fill="auto"/>
            <w:noWrap/>
            <w:vAlign w:val="center"/>
            <w:hideMark/>
          </w:tcPr>
          <w:p w14:paraId="2E8B38F7"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w:t>
            </w:r>
          </w:p>
        </w:tc>
      </w:tr>
      <w:tr w:rsidR="00CA0EF0" w:rsidRPr="00361E30" w14:paraId="39FF3233" w14:textId="77777777" w:rsidTr="003C13F4">
        <w:trPr>
          <w:trHeight w:val="300"/>
        </w:trPr>
        <w:tc>
          <w:tcPr>
            <w:tcW w:w="2127" w:type="dxa"/>
            <w:tcBorders>
              <w:top w:val="nil"/>
              <w:left w:val="nil"/>
              <w:bottom w:val="nil"/>
              <w:right w:val="nil"/>
            </w:tcBorders>
            <w:shd w:val="clear" w:color="auto" w:fill="auto"/>
            <w:vAlign w:val="center"/>
            <w:hideMark/>
          </w:tcPr>
          <w:p w14:paraId="7EFCD079" w14:textId="77777777" w:rsidR="00CA0EF0" w:rsidRPr="00361E30" w:rsidRDefault="00CA0EF0" w:rsidP="003C13F4">
            <w:pPr>
              <w:spacing w:after="0" w:line="240" w:lineRule="auto"/>
              <w:rPr>
                <w:rFonts w:ascii="Arial" w:eastAsia="Times New Roman" w:hAnsi="Arial" w:cs="Arial"/>
                <w:b/>
                <w:bCs/>
                <w:color w:val="000000"/>
                <w:sz w:val="18"/>
                <w:szCs w:val="18"/>
              </w:rPr>
            </w:pPr>
          </w:p>
        </w:tc>
        <w:tc>
          <w:tcPr>
            <w:tcW w:w="1667" w:type="dxa"/>
            <w:tcBorders>
              <w:top w:val="nil"/>
              <w:left w:val="nil"/>
              <w:bottom w:val="nil"/>
              <w:right w:val="nil"/>
            </w:tcBorders>
            <w:shd w:val="clear" w:color="auto" w:fill="auto"/>
            <w:vAlign w:val="center"/>
            <w:hideMark/>
          </w:tcPr>
          <w:p w14:paraId="43D6BDC6" w14:textId="77777777" w:rsidR="00CA0EF0" w:rsidRPr="00361E30" w:rsidRDefault="00CA0EF0" w:rsidP="003C13F4">
            <w:pPr>
              <w:spacing w:after="0" w:line="240" w:lineRule="auto"/>
              <w:rPr>
                <w:rFonts w:ascii="Arial" w:eastAsia="Times New Roman" w:hAnsi="Arial" w:cs="Arial"/>
                <w:color w:val="000000"/>
                <w:sz w:val="18"/>
                <w:szCs w:val="18"/>
              </w:rPr>
            </w:pPr>
            <w:r w:rsidRPr="00361E30">
              <w:rPr>
                <w:rFonts w:ascii="Arial" w:eastAsia="Times New Roman" w:hAnsi="Arial" w:cs="Arial"/>
                <w:color w:val="000000"/>
                <w:sz w:val="18"/>
                <w:szCs w:val="18"/>
              </w:rPr>
              <w:t>&gt;= 3 Injuries</w:t>
            </w:r>
          </w:p>
        </w:tc>
        <w:tc>
          <w:tcPr>
            <w:tcW w:w="1354" w:type="dxa"/>
            <w:tcBorders>
              <w:top w:val="nil"/>
              <w:left w:val="nil"/>
              <w:bottom w:val="nil"/>
              <w:right w:val="nil"/>
            </w:tcBorders>
            <w:shd w:val="clear" w:color="auto" w:fill="auto"/>
            <w:noWrap/>
            <w:vAlign w:val="center"/>
            <w:hideMark/>
          </w:tcPr>
          <w:p w14:paraId="203B2CAC"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.296</w:t>
            </w:r>
          </w:p>
        </w:tc>
        <w:tc>
          <w:tcPr>
            <w:tcW w:w="1080" w:type="dxa"/>
            <w:tcBorders>
              <w:top w:val="nil"/>
              <w:left w:val="nil"/>
              <w:bottom w:val="nil"/>
              <w:right w:val="nil"/>
            </w:tcBorders>
            <w:shd w:val="clear" w:color="auto" w:fill="auto"/>
            <w:noWrap/>
            <w:vAlign w:val="center"/>
            <w:hideMark/>
          </w:tcPr>
          <w:p w14:paraId="192D90DD"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.274</w:t>
            </w:r>
          </w:p>
        </w:tc>
        <w:tc>
          <w:tcPr>
            <w:tcW w:w="1080" w:type="dxa"/>
            <w:tcBorders>
              <w:top w:val="nil"/>
              <w:left w:val="nil"/>
              <w:bottom w:val="nil"/>
              <w:right w:val="nil"/>
            </w:tcBorders>
            <w:shd w:val="clear" w:color="auto" w:fill="auto"/>
            <w:noWrap/>
            <w:vAlign w:val="center"/>
            <w:hideMark/>
          </w:tcPr>
          <w:p w14:paraId="041B219D"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.320</w:t>
            </w:r>
          </w:p>
        </w:tc>
        <w:tc>
          <w:tcPr>
            <w:tcW w:w="1170" w:type="dxa"/>
            <w:tcBorders>
              <w:top w:val="nil"/>
              <w:left w:val="nil"/>
              <w:bottom w:val="nil"/>
              <w:right w:val="nil"/>
            </w:tcBorders>
            <w:shd w:val="clear" w:color="auto" w:fill="auto"/>
            <w:noWrap/>
            <w:vAlign w:val="center"/>
            <w:hideMark/>
          </w:tcPr>
          <w:p w14:paraId="1FE547C6"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w:t>
            </w:r>
          </w:p>
        </w:tc>
      </w:tr>
      <w:tr w:rsidR="00CA0EF0" w:rsidRPr="00361E30" w14:paraId="229969D5" w14:textId="77777777" w:rsidTr="003C13F4">
        <w:trPr>
          <w:trHeight w:val="330"/>
        </w:trPr>
        <w:tc>
          <w:tcPr>
            <w:tcW w:w="2127" w:type="dxa"/>
            <w:tcBorders>
              <w:top w:val="nil"/>
              <w:left w:val="nil"/>
              <w:bottom w:val="single" w:sz="4" w:space="0" w:color="auto"/>
              <w:right w:val="nil"/>
            </w:tcBorders>
            <w:shd w:val="clear" w:color="auto" w:fill="auto"/>
            <w:vAlign w:val="center"/>
            <w:hideMark/>
          </w:tcPr>
          <w:p w14:paraId="0E359C02" w14:textId="77777777" w:rsidR="00CA0EF0" w:rsidRPr="00361E30" w:rsidRDefault="00CA0EF0" w:rsidP="003C13F4">
            <w:pPr>
              <w:spacing w:after="0" w:line="240" w:lineRule="auto"/>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 </w:t>
            </w:r>
          </w:p>
        </w:tc>
        <w:tc>
          <w:tcPr>
            <w:tcW w:w="1667" w:type="dxa"/>
            <w:tcBorders>
              <w:top w:val="nil"/>
              <w:left w:val="nil"/>
              <w:bottom w:val="single" w:sz="4" w:space="0" w:color="auto"/>
              <w:right w:val="nil"/>
            </w:tcBorders>
            <w:shd w:val="clear" w:color="auto" w:fill="auto"/>
            <w:vAlign w:val="center"/>
            <w:hideMark/>
          </w:tcPr>
          <w:p w14:paraId="39AEA529" w14:textId="77777777" w:rsidR="00CA0EF0" w:rsidRPr="00361E30" w:rsidRDefault="00CA0EF0" w:rsidP="003C13F4">
            <w:pPr>
              <w:spacing w:after="0" w:line="240" w:lineRule="auto"/>
              <w:rPr>
                <w:rFonts w:ascii="Arial" w:eastAsia="Times New Roman" w:hAnsi="Arial" w:cs="Arial"/>
                <w:color w:val="000000"/>
                <w:sz w:val="18"/>
                <w:szCs w:val="18"/>
              </w:rPr>
            </w:pPr>
            <w:r w:rsidRPr="00361E30">
              <w:rPr>
                <w:rFonts w:ascii="Arial" w:eastAsia="Times New Roman" w:hAnsi="Arial" w:cs="Arial"/>
                <w:color w:val="000000"/>
                <w:sz w:val="18"/>
                <w:szCs w:val="18"/>
              </w:rPr>
              <w:t>Constant</w:t>
            </w:r>
          </w:p>
        </w:tc>
        <w:tc>
          <w:tcPr>
            <w:tcW w:w="1354" w:type="dxa"/>
            <w:tcBorders>
              <w:top w:val="nil"/>
              <w:left w:val="nil"/>
              <w:bottom w:val="single" w:sz="4" w:space="0" w:color="auto"/>
              <w:right w:val="nil"/>
            </w:tcBorders>
            <w:shd w:val="clear" w:color="auto" w:fill="auto"/>
            <w:vAlign w:val="center"/>
            <w:hideMark/>
          </w:tcPr>
          <w:p w14:paraId="7C02E4B7"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15.834</w:t>
            </w:r>
          </w:p>
        </w:tc>
        <w:tc>
          <w:tcPr>
            <w:tcW w:w="1080" w:type="dxa"/>
            <w:tcBorders>
              <w:top w:val="nil"/>
              <w:left w:val="nil"/>
              <w:bottom w:val="single" w:sz="4" w:space="0" w:color="auto"/>
              <w:right w:val="nil"/>
            </w:tcBorders>
            <w:shd w:val="clear" w:color="auto" w:fill="auto"/>
            <w:vAlign w:val="center"/>
            <w:hideMark/>
          </w:tcPr>
          <w:p w14:paraId="160D43FC"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080" w:type="dxa"/>
            <w:tcBorders>
              <w:top w:val="nil"/>
              <w:left w:val="nil"/>
              <w:bottom w:val="single" w:sz="4" w:space="0" w:color="auto"/>
              <w:right w:val="nil"/>
            </w:tcBorders>
            <w:shd w:val="clear" w:color="auto" w:fill="auto"/>
            <w:vAlign w:val="center"/>
            <w:hideMark/>
          </w:tcPr>
          <w:p w14:paraId="15F5C5A2"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170" w:type="dxa"/>
            <w:tcBorders>
              <w:top w:val="nil"/>
              <w:left w:val="nil"/>
              <w:bottom w:val="single" w:sz="4" w:space="0" w:color="auto"/>
              <w:right w:val="nil"/>
            </w:tcBorders>
            <w:shd w:val="clear" w:color="auto" w:fill="auto"/>
            <w:vAlign w:val="center"/>
            <w:hideMark/>
          </w:tcPr>
          <w:p w14:paraId="10AB9C57"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0.000</w:t>
            </w:r>
          </w:p>
        </w:tc>
      </w:tr>
      <w:tr w:rsidR="00CA0EF0" w:rsidRPr="00361E30" w14:paraId="64B0EE18" w14:textId="77777777" w:rsidTr="003C13F4">
        <w:trPr>
          <w:trHeight w:val="300"/>
        </w:trPr>
        <w:tc>
          <w:tcPr>
            <w:tcW w:w="2127" w:type="dxa"/>
            <w:tcBorders>
              <w:top w:val="nil"/>
              <w:left w:val="nil"/>
              <w:bottom w:val="nil"/>
              <w:right w:val="nil"/>
            </w:tcBorders>
            <w:shd w:val="clear" w:color="auto" w:fill="auto"/>
            <w:vAlign w:val="center"/>
            <w:hideMark/>
          </w:tcPr>
          <w:p w14:paraId="727DDB01" w14:textId="77777777" w:rsidR="00CA0EF0" w:rsidRPr="00361E30" w:rsidRDefault="00CA0EF0" w:rsidP="003C13F4">
            <w:pPr>
              <w:spacing w:after="0" w:line="240" w:lineRule="auto"/>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Number of Injuries (Continuous)</w:t>
            </w:r>
          </w:p>
        </w:tc>
        <w:tc>
          <w:tcPr>
            <w:tcW w:w="1667" w:type="dxa"/>
            <w:tcBorders>
              <w:top w:val="nil"/>
              <w:left w:val="nil"/>
              <w:bottom w:val="nil"/>
              <w:right w:val="nil"/>
            </w:tcBorders>
            <w:shd w:val="clear" w:color="auto" w:fill="auto"/>
            <w:vAlign w:val="center"/>
            <w:hideMark/>
          </w:tcPr>
          <w:p w14:paraId="6147B244" w14:textId="77777777" w:rsidR="00CA0EF0" w:rsidRPr="00361E30" w:rsidRDefault="00CA0EF0" w:rsidP="003C13F4">
            <w:pPr>
              <w:spacing w:after="0" w:line="240" w:lineRule="auto"/>
              <w:rPr>
                <w:rFonts w:ascii="Arial" w:eastAsia="Times New Roman" w:hAnsi="Arial" w:cs="Arial"/>
                <w:color w:val="000000"/>
                <w:sz w:val="18"/>
                <w:szCs w:val="18"/>
              </w:rPr>
            </w:pPr>
          </w:p>
        </w:tc>
        <w:tc>
          <w:tcPr>
            <w:tcW w:w="1354" w:type="dxa"/>
            <w:tcBorders>
              <w:top w:val="nil"/>
              <w:left w:val="nil"/>
              <w:bottom w:val="nil"/>
              <w:right w:val="nil"/>
            </w:tcBorders>
            <w:shd w:val="clear" w:color="auto" w:fill="auto"/>
            <w:noWrap/>
            <w:vAlign w:val="center"/>
            <w:hideMark/>
          </w:tcPr>
          <w:p w14:paraId="168ED31E"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.806</w:t>
            </w:r>
          </w:p>
        </w:tc>
        <w:tc>
          <w:tcPr>
            <w:tcW w:w="1080" w:type="dxa"/>
            <w:tcBorders>
              <w:top w:val="nil"/>
              <w:left w:val="nil"/>
              <w:bottom w:val="nil"/>
              <w:right w:val="nil"/>
            </w:tcBorders>
            <w:shd w:val="clear" w:color="auto" w:fill="auto"/>
            <w:noWrap/>
            <w:vAlign w:val="center"/>
            <w:hideMark/>
          </w:tcPr>
          <w:p w14:paraId="0045D568"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.797</w:t>
            </w:r>
          </w:p>
        </w:tc>
        <w:tc>
          <w:tcPr>
            <w:tcW w:w="1080" w:type="dxa"/>
            <w:tcBorders>
              <w:top w:val="nil"/>
              <w:left w:val="nil"/>
              <w:bottom w:val="nil"/>
              <w:right w:val="nil"/>
            </w:tcBorders>
            <w:shd w:val="clear" w:color="auto" w:fill="auto"/>
            <w:noWrap/>
            <w:vAlign w:val="center"/>
            <w:hideMark/>
          </w:tcPr>
          <w:p w14:paraId="1218B067"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.814</w:t>
            </w:r>
          </w:p>
        </w:tc>
        <w:tc>
          <w:tcPr>
            <w:tcW w:w="1170" w:type="dxa"/>
            <w:tcBorders>
              <w:top w:val="nil"/>
              <w:left w:val="nil"/>
              <w:bottom w:val="nil"/>
              <w:right w:val="nil"/>
            </w:tcBorders>
            <w:shd w:val="clear" w:color="auto" w:fill="auto"/>
            <w:noWrap/>
            <w:vAlign w:val="center"/>
            <w:hideMark/>
          </w:tcPr>
          <w:p w14:paraId="58342D0B"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0.000</w:t>
            </w:r>
          </w:p>
        </w:tc>
      </w:tr>
      <w:tr w:rsidR="00CA0EF0" w:rsidRPr="00361E30" w14:paraId="5F02CAAB" w14:textId="77777777" w:rsidTr="003C13F4">
        <w:trPr>
          <w:trHeight w:val="330"/>
        </w:trPr>
        <w:tc>
          <w:tcPr>
            <w:tcW w:w="2127" w:type="dxa"/>
            <w:tcBorders>
              <w:top w:val="nil"/>
              <w:left w:val="nil"/>
              <w:bottom w:val="single" w:sz="4" w:space="0" w:color="auto"/>
              <w:right w:val="nil"/>
            </w:tcBorders>
            <w:shd w:val="clear" w:color="auto" w:fill="auto"/>
            <w:vAlign w:val="center"/>
            <w:hideMark/>
          </w:tcPr>
          <w:p w14:paraId="72AAFEBC" w14:textId="77777777" w:rsidR="00CA0EF0" w:rsidRPr="00361E30" w:rsidRDefault="00CA0EF0" w:rsidP="003C13F4">
            <w:pPr>
              <w:spacing w:after="0" w:line="240" w:lineRule="auto"/>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 </w:t>
            </w:r>
          </w:p>
        </w:tc>
        <w:tc>
          <w:tcPr>
            <w:tcW w:w="1667" w:type="dxa"/>
            <w:tcBorders>
              <w:top w:val="nil"/>
              <w:left w:val="nil"/>
              <w:bottom w:val="single" w:sz="4" w:space="0" w:color="auto"/>
              <w:right w:val="nil"/>
            </w:tcBorders>
            <w:shd w:val="clear" w:color="auto" w:fill="auto"/>
            <w:vAlign w:val="center"/>
            <w:hideMark/>
          </w:tcPr>
          <w:p w14:paraId="24FB6158" w14:textId="77777777" w:rsidR="00CA0EF0" w:rsidRPr="00361E30" w:rsidRDefault="00CA0EF0" w:rsidP="003C13F4">
            <w:pPr>
              <w:spacing w:after="0" w:line="240" w:lineRule="auto"/>
              <w:rPr>
                <w:rFonts w:ascii="Arial" w:eastAsia="Times New Roman" w:hAnsi="Arial" w:cs="Arial"/>
                <w:color w:val="000000"/>
                <w:sz w:val="18"/>
                <w:szCs w:val="18"/>
              </w:rPr>
            </w:pPr>
            <w:r w:rsidRPr="00361E30">
              <w:rPr>
                <w:rFonts w:ascii="Arial" w:eastAsia="Times New Roman" w:hAnsi="Arial" w:cs="Arial"/>
                <w:color w:val="000000"/>
                <w:sz w:val="18"/>
                <w:szCs w:val="18"/>
              </w:rPr>
              <w:t>Constant</w:t>
            </w:r>
          </w:p>
        </w:tc>
        <w:tc>
          <w:tcPr>
            <w:tcW w:w="1354" w:type="dxa"/>
            <w:tcBorders>
              <w:top w:val="nil"/>
              <w:left w:val="nil"/>
              <w:bottom w:val="single" w:sz="4" w:space="0" w:color="auto"/>
              <w:right w:val="nil"/>
            </w:tcBorders>
            <w:shd w:val="clear" w:color="auto" w:fill="auto"/>
            <w:vAlign w:val="center"/>
            <w:hideMark/>
          </w:tcPr>
          <w:p w14:paraId="5AD227F0"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16.217</w:t>
            </w:r>
          </w:p>
        </w:tc>
        <w:tc>
          <w:tcPr>
            <w:tcW w:w="1080" w:type="dxa"/>
            <w:tcBorders>
              <w:top w:val="nil"/>
              <w:left w:val="nil"/>
              <w:bottom w:val="single" w:sz="4" w:space="0" w:color="auto"/>
              <w:right w:val="nil"/>
            </w:tcBorders>
            <w:shd w:val="clear" w:color="auto" w:fill="auto"/>
            <w:vAlign w:val="center"/>
            <w:hideMark/>
          </w:tcPr>
          <w:p w14:paraId="4B52FA27"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080" w:type="dxa"/>
            <w:tcBorders>
              <w:top w:val="nil"/>
              <w:left w:val="nil"/>
              <w:bottom w:val="single" w:sz="4" w:space="0" w:color="auto"/>
              <w:right w:val="nil"/>
            </w:tcBorders>
            <w:shd w:val="clear" w:color="auto" w:fill="auto"/>
            <w:vAlign w:val="center"/>
            <w:hideMark/>
          </w:tcPr>
          <w:p w14:paraId="49538D73"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170" w:type="dxa"/>
            <w:tcBorders>
              <w:top w:val="nil"/>
              <w:left w:val="nil"/>
              <w:bottom w:val="single" w:sz="4" w:space="0" w:color="auto"/>
              <w:right w:val="nil"/>
            </w:tcBorders>
            <w:shd w:val="clear" w:color="auto" w:fill="auto"/>
            <w:vAlign w:val="center"/>
            <w:hideMark/>
          </w:tcPr>
          <w:p w14:paraId="2566421B"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0.000</w:t>
            </w:r>
          </w:p>
        </w:tc>
      </w:tr>
      <w:tr w:rsidR="00CA0EF0" w:rsidRPr="00361E30" w14:paraId="4654E751" w14:textId="77777777" w:rsidTr="003C13F4">
        <w:trPr>
          <w:trHeight w:val="300"/>
        </w:trPr>
        <w:tc>
          <w:tcPr>
            <w:tcW w:w="2127" w:type="dxa"/>
            <w:tcBorders>
              <w:top w:val="nil"/>
              <w:left w:val="nil"/>
              <w:bottom w:val="nil"/>
              <w:right w:val="nil"/>
            </w:tcBorders>
            <w:shd w:val="clear" w:color="auto" w:fill="auto"/>
            <w:vAlign w:val="center"/>
            <w:hideMark/>
          </w:tcPr>
          <w:p w14:paraId="0925D931" w14:textId="77777777" w:rsidR="00CA0EF0" w:rsidRPr="00361E30" w:rsidRDefault="00CA0EF0" w:rsidP="003C13F4">
            <w:pPr>
              <w:spacing w:after="0" w:line="240" w:lineRule="auto"/>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Mechanism of Injury</w:t>
            </w:r>
          </w:p>
        </w:tc>
        <w:tc>
          <w:tcPr>
            <w:tcW w:w="1667" w:type="dxa"/>
            <w:tcBorders>
              <w:top w:val="nil"/>
              <w:left w:val="nil"/>
              <w:bottom w:val="nil"/>
              <w:right w:val="nil"/>
            </w:tcBorders>
            <w:shd w:val="clear" w:color="auto" w:fill="auto"/>
            <w:vAlign w:val="center"/>
            <w:hideMark/>
          </w:tcPr>
          <w:p w14:paraId="0C09E2D4" w14:textId="77777777" w:rsidR="00CA0EF0" w:rsidRPr="00361E30" w:rsidRDefault="00CA0EF0" w:rsidP="003C13F4">
            <w:pPr>
              <w:spacing w:after="0" w:line="240" w:lineRule="auto"/>
              <w:jc w:val="right"/>
              <w:rPr>
                <w:rFonts w:ascii="Arial" w:eastAsia="Times New Roman" w:hAnsi="Arial" w:cs="Arial"/>
                <w:color w:val="000000"/>
                <w:sz w:val="18"/>
                <w:szCs w:val="18"/>
              </w:rPr>
            </w:pPr>
            <w:r w:rsidRPr="00361E30">
              <w:rPr>
                <w:rFonts w:ascii="Arial" w:eastAsia="Times New Roman" w:hAnsi="Arial" w:cs="Arial"/>
                <w:color w:val="000000"/>
                <w:sz w:val="18"/>
                <w:szCs w:val="18"/>
              </w:rPr>
              <w:t>Fall &lt; 2 metres</w:t>
            </w:r>
          </w:p>
        </w:tc>
        <w:tc>
          <w:tcPr>
            <w:tcW w:w="1354" w:type="dxa"/>
            <w:tcBorders>
              <w:top w:val="nil"/>
              <w:left w:val="nil"/>
              <w:bottom w:val="nil"/>
              <w:right w:val="nil"/>
            </w:tcBorders>
            <w:shd w:val="clear" w:color="auto" w:fill="auto"/>
            <w:vAlign w:val="center"/>
            <w:hideMark/>
          </w:tcPr>
          <w:p w14:paraId="724F9111"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Reference</w:t>
            </w:r>
          </w:p>
        </w:tc>
        <w:tc>
          <w:tcPr>
            <w:tcW w:w="1080" w:type="dxa"/>
            <w:tcBorders>
              <w:top w:val="nil"/>
              <w:left w:val="nil"/>
              <w:bottom w:val="nil"/>
              <w:right w:val="nil"/>
            </w:tcBorders>
            <w:shd w:val="clear" w:color="auto" w:fill="auto"/>
            <w:vAlign w:val="center"/>
            <w:hideMark/>
          </w:tcPr>
          <w:p w14:paraId="717D1FE6"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080" w:type="dxa"/>
            <w:tcBorders>
              <w:top w:val="nil"/>
              <w:left w:val="nil"/>
              <w:bottom w:val="nil"/>
              <w:right w:val="nil"/>
            </w:tcBorders>
            <w:shd w:val="clear" w:color="auto" w:fill="auto"/>
            <w:vAlign w:val="center"/>
            <w:hideMark/>
          </w:tcPr>
          <w:p w14:paraId="683DBBF4"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170" w:type="dxa"/>
            <w:tcBorders>
              <w:top w:val="nil"/>
              <w:left w:val="nil"/>
              <w:bottom w:val="nil"/>
              <w:right w:val="nil"/>
            </w:tcBorders>
            <w:shd w:val="clear" w:color="auto" w:fill="auto"/>
            <w:noWrap/>
            <w:vAlign w:val="center"/>
            <w:hideMark/>
          </w:tcPr>
          <w:p w14:paraId="23607428"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r>
      <w:tr w:rsidR="00CA0EF0" w:rsidRPr="00361E30" w14:paraId="37A23697" w14:textId="77777777" w:rsidTr="003C13F4">
        <w:trPr>
          <w:trHeight w:val="300"/>
        </w:trPr>
        <w:tc>
          <w:tcPr>
            <w:tcW w:w="2127" w:type="dxa"/>
            <w:tcBorders>
              <w:top w:val="nil"/>
              <w:left w:val="nil"/>
              <w:bottom w:val="nil"/>
              <w:right w:val="nil"/>
            </w:tcBorders>
            <w:shd w:val="clear" w:color="auto" w:fill="auto"/>
            <w:vAlign w:val="center"/>
            <w:hideMark/>
          </w:tcPr>
          <w:p w14:paraId="423ADE86" w14:textId="77777777" w:rsidR="00CA0EF0" w:rsidRPr="00361E30" w:rsidRDefault="00CA0EF0" w:rsidP="003C13F4">
            <w:pPr>
              <w:spacing w:after="0" w:line="240" w:lineRule="auto"/>
              <w:rPr>
                <w:rFonts w:ascii="Arial" w:eastAsia="Times New Roman" w:hAnsi="Arial" w:cs="Arial"/>
                <w:b/>
                <w:bCs/>
                <w:color w:val="000000"/>
                <w:sz w:val="18"/>
                <w:szCs w:val="18"/>
              </w:rPr>
            </w:pPr>
          </w:p>
        </w:tc>
        <w:tc>
          <w:tcPr>
            <w:tcW w:w="1667" w:type="dxa"/>
            <w:tcBorders>
              <w:top w:val="nil"/>
              <w:left w:val="nil"/>
              <w:bottom w:val="nil"/>
              <w:right w:val="nil"/>
            </w:tcBorders>
            <w:shd w:val="clear" w:color="auto" w:fill="auto"/>
            <w:vAlign w:val="center"/>
            <w:hideMark/>
          </w:tcPr>
          <w:p w14:paraId="67779B2F" w14:textId="77777777" w:rsidR="00CA0EF0" w:rsidRPr="00361E30" w:rsidRDefault="00CA0EF0" w:rsidP="003C13F4">
            <w:pPr>
              <w:spacing w:after="0" w:line="240" w:lineRule="auto"/>
              <w:jc w:val="right"/>
              <w:rPr>
                <w:rFonts w:ascii="Arial" w:eastAsia="Times New Roman" w:hAnsi="Arial" w:cs="Arial"/>
                <w:color w:val="000000"/>
                <w:sz w:val="18"/>
                <w:szCs w:val="18"/>
              </w:rPr>
            </w:pPr>
            <w:r w:rsidRPr="00361E30">
              <w:rPr>
                <w:rFonts w:ascii="Arial" w:eastAsia="Times New Roman" w:hAnsi="Arial" w:cs="Arial"/>
                <w:color w:val="000000"/>
                <w:sz w:val="18"/>
                <w:szCs w:val="18"/>
              </w:rPr>
              <w:t>Fall &gt;= 2 metres</w:t>
            </w:r>
          </w:p>
        </w:tc>
        <w:tc>
          <w:tcPr>
            <w:tcW w:w="1354" w:type="dxa"/>
            <w:tcBorders>
              <w:top w:val="nil"/>
              <w:left w:val="nil"/>
              <w:bottom w:val="nil"/>
              <w:right w:val="nil"/>
            </w:tcBorders>
            <w:shd w:val="clear" w:color="auto" w:fill="auto"/>
            <w:noWrap/>
            <w:vAlign w:val="center"/>
            <w:hideMark/>
          </w:tcPr>
          <w:p w14:paraId="7289587A"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.545</w:t>
            </w:r>
          </w:p>
        </w:tc>
        <w:tc>
          <w:tcPr>
            <w:tcW w:w="1080" w:type="dxa"/>
            <w:tcBorders>
              <w:top w:val="nil"/>
              <w:left w:val="nil"/>
              <w:bottom w:val="nil"/>
              <w:right w:val="nil"/>
            </w:tcBorders>
            <w:shd w:val="clear" w:color="auto" w:fill="auto"/>
            <w:noWrap/>
            <w:vAlign w:val="center"/>
            <w:hideMark/>
          </w:tcPr>
          <w:p w14:paraId="1A142A92"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.501</w:t>
            </w:r>
          </w:p>
        </w:tc>
        <w:tc>
          <w:tcPr>
            <w:tcW w:w="1080" w:type="dxa"/>
            <w:tcBorders>
              <w:top w:val="nil"/>
              <w:left w:val="nil"/>
              <w:bottom w:val="nil"/>
              <w:right w:val="nil"/>
            </w:tcBorders>
            <w:shd w:val="clear" w:color="auto" w:fill="auto"/>
            <w:noWrap/>
            <w:vAlign w:val="center"/>
            <w:hideMark/>
          </w:tcPr>
          <w:p w14:paraId="12B1EC66"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.593</w:t>
            </w:r>
          </w:p>
        </w:tc>
        <w:tc>
          <w:tcPr>
            <w:tcW w:w="1170" w:type="dxa"/>
            <w:tcBorders>
              <w:top w:val="nil"/>
              <w:left w:val="nil"/>
              <w:bottom w:val="nil"/>
              <w:right w:val="nil"/>
            </w:tcBorders>
            <w:shd w:val="clear" w:color="auto" w:fill="auto"/>
            <w:noWrap/>
            <w:vAlign w:val="center"/>
            <w:hideMark/>
          </w:tcPr>
          <w:p w14:paraId="4EC6B1DC"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w:t>
            </w:r>
          </w:p>
        </w:tc>
      </w:tr>
      <w:tr w:rsidR="00CA0EF0" w:rsidRPr="00361E30" w14:paraId="7348FE2F" w14:textId="77777777" w:rsidTr="003C13F4">
        <w:trPr>
          <w:trHeight w:val="300"/>
        </w:trPr>
        <w:tc>
          <w:tcPr>
            <w:tcW w:w="3794" w:type="dxa"/>
            <w:gridSpan w:val="2"/>
            <w:tcBorders>
              <w:top w:val="nil"/>
              <w:left w:val="nil"/>
              <w:bottom w:val="nil"/>
              <w:right w:val="nil"/>
            </w:tcBorders>
            <w:shd w:val="clear" w:color="auto" w:fill="auto"/>
            <w:vAlign w:val="center"/>
            <w:hideMark/>
          </w:tcPr>
          <w:p w14:paraId="65150762" w14:textId="77777777" w:rsidR="00CA0EF0" w:rsidRPr="00361E30" w:rsidRDefault="00CA0EF0" w:rsidP="003C13F4">
            <w:pPr>
              <w:spacing w:after="0" w:line="240" w:lineRule="auto"/>
              <w:jc w:val="right"/>
              <w:rPr>
                <w:rFonts w:ascii="Arial" w:eastAsia="Times New Roman" w:hAnsi="Arial" w:cs="Arial"/>
                <w:color w:val="000000"/>
                <w:sz w:val="18"/>
                <w:szCs w:val="18"/>
              </w:rPr>
            </w:pPr>
            <w:r w:rsidRPr="00361E30">
              <w:rPr>
                <w:rFonts w:ascii="Arial" w:eastAsia="Times New Roman" w:hAnsi="Arial" w:cs="Arial"/>
                <w:color w:val="000000"/>
                <w:sz w:val="18"/>
                <w:szCs w:val="18"/>
              </w:rPr>
              <w:t>Road Traffic Collision/Incident</w:t>
            </w:r>
          </w:p>
        </w:tc>
        <w:tc>
          <w:tcPr>
            <w:tcW w:w="1354" w:type="dxa"/>
            <w:tcBorders>
              <w:top w:val="nil"/>
              <w:left w:val="nil"/>
              <w:bottom w:val="nil"/>
              <w:right w:val="nil"/>
            </w:tcBorders>
            <w:shd w:val="clear" w:color="auto" w:fill="auto"/>
            <w:noWrap/>
            <w:vAlign w:val="center"/>
            <w:hideMark/>
          </w:tcPr>
          <w:p w14:paraId="72C93435"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.835</w:t>
            </w:r>
          </w:p>
        </w:tc>
        <w:tc>
          <w:tcPr>
            <w:tcW w:w="1080" w:type="dxa"/>
            <w:tcBorders>
              <w:top w:val="nil"/>
              <w:left w:val="nil"/>
              <w:bottom w:val="nil"/>
              <w:right w:val="nil"/>
            </w:tcBorders>
            <w:shd w:val="clear" w:color="auto" w:fill="auto"/>
            <w:noWrap/>
            <w:vAlign w:val="center"/>
            <w:hideMark/>
          </w:tcPr>
          <w:p w14:paraId="2BE4CDE4"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.749</w:t>
            </w:r>
          </w:p>
        </w:tc>
        <w:tc>
          <w:tcPr>
            <w:tcW w:w="1080" w:type="dxa"/>
            <w:tcBorders>
              <w:top w:val="nil"/>
              <w:left w:val="nil"/>
              <w:bottom w:val="nil"/>
              <w:right w:val="nil"/>
            </w:tcBorders>
            <w:shd w:val="clear" w:color="auto" w:fill="auto"/>
            <w:noWrap/>
            <w:vAlign w:val="center"/>
            <w:hideMark/>
          </w:tcPr>
          <w:p w14:paraId="03BB6864"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.931</w:t>
            </w:r>
          </w:p>
        </w:tc>
        <w:tc>
          <w:tcPr>
            <w:tcW w:w="1170" w:type="dxa"/>
            <w:tcBorders>
              <w:top w:val="nil"/>
              <w:left w:val="nil"/>
              <w:bottom w:val="nil"/>
              <w:right w:val="nil"/>
            </w:tcBorders>
            <w:shd w:val="clear" w:color="auto" w:fill="auto"/>
            <w:noWrap/>
            <w:vAlign w:val="center"/>
            <w:hideMark/>
          </w:tcPr>
          <w:p w14:paraId="47A07F85"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.001</w:t>
            </w:r>
          </w:p>
        </w:tc>
      </w:tr>
      <w:tr w:rsidR="00CA0EF0" w:rsidRPr="00361E30" w14:paraId="450A623B" w14:textId="77777777" w:rsidTr="003C13F4">
        <w:trPr>
          <w:trHeight w:val="300"/>
        </w:trPr>
        <w:tc>
          <w:tcPr>
            <w:tcW w:w="2127" w:type="dxa"/>
            <w:tcBorders>
              <w:top w:val="nil"/>
              <w:left w:val="nil"/>
              <w:bottom w:val="nil"/>
              <w:right w:val="nil"/>
            </w:tcBorders>
            <w:shd w:val="clear" w:color="auto" w:fill="auto"/>
            <w:vAlign w:val="center"/>
            <w:hideMark/>
          </w:tcPr>
          <w:p w14:paraId="524C4E5B" w14:textId="77777777" w:rsidR="00CA0EF0" w:rsidRPr="00361E30" w:rsidRDefault="00CA0EF0" w:rsidP="003C13F4">
            <w:pPr>
              <w:spacing w:after="0" w:line="240" w:lineRule="auto"/>
              <w:rPr>
                <w:rFonts w:ascii="Arial" w:eastAsia="Times New Roman" w:hAnsi="Arial" w:cs="Arial"/>
                <w:b/>
                <w:bCs/>
                <w:color w:val="000000"/>
                <w:sz w:val="18"/>
                <w:szCs w:val="18"/>
              </w:rPr>
            </w:pPr>
          </w:p>
        </w:tc>
        <w:tc>
          <w:tcPr>
            <w:tcW w:w="1667" w:type="dxa"/>
            <w:tcBorders>
              <w:top w:val="nil"/>
              <w:left w:val="nil"/>
              <w:bottom w:val="nil"/>
              <w:right w:val="nil"/>
            </w:tcBorders>
            <w:shd w:val="clear" w:color="auto" w:fill="auto"/>
            <w:vAlign w:val="center"/>
            <w:hideMark/>
          </w:tcPr>
          <w:p w14:paraId="5466C782" w14:textId="77777777" w:rsidR="00CA0EF0" w:rsidRPr="00361E30" w:rsidRDefault="00CA0EF0" w:rsidP="003C13F4">
            <w:pPr>
              <w:spacing w:after="0" w:line="240" w:lineRule="auto"/>
              <w:jc w:val="right"/>
              <w:rPr>
                <w:rFonts w:ascii="Arial" w:eastAsia="Times New Roman" w:hAnsi="Arial" w:cs="Arial"/>
                <w:color w:val="000000"/>
                <w:sz w:val="18"/>
                <w:szCs w:val="18"/>
              </w:rPr>
            </w:pPr>
            <w:r w:rsidRPr="00361E30">
              <w:rPr>
                <w:rFonts w:ascii="Arial" w:eastAsia="Times New Roman" w:hAnsi="Arial" w:cs="Arial"/>
                <w:color w:val="000000"/>
                <w:sz w:val="18"/>
                <w:szCs w:val="18"/>
              </w:rPr>
              <w:t>Other</w:t>
            </w:r>
          </w:p>
        </w:tc>
        <w:tc>
          <w:tcPr>
            <w:tcW w:w="1354" w:type="dxa"/>
            <w:tcBorders>
              <w:top w:val="nil"/>
              <w:left w:val="nil"/>
              <w:bottom w:val="nil"/>
              <w:right w:val="nil"/>
            </w:tcBorders>
            <w:shd w:val="clear" w:color="auto" w:fill="auto"/>
            <w:noWrap/>
            <w:vAlign w:val="center"/>
            <w:hideMark/>
          </w:tcPr>
          <w:p w14:paraId="0600A6E3"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.617</w:t>
            </w:r>
          </w:p>
        </w:tc>
        <w:tc>
          <w:tcPr>
            <w:tcW w:w="1080" w:type="dxa"/>
            <w:tcBorders>
              <w:top w:val="nil"/>
              <w:left w:val="nil"/>
              <w:bottom w:val="nil"/>
              <w:right w:val="nil"/>
            </w:tcBorders>
            <w:shd w:val="clear" w:color="auto" w:fill="auto"/>
            <w:noWrap/>
            <w:vAlign w:val="center"/>
            <w:hideMark/>
          </w:tcPr>
          <w:p w14:paraId="620F1214"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.518</w:t>
            </w:r>
          </w:p>
        </w:tc>
        <w:tc>
          <w:tcPr>
            <w:tcW w:w="1080" w:type="dxa"/>
            <w:tcBorders>
              <w:top w:val="nil"/>
              <w:left w:val="nil"/>
              <w:bottom w:val="nil"/>
              <w:right w:val="nil"/>
            </w:tcBorders>
            <w:shd w:val="clear" w:color="auto" w:fill="auto"/>
            <w:noWrap/>
            <w:vAlign w:val="center"/>
            <w:hideMark/>
          </w:tcPr>
          <w:p w14:paraId="77356B45"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.735</w:t>
            </w:r>
          </w:p>
        </w:tc>
        <w:tc>
          <w:tcPr>
            <w:tcW w:w="1170" w:type="dxa"/>
            <w:tcBorders>
              <w:top w:val="nil"/>
              <w:left w:val="nil"/>
              <w:bottom w:val="nil"/>
              <w:right w:val="nil"/>
            </w:tcBorders>
            <w:shd w:val="clear" w:color="auto" w:fill="auto"/>
            <w:noWrap/>
            <w:vAlign w:val="center"/>
            <w:hideMark/>
          </w:tcPr>
          <w:p w14:paraId="57612662"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w:t>
            </w:r>
          </w:p>
        </w:tc>
      </w:tr>
      <w:tr w:rsidR="00CA0EF0" w:rsidRPr="00361E30" w14:paraId="2D5CE77F" w14:textId="77777777" w:rsidTr="003C13F4">
        <w:trPr>
          <w:trHeight w:val="315"/>
        </w:trPr>
        <w:tc>
          <w:tcPr>
            <w:tcW w:w="2127" w:type="dxa"/>
            <w:tcBorders>
              <w:top w:val="nil"/>
              <w:left w:val="nil"/>
              <w:bottom w:val="double" w:sz="6" w:space="0" w:color="auto"/>
              <w:right w:val="nil"/>
            </w:tcBorders>
            <w:shd w:val="clear" w:color="auto" w:fill="auto"/>
            <w:vAlign w:val="center"/>
            <w:hideMark/>
          </w:tcPr>
          <w:p w14:paraId="3A67491A" w14:textId="77777777" w:rsidR="00CA0EF0" w:rsidRPr="00361E30" w:rsidRDefault="00CA0EF0" w:rsidP="003C13F4">
            <w:pPr>
              <w:spacing w:after="0" w:line="240" w:lineRule="auto"/>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 </w:t>
            </w:r>
          </w:p>
        </w:tc>
        <w:tc>
          <w:tcPr>
            <w:tcW w:w="1667" w:type="dxa"/>
            <w:tcBorders>
              <w:top w:val="nil"/>
              <w:left w:val="nil"/>
              <w:bottom w:val="double" w:sz="6" w:space="0" w:color="auto"/>
              <w:right w:val="nil"/>
            </w:tcBorders>
            <w:shd w:val="clear" w:color="auto" w:fill="auto"/>
            <w:vAlign w:val="center"/>
            <w:hideMark/>
          </w:tcPr>
          <w:p w14:paraId="276C31DB" w14:textId="77777777" w:rsidR="00CA0EF0" w:rsidRPr="00361E30" w:rsidRDefault="00CA0EF0" w:rsidP="003C13F4">
            <w:pPr>
              <w:spacing w:after="0" w:line="240" w:lineRule="auto"/>
              <w:jc w:val="right"/>
              <w:rPr>
                <w:rFonts w:ascii="Arial" w:eastAsia="Times New Roman" w:hAnsi="Arial" w:cs="Arial"/>
                <w:color w:val="000000"/>
                <w:sz w:val="18"/>
                <w:szCs w:val="18"/>
              </w:rPr>
            </w:pPr>
            <w:r w:rsidRPr="00361E30">
              <w:rPr>
                <w:rFonts w:ascii="Arial" w:eastAsia="Times New Roman" w:hAnsi="Arial" w:cs="Arial"/>
                <w:color w:val="000000"/>
                <w:sz w:val="18"/>
                <w:szCs w:val="18"/>
              </w:rPr>
              <w:t>Constant</w:t>
            </w:r>
          </w:p>
        </w:tc>
        <w:tc>
          <w:tcPr>
            <w:tcW w:w="1354" w:type="dxa"/>
            <w:tcBorders>
              <w:top w:val="nil"/>
              <w:left w:val="nil"/>
              <w:bottom w:val="double" w:sz="6" w:space="0" w:color="auto"/>
              <w:right w:val="nil"/>
            </w:tcBorders>
            <w:shd w:val="clear" w:color="auto" w:fill="auto"/>
            <w:noWrap/>
            <w:vAlign w:val="center"/>
            <w:hideMark/>
          </w:tcPr>
          <w:p w14:paraId="7CC15601"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9.113</w:t>
            </w:r>
          </w:p>
        </w:tc>
        <w:tc>
          <w:tcPr>
            <w:tcW w:w="1080" w:type="dxa"/>
            <w:tcBorders>
              <w:top w:val="nil"/>
              <w:left w:val="nil"/>
              <w:bottom w:val="double" w:sz="6" w:space="0" w:color="auto"/>
              <w:right w:val="nil"/>
            </w:tcBorders>
            <w:shd w:val="clear" w:color="auto" w:fill="auto"/>
            <w:vAlign w:val="center"/>
            <w:hideMark/>
          </w:tcPr>
          <w:p w14:paraId="200D4E17"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 </w:t>
            </w:r>
          </w:p>
        </w:tc>
        <w:tc>
          <w:tcPr>
            <w:tcW w:w="1080" w:type="dxa"/>
            <w:tcBorders>
              <w:top w:val="nil"/>
              <w:left w:val="nil"/>
              <w:bottom w:val="double" w:sz="6" w:space="0" w:color="auto"/>
              <w:right w:val="nil"/>
            </w:tcBorders>
            <w:shd w:val="clear" w:color="auto" w:fill="auto"/>
            <w:vAlign w:val="center"/>
            <w:hideMark/>
          </w:tcPr>
          <w:p w14:paraId="39798739"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 </w:t>
            </w:r>
          </w:p>
        </w:tc>
        <w:tc>
          <w:tcPr>
            <w:tcW w:w="1170" w:type="dxa"/>
            <w:tcBorders>
              <w:top w:val="nil"/>
              <w:left w:val="nil"/>
              <w:bottom w:val="double" w:sz="6" w:space="0" w:color="auto"/>
              <w:right w:val="nil"/>
            </w:tcBorders>
            <w:shd w:val="clear" w:color="auto" w:fill="auto"/>
            <w:noWrap/>
            <w:vAlign w:val="center"/>
            <w:hideMark/>
          </w:tcPr>
          <w:p w14:paraId="06455866"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0.000</w:t>
            </w:r>
          </w:p>
        </w:tc>
      </w:tr>
    </w:tbl>
    <w:p w14:paraId="6029AD94" w14:textId="77777777" w:rsidR="00CA0EF0" w:rsidRPr="00361E30" w:rsidRDefault="00CA0EF0" w:rsidP="003C13F4">
      <w:pPr>
        <w:pStyle w:val="TableTitle"/>
      </w:pPr>
      <w:bookmarkStart w:id="127" w:name="_Toc528321046"/>
      <w:r w:rsidRPr="00361E30">
        <w:t>Table 5.2: Univariate analysis of the association between injury characteristics and 30-day survival</w:t>
      </w:r>
      <w:bookmarkEnd w:id="127"/>
    </w:p>
    <w:p w14:paraId="39F4FAAE" w14:textId="77777777" w:rsidR="00CA0EF0" w:rsidRPr="00361E30" w:rsidRDefault="00CA0EF0" w:rsidP="003C13F4">
      <w:pPr>
        <w:pStyle w:val="Heading2"/>
      </w:pPr>
      <w:bookmarkStart w:id="128" w:name="_Toc1902300"/>
      <w:r w:rsidRPr="00361E30">
        <w:t>5.3.4</w:t>
      </w:r>
      <w:r w:rsidRPr="00361E30">
        <w:tab/>
        <w:t>Physiological Status</w:t>
      </w:r>
      <w:bookmarkEnd w:id="128"/>
    </w:p>
    <w:p w14:paraId="0641BEFB" w14:textId="77777777" w:rsidR="00CA0EF0" w:rsidRPr="00361E30" w:rsidRDefault="00CA0EF0" w:rsidP="003C13F4">
      <w:r w:rsidRPr="00361E30">
        <w:rPr>
          <w:bCs/>
        </w:rPr>
        <w:t>Table 5.3</w:t>
      </w:r>
      <w:r w:rsidRPr="00361E30">
        <w:t xml:space="preserve"> presents the univariate analysis of the association between physiological variables on arrival at the Emergency Department and survival. </w:t>
      </w:r>
    </w:p>
    <w:p w14:paraId="23484787" w14:textId="77777777" w:rsidR="00CA0EF0" w:rsidRPr="00361E30" w:rsidRDefault="00CA0EF0" w:rsidP="003C13F4">
      <w:pPr>
        <w:pStyle w:val="Heading3"/>
      </w:pPr>
      <w:r w:rsidRPr="00361E30">
        <w:t xml:space="preserve">5.3.4.1 </w:t>
      </w:r>
      <w:r w:rsidRPr="00361E30">
        <w:tab/>
        <w:t>Glasgow Coma Score</w:t>
      </w:r>
    </w:p>
    <w:p w14:paraId="26ECBD31" w14:textId="77777777" w:rsidR="00CA0EF0" w:rsidRPr="00361E30" w:rsidRDefault="00CA0EF0" w:rsidP="003C13F4">
      <w:r w:rsidRPr="00361E30">
        <w:t xml:space="preserve">Glasgow coma score (GCS) was used as a categorical variable in univariate analysis. This facilitated comparison with the most recent TARN models (PS12 and PS14) while also allowing for the inclusion of intubated patients as a separate group in the model </w:t>
      </w:r>
      <w:r w:rsidRPr="00361E30">
        <w:rPr>
          <w:noProof/>
        </w:rPr>
        <w:t>(Bouamra al. 2015, Bouamra et al. 2006c)</w:t>
      </w:r>
      <w:r w:rsidRPr="00361E30">
        <w:t xml:space="preserve">. When GCS was grouped into categories, with GCS=15 as a reference category, the probability of survival decreased with all lower GCS values on univariate analysis. </w:t>
      </w:r>
    </w:p>
    <w:p w14:paraId="6322CEA6" w14:textId="77777777" w:rsidR="00CA0EF0" w:rsidRPr="00361E30" w:rsidRDefault="00CA0EF0" w:rsidP="003C13F4">
      <w:pPr>
        <w:pStyle w:val="Heading3"/>
      </w:pPr>
      <w:r w:rsidRPr="00361E30">
        <w:t xml:space="preserve">5.3.4.2 </w:t>
      </w:r>
      <w:r w:rsidRPr="00361E30">
        <w:tab/>
        <w:t>Systolic Blood Pressure</w:t>
      </w:r>
    </w:p>
    <w:p w14:paraId="495EABF1" w14:textId="77777777" w:rsidR="00CA0EF0" w:rsidRPr="00361E30" w:rsidRDefault="00CA0EF0" w:rsidP="003C13F4">
      <w:r w:rsidRPr="00361E30">
        <w:t xml:space="preserve">As with other predictive models, systolic blood pressure (SBP) was dichotomised for the purposes of univariate analysis. Previous work has demonstrated that the inflexion point for decreased survival in older people is a systolic blood pressure below 110mmHg </w:t>
      </w:r>
      <w:r w:rsidR="003860F3" w:rsidRPr="00361E30">
        <w:rPr>
          <w:noProof/>
        </w:rPr>
        <w:t>(Brown</w:t>
      </w:r>
      <w:r w:rsidRPr="00361E30">
        <w:rPr>
          <w:noProof/>
        </w:rPr>
        <w:t xml:space="preserve"> et al. </w:t>
      </w:r>
      <w:r w:rsidRPr="00361E30">
        <w:rPr>
          <w:noProof/>
        </w:rPr>
        <w:lastRenderedPageBreak/>
        <w:t>2015, Hasler</w:t>
      </w:r>
      <w:r w:rsidR="00AE610D" w:rsidRPr="00361E30">
        <w:rPr>
          <w:noProof/>
        </w:rPr>
        <w:t xml:space="preserve"> et al.</w:t>
      </w:r>
      <w:r w:rsidRPr="00361E30">
        <w:rPr>
          <w:noProof/>
        </w:rPr>
        <w:t xml:space="preserve"> 2011)</w:t>
      </w:r>
      <w:r w:rsidRPr="00361E30">
        <w:t>. This was therefore used as the cut-off point for defining ‘normal’ and ‘low’ systolic blood pressure. On univariate analysis, the odds of survival for patients with an SBP lower than 110mmHg was 0.431 (95% CI 0.406 – 0.459). The number of patients with a systolic blood pressure of &lt;110mmHg was 7191 (9.1% of patients in whom SBP was recorded).</w:t>
      </w:r>
    </w:p>
    <w:p w14:paraId="4FF71D22" w14:textId="77777777" w:rsidR="00CA0EF0" w:rsidRPr="00361E30" w:rsidRDefault="00CA0EF0" w:rsidP="003C13F4">
      <w:pPr>
        <w:pStyle w:val="Heading3"/>
      </w:pPr>
      <w:r w:rsidRPr="00361E30">
        <w:t xml:space="preserve">5.3.4.3 </w:t>
      </w:r>
      <w:r w:rsidRPr="00361E30">
        <w:tab/>
        <w:t>Respiratory Rate</w:t>
      </w:r>
    </w:p>
    <w:p w14:paraId="5625805C" w14:textId="77777777" w:rsidR="00CA0EF0" w:rsidRPr="00361E30" w:rsidRDefault="00CA0EF0" w:rsidP="003C13F4">
      <w:r w:rsidRPr="00361E30">
        <w:t xml:space="preserve">Respiratory rate (RR) was grouped into the categories used in the revised trauma score (RTS): 0, 1 – 5, 6 – 9, ≥ 30 and 10 – 29 </w:t>
      </w:r>
      <w:r w:rsidRPr="00361E30">
        <w:rPr>
          <w:noProof/>
        </w:rPr>
        <w:t>(Champion et al., 1989</w:t>
      </w:r>
      <w:r w:rsidR="0052214F" w:rsidRPr="00361E30">
        <w:rPr>
          <w:noProof/>
        </w:rPr>
        <w:t>b</w:t>
      </w:r>
      <w:r w:rsidRPr="00361E30">
        <w:rPr>
          <w:noProof/>
        </w:rPr>
        <w:t>)</w:t>
      </w:r>
      <w:r w:rsidRPr="00361E30">
        <w:t xml:space="preserve">. Using the normal respiratory rate (10 – 29 breaths per minute) as the reference, survival was lower in all other groups of patients on univariate analysis. </w:t>
      </w:r>
    </w:p>
    <w:tbl>
      <w:tblPr>
        <w:tblW w:w="9198" w:type="dxa"/>
        <w:tblLook w:val="04A0" w:firstRow="1" w:lastRow="0" w:firstColumn="1" w:lastColumn="0" w:noHBand="0" w:noVBand="1"/>
      </w:tblPr>
      <w:tblGrid>
        <w:gridCol w:w="2421"/>
        <w:gridCol w:w="2268"/>
        <w:gridCol w:w="1269"/>
        <w:gridCol w:w="990"/>
        <w:gridCol w:w="1170"/>
        <w:gridCol w:w="1080"/>
      </w:tblGrid>
      <w:tr w:rsidR="00CA0EF0" w:rsidRPr="00361E30" w14:paraId="49394B18" w14:textId="77777777" w:rsidTr="003C13F4">
        <w:trPr>
          <w:trHeight w:val="315"/>
        </w:trPr>
        <w:tc>
          <w:tcPr>
            <w:tcW w:w="2421" w:type="dxa"/>
            <w:tcBorders>
              <w:top w:val="single" w:sz="4" w:space="0" w:color="auto"/>
              <w:left w:val="nil"/>
              <w:bottom w:val="nil"/>
              <w:right w:val="nil"/>
            </w:tcBorders>
            <w:shd w:val="clear" w:color="auto" w:fill="auto"/>
            <w:hideMark/>
          </w:tcPr>
          <w:p w14:paraId="77BA2F8C" w14:textId="77777777" w:rsidR="00CA0EF0" w:rsidRPr="00361E30" w:rsidRDefault="00CA0EF0" w:rsidP="003C13F4">
            <w:pPr>
              <w:spacing w:after="0" w:line="240" w:lineRule="auto"/>
              <w:jc w:val="left"/>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Covariate </w:t>
            </w:r>
          </w:p>
        </w:tc>
        <w:tc>
          <w:tcPr>
            <w:tcW w:w="2268" w:type="dxa"/>
            <w:tcBorders>
              <w:top w:val="single" w:sz="4" w:space="0" w:color="auto"/>
              <w:left w:val="nil"/>
              <w:bottom w:val="nil"/>
              <w:right w:val="nil"/>
            </w:tcBorders>
            <w:shd w:val="clear" w:color="auto" w:fill="auto"/>
            <w:vAlign w:val="center"/>
            <w:hideMark/>
          </w:tcPr>
          <w:p w14:paraId="3CBEFDCE" w14:textId="77777777" w:rsidR="00CA0EF0" w:rsidRPr="00361E30" w:rsidRDefault="00CA0EF0" w:rsidP="003C13F4">
            <w:pPr>
              <w:spacing w:after="0" w:line="240" w:lineRule="auto"/>
              <w:jc w:val="left"/>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Categories</w:t>
            </w:r>
          </w:p>
        </w:tc>
        <w:tc>
          <w:tcPr>
            <w:tcW w:w="1269" w:type="dxa"/>
            <w:tcBorders>
              <w:top w:val="single" w:sz="4" w:space="0" w:color="auto"/>
              <w:left w:val="nil"/>
              <w:bottom w:val="nil"/>
              <w:right w:val="nil"/>
            </w:tcBorders>
            <w:shd w:val="clear" w:color="auto" w:fill="auto"/>
            <w:vAlign w:val="center"/>
            <w:hideMark/>
          </w:tcPr>
          <w:p w14:paraId="061B89B4" w14:textId="77777777" w:rsidR="00CA0EF0" w:rsidRPr="00361E30" w:rsidRDefault="00CA0EF0" w:rsidP="003C13F4">
            <w:pPr>
              <w:spacing w:after="0" w:line="240" w:lineRule="auto"/>
              <w:jc w:val="center"/>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Odds Ratio</w:t>
            </w:r>
          </w:p>
        </w:tc>
        <w:tc>
          <w:tcPr>
            <w:tcW w:w="2160" w:type="dxa"/>
            <w:gridSpan w:val="2"/>
            <w:tcBorders>
              <w:top w:val="single" w:sz="4" w:space="0" w:color="auto"/>
              <w:left w:val="nil"/>
              <w:bottom w:val="nil"/>
              <w:right w:val="nil"/>
            </w:tcBorders>
            <w:shd w:val="clear" w:color="auto" w:fill="auto"/>
            <w:vAlign w:val="center"/>
            <w:hideMark/>
          </w:tcPr>
          <w:p w14:paraId="697E64E7" w14:textId="77777777" w:rsidR="00CA0EF0" w:rsidRPr="00361E30" w:rsidRDefault="00CA0EF0" w:rsidP="003C13F4">
            <w:pPr>
              <w:spacing w:after="0" w:line="240" w:lineRule="auto"/>
              <w:jc w:val="center"/>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95% C.I.</w:t>
            </w:r>
            <w:r w:rsidR="005E3024">
              <w:rPr>
                <w:rFonts w:ascii="Arial" w:eastAsia="Times New Roman" w:hAnsi="Arial" w:cs="Arial"/>
                <w:b/>
                <w:bCs/>
                <w:color w:val="000000"/>
                <w:sz w:val="18"/>
                <w:szCs w:val="18"/>
              </w:rPr>
              <w:t xml:space="preserve"> </w:t>
            </w:r>
            <w:r w:rsidRPr="00361E30">
              <w:rPr>
                <w:rFonts w:ascii="Arial" w:eastAsia="Times New Roman" w:hAnsi="Arial" w:cs="Arial"/>
                <w:b/>
                <w:bCs/>
                <w:color w:val="000000"/>
                <w:sz w:val="18"/>
                <w:szCs w:val="18"/>
              </w:rPr>
              <w:t>for OR</w:t>
            </w:r>
          </w:p>
        </w:tc>
        <w:tc>
          <w:tcPr>
            <w:tcW w:w="1080" w:type="dxa"/>
            <w:tcBorders>
              <w:top w:val="single" w:sz="4" w:space="0" w:color="auto"/>
              <w:left w:val="nil"/>
              <w:bottom w:val="nil"/>
              <w:right w:val="nil"/>
            </w:tcBorders>
            <w:shd w:val="clear" w:color="auto" w:fill="auto"/>
            <w:vAlign w:val="center"/>
            <w:hideMark/>
          </w:tcPr>
          <w:p w14:paraId="30F1D9B2" w14:textId="77777777" w:rsidR="00CA0EF0" w:rsidRPr="00361E30" w:rsidRDefault="00CA0EF0" w:rsidP="003C13F4">
            <w:pPr>
              <w:spacing w:after="0" w:line="240" w:lineRule="auto"/>
              <w:jc w:val="center"/>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p value</w:t>
            </w:r>
          </w:p>
        </w:tc>
      </w:tr>
      <w:tr w:rsidR="00CA0EF0" w:rsidRPr="00361E30" w14:paraId="41F88FD4" w14:textId="77777777" w:rsidTr="003C13F4">
        <w:trPr>
          <w:trHeight w:val="315"/>
        </w:trPr>
        <w:tc>
          <w:tcPr>
            <w:tcW w:w="2421" w:type="dxa"/>
            <w:tcBorders>
              <w:top w:val="nil"/>
              <w:left w:val="nil"/>
              <w:bottom w:val="double" w:sz="6" w:space="0" w:color="auto"/>
              <w:right w:val="nil"/>
            </w:tcBorders>
            <w:shd w:val="clear" w:color="auto" w:fill="auto"/>
            <w:hideMark/>
          </w:tcPr>
          <w:p w14:paraId="3602B1DC" w14:textId="77777777" w:rsidR="00CA0EF0" w:rsidRPr="00361E30" w:rsidRDefault="00CA0EF0" w:rsidP="003C13F4">
            <w:pPr>
              <w:spacing w:after="0" w:line="240" w:lineRule="auto"/>
              <w:jc w:val="left"/>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 </w:t>
            </w:r>
          </w:p>
        </w:tc>
        <w:tc>
          <w:tcPr>
            <w:tcW w:w="2268" w:type="dxa"/>
            <w:tcBorders>
              <w:top w:val="nil"/>
              <w:left w:val="nil"/>
              <w:bottom w:val="double" w:sz="6" w:space="0" w:color="auto"/>
              <w:right w:val="nil"/>
            </w:tcBorders>
            <w:shd w:val="clear" w:color="auto" w:fill="auto"/>
            <w:vAlign w:val="center"/>
            <w:hideMark/>
          </w:tcPr>
          <w:p w14:paraId="206E0C1B" w14:textId="77777777" w:rsidR="00CA0EF0" w:rsidRPr="00361E30" w:rsidRDefault="00CA0EF0" w:rsidP="003C13F4">
            <w:pPr>
              <w:spacing w:after="0" w:line="240" w:lineRule="auto"/>
              <w:jc w:val="left"/>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 </w:t>
            </w:r>
          </w:p>
        </w:tc>
        <w:tc>
          <w:tcPr>
            <w:tcW w:w="1269" w:type="dxa"/>
            <w:tcBorders>
              <w:top w:val="nil"/>
              <w:left w:val="nil"/>
              <w:bottom w:val="double" w:sz="6" w:space="0" w:color="auto"/>
              <w:right w:val="nil"/>
            </w:tcBorders>
            <w:shd w:val="clear" w:color="auto" w:fill="auto"/>
            <w:vAlign w:val="center"/>
            <w:hideMark/>
          </w:tcPr>
          <w:p w14:paraId="38D330B7" w14:textId="77777777" w:rsidR="00CA0EF0" w:rsidRPr="00361E30" w:rsidRDefault="00CA0EF0" w:rsidP="003C13F4">
            <w:pPr>
              <w:spacing w:after="0" w:line="240" w:lineRule="auto"/>
              <w:jc w:val="center"/>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 </w:t>
            </w:r>
          </w:p>
        </w:tc>
        <w:tc>
          <w:tcPr>
            <w:tcW w:w="990" w:type="dxa"/>
            <w:tcBorders>
              <w:top w:val="nil"/>
              <w:left w:val="nil"/>
              <w:bottom w:val="double" w:sz="6" w:space="0" w:color="auto"/>
              <w:right w:val="nil"/>
            </w:tcBorders>
            <w:shd w:val="clear" w:color="auto" w:fill="auto"/>
            <w:vAlign w:val="center"/>
            <w:hideMark/>
          </w:tcPr>
          <w:p w14:paraId="1900AC35" w14:textId="77777777" w:rsidR="00CA0EF0" w:rsidRPr="00361E30" w:rsidRDefault="00CA0EF0" w:rsidP="003C13F4">
            <w:pPr>
              <w:spacing w:after="0" w:line="240" w:lineRule="auto"/>
              <w:jc w:val="center"/>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Lower</w:t>
            </w:r>
          </w:p>
        </w:tc>
        <w:tc>
          <w:tcPr>
            <w:tcW w:w="1170" w:type="dxa"/>
            <w:tcBorders>
              <w:top w:val="nil"/>
              <w:left w:val="nil"/>
              <w:bottom w:val="double" w:sz="6" w:space="0" w:color="auto"/>
              <w:right w:val="nil"/>
            </w:tcBorders>
            <w:shd w:val="clear" w:color="auto" w:fill="auto"/>
            <w:vAlign w:val="center"/>
            <w:hideMark/>
          </w:tcPr>
          <w:p w14:paraId="49DB2AEB" w14:textId="77777777" w:rsidR="00CA0EF0" w:rsidRPr="00361E30" w:rsidRDefault="00CA0EF0" w:rsidP="003C13F4">
            <w:pPr>
              <w:spacing w:after="0" w:line="240" w:lineRule="auto"/>
              <w:jc w:val="center"/>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Upper</w:t>
            </w:r>
          </w:p>
        </w:tc>
        <w:tc>
          <w:tcPr>
            <w:tcW w:w="1080" w:type="dxa"/>
            <w:tcBorders>
              <w:top w:val="nil"/>
              <w:left w:val="nil"/>
              <w:bottom w:val="double" w:sz="6" w:space="0" w:color="auto"/>
              <w:right w:val="nil"/>
            </w:tcBorders>
            <w:shd w:val="clear" w:color="auto" w:fill="auto"/>
            <w:vAlign w:val="center"/>
            <w:hideMark/>
          </w:tcPr>
          <w:p w14:paraId="780A6604" w14:textId="77777777" w:rsidR="00CA0EF0" w:rsidRPr="00361E30" w:rsidRDefault="00CA0EF0" w:rsidP="003C13F4">
            <w:pPr>
              <w:spacing w:after="0" w:line="240" w:lineRule="auto"/>
              <w:jc w:val="center"/>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 </w:t>
            </w:r>
          </w:p>
        </w:tc>
      </w:tr>
      <w:tr w:rsidR="00CA0EF0" w:rsidRPr="00361E30" w14:paraId="61F42E4B" w14:textId="77777777" w:rsidTr="003C13F4">
        <w:trPr>
          <w:trHeight w:val="315"/>
        </w:trPr>
        <w:tc>
          <w:tcPr>
            <w:tcW w:w="2421" w:type="dxa"/>
            <w:vMerge w:val="restart"/>
            <w:tcBorders>
              <w:top w:val="nil"/>
              <w:left w:val="nil"/>
              <w:right w:val="nil"/>
            </w:tcBorders>
            <w:shd w:val="clear" w:color="auto" w:fill="auto"/>
            <w:hideMark/>
          </w:tcPr>
          <w:p w14:paraId="77B292E7" w14:textId="77777777" w:rsidR="00CA0EF0" w:rsidRPr="00361E30" w:rsidRDefault="00CA0EF0" w:rsidP="003C13F4">
            <w:pPr>
              <w:spacing w:after="0" w:line="240" w:lineRule="auto"/>
              <w:jc w:val="left"/>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Glasgow Coma Score</w:t>
            </w:r>
          </w:p>
          <w:p w14:paraId="18BA8E6C" w14:textId="77777777" w:rsidR="00CA0EF0" w:rsidRPr="00361E30" w:rsidRDefault="00CA0EF0" w:rsidP="003C13F4">
            <w:pPr>
              <w:spacing w:after="0" w:line="240" w:lineRule="auto"/>
              <w:jc w:val="left"/>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 </w:t>
            </w:r>
          </w:p>
        </w:tc>
        <w:tc>
          <w:tcPr>
            <w:tcW w:w="2268" w:type="dxa"/>
            <w:tcBorders>
              <w:top w:val="nil"/>
              <w:left w:val="nil"/>
              <w:bottom w:val="nil"/>
              <w:right w:val="nil"/>
            </w:tcBorders>
            <w:shd w:val="clear" w:color="auto" w:fill="auto"/>
            <w:vAlign w:val="center"/>
            <w:hideMark/>
          </w:tcPr>
          <w:p w14:paraId="47F68B4B" w14:textId="77777777" w:rsidR="00CA0EF0" w:rsidRPr="00361E30" w:rsidRDefault="00CA0EF0" w:rsidP="003C13F4">
            <w:pPr>
              <w:spacing w:after="0" w:line="240" w:lineRule="auto"/>
              <w:jc w:val="left"/>
              <w:rPr>
                <w:rFonts w:ascii="Arial" w:eastAsia="Times New Roman" w:hAnsi="Arial" w:cs="Arial"/>
                <w:color w:val="000000"/>
                <w:sz w:val="18"/>
                <w:szCs w:val="18"/>
              </w:rPr>
            </w:pPr>
            <w:r w:rsidRPr="00361E30">
              <w:rPr>
                <w:rFonts w:ascii="Arial" w:eastAsia="Times New Roman" w:hAnsi="Arial" w:cs="Arial"/>
                <w:color w:val="000000"/>
                <w:sz w:val="18"/>
                <w:szCs w:val="18"/>
              </w:rPr>
              <w:t>GCS = 15</w:t>
            </w:r>
          </w:p>
        </w:tc>
        <w:tc>
          <w:tcPr>
            <w:tcW w:w="1269" w:type="dxa"/>
            <w:tcBorders>
              <w:top w:val="nil"/>
              <w:left w:val="nil"/>
              <w:bottom w:val="nil"/>
              <w:right w:val="nil"/>
            </w:tcBorders>
            <w:shd w:val="clear" w:color="auto" w:fill="auto"/>
            <w:vAlign w:val="center"/>
            <w:hideMark/>
          </w:tcPr>
          <w:p w14:paraId="584A8FB7"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990" w:type="dxa"/>
            <w:tcBorders>
              <w:top w:val="nil"/>
              <w:left w:val="nil"/>
              <w:bottom w:val="nil"/>
              <w:right w:val="nil"/>
            </w:tcBorders>
            <w:shd w:val="clear" w:color="auto" w:fill="auto"/>
            <w:vAlign w:val="center"/>
            <w:hideMark/>
          </w:tcPr>
          <w:p w14:paraId="3F7846A8"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170" w:type="dxa"/>
            <w:tcBorders>
              <w:top w:val="nil"/>
              <w:left w:val="nil"/>
              <w:bottom w:val="nil"/>
              <w:right w:val="nil"/>
            </w:tcBorders>
            <w:shd w:val="clear" w:color="auto" w:fill="auto"/>
            <w:vAlign w:val="center"/>
            <w:hideMark/>
          </w:tcPr>
          <w:p w14:paraId="043B7972"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080" w:type="dxa"/>
            <w:tcBorders>
              <w:top w:val="nil"/>
              <w:left w:val="nil"/>
              <w:bottom w:val="nil"/>
              <w:right w:val="nil"/>
            </w:tcBorders>
            <w:shd w:val="clear" w:color="auto" w:fill="auto"/>
            <w:noWrap/>
            <w:vAlign w:val="center"/>
            <w:hideMark/>
          </w:tcPr>
          <w:p w14:paraId="78AEB8CB"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0.000</w:t>
            </w:r>
          </w:p>
        </w:tc>
      </w:tr>
      <w:tr w:rsidR="00CA0EF0" w:rsidRPr="00361E30" w14:paraId="6F2AB59B" w14:textId="77777777" w:rsidTr="003C13F4">
        <w:trPr>
          <w:trHeight w:val="300"/>
        </w:trPr>
        <w:tc>
          <w:tcPr>
            <w:tcW w:w="2421" w:type="dxa"/>
            <w:vMerge/>
            <w:tcBorders>
              <w:left w:val="nil"/>
              <w:right w:val="nil"/>
            </w:tcBorders>
            <w:shd w:val="clear" w:color="auto" w:fill="auto"/>
            <w:hideMark/>
          </w:tcPr>
          <w:p w14:paraId="6FA0D879" w14:textId="77777777" w:rsidR="00CA0EF0" w:rsidRPr="00361E30" w:rsidRDefault="00CA0EF0" w:rsidP="003C13F4">
            <w:pPr>
              <w:spacing w:after="0" w:line="240" w:lineRule="auto"/>
              <w:jc w:val="left"/>
              <w:rPr>
                <w:rFonts w:ascii="Arial" w:eastAsia="Times New Roman" w:hAnsi="Arial" w:cs="Arial"/>
                <w:b/>
                <w:bCs/>
                <w:color w:val="000000"/>
                <w:sz w:val="18"/>
                <w:szCs w:val="18"/>
              </w:rPr>
            </w:pPr>
          </w:p>
        </w:tc>
        <w:tc>
          <w:tcPr>
            <w:tcW w:w="2268" w:type="dxa"/>
            <w:tcBorders>
              <w:top w:val="nil"/>
              <w:left w:val="nil"/>
              <w:bottom w:val="nil"/>
              <w:right w:val="nil"/>
            </w:tcBorders>
            <w:shd w:val="clear" w:color="auto" w:fill="auto"/>
            <w:vAlign w:val="center"/>
            <w:hideMark/>
          </w:tcPr>
          <w:p w14:paraId="089D8303" w14:textId="77777777" w:rsidR="00CA0EF0" w:rsidRPr="00361E30" w:rsidRDefault="00CA0EF0" w:rsidP="003C13F4">
            <w:pPr>
              <w:spacing w:after="0" w:line="240" w:lineRule="auto"/>
              <w:jc w:val="left"/>
              <w:rPr>
                <w:rFonts w:ascii="Arial" w:eastAsia="Times New Roman" w:hAnsi="Arial" w:cs="Arial"/>
                <w:color w:val="000000"/>
                <w:sz w:val="18"/>
                <w:szCs w:val="18"/>
              </w:rPr>
            </w:pPr>
            <w:r w:rsidRPr="00361E30">
              <w:rPr>
                <w:rFonts w:ascii="Arial" w:eastAsia="Times New Roman" w:hAnsi="Arial" w:cs="Arial"/>
                <w:color w:val="000000"/>
                <w:sz w:val="18"/>
                <w:szCs w:val="18"/>
              </w:rPr>
              <w:t>GCS 13 - 14</w:t>
            </w:r>
          </w:p>
        </w:tc>
        <w:tc>
          <w:tcPr>
            <w:tcW w:w="1269" w:type="dxa"/>
            <w:tcBorders>
              <w:top w:val="nil"/>
              <w:left w:val="nil"/>
              <w:bottom w:val="nil"/>
              <w:right w:val="nil"/>
            </w:tcBorders>
            <w:shd w:val="clear" w:color="auto" w:fill="auto"/>
            <w:noWrap/>
            <w:vAlign w:val="center"/>
            <w:hideMark/>
          </w:tcPr>
          <w:p w14:paraId="1DB7B0AE"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.372</w:t>
            </w:r>
          </w:p>
        </w:tc>
        <w:tc>
          <w:tcPr>
            <w:tcW w:w="990" w:type="dxa"/>
            <w:tcBorders>
              <w:top w:val="nil"/>
              <w:left w:val="nil"/>
              <w:bottom w:val="nil"/>
              <w:right w:val="nil"/>
            </w:tcBorders>
            <w:shd w:val="clear" w:color="auto" w:fill="auto"/>
            <w:noWrap/>
            <w:vAlign w:val="center"/>
            <w:hideMark/>
          </w:tcPr>
          <w:p w14:paraId="2B01CB98"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.342</w:t>
            </w:r>
          </w:p>
        </w:tc>
        <w:tc>
          <w:tcPr>
            <w:tcW w:w="1170" w:type="dxa"/>
            <w:tcBorders>
              <w:top w:val="nil"/>
              <w:left w:val="nil"/>
              <w:bottom w:val="nil"/>
              <w:right w:val="nil"/>
            </w:tcBorders>
            <w:shd w:val="clear" w:color="auto" w:fill="auto"/>
            <w:noWrap/>
            <w:vAlign w:val="center"/>
            <w:hideMark/>
          </w:tcPr>
          <w:p w14:paraId="7EEC4B86"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.406</w:t>
            </w:r>
          </w:p>
        </w:tc>
        <w:tc>
          <w:tcPr>
            <w:tcW w:w="1080" w:type="dxa"/>
            <w:tcBorders>
              <w:top w:val="nil"/>
              <w:left w:val="nil"/>
              <w:bottom w:val="nil"/>
              <w:right w:val="nil"/>
            </w:tcBorders>
            <w:shd w:val="clear" w:color="auto" w:fill="auto"/>
            <w:noWrap/>
            <w:vAlign w:val="center"/>
            <w:hideMark/>
          </w:tcPr>
          <w:p w14:paraId="4A1A548E"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w:t>
            </w:r>
          </w:p>
        </w:tc>
      </w:tr>
      <w:tr w:rsidR="00CA0EF0" w:rsidRPr="00361E30" w14:paraId="3302CF8D" w14:textId="77777777" w:rsidTr="003C13F4">
        <w:trPr>
          <w:trHeight w:val="300"/>
        </w:trPr>
        <w:tc>
          <w:tcPr>
            <w:tcW w:w="2421" w:type="dxa"/>
            <w:vMerge/>
            <w:tcBorders>
              <w:left w:val="nil"/>
              <w:right w:val="nil"/>
            </w:tcBorders>
            <w:shd w:val="clear" w:color="auto" w:fill="auto"/>
            <w:hideMark/>
          </w:tcPr>
          <w:p w14:paraId="5485FC56" w14:textId="77777777" w:rsidR="00CA0EF0" w:rsidRPr="00361E30" w:rsidRDefault="00CA0EF0" w:rsidP="003C13F4">
            <w:pPr>
              <w:spacing w:after="0" w:line="240" w:lineRule="auto"/>
              <w:jc w:val="left"/>
              <w:rPr>
                <w:rFonts w:ascii="Arial" w:eastAsia="Times New Roman" w:hAnsi="Arial" w:cs="Arial"/>
                <w:b/>
                <w:bCs/>
                <w:color w:val="000000"/>
                <w:sz w:val="18"/>
                <w:szCs w:val="18"/>
              </w:rPr>
            </w:pPr>
          </w:p>
        </w:tc>
        <w:tc>
          <w:tcPr>
            <w:tcW w:w="2268" w:type="dxa"/>
            <w:tcBorders>
              <w:top w:val="nil"/>
              <w:left w:val="nil"/>
              <w:bottom w:val="nil"/>
              <w:right w:val="nil"/>
            </w:tcBorders>
            <w:shd w:val="clear" w:color="auto" w:fill="auto"/>
            <w:vAlign w:val="center"/>
            <w:hideMark/>
          </w:tcPr>
          <w:p w14:paraId="332E40FD" w14:textId="77777777" w:rsidR="00CA0EF0" w:rsidRPr="00361E30" w:rsidRDefault="00CA0EF0" w:rsidP="003C13F4">
            <w:pPr>
              <w:spacing w:after="0" w:line="240" w:lineRule="auto"/>
              <w:jc w:val="left"/>
              <w:rPr>
                <w:rFonts w:ascii="Arial" w:eastAsia="Times New Roman" w:hAnsi="Arial" w:cs="Arial"/>
                <w:color w:val="000000"/>
                <w:sz w:val="18"/>
                <w:szCs w:val="18"/>
              </w:rPr>
            </w:pPr>
            <w:r w:rsidRPr="00361E30">
              <w:rPr>
                <w:rFonts w:ascii="Arial" w:eastAsia="Times New Roman" w:hAnsi="Arial" w:cs="Arial"/>
                <w:color w:val="000000"/>
                <w:sz w:val="18"/>
                <w:szCs w:val="18"/>
              </w:rPr>
              <w:t>GCS 9 - 12</w:t>
            </w:r>
          </w:p>
        </w:tc>
        <w:tc>
          <w:tcPr>
            <w:tcW w:w="1269" w:type="dxa"/>
            <w:tcBorders>
              <w:top w:val="nil"/>
              <w:left w:val="nil"/>
              <w:bottom w:val="nil"/>
              <w:right w:val="nil"/>
            </w:tcBorders>
            <w:shd w:val="clear" w:color="auto" w:fill="auto"/>
            <w:noWrap/>
            <w:vAlign w:val="center"/>
            <w:hideMark/>
          </w:tcPr>
          <w:p w14:paraId="10800A45"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.111</w:t>
            </w:r>
          </w:p>
        </w:tc>
        <w:tc>
          <w:tcPr>
            <w:tcW w:w="990" w:type="dxa"/>
            <w:tcBorders>
              <w:top w:val="nil"/>
              <w:left w:val="nil"/>
              <w:bottom w:val="nil"/>
              <w:right w:val="nil"/>
            </w:tcBorders>
            <w:shd w:val="clear" w:color="auto" w:fill="auto"/>
            <w:noWrap/>
            <w:vAlign w:val="center"/>
            <w:hideMark/>
          </w:tcPr>
          <w:p w14:paraId="1B16C32C"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.098</w:t>
            </w:r>
          </w:p>
        </w:tc>
        <w:tc>
          <w:tcPr>
            <w:tcW w:w="1170" w:type="dxa"/>
            <w:tcBorders>
              <w:top w:val="nil"/>
              <w:left w:val="nil"/>
              <w:bottom w:val="nil"/>
              <w:right w:val="nil"/>
            </w:tcBorders>
            <w:shd w:val="clear" w:color="auto" w:fill="auto"/>
            <w:noWrap/>
            <w:vAlign w:val="center"/>
            <w:hideMark/>
          </w:tcPr>
          <w:p w14:paraId="534A3B1C"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.127</w:t>
            </w:r>
          </w:p>
        </w:tc>
        <w:tc>
          <w:tcPr>
            <w:tcW w:w="1080" w:type="dxa"/>
            <w:tcBorders>
              <w:top w:val="nil"/>
              <w:left w:val="nil"/>
              <w:bottom w:val="nil"/>
              <w:right w:val="nil"/>
            </w:tcBorders>
            <w:shd w:val="clear" w:color="auto" w:fill="auto"/>
            <w:noWrap/>
            <w:vAlign w:val="center"/>
            <w:hideMark/>
          </w:tcPr>
          <w:p w14:paraId="61CA8FFD"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w:t>
            </w:r>
          </w:p>
        </w:tc>
      </w:tr>
      <w:tr w:rsidR="00CA0EF0" w:rsidRPr="00361E30" w14:paraId="0CD300B5" w14:textId="77777777" w:rsidTr="003C13F4">
        <w:trPr>
          <w:trHeight w:val="300"/>
        </w:trPr>
        <w:tc>
          <w:tcPr>
            <w:tcW w:w="2421" w:type="dxa"/>
            <w:vMerge/>
            <w:tcBorders>
              <w:left w:val="nil"/>
              <w:right w:val="nil"/>
            </w:tcBorders>
            <w:shd w:val="clear" w:color="auto" w:fill="auto"/>
            <w:hideMark/>
          </w:tcPr>
          <w:p w14:paraId="0DE12A9E" w14:textId="77777777" w:rsidR="00CA0EF0" w:rsidRPr="00361E30" w:rsidRDefault="00CA0EF0" w:rsidP="003C13F4">
            <w:pPr>
              <w:spacing w:after="0" w:line="240" w:lineRule="auto"/>
              <w:jc w:val="left"/>
              <w:rPr>
                <w:rFonts w:ascii="Arial" w:eastAsia="Times New Roman" w:hAnsi="Arial" w:cs="Arial"/>
                <w:b/>
                <w:bCs/>
                <w:color w:val="000000"/>
                <w:sz w:val="18"/>
                <w:szCs w:val="18"/>
              </w:rPr>
            </w:pPr>
          </w:p>
        </w:tc>
        <w:tc>
          <w:tcPr>
            <w:tcW w:w="2268" w:type="dxa"/>
            <w:tcBorders>
              <w:top w:val="nil"/>
              <w:left w:val="nil"/>
              <w:bottom w:val="nil"/>
              <w:right w:val="nil"/>
            </w:tcBorders>
            <w:shd w:val="clear" w:color="auto" w:fill="auto"/>
            <w:vAlign w:val="center"/>
            <w:hideMark/>
          </w:tcPr>
          <w:p w14:paraId="122CB370" w14:textId="77777777" w:rsidR="00CA0EF0" w:rsidRPr="00361E30" w:rsidRDefault="00CA0EF0" w:rsidP="003C13F4">
            <w:pPr>
              <w:spacing w:after="0" w:line="240" w:lineRule="auto"/>
              <w:jc w:val="left"/>
              <w:rPr>
                <w:rFonts w:ascii="Arial" w:eastAsia="Times New Roman" w:hAnsi="Arial" w:cs="Arial"/>
                <w:color w:val="000000"/>
                <w:sz w:val="18"/>
                <w:szCs w:val="18"/>
              </w:rPr>
            </w:pPr>
            <w:r w:rsidRPr="00361E30">
              <w:rPr>
                <w:rFonts w:ascii="Arial" w:eastAsia="Times New Roman" w:hAnsi="Arial" w:cs="Arial"/>
                <w:color w:val="000000"/>
                <w:sz w:val="18"/>
                <w:szCs w:val="18"/>
              </w:rPr>
              <w:t>GCS 6 - 8</w:t>
            </w:r>
          </w:p>
        </w:tc>
        <w:tc>
          <w:tcPr>
            <w:tcW w:w="1269" w:type="dxa"/>
            <w:tcBorders>
              <w:top w:val="nil"/>
              <w:left w:val="nil"/>
              <w:bottom w:val="nil"/>
              <w:right w:val="nil"/>
            </w:tcBorders>
            <w:shd w:val="clear" w:color="auto" w:fill="auto"/>
            <w:noWrap/>
            <w:vAlign w:val="center"/>
            <w:hideMark/>
          </w:tcPr>
          <w:p w14:paraId="57EC8077"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.038</w:t>
            </w:r>
          </w:p>
        </w:tc>
        <w:tc>
          <w:tcPr>
            <w:tcW w:w="990" w:type="dxa"/>
            <w:tcBorders>
              <w:top w:val="nil"/>
              <w:left w:val="nil"/>
              <w:bottom w:val="nil"/>
              <w:right w:val="nil"/>
            </w:tcBorders>
            <w:shd w:val="clear" w:color="auto" w:fill="auto"/>
            <w:noWrap/>
            <w:vAlign w:val="center"/>
            <w:hideMark/>
          </w:tcPr>
          <w:p w14:paraId="27093896"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.031</w:t>
            </w:r>
          </w:p>
        </w:tc>
        <w:tc>
          <w:tcPr>
            <w:tcW w:w="1170" w:type="dxa"/>
            <w:tcBorders>
              <w:top w:val="nil"/>
              <w:left w:val="nil"/>
              <w:bottom w:val="nil"/>
              <w:right w:val="nil"/>
            </w:tcBorders>
            <w:shd w:val="clear" w:color="auto" w:fill="auto"/>
            <w:noWrap/>
            <w:vAlign w:val="center"/>
            <w:hideMark/>
          </w:tcPr>
          <w:p w14:paraId="27CCA6CA"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.046</w:t>
            </w:r>
          </w:p>
        </w:tc>
        <w:tc>
          <w:tcPr>
            <w:tcW w:w="1080" w:type="dxa"/>
            <w:tcBorders>
              <w:top w:val="nil"/>
              <w:left w:val="nil"/>
              <w:bottom w:val="nil"/>
              <w:right w:val="nil"/>
            </w:tcBorders>
            <w:shd w:val="clear" w:color="auto" w:fill="auto"/>
            <w:noWrap/>
            <w:vAlign w:val="center"/>
            <w:hideMark/>
          </w:tcPr>
          <w:p w14:paraId="7127541E"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w:t>
            </w:r>
          </w:p>
        </w:tc>
      </w:tr>
      <w:tr w:rsidR="00CA0EF0" w:rsidRPr="00361E30" w14:paraId="55539727" w14:textId="77777777" w:rsidTr="003C13F4">
        <w:trPr>
          <w:trHeight w:val="300"/>
        </w:trPr>
        <w:tc>
          <w:tcPr>
            <w:tcW w:w="2421" w:type="dxa"/>
            <w:vMerge/>
            <w:tcBorders>
              <w:left w:val="nil"/>
              <w:right w:val="nil"/>
            </w:tcBorders>
            <w:shd w:val="clear" w:color="auto" w:fill="auto"/>
            <w:hideMark/>
          </w:tcPr>
          <w:p w14:paraId="15CED255" w14:textId="77777777" w:rsidR="00CA0EF0" w:rsidRPr="00361E30" w:rsidRDefault="00CA0EF0" w:rsidP="003C13F4">
            <w:pPr>
              <w:spacing w:after="0" w:line="240" w:lineRule="auto"/>
              <w:jc w:val="left"/>
              <w:rPr>
                <w:rFonts w:ascii="Arial" w:eastAsia="Times New Roman" w:hAnsi="Arial" w:cs="Arial"/>
                <w:b/>
                <w:bCs/>
                <w:color w:val="000000"/>
                <w:sz w:val="18"/>
                <w:szCs w:val="18"/>
              </w:rPr>
            </w:pPr>
          </w:p>
        </w:tc>
        <w:tc>
          <w:tcPr>
            <w:tcW w:w="2268" w:type="dxa"/>
            <w:tcBorders>
              <w:top w:val="nil"/>
              <w:left w:val="nil"/>
              <w:bottom w:val="nil"/>
              <w:right w:val="nil"/>
            </w:tcBorders>
            <w:shd w:val="clear" w:color="auto" w:fill="auto"/>
            <w:vAlign w:val="center"/>
            <w:hideMark/>
          </w:tcPr>
          <w:p w14:paraId="3A67D1A8" w14:textId="77777777" w:rsidR="00CA0EF0" w:rsidRPr="00361E30" w:rsidRDefault="00CA0EF0" w:rsidP="003C13F4">
            <w:pPr>
              <w:spacing w:after="0" w:line="240" w:lineRule="auto"/>
              <w:jc w:val="left"/>
              <w:rPr>
                <w:rFonts w:ascii="Arial" w:eastAsia="Times New Roman" w:hAnsi="Arial" w:cs="Arial"/>
                <w:color w:val="000000"/>
                <w:sz w:val="18"/>
                <w:szCs w:val="18"/>
              </w:rPr>
            </w:pPr>
            <w:r w:rsidRPr="00361E30">
              <w:rPr>
                <w:rFonts w:ascii="Arial" w:eastAsia="Times New Roman" w:hAnsi="Arial" w:cs="Arial"/>
                <w:color w:val="000000"/>
                <w:sz w:val="18"/>
                <w:szCs w:val="18"/>
              </w:rPr>
              <w:t>GCS 4 - 5</w:t>
            </w:r>
          </w:p>
        </w:tc>
        <w:tc>
          <w:tcPr>
            <w:tcW w:w="1269" w:type="dxa"/>
            <w:tcBorders>
              <w:top w:val="nil"/>
              <w:left w:val="nil"/>
              <w:bottom w:val="nil"/>
              <w:right w:val="nil"/>
            </w:tcBorders>
            <w:shd w:val="clear" w:color="auto" w:fill="auto"/>
            <w:noWrap/>
            <w:vAlign w:val="center"/>
            <w:hideMark/>
          </w:tcPr>
          <w:p w14:paraId="3BE2FE83"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.013</w:t>
            </w:r>
          </w:p>
        </w:tc>
        <w:tc>
          <w:tcPr>
            <w:tcW w:w="990" w:type="dxa"/>
            <w:tcBorders>
              <w:top w:val="nil"/>
              <w:left w:val="nil"/>
              <w:bottom w:val="nil"/>
              <w:right w:val="nil"/>
            </w:tcBorders>
            <w:shd w:val="clear" w:color="auto" w:fill="auto"/>
            <w:noWrap/>
            <w:vAlign w:val="center"/>
            <w:hideMark/>
          </w:tcPr>
          <w:p w14:paraId="0E4AB153"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.009</w:t>
            </w:r>
          </w:p>
        </w:tc>
        <w:tc>
          <w:tcPr>
            <w:tcW w:w="1170" w:type="dxa"/>
            <w:tcBorders>
              <w:top w:val="nil"/>
              <w:left w:val="nil"/>
              <w:bottom w:val="nil"/>
              <w:right w:val="nil"/>
            </w:tcBorders>
            <w:shd w:val="clear" w:color="auto" w:fill="auto"/>
            <w:noWrap/>
            <w:vAlign w:val="center"/>
            <w:hideMark/>
          </w:tcPr>
          <w:p w14:paraId="62816670"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.018</w:t>
            </w:r>
          </w:p>
        </w:tc>
        <w:tc>
          <w:tcPr>
            <w:tcW w:w="1080" w:type="dxa"/>
            <w:tcBorders>
              <w:top w:val="nil"/>
              <w:left w:val="nil"/>
              <w:bottom w:val="nil"/>
              <w:right w:val="nil"/>
            </w:tcBorders>
            <w:shd w:val="clear" w:color="auto" w:fill="auto"/>
            <w:noWrap/>
            <w:vAlign w:val="center"/>
            <w:hideMark/>
          </w:tcPr>
          <w:p w14:paraId="1943B3C0"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w:t>
            </w:r>
          </w:p>
        </w:tc>
      </w:tr>
      <w:tr w:rsidR="00CA0EF0" w:rsidRPr="00361E30" w14:paraId="329C78E2" w14:textId="77777777" w:rsidTr="003C13F4">
        <w:trPr>
          <w:trHeight w:val="300"/>
        </w:trPr>
        <w:tc>
          <w:tcPr>
            <w:tcW w:w="2421" w:type="dxa"/>
            <w:vMerge/>
            <w:tcBorders>
              <w:left w:val="nil"/>
              <w:right w:val="nil"/>
            </w:tcBorders>
            <w:shd w:val="clear" w:color="auto" w:fill="auto"/>
            <w:hideMark/>
          </w:tcPr>
          <w:p w14:paraId="02DA9B2C" w14:textId="77777777" w:rsidR="00CA0EF0" w:rsidRPr="00361E30" w:rsidRDefault="00CA0EF0" w:rsidP="003C13F4">
            <w:pPr>
              <w:spacing w:after="0" w:line="240" w:lineRule="auto"/>
              <w:jc w:val="left"/>
              <w:rPr>
                <w:rFonts w:ascii="Arial" w:eastAsia="Times New Roman" w:hAnsi="Arial" w:cs="Arial"/>
                <w:b/>
                <w:bCs/>
                <w:color w:val="000000"/>
                <w:sz w:val="18"/>
                <w:szCs w:val="18"/>
              </w:rPr>
            </w:pPr>
          </w:p>
        </w:tc>
        <w:tc>
          <w:tcPr>
            <w:tcW w:w="2268" w:type="dxa"/>
            <w:tcBorders>
              <w:top w:val="nil"/>
              <w:left w:val="nil"/>
              <w:bottom w:val="nil"/>
              <w:right w:val="nil"/>
            </w:tcBorders>
            <w:shd w:val="clear" w:color="auto" w:fill="auto"/>
            <w:vAlign w:val="center"/>
            <w:hideMark/>
          </w:tcPr>
          <w:p w14:paraId="177F9EF5" w14:textId="77777777" w:rsidR="00CA0EF0" w:rsidRPr="00361E30" w:rsidRDefault="00CA0EF0" w:rsidP="003C13F4">
            <w:pPr>
              <w:spacing w:after="0" w:line="240" w:lineRule="auto"/>
              <w:jc w:val="left"/>
              <w:rPr>
                <w:rFonts w:ascii="Arial" w:eastAsia="Times New Roman" w:hAnsi="Arial" w:cs="Arial"/>
                <w:color w:val="000000"/>
                <w:sz w:val="18"/>
                <w:szCs w:val="18"/>
              </w:rPr>
            </w:pPr>
            <w:r w:rsidRPr="00361E30">
              <w:rPr>
                <w:rFonts w:ascii="Arial" w:eastAsia="Times New Roman" w:hAnsi="Arial" w:cs="Arial"/>
                <w:color w:val="000000"/>
                <w:sz w:val="18"/>
                <w:szCs w:val="18"/>
              </w:rPr>
              <w:t>GCS = 3</w:t>
            </w:r>
          </w:p>
        </w:tc>
        <w:tc>
          <w:tcPr>
            <w:tcW w:w="1269" w:type="dxa"/>
            <w:tcBorders>
              <w:top w:val="nil"/>
              <w:left w:val="nil"/>
              <w:bottom w:val="nil"/>
              <w:right w:val="nil"/>
            </w:tcBorders>
            <w:shd w:val="clear" w:color="auto" w:fill="auto"/>
            <w:noWrap/>
            <w:vAlign w:val="center"/>
            <w:hideMark/>
          </w:tcPr>
          <w:p w14:paraId="1601EAC9"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.016</w:t>
            </w:r>
          </w:p>
        </w:tc>
        <w:tc>
          <w:tcPr>
            <w:tcW w:w="990" w:type="dxa"/>
            <w:tcBorders>
              <w:top w:val="nil"/>
              <w:left w:val="nil"/>
              <w:bottom w:val="nil"/>
              <w:right w:val="nil"/>
            </w:tcBorders>
            <w:shd w:val="clear" w:color="auto" w:fill="auto"/>
            <w:noWrap/>
            <w:vAlign w:val="center"/>
            <w:hideMark/>
          </w:tcPr>
          <w:p w14:paraId="6298D9F7"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.012</w:t>
            </w:r>
          </w:p>
        </w:tc>
        <w:tc>
          <w:tcPr>
            <w:tcW w:w="1170" w:type="dxa"/>
            <w:tcBorders>
              <w:top w:val="nil"/>
              <w:left w:val="nil"/>
              <w:bottom w:val="nil"/>
              <w:right w:val="nil"/>
            </w:tcBorders>
            <w:shd w:val="clear" w:color="auto" w:fill="auto"/>
            <w:noWrap/>
            <w:vAlign w:val="center"/>
            <w:hideMark/>
          </w:tcPr>
          <w:p w14:paraId="1CEEB45F"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.020</w:t>
            </w:r>
          </w:p>
        </w:tc>
        <w:tc>
          <w:tcPr>
            <w:tcW w:w="1080" w:type="dxa"/>
            <w:tcBorders>
              <w:top w:val="nil"/>
              <w:left w:val="nil"/>
              <w:bottom w:val="nil"/>
              <w:right w:val="nil"/>
            </w:tcBorders>
            <w:shd w:val="clear" w:color="auto" w:fill="auto"/>
            <w:noWrap/>
            <w:vAlign w:val="center"/>
            <w:hideMark/>
          </w:tcPr>
          <w:p w14:paraId="0C8A599C"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w:t>
            </w:r>
          </w:p>
        </w:tc>
      </w:tr>
      <w:tr w:rsidR="00CA0EF0" w:rsidRPr="00361E30" w14:paraId="01136161" w14:textId="77777777" w:rsidTr="003C13F4">
        <w:trPr>
          <w:trHeight w:val="300"/>
        </w:trPr>
        <w:tc>
          <w:tcPr>
            <w:tcW w:w="2421" w:type="dxa"/>
            <w:vMerge/>
            <w:tcBorders>
              <w:left w:val="nil"/>
              <w:right w:val="nil"/>
            </w:tcBorders>
            <w:shd w:val="clear" w:color="auto" w:fill="auto"/>
            <w:hideMark/>
          </w:tcPr>
          <w:p w14:paraId="37D64D52" w14:textId="77777777" w:rsidR="00CA0EF0" w:rsidRPr="00361E30" w:rsidRDefault="00CA0EF0" w:rsidP="003C13F4">
            <w:pPr>
              <w:spacing w:after="0" w:line="240" w:lineRule="auto"/>
              <w:jc w:val="left"/>
              <w:rPr>
                <w:rFonts w:ascii="Arial" w:eastAsia="Times New Roman" w:hAnsi="Arial" w:cs="Arial"/>
                <w:b/>
                <w:bCs/>
                <w:color w:val="000000"/>
                <w:sz w:val="18"/>
                <w:szCs w:val="18"/>
              </w:rPr>
            </w:pPr>
          </w:p>
        </w:tc>
        <w:tc>
          <w:tcPr>
            <w:tcW w:w="2268" w:type="dxa"/>
            <w:tcBorders>
              <w:top w:val="nil"/>
              <w:left w:val="nil"/>
              <w:bottom w:val="nil"/>
              <w:right w:val="nil"/>
            </w:tcBorders>
            <w:shd w:val="clear" w:color="auto" w:fill="auto"/>
            <w:vAlign w:val="center"/>
            <w:hideMark/>
          </w:tcPr>
          <w:p w14:paraId="336106C0" w14:textId="77777777" w:rsidR="00CA0EF0" w:rsidRPr="00361E30" w:rsidRDefault="00CA0EF0" w:rsidP="003C13F4">
            <w:pPr>
              <w:spacing w:after="0" w:line="240" w:lineRule="auto"/>
              <w:jc w:val="left"/>
              <w:rPr>
                <w:rFonts w:ascii="Arial" w:eastAsia="Times New Roman" w:hAnsi="Arial" w:cs="Arial"/>
                <w:color w:val="000000"/>
                <w:sz w:val="18"/>
                <w:szCs w:val="18"/>
              </w:rPr>
            </w:pPr>
            <w:r w:rsidRPr="00361E30">
              <w:rPr>
                <w:rFonts w:ascii="Arial" w:eastAsia="Times New Roman" w:hAnsi="Arial" w:cs="Arial"/>
                <w:color w:val="000000"/>
                <w:sz w:val="18"/>
                <w:szCs w:val="18"/>
              </w:rPr>
              <w:t>Intubated</w:t>
            </w:r>
          </w:p>
        </w:tc>
        <w:tc>
          <w:tcPr>
            <w:tcW w:w="1269" w:type="dxa"/>
            <w:tcBorders>
              <w:top w:val="nil"/>
              <w:left w:val="nil"/>
              <w:bottom w:val="nil"/>
              <w:right w:val="nil"/>
            </w:tcBorders>
            <w:shd w:val="clear" w:color="auto" w:fill="auto"/>
            <w:noWrap/>
            <w:vAlign w:val="center"/>
            <w:hideMark/>
          </w:tcPr>
          <w:p w14:paraId="2C4CC3ED"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.032</w:t>
            </w:r>
          </w:p>
        </w:tc>
        <w:tc>
          <w:tcPr>
            <w:tcW w:w="990" w:type="dxa"/>
            <w:tcBorders>
              <w:top w:val="nil"/>
              <w:left w:val="nil"/>
              <w:bottom w:val="nil"/>
              <w:right w:val="nil"/>
            </w:tcBorders>
            <w:shd w:val="clear" w:color="auto" w:fill="auto"/>
            <w:noWrap/>
            <w:vAlign w:val="center"/>
            <w:hideMark/>
          </w:tcPr>
          <w:p w14:paraId="18051C37"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.027</w:t>
            </w:r>
          </w:p>
        </w:tc>
        <w:tc>
          <w:tcPr>
            <w:tcW w:w="1170" w:type="dxa"/>
            <w:tcBorders>
              <w:top w:val="nil"/>
              <w:left w:val="nil"/>
              <w:bottom w:val="nil"/>
              <w:right w:val="nil"/>
            </w:tcBorders>
            <w:shd w:val="clear" w:color="auto" w:fill="auto"/>
            <w:noWrap/>
            <w:vAlign w:val="center"/>
            <w:hideMark/>
          </w:tcPr>
          <w:p w14:paraId="1718178A"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.037</w:t>
            </w:r>
          </w:p>
        </w:tc>
        <w:tc>
          <w:tcPr>
            <w:tcW w:w="1080" w:type="dxa"/>
            <w:tcBorders>
              <w:top w:val="nil"/>
              <w:left w:val="nil"/>
              <w:bottom w:val="nil"/>
              <w:right w:val="nil"/>
            </w:tcBorders>
            <w:shd w:val="clear" w:color="auto" w:fill="auto"/>
            <w:noWrap/>
            <w:vAlign w:val="center"/>
            <w:hideMark/>
          </w:tcPr>
          <w:p w14:paraId="124BCD65"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0.000</w:t>
            </w:r>
          </w:p>
        </w:tc>
      </w:tr>
      <w:tr w:rsidR="00CA0EF0" w:rsidRPr="00361E30" w14:paraId="1475CCB5" w14:textId="77777777" w:rsidTr="003C13F4">
        <w:trPr>
          <w:trHeight w:val="330"/>
        </w:trPr>
        <w:tc>
          <w:tcPr>
            <w:tcW w:w="2421" w:type="dxa"/>
            <w:vMerge/>
            <w:tcBorders>
              <w:left w:val="nil"/>
              <w:bottom w:val="single" w:sz="4" w:space="0" w:color="auto"/>
              <w:right w:val="nil"/>
            </w:tcBorders>
            <w:shd w:val="clear" w:color="auto" w:fill="auto"/>
            <w:hideMark/>
          </w:tcPr>
          <w:p w14:paraId="5F8B76DD" w14:textId="77777777" w:rsidR="00CA0EF0" w:rsidRPr="00361E30" w:rsidRDefault="00CA0EF0" w:rsidP="003C13F4">
            <w:pPr>
              <w:spacing w:after="0" w:line="240" w:lineRule="auto"/>
              <w:jc w:val="left"/>
              <w:rPr>
                <w:rFonts w:ascii="Arial" w:eastAsia="Times New Roman" w:hAnsi="Arial" w:cs="Arial"/>
                <w:b/>
                <w:bCs/>
                <w:color w:val="000000"/>
                <w:sz w:val="18"/>
                <w:szCs w:val="18"/>
              </w:rPr>
            </w:pPr>
          </w:p>
        </w:tc>
        <w:tc>
          <w:tcPr>
            <w:tcW w:w="2268" w:type="dxa"/>
            <w:tcBorders>
              <w:top w:val="nil"/>
              <w:left w:val="nil"/>
              <w:bottom w:val="single" w:sz="4" w:space="0" w:color="auto"/>
              <w:right w:val="nil"/>
            </w:tcBorders>
            <w:shd w:val="clear" w:color="auto" w:fill="auto"/>
            <w:vAlign w:val="center"/>
            <w:hideMark/>
          </w:tcPr>
          <w:p w14:paraId="045BF812" w14:textId="77777777" w:rsidR="00CA0EF0" w:rsidRPr="00361E30" w:rsidRDefault="00CA0EF0" w:rsidP="003C13F4">
            <w:pPr>
              <w:spacing w:after="0" w:line="240" w:lineRule="auto"/>
              <w:jc w:val="left"/>
              <w:rPr>
                <w:rFonts w:ascii="Arial" w:eastAsia="Times New Roman" w:hAnsi="Arial" w:cs="Arial"/>
                <w:color w:val="000000"/>
                <w:sz w:val="18"/>
                <w:szCs w:val="18"/>
              </w:rPr>
            </w:pPr>
            <w:r w:rsidRPr="00361E30">
              <w:rPr>
                <w:rFonts w:ascii="Arial" w:eastAsia="Times New Roman" w:hAnsi="Arial" w:cs="Arial"/>
                <w:color w:val="000000"/>
                <w:sz w:val="18"/>
                <w:szCs w:val="18"/>
              </w:rPr>
              <w:t>Constant</w:t>
            </w:r>
          </w:p>
        </w:tc>
        <w:tc>
          <w:tcPr>
            <w:tcW w:w="1269" w:type="dxa"/>
            <w:tcBorders>
              <w:top w:val="nil"/>
              <w:left w:val="nil"/>
              <w:bottom w:val="single" w:sz="4" w:space="0" w:color="auto"/>
              <w:right w:val="nil"/>
            </w:tcBorders>
            <w:shd w:val="clear" w:color="auto" w:fill="auto"/>
            <w:vAlign w:val="center"/>
            <w:hideMark/>
          </w:tcPr>
          <w:p w14:paraId="57488C2D"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15.499</w:t>
            </w:r>
          </w:p>
        </w:tc>
        <w:tc>
          <w:tcPr>
            <w:tcW w:w="990" w:type="dxa"/>
            <w:tcBorders>
              <w:top w:val="nil"/>
              <w:left w:val="nil"/>
              <w:bottom w:val="single" w:sz="4" w:space="0" w:color="auto"/>
              <w:right w:val="nil"/>
            </w:tcBorders>
            <w:shd w:val="clear" w:color="auto" w:fill="auto"/>
            <w:vAlign w:val="center"/>
            <w:hideMark/>
          </w:tcPr>
          <w:p w14:paraId="153678AF"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170" w:type="dxa"/>
            <w:tcBorders>
              <w:top w:val="nil"/>
              <w:left w:val="nil"/>
              <w:bottom w:val="single" w:sz="4" w:space="0" w:color="auto"/>
              <w:right w:val="nil"/>
            </w:tcBorders>
            <w:shd w:val="clear" w:color="auto" w:fill="auto"/>
            <w:vAlign w:val="center"/>
            <w:hideMark/>
          </w:tcPr>
          <w:p w14:paraId="65C09F59"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080" w:type="dxa"/>
            <w:tcBorders>
              <w:top w:val="nil"/>
              <w:left w:val="nil"/>
              <w:bottom w:val="single" w:sz="4" w:space="0" w:color="auto"/>
              <w:right w:val="nil"/>
            </w:tcBorders>
            <w:shd w:val="clear" w:color="auto" w:fill="auto"/>
            <w:vAlign w:val="center"/>
            <w:hideMark/>
          </w:tcPr>
          <w:p w14:paraId="29AE0801"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0.000</w:t>
            </w:r>
          </w:p>
        </w:tc>
      </w:tr>
      <w:tr w:rsidR="00CA0EF0" w:rsidRPr="00361E30" w14:paraId="61043D53" w14:textId="77777777" w:rsidTr="003C13F4">
        <w:trPr>
          <w:trHeight w:val="330"/>
        </w:trPr>
        <w:tc>
          <w:tcPr>
            <w:tcW w:w="2421" w:type="dxa"/>
            <w:vMerge w:val="restart"/>
            <w:tcBorders>
              <w:top w:val="nil"/>
              <w:left w:val="nil"/>
              <w:right w:val="nil"/>
            </w:tcBorders>
            <w:shd w:val="clear" w:color="auto" w:fill="auto"/>
            <w:hideMark/>
          </w:tcPr>
          <w:p w14:paraId="063AF407" w14:textId="77777777" w:rsidR="00CA0EF0" w:rsidRPr="00361E30" w:rsidRDefault="00CA0EF0" w:rsidP="003C13F4">
            <w:pPr>
              <w:spacing w:after="0" w:line="240" w:lineRule="auto"/>
              <w:jc w:val="left"/>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Systolic Blood Pressure</w:t>
            </w:r>
          </w:p>
          <w:p w14:paraId="1EB073D5" w14:textId="77777777" w:rsidR="00CA0EF0" w:rsidRPr="00361E30" w:rsidRDefault="00CA0EF0" w:rsidP="003C13F4">
            <w:pPr>
              <w:spacing w:after="0" w:line="240" w:lineRule="auto"/>
              <w:jc w:val="left"/>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 </w:t>
            </w:r>
          </w:p>
        </w:tc>
        <w:tc>
          <w:tcPr>
            <w:tcW w:w="2268" w:type="dxa"/>
            <w:tcBorders>
              <w:top w:val="nil"/>
              <w:left w:val="nil"/>
              <w:bottom w:val="nil"/>
              <w:right w:val="nil"/>
            </w:tcBorders>
            <w:shd w:val="clear" w:color="auto" w:fill="auto"/>
            <w:vAlign w:val="center"/>
            <w:hideMark/>
          </w:tcPr>
          <w:p w14:paraId="72586A33" w14:textId="77777777" w:rsidR="00CA0EF0" w:rsidRPr="00361E30" w:rsidRDefault="00CA0EF0" w:rsidP="003C13F4">
            <w:pPr>
              <w:spacing w:after="0" w:line="240" w:lineRule="auto"/>
              <w:jc w:val="left"/>
              <w:rPr>
                <w:rFonts w:ascii="Arial" w:eastAsia="Times New Roman" w:hAnsi="Arial" w:cs="Arial"/>
                <w:color w:val="000000"/>
                <w:sz w:val="18"/>
                <w:szCs w:val="18"/>
              </w:rPr>
            </w:pPr>
            <w:r w:rsidRPr="00361E30">
              <w:rPr>
                <w:rFonts w:ascii="Arial" w:eastAsia="Times New Roman" w:hAnsi="Arial" w:cs="Arial"/>
                <w:color w:val="000000"/>
                <w:sz w:val="18"/>
                <w:szCs w:val="18"/>
              </w:rPr>
              <w:t>SBP &gt;= 110mmHg</w:t>
            </w:r>
          </w:p>
        </w:tc>
        <w:tc>
          <w:tcPr>
            <w:tcW w:w="1269" w:type="dxa"/>
            <w:tcBorders>
              <w:top w:val="nil"/>
              <w:left w:val="nil"/>
              <w:bottom w:val="nil"/>
              <w:right w:val="nil"/>
            </w:tcBorders>
            <w:shd w:val="clear" w:color="auto" w:fill="auto"/>
            <w:vAlign w:val="center"/>
            <w:hideMark/>
          </w:tcPr>
          <w:p w14:paraId="44EF0CBB"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990" w:type="dxa"/>
            <w:tcBorders>
              <w:top w:val="nil"/>
              <w:left w:val="nil"/>
              <w:bottom w:val="nil"/>
              <w:right w:val="nil"/>
            </w:tcBorders>
            <w:shd w:val="clear" w:color="auto" w:fill="auto"/>
            <w:vAlign w:val="center"/>
            <w:hideMark/>
          </w:tcPr>
          <w:p w14:paraId="21C8327C"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170" w:type="dxa"/>
            <w:tcBorders>
              <w:top w:val="nil"/>
              <w:left w:val="nil"/>
              <w:bottom w:val="nil"/>
              <w:right w:val="nil"/>
            </w:tcBorders>
            <w:shd w:val="clear" w:color="auto" w:fill="auto"/>
            <w:vAlign w:val="center"/>
            <w:hideMark/>
          </w:tcPr>
          <w:p w14:paraId="18457CA4"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080" w:type="dxa"/>
            <w:tcBorders>
              <w:top w:val="nil"/>
              <w:left w:val="nil"/>
              <w:bottom w:val="nil"/>
              <w:right w:val="nil"/>
            </w:tcBorders>
            <w:shd w:val="clear" w:color="auto" w:fill="auto"/>
            <w:vAlign w:val="center"/>
            <w:hideMark/>
          </w:tcPr>
          <w:p w14:paraId="3CCB5EE5"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r>
      <w:tr w:rsidR="00CA0EF0" w:rsidRPr="00361E30" w14:paraId="60735306" w14:textId="77777777" w:rsidTr="003C13F4">
        <w:trPr>
          <w:trHeight w:val="300"/>
        </w:trPr>
        <w:tc>
          <w:tcPr>
            <w:tcW w:w="2421" w:type="dxa"/>
            <w:vMerge/>
            <w:tcBorders>
              <w:left w:val="nil"/>
              <w:right w:val="nil"/>
            </w:tcBorders>
            <w:shd w:val="clear" w:color="auto" w:fill="auto"/>
            <w:hideMark/>
          </w:tcPr>
          <w:p w14:paraId="7AB17396" w14:textId="77777777" w:rsidR="00CA0EF0" w:rsidRPr="00361E30" w:rsidRDefault="00CA0EF0" w:rsidP="003C13F4">
            <w:pPr>
              <w:spacing w:after="0" w:line="240" w:lineRule="auto"/>
              <w:jc w:val="left"/>
              <w:rPr>
                <w:rFonts w:ascii="Arial" w:eastAsia="Times New Roman" w:hAnsi="Arial" w:cs="Arial"/>
                <w:b/>
                <w:bCs/>
                <w:color w:val="000000"/>
                <w:sz w:val="18"/>
                <w:szCs w:val="18"/>
              </w:rPr>
            </w:pPr>
          </w:p>
        </w:tc>
        <w:tc>
          <w:tcPr>
            <w:tcW w:w="2268" w:type="dxa"/>
            <w:tcBorders>
              <w:top w:val="nil"/>
              <w:left w:val="nil"/>
              <w:bottom w:val="nil"/>
              <w:right w:val="nil"/>
            </w:tcBorders>
            <w:shd w:val="clear" w:color="auto" w:fill="auto"/>
            <w:vAlign w:val="center"/>
            <w:hideMark/>
          </w:tcPr>
          <w:p w14:paraId="04AC4AEA" w14:textId="77777777" w:rsidR="00CA0EF0" w:rsidRPr="00361E30" w:rsidRDefault="00CA0EF0" w:rsidP="003C13F4">
            <w:pPr>
              <w:spacing w:after="0" w:line="240" w:lineRule="auto"/>
              <w:jc w:val="left"/>
              <w:rPr>
                <w:rFonts w:ascii="Arial" w:eastAsia="Times New Roman" w:hAnsi="Arial" w:cs="Arial"/>
                <w:color w:val="000000"/>
                <w:sz w:val="18"/>
                <w:szCs w:val="18"/>
              </w:rPr>
            </w:pPr>
            <w:r w:rsidRPr="00361E30">
              <w:rPr>
                <w:rFonts w:ascii="Arial" w:eastAsia="Times New Roman" w:hAnsi="Arial" w:cs="Arial"/>
                <w:color w:val="000000"/>
                <w:sz w:val="18"/>
                <w:szCs w:val="18"/>
              </w:rPr>
              <w:t>SBP &lt; 110mmHg</w:t>
            </w:r>
          </w:p>
        </w:tc>
        <w:tc>
          <w:tcPr>
            <w:tcW w:w="1269" w:type="dxa"/>
            <w:tcBorders>
              <w:top w:val="nil"/>
              <w:left w:val="nil"/>
              <w:bottom w:val="nil"/>
              <w:right w:val="nil"/>
            </w:tcBorders>
            <w:shd w:val="clear" w:color="auto" w:fill="auto"/>
            <w:noWrap/>
            <w:vAlign w:val="center"/>
            <w:hideMark/>
          </w:tcPr>
          <w:p w14:paraId="60C2AB94"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.461</w:t>
            </w:r>
          </w:p>
        </w:tc>
        <w:tc>
          <w:tcPr>
            <w:tcW w:w="990" w:type="dxa"/>
            <w:tcBorders>
              <w:top w:val="nil"/>
              <w:left w:val="nil"/>
              <w:bottom w:val="nil"/>
              <w:right w:val="nil"/>
            </w:tcBorders>
            <w:shd w:val="clear" w:color="auto" w:fill="auto"/>
            <w:noWrap/>
            <w:vAlign w:val="center"/>
            <w:hideMark/>
          </w:tcPr>
          <w:p w14:paraId="273D2BED"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.422</w:t>
            </w:r>
          </w:p>
        </w:tc>
        <w:tc>
          <w:tcPr>
            <w:tcW w:w="1170" w:type="dxa"/>
            <w:tcBorders>
              <w:top w:val="nil"/>
              <w:left w:val="nil"/>
              <w:bottom w:val="nil"/>
              <w:right w:val="nil"/>
            </w:tcBorders>
            <w:shd w:val="clear" w:color="auto" w:fill="auto"/>
            <w:noWrap/>
            <w:vAlign w:val="center"/>
            <w:hideMark/>
          </w:tcPr>
          <w:p w14:paraId="70CAF0CC"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.504</w:t>
            </w:r>
          </w:p>
        </w:tc>
        <w:tc>
          <w:tcPr>
            <w:tcW w:w="1080" w:type="dxa"/>
            <w:tcBorders>
              <w:top w:val="nil"/>
              <w:left w:val="nil"/>
              <w:bottom w:val="nil"/>
              <w:right w:val="nil"/>
            </w:tcBorders>
            <w:shd w:val="clear" w:color="auto" w:fill="auto"/>
            <w:noWrap/>
            <w:vAlign w:val="center"/>
            <w:hideMark/>
          </w:tcPr>
          <w:p w14:paraId="3484A9D0"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w:t>
            </w:r>
          </w:p>
        </w:tc>
      </w:tr>
      <w:tr w:rsidR="00CA0EF0" w:rsidRPr="00361E30" w14:paraId="18A2F0D9" w14:textId="77777777" w:rsidTr="003C13F4">
        <w:trPr>
          <w:trHeight w:val="330"/>
        </w:trPr>
        <w:tc>
          <w:tcPr>
            <w:tcW w:w="2421" w:type="dxa"/>
            <w:vMerge/>
            <w:tcBorders>
              <w:left w:val="nil"/>
              <w:bottom w:val="single" w:sz="4" w:space="0" w:color="auto"/>
              <w:right w:val="nil"/>
            </w:tcBorders>
            <w:shd w:val="clear" w:color="auto" w:fill="auto"/>
            <w:hideMark/>
          </w:tcPr>
          <w:p w14:paraId="4344EB71" w14:textId="77777777" w:rsidR="00CA0EF0" w:rsidRPr="00361E30" w:rsidRDefault="00CA0EF0" w:rsidP="003C13F4">
            <w:pPr>
              <w:spacing w:after="0" w:line="240" w:lineRule="auto"/>
              <w:jc w:val="left"/>
              <w:rPr>
                <w:rFonts w:ascii="Arial" w:eastAsia="Times New Roman" w:hAnsi="Arial" w:cs="Arial"/>
                <w:b/>
                <w:bCs/>
                <w:color w:val="000000"/>
                <w:sz w:val="18"/>
                <w:szCs w:val="18"/>
              </w:rPr>
            </w:pPr>
          </w:p>
        </w:tc>
        <w:tc>
          <w:tcPr>
            <w:tcW w:w="2268" w:type="dxa"/>
            <w:tcBorders>
              <w:top w:val="nil"/>
              <w:left w:val="nil"/>
              <w:bottom w:val="single" w:sz="4" w:space="0" w:color="auto"/>
              <w:right w:val="nil"/>
            </w:tcBorders>
            <w:shd w:val="clear" w:color="auto" w:fill="auto"/>
            <w:vAlign w:val="center"/>
            <w:hideMark/>
          </w:tcPr>
          <w:p w14:paraId="460914DC" w14:textId="77777777" w:rsidR="00CA0EF0" w:rsidRPr="00361E30" w:rsidRDefault="00CA0EF0" w:rsidP="003C13F4">
            <w:pPr>
              <w:spacing w:after="0" w:line="240" w:lineRule="auto"/>
              <w:jc w:val="left"/>
              <w:rPr>
                <w:rFonts w:ascii="Arial" w:eastAsia="Times New Roman" w:hAnsi="Arial" w:cs="Arial"/>
                <w:color w:val="000000"/>
                <w:sz w:val="18"/>
                <w:szCs w:val="18"/>
              </w:rPr>
            </w:pPr>
            <w:r w:rsidRPr="00361E30">
              <w:rPr>
                <w:rFonts w:ascii="Arial" w:eastAsia="Times New Roman" w:hAnsi="Arial" w:cs="Arial"/>
                <w:color w:val="000000"/>
                <w:sz w:val="18"/>
                <w:szCs w:val="18"/>
              </w:rPr>
              <w:t>Constant</w:t>
            </w:r>
          </w:p>
        </w:tc>
        <w:tc>
          <w:tcPr>
            <w:tcW w:w="1269" w:type="dxa"/>
            <w:tcBorders>
              <w:top w:val="nil"/>
              <w:left w:val="nil"/>
              <w:bottom w:val="single" w:sz="4" w:space="0" w:color="auto"/>
              <w:right w:val="nil"/>
            </w:tcBorders>
            <w:shd w:val="clear" w:color="auto" w:fill="auto"/>
            <w:vAlign w:val="center"/>
            <w:hideMark/>
          </w:tcPr>
          <w:p w14:paraId="65720859"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9.142</w:t>
            </w:r>
          </w:p>
        </w:tc>
        <w:tc>
          <w:tcPr>
            <w:tcW w:w="990" w:type="dxa"/>
            <w:tcBorders>
              <w:top w:val="nil"/>
              <w:left w:val="nil"/>
              <w:bottom w:val="single" w:sz="4" w:space="0" w:color="auto"/>
              <w:right w:val="nil"/>
            </w:tcBorders>
            <w:shd w:val="clear" w:color="auto" w:fill="auto"/>
            <w:vAlign w:val="center"/>
            <w:hideMark/>
          </w:tcPr>
          <w:p w14:paraId="62B722A9"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170" w:type="dxa"/>
            <w:tcBorders>
              <w:top w:val="nil"/>
              <w:left w:val="nil"/>
              <w:bottom w:val="single" w:sz="4" w:space="0" w:color="auto"/>
              <w:right w:val="nil"/>
            </w:tcBorders>
            <w:shd w:val="clear" w:color="auto" w:fill="auto"/>
            <w:vAlign w:val="center"/>
            <w:hideMark/>
          </w:tcPr>
          <w:p w14:paraId="26B98F8D"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080" w:type="dxa"/>
            <w:tcBorders>
              <w:top w:val="nil"/>
              <w:left w:val="nil"/>
              <w:bottom w:val="single" w:sz="4" w:space="0" w:color="auto"/>
              <w:right w:val="nil"/>
            </w:tcBorders>
            <w:shd w:val="clear" w:color="auto" w:fill="auto"/>
            <w:vAlign w:val="center"/>
            <w:hideMark/>
          </w:tcPr>
          <w:p w14:paraId="37C4EC1D"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0.000</w:t>
            </w:r>
          </w:p>
        </w:tc>
      </w:tr>
      <w:tr w:rsidR="00CA0EF0" w:rsidRPr="00361E30" w14:paraId="659BE1E4" w14:textId="77777777" w:rsidTr="003C13F4">
        <w:trPr>
          <w:trHeight w:val="300"/>
        </w:trPr>
        <w:tc>
          <w:tcPr>
            <w:tcW w:w="2421" w:type="dxa"/>
            <w:vMerge w:val="restart"/>
            <w:tcBorders>
              <w:top w:val="nil"/>
              <w:left w:val="nil"/>
              <w:right w:val="nil"/>
            </w:tcBorders>
            <w:shd w:val="clear" w:color="auto" w:fill="auto"/>
            <w:hideMark/>
          </w:tcPr>
          <w:p w14:paraId="3DFE8648" w14:textId="77777777" w:rsidR="00CA0EF0" w:rsidRPr="00361E30" w:rsidRDefault="00CA0EF0" w:rsidP="003C13F4">
            <w:pPr>
              <w:spacing w:after="0" w:line="240" w:lineRule="auto"/>
              <w:jc w:val="left"/>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Respiratory Rate</w:t>
            </w:r>
          </w:p>
        </w:tc>
        <w:tc>
          <w:tcPr>
            <w:tcW w:w="2268" w:type="dxa"/>
            <w:tcBorders>
              <w:top w:val="nil"/>
              <w:left w:val="nil"/>
              <w:bottom w:val="nil"/>
              <w:right w:val="nil"/>
            </w:tcBorders>
            <w:shd w:val="clear" w:color="auto" w:fill="auto"/>
            <w:vAlign w:val="center"/>
            <w:hideMark/>
          </w:tcPr>
          <w:p w14:paraId="68723CA3" w14:textId="77777777" w:rsidR="00CA0EF0" w:rsidRPr="00361E30" w:rsidRDefault="00CA0EF0" w:rsidP="003C13F4">
            <w:pPr>
              <w:spacing w:after="0" w:line="240" w:lineRule="auto"/>
              <w:jc w:val="left"/>
              <w:rPr>
                <w:rFonts w:ascii="Arial" w:eastAsia="Times New Roman" w:hAnsi="Arial" w:cs="Arial"/>
                <w:color w:val="000000"/>
                <w:sz w:val="18"/>
                <w:szCs w:val="18"/>
              </w:rPr>
            </w:pPr>
            <w:r w:rsidRPr="00361E30">
              <w:rPr>
                <w:rFonts w:ascii="Arial" w:eastAsia="Times New Roman" w:hAnsi="Arial" w:cs="Arial"/>
                <w:color w:val="000000"/>
                <w:sz w:val="18"/>
                <w:szCs w:val="18"/>
              </w:rPr>
              <w:t>Respiratory Rate 10 - 29</w:t>
            </w:r>
          </w:p>
        </w:tc>
        <w:tc>
          <w:tcPr>
            <w:tcW w:w="1269" w:type="dxa"/>
            <w:tcBorders>
              <w:top w:val="nil"/>
              <w:left w:val="nil"/>
              <w:bottom w:val="nil"/>
              <w:right w:val="nil"/>
            </w:tcBorders>
            <w:shd w:val="clear" w:color="auto" w:fill="auto"/>
            <w:vAlign w:val="center"/>
            <w:hideMark/>
          </w:tcPr>
          <w:p w14:paraId="018D3A2C"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990" w:type="dxa"/>
            <w:tcBorders>
              <w:top w:val="nil"/>
              <w:left w:val="nil"/>
              <w:bottom w:val="nil"/>
              <w:right w:val="nil"/>
            </w:tcBorders>
            <w:shd w:val="clear" w:color="auto" w:fill="auto"/>
            <w:vAlign w:val="center"/>
            <w:hideMark/>
          </w:tcPr>
          <w:p w14:paraId="21FD4E40"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170" w:type="dxa"/>
            <w:tcBorders>
              <w:top w:val="nil"/>
              <w:left w:val="nil"/>
              <w:bottom w:val="nil"/>
              <w:right w:val="nil"/>
            </w:tcBorders>
            <w:shd w:val="clear" w:color="auto" w:fill="auto"/>
            <w:vAlign w:val="center"/>
            <w:hideMark/>
          </w:tcPr>
          <w:p w14:paraId="0DAFC3CC" w14:textId="77777777" w:rsidR="00CA0EF0" w:rsidRPr="00361E30" w:rsidRDefault="00CA0EF0" w:rsidP="003C13F4">
            <w:pPr>
              <w:spacing w:after="0" w:line="240" w:lineRule="auto"/>
              <w:jc w:val="center"/>
              <w:rPr>
                <w:rFonts w:ascii="Arial" w:eastAsia="Times New Roman" w:hAnsi="Arial" w:cs="Arial"/>
                <w:color w:val="000000"/>
                <w:sz w:val="18"/>
                <w:szCs w:val="18"/>
              </w:rPr>
            </w:pPr>
          </w:p>
        </w:tc>
        <w:tc>
          <w:tcPr>
            <w:tcW w:w="1080" w:type="dxa"/>
            <w:tcBorders>
              <w:top w:val="nil"/>
              <w:left w:val="nil"/>
              <w:bottom w:val="nil"/>
              <w:right w:val="nil"/>
            </w:tcBorders>
            <w:shd w:val="clear" w:color="auto" w:fill="auto"/>
            <w:noWrap/>
            <w:vAlign w:val="center"/>
            <w:hideMark/>
          </w:tcPr>
          <w:p w14:paraId="2AF72039"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w:t>
            </w:r>
          </w:p>
        </w:tc>
      </w:tr>
      <w:tr w:rsidR="00CA0EF0" w:rsidRPr="00361E30" w14:paraId="071EB681" w14:textId="77777777" w:rsidTr="003C13F4">
        <w:trPr>
          <w:trHeight w:val="300"/>
        </w:trPr>
        <w:tc>
          <w:tcPr>
            <w:tcW w:w="2421" w:type="dxa"/>
            <w:vMerge/>
            <w:tcBorders>
              <w:left w:val="nil"/>
              <w:right w:val="nil"/>
            </w:tcBorders>
            <w:shd w:val="clear" w:color="auto" w:fill="auto"/>
            <w:hideMark/>
          </w:tcPr>
          <w:p w14:paraId="2835CC59" w14:textId="77777777" w:rsidR="00CA0EF0" w:rsidRPr="00361E30" w:rsidRDefault="00CA0EF0" w:rsidP="003C13F4">
            <w:pPr>
              <w:spacing w:after="0" w:line="240" w:lineRule="auto"/>
              <w:jc w:val="left"/>
              <w:rPr>
                <w:rFonts w:ascii="Arial" w:eastAsia="Times New Roman" w:hAnsi="Arial" w:cs="Arial"/>
                <w:b/>
                <w:bCs/>
                <w:color w:val="000000"/>
                <w:sz w:val="18"/>
                <w:szCs w:val="18"/>
              </w:rPr>
            </w:pPr>
          </w:p>
        </w:tc>
        <w:tc>
          <w:tcPr>
            <w:tcW w:w="2268" w:type="dxa"/>
            <w:tcBorders>
              <w:top w:val="nil"/>
              <w:left w:val="nil"/>
              <w:bottom w:val="nil"/>
              <w:right w:val="nil"/>
            </w:tcBorders>
            <w:shd w:val="clear" w:color="auto" w:fill="auto"/>
            <w:vAlign w:val="center"/>
            <w:hideMark/>
          </w:tcPr>
          <w:p w14:paraId="32ED2C54" w14:textId="77777777" w:rsidR="00CA0EF0" w:rsidRPr="00361E30" w:rsidRDefault="00CA0EF0" w:rsidP="003C13F4">
            <w:pPr>
              <w:spacing w:after="0" w:line="240" w:lineRule="auto"/>
              <w:jc w:val="left"/>
              <w:rPr>
                <w:rFonts w:ascii="Arial" w:eastAsia="Times New Roman" w:hAnsi="Arial" w:cs="Arial"/>
                <w:color w:val="000000"/>
                <w:sz w:val="18"/>
                <w:szCs w:val="18"/>
              </w:rPr>
            </w:pPr>
            <w:r w:rsidRPr="00361E30">
              <w:rPr>
                <w:rFonts w:ascii="Arial" w:eastAsia="Times New Roman" w:hAnsi="Arial" w:cs="Arial"/>
                <w:color w:val="000000"/>
                <w:sz w:val="18"/>
                <w:szCs w:val="18"/>
              </w:rPr>
              <w:t>Respiratory Rate &gt;=30</w:t>
            </w:r>
          </w:p>
        </w:tc>
        <w:tc>
          <w:tcPr>
            <w:tcW w:w="1269" w:type="dxa"/>
            <w:tcBorders>
              <w:top w:val="nil"/>
              <w:left w:val="nil"/>
              <w:bottom w:val="nil"/>
              <w:right w:val="nil"/>
            </w:tcBorders>
            <w:shd w:val="clear" w:color="auto" w:fill="auto"/>
            <w:noWrap/>
            <w:vAlign w:val="center"/>
            <w:hideMark/>
          </w:tcPr>
          <w:p w14:paraId="4FCA5C9E"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.315</w:t>
            </w:r>
          </w:p>
        </w:tc>
        <w:tc>
          <w:tcPr>
            <w:tcW w:w="990" w:type="dxa"/>
            <w:tcBorders>
              <w:top w:val="nil"/>
              <w:left w:val="nil"/>
              <w:bottom w:val="nil"/>
              <w:right w:val="nil"/>
            </w:tcBorders>
            <w:shd w:val="clear" w:color="auto" w:fill="auto"/>
            <w:noWrap/>
            <w:vAlign w:val="center"/>
            <w:hideMark/>
          </w:tcPr>
          <w:p w14:paraId="21500BE4"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.270</w:t>
            </w:r>
          </w:p>
        </w:tc>
        <w:tc>
          <w:tcPr>
            <w:tcW w:w="1170" w:type="dxa"/>
            <w:tcBorders>
              <w:top w:val="nil"/>
              <w:left w:val="nil"/>
              <w:bottom w:val="nil"/>
              <w:right w:val="nil"/>
            </w:tcBorders>
            <w:shd w:val="clear" w:color="auto" w:fill="auto"/>
            <w:noWrap/>
            <w:vAlign w:val="center"/>
            <w:hideMark/>
          </w:tcPr>
          <w:p w14:paraId="16E4F249"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.368</w:t>
            </w:r>
          </w:p>
        </w:tc>
        <w:tc>
          <w:tcPr>
            <w:tcW w:w="1080" w:type="dxa"/>
            <w:tcBorders>
              <w:top w:val="nil"/>
              <w:left w:val="nil"/>
              <w:bottom w:val="nil"/>
              <w:right w:val="nil"/>
            </w:tcBorders>
            <w:shd w:val="clear" w:color="auto" w:fill="auto"/>
            <w:noWrap/>
            <w:vAlign w:val="center"/>
            <w:hideMark/>
          </w:tcPr>
          <w:p w14:paraId="682FA6CB"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w:t>
            </w:r>
          </w:p>
        </w:tc>
      </w:tr>
      <w:tr w:rsidR="00CA0EF0" w:rsidRPr="00361E30" w14:paraId="528658E0" w14:textId="77777777" w:rsidTr="003C13F4">
        <w:trPr>
          <w:trHeight w:val="300"/>
        </w:trPr>
        <w:tc>
          <w:tcPr>
            <w:tcW w:w="2421" w:type="dxa"/>
            <w:vMerge/>
            <w:tcBorders>
              <w:left w:val="nil"/>
              <w:right w:val="nil"/>
            </w:tcBorders>
            <w:shd w:val="clear" w:color="auto" w:fill="auto"/>
            <w:hideMark/>
          </w:tcPr>
          <w:p w14:paraId="404C36E6" w14:textId="77777777" w:rsidR="00CA0EF0" w:rsidRPr="00361E30" w:rsidRDefault="00CA0EF0" w:rsidP="003C13F4">
            <w:pPr>
              <w:spacing w:after="0" w:line="240" w:lineRule="auto"/>
              <w:jc w:val="left"/>
              <w:rPr>
                <w:rFonts w:ascii="Arial" w:eastAsia="Times New Roman" w:hAnsi="Arial" w:cs="Arial"/>
                <w:b/>
                <w:bCs/>
                <w:color w:val="000000"/>
                <w:sz w:val="18"/>
                <w:szCs w:val="18"/>
              </w:rPr>
            </w:pPr>
          </w:p>
        </w:tc>
        <w:tc>
          <w:tcPr>
            <w:tcW w:w="2268" w:type="dxa"/>
            <w:tcBorders>
              <w:top w:val="nil"/>
              <w:left w:val="nil"/>
              <w:bottom w:val="nil"/>
              <w:right w:val="nil"/>
            </w:tcBorders>
            <w:shd w:val="clear" w:color="auto" w:fill="auto"/>
            <w:vAlign w:val="center"/>
            <w:hideMark/>
          </w:tcPr>
          <w:p w14:paraId="46E2ECB2" w14:textId="77777777" w:rsidR="00CA0EF0" w:rsidRPr="00361E30" w:rsidRDefault="00CA0EF0" w:rsidP="003C13F4">
            <w:pPr>
              <w:spacing w:after="0" w:line="240" w:lineRule="auto"/>
              <w:jc w:val="left"/>
              <w:rPr>
                <w:rFonts w:ascii="Arial" w:eastAsia="Times New Roman" w:hAnsi="Arial" w:cs="Arial"/>
                <w:color w:val="000000"/>
                <w:sz w:val="18"/>
                <w:szCs w:val="18"/>
              </w:rPr>
            </w:pPr>
            <w:r w:rsidRPr="00361E30">
              <w:rPr>
                <w:rFonts w:ascii="Arial" w:eastAsia="Times New Roman" w:hAnsi="Arial" w:cs="Arial"/>
                <w:color w:val="000000"/>
                <w:sz w:val="18"/>
                <w:szCs w:val="18"/>
              </w:rPr>
              <w:t>Respiratory Rate 6 - 9</w:t>
            </w:r>
          </w:p>
        </w:tc>
        <w:tc>
          <w:tcPr>
            <w:tcW w:w="1269" w:type="dxa"/>
            <w:tcBorders>
              <w:top w:val="nil"/>
              <w:left w:val="nil"/>
              <w:bottom w:val="nil"/>
              <w:right w:val="nil"/>
            </w:tcBorders>
            <w:shd w:val="clear" w:color="auto" w:fill="auto"/>
            <w:noWrap/>
            <w:vAlign w:val="center"/>
            <w:hideMark/>
          </w:tcPr>
          <w:p w14:paraId="0A9F4C06"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.096</w:t>
            </w:r>
          </w:p>
        </w:tc>
        <w:tc>
          <w:tcPr>
            <w:tcW w:w="990" w:type="dxa"/>
            <w:tcBorders>
              <w:top w:val="nil"/>
              <w:left w:val="nil"/>
              <w:bottom w:val="nil"/>
              <w:right w:val="nil"/>
            </w:tcBorders>
            <w:shd w:val="clear" w:color="auto" w:fill="auto"/>
            <w:noWrap/>
            <w:vAlign w:val="center"/>
            <w:hideMark/>
          </w:tcPr>
          <w:p w14:paraId="1C34301D"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.055</w:t>
            </w:r>
          </w:p>
        </w:tc>
        <w:tc>
          <w:tcPr>
            <w:tcW w:w="1170" w:type="dxa"/>
            <w:tcBorders>
              <w:top w:val="nil"/>
              <w:left w:val="nil"/>
              <w:bottom w:val="nil"/>
              <w:right w:val="nil"/>
            </w:tcBorders>
            <w:shd w:val="clear" w:color="auto" w:fill="auto"/>
            <w:noWrap/>
            <w:vAlign w:val="center"/>
            <w:hideMark/>
          </w:tcPr>
          <w:p w14:paraId="19268947"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.168</w:t>
            </w:r>
          </w:p>
        </w:tc>
        <w:tc>
          <w:tcPr>
            <w:tcW w:w="1080" w:type="dxa"/>
            <w:tcBorders>
              <w:top w:val="nil"/>
              <w:left w:val="nil"/>
              <w:bottom w:val="nil"/>
              <w:right w:val="nil"/>
            </w:tcBorders>
            <w:shd w:val="clear" w:color="auto" w:fill="auto"/>
            <w:noWrap/>
            <w:vAlign w:val="center"/>
            <w:hideMark/>
          </w:tcPr>
          <w:p w14:paraId="766D19DE"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w:t>
            </w:r>
          </w:p>
        </w:tc>
      </w:tr>
      <w:tr w:rsidR="00CA0EF0" w:rsidRPr="00361E30" w14:paraId="120D8A9A" w14:textId="77777777" w:rsidTr="003C13F4">
        <w:trPr>
          <w:trHeight w:val="300"/>
        </w:trPr>
        <w:tc>
          <w:tcPr>
            <w:tcW w:w="2421" w:type="dxa"/>
            <w:vMerge/>
            <w:tcBorders>
              <w:left w:val="nil"/>
              <w:right w:val="nil"/>
            </w:tcBorders>
            <w:shd w:val="clear" w:color="auto" w:fill="auto"/>
            <w:hideMark/>
          </w:tcPr>
          <w:p w14:paraId="070C73B4" w14:textId="77777777" w:rsidR="00CA0EF0" w:rsidRPr="00361E30" w:rsidRDefault="00CA0EF0" w:rsidP="003C13F4">
            <w:pPr>
              <w:spacing w:after="0" w:line="240" w:lineRule="auto"/>
              <w:jc w:val="left"/>
              <w:rPr>
                <w:rFonts w:ascii="Arial" w:eastAsia="Times New Roman" w:hAnsi="Arial" w:cs="Arial"/>
                <w:b/>
                <w:bCs/>
                <w:color w:val="000000"/>
                <w:sz w:val="18"/>
                <w:szCs w:val="18"/>
              </w:rPr>
            </w:pPr>
          </w:p>
        </w:tc>
        <w:tc>
          <w:tcPr>
            <w:tcW w:w="2268" w:type="dxa"/>
            <w:tcBorders>
              <w:top w:val="nil"/>
              <w:left w:val="nil"/>
              <w:right w:val="nil"/>
            </w:tcBorders>
            <w:shd w:val="clear" w:color="auto" w:fill="auto"/>
            <w:vAlign w:val="center"/>
            <w:hideMark/>
          </w:tcPr>
          <w:p w14:paraId="03BF6A34" w14:textId="77777777" w:rsidR="00CA0EF0" w:rsidRPr="00361E30" w:rsidRDefault="00CA0EF0" w:rsidP="003C13F4">
            <w:pPr>
              <w:spacing w:after="0" w:line="240" w:lineRule="auto"/>
              <w:jc w:val="left"/>
              <w:rPr>
                <w:rFonts w:ascii="Arial" w:eastAsia="Times New Roman" w:hAnsi="Arial" w:cs="Arial"/>
                <w:color w:val="000000"/>
                <w:sz w:val="18"/>
                <w:szCs w:val="18"/>
              </w:rPr>
            </w:pPr>
            <w:r w:rsidRPr="00361E30">
              <w:rPr>
                <w:rFonts w:ascii="Arial" w:eastAsia="Times New Roman" w:hAnsi="Arial" w:cs="Arial"/>
                <w:color w:val="000000"/>
                <w:sz w:val="18"/>
                <w:szCs w:val="18"/>
              </w:rPr>
              <w:t>Respiratory Rate 1 - 5</w:t>
            </w:r>
          </w:p>
        </w:tc>
        <w:tc>
          <w:tcPr>
            <w:tcW w:w="1269" w:type="dxa"/>
            <w:tcBorders>
              <w:top w:val="nil"/>
              <w:left w:val="nil"/>
              <w:right w:val="nil"/>
            </w:tcBorders>
            <w:shd w:val="clear" w:color="auto" w:fill="auto"/>
            <w:noWrap/>
            <w:vAlign w:val="center"/>
            <w:hideMark/>
          </w:tcPr>
          <w:p w14:paraId="615A0E00"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.045</w:t>
            </w:r>
          </w:p>
        </w:tc>
        <w:tc>
          <w:tcPr>
            <w:tcW w:w="990" w:type="dxa"/>
            <w:tcBorders>
              <w:top w:val="nil"/>
              <w:left w:val="nil"/>
              <w:right w:val="nil"/>
            </w:tcBorders>
            <w:shd w:val="clear" w:color="auto" w:fill="auto"/>
            <w:noWrap/>
            <w:vAlign w:val="center"/>
            <w:hideMark/>
          </w:tcPr>
          <w:p w14:paraId="56D81048"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.012</w:t>
            </w:r>
          </w:p>
        </w:tc>
        <w:tc>
          <w:tcPr>
            <w:tcW w:w="1170" w:type="dxa"/>
            <w:tcBorders>
              <w:top w:val="nil"/>
              <w:left w:val="nil"/>
              <w:right w:val="nil"/>
            </w:tcBorders>
            <w:shd w:val="clear" w:color="auto" w:fill="auto"/>
            <w:noWrap/>
            <w:vAlign w:val="center"/>
            <w:hideMark/>
          </w:tcPr>
          <w:p w14:paraId="39F584C8"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.173</w:t>
            </w:r>
          </w:p>
        </w:tc>
        <w:tc>
          <w:tcPr>
            <w:tcW w:w="1080" w:type="dxa"/>
            <w:tcBorders>
              <w:top w:val="nil"/>
              <w:left w:val="nil"/>
              <w:right w:val="nil"/>
            </w:tcBorders>
            <w:shd w:val="clear" w:color="auto" w:fill="auto"/>
            <w:noWrap/>
            <w:vAlign w:val="center"/>
            <w:hideMark/>
          </w:tcPr>
          <w:p w14:paraId="1AF3B258"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w:t>
            </w:r>
          </w:p>
        </w:tc>
      </w:tr>
      <w:tr w:rsidR="00CA0EF0" w:rsidRPr="00361E30" w14:paraId="5A5F4AAE" w14:textId="77777777" w:rsidTr="003C13F4">
        <w:trPr>
          <w:trHeight w:val="300"/>
        </w:trPr>
        <w:tc>
          <w:tcPr>
            <w:tcW w:w="2421" w:type="dxa"/>
            <w:vMerge/>
            <w:tcBorders>
              <w:left w:val="nil"/>
              <w:bottom w:val="single" w:sz="4" w:space="0" w:color="auto"/>
              <w:right w:val="nil"/>
            </w:tcBorders>
            <w:shd w:val="clear" w:color="auto" w:fill="auto"/>
            <w:hideMark/>
          </w:tcPr>
          <w:p w14:paraId="2C8AE500" w14:textId="77777777" w:rsidR="00CA0EF0" w:rsidRPr="00361E30" w:rsidRDefault="00CA0EF0" w:rsidP="003C13F4">
            <w:pPr>
              <w:spacing w:after="0" w:line="240" w:lineRule="auto"/>
              <w:jc w:val="left"/>
              <w:rPr>
                <w:rFonts w:ascii="Arial" w:eastAsia="Times New Roman" w:hAnsi="Arial" w:cs="Arial"/>
                <w:b/>
                <w:bCs/>
                <w:color w:val="000000"/>
                <w:sz w:val="18"/>
                <w:szCs w:val="18"/>
              </w:rPr>
            </w:pPr>
          </w:p>
        </w:tc>
        <w:tc>
          <w:tcPr>
            <w:tcW w:w="2268" w:type="dxa"/>
            <w:tcBorders>
              <w:top w:val="nil"/>
              <w:left w:val="nil"/>
              <w:bottom w:val="single" w:sz="4" w:space="0" w:color="auto"/>
              <w:right w:val="nil"/>
            </w:tcBorders>
            <w:shd w:val="clear" w:color="auto" w:fill="auto"/>
            <w:vAlign w:val="center"/>
            <w:hideMark/>
          </w:tcPr>
          <w:p w14:paraId="67800D89" w14:textId="77777777" w:rsidR="00CA0EF0" w:rsidRPr="00361E30" w:rsidRDefault="00CA0EF0" w:rsidP="003C13F4">
            <w:pPr>
              <w:spacing w:after="0" w:line="240" w:lineRule="auto"/>
              <w:jc w:val="left"/>
              <w:rPr>
                <w:rFonts w:ascii="Arial" w:eastAsia="Times New Roman" w:hAnsi="Arial" w:cs="Arial"/>
                <w:color w:val="000000"/>
                <w:sz w:val="18"/>
                <w:szCs w:val="18"/>
              </w:rPr>
            </w:pPr>
            <w:r w:rsidRPr="00361E30">
              <w:rPr>
                <w:rFonts w:ascii="Arial" w:eastAsia="Times New Roman" w:hAnsi="Arial" w:cs="Arial"/>
                <w:color w:val="000000"/>
                <w:sz w:val="18"/>
                <w:szCs w:val="18"/>
              </w:rPr>
              <w:t>Respiratory Rate = 0</w:t>
            </w:r>
          </w:p>
        </w:tc>
        <w:tc>
          <w:tcPr>
            <w:tcW w:w="1269" w:type="dxa"/>
            <w:tcBorders>
              <w:top w:val="nil"/>
              <w:left w:val="nil"/>
              <w:bottom w:val="single" w:sz="4" w:space="0" w:color="auto"/>
              <w:right w:val="nil"/>
            </w:tcBorders>
            <w:shd w:val="clear" w:color="auto" w:fill="auto"/>
            <w:noWrap/>
            <w:vAlign w:val="center"/>
            <w:hideMark/>
          </w:tcPr>
          <w:p w14:paraId="3694271F"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.005</w:t>
            </w:r>
          </w:p>
        </w:tc>
        <w:tc>
          <w:tcPr>
            <w:tcW w:w="990" w:type="dxa"/>
            <w:tcBorders>
              <w:top w:val="nil"/>
              <w:left w:val="nil"/>
              <w:bottom w:val="single" w:sz="4" w:space="0" w:color="auto"/>
              <w:right w:val="nil"/>
            </w:tcBorders>
            <w:shd w:val="clear" w:color="auto" w:fill="auto"/>
            <w:noWrap/>
            <w:vAlign w:val="center"/>
            <w:hideMark/>
          </w:tcPr>
          <w:p w14:paraId="6CADAEBE"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.001</w:t>
            </w:r>
          </w:p>
        </w:tc>
        <w:tc>
          <w:tcPr>
            <w:tcW w:w="1170" w:type="dxa"/>
            <w:tcBorders>
              <w:top w:val="nil"/>
              <w:left w:val="nil"/>
              <w:bottom w:val="single" w:sz="4" w:space="0" w:color="auto"/>
              <w:right w:val="nil"/>
            </w:tcBorders>
            <w:shd w:val="clear" w:color="auto" w:fill="auto"/>
            <w:noWrap/>
            <w:vAlign w:val="center"/>
            <w:hideMark/>
          </w:tcPr>
          <w:p w14:paraId="5E15B119"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.039</w:t>
            </w:r>
          </w:p>
        </w:tc>
        <w:tc>
          <w:tcPr>
            <w:tcW w:w="1080" w:type="dxa"/>
            <w:tcBorders>
              <w:top w:val="nil"/>
              <w:left w:val="nil"/>
              <w:bottom w:val="single" w:sz="4" w:space="0" w:color="auto"/>
              <w:right w:val="nil"/>
            </w:tcBorders>
            <w:shd w:val="clear" w:color="auto" w:fill="auto"/>
            <w:noWrap/>
            <w:vAlign w:val="center"/>
            <w:hideMark/>
          </w:tcPr>
          <w:p w14:paraId="0137F283"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w:t>
            </w:r>
          </w:p>
        </w:tc>
      </w:tr>
      <w:tr w:rsidR="00CA0EF0" w:rsidRPr="00361E30" w14:paraId="215248A5" w14:textId="77777777" w:rsidTr="003C13F4">
        <w:trPr>
          <w:trHeight w:val="315"/>
        </w:trPr>
        <w:tc>
          <w:tcPr>
            <w:tcW w:w="2421" w:type="dxa"/>
            <w:tcBorders>
              <w:top w:val="single" w:sz="4" w:space="0" w:color="auto"/>
              <w:left w:val="nil"/>
              <w:bottom w:val="double" w:sz="6" w:space="0" w:color="auto"/>
              <w:right w:val="nil"/>
            </w:tcBorders>
            <w:shd w:val="clear" w:color="auto" w:fill="auto"/>
            <w:hideMark/>
          </w:tcPr>
          <w:p w14:paraId="14C0CCCE" w14:textId="77777777" w:rsidR="00CA0EF0" w:rsidRPr="00361E30" w:rsidRDefault="00CA0EF0" w:rsidP="003C13F4">
            <w:pPr>
              <w:spacing w:after="0" w:line="240" w:lineRule="auto"/>
              <w:jc w:val="left"/>
              <w:rPr>
                <w:rFonts w:ascii="Arial" w:eastAsia="Times New Roman" w:hAnsi="Arial" w:cs="Arial"/>
                <w:b/>
                <w:bCs/>
                <w:color w:val="000000"/>
                <w:sz w:val="18"/>
                <w:szCs w:val="18"/>
              </w:rPr>
            </w:pPr>
            <w:r w:rsidRPr="00361E30">
              <w:rPr>
                <w:rFonts w:ascii="Arial" w:eastAsia="Times New Roman" w:hAnsi="Arial" w:cs="Arial"/>
                <w:b/>
                <w:bCs/>
                <w:color w:val="000000"/>
                <w:sz w:val="18"/>
                <w:szCs w:val="18"/>
              </w:rPr>
              <w:t> </w:t>
            </w:r>
          </w:p>
        </w:tc>
        <w:tc>
          <w:tcPr>
            <w:tcW w:w="2268" w:type="dxa"/>
            <w:tcBorders>
              <w:top w:val="single" w:sz="4" w:space="0" w:color="auto"/>
              <w:left w:val="nil"/>
              <w:bottom w:val="double" w:sz="6" w:space="0" w:color="auto"/>
              <w:right w:val="nil"/>
            </w:tcBorders>
            <w:shd w:val="clear" w:color="auto" w:fill="auto"/>
            <w:vAlign w:val="center"/>
            <w:hideMark/>
          </w:tcPr>
          <w:p w14:paraId="437DC6BD" w14:textId="77777777" w:rsidR="00CA0EF0" w:rsidRPr="00361E30" w:rsidRDefault="00CA0EF0" w:rsidP="003C13F4">
            <w:pPr>
              <w:spacing w:after="0" w:line="240" w:lineRule="auto"/>
              <w:jc w:val="left"/>
              <w:rPr>
                <w:rFonts w:ascii="Arial" w:eastAsia="Times New Roman" w:hAnsi="Arial" w:cs="Arial"/>
                <w:color w:val="000000"/>
                <w:sz w:val="18"/>
                <w:szCs w:val="18"/>
              </w:rPr>
            </w:pPr>
            <w:r w:rsidRPr="00361E30">
              <w:rPr>
                <w:rFonts w:ascii="Arial" w:eastAsia="Times New Roman" w:hAnsi="Arial" w:cs="Arial"/>
                <w:color w:val="000000"/>
                <w:sz w:val="18"/>
                <w:szCs w:val="18"/>
              </w:rPr>
              <w:t>Constant</w:t>
            </w:r>
          </w:p>
        </w:tc>
        <w:tc>
          <w:tcPr>
            <w:tcW w:w="1269" w:type="dxa"/>
            <w:tcBorders>
              <w:top w:val="single" w:sz="4" w:space="0" w:color="auto"/>
              <w:left w:val="nil"/>
              <w:bottom w:val="double" w:sz="6" w:space="0" w:color="auto"/>
              <w:right w:val="nil"/>
            </w:tcBorders>
            <w:shd w:val="clear" w:color="auto" w:fill="auto"/>
            <w:noWrap/>
            <w:vAlign w:val="center"/>
            <w:hideMark/>
          </w:tcPr>
          <w:p w14:paraId="4B3E1A93"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9.588</w:t>
            </w:r>
          </w:p>
        </w:tc>
        <w:tc>
          <w:tcPr>
            <w:tcW w:w="990" w:type="dxa"/>
            <w:tcBorders>
              <w:top w:val="single" w:sz="4" w:space="0" w:color="auto"/>
              <w:left w:val="nil"/>
              <w:bottom w:val="double" w:sz="6" w:space="0" w:color="auto"/>
              <w:right w:val="nil"/>
            </w:tcBorders>
            <w:shd w:val="clear" w:color="auto" w:fill="auto"/>
            <w:vAlign w:val="center"/>
            <w:hideMark/>
          </w:tcPr>
          <w:p w14:paraId="288E520B"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 </w:t>
            </w:r>
          </w:p>
        </w:tc>
        <w:tc>
          <w:tcPr>
            <w:tcW w:w="1170" w:type="dxa"/>
            <w:tcBorders>
              <w:top w:val="single" w:sz="4" w:space="0" w:color="auto"/>
              <w:left w:val="nil"/>
              <w:bottom w:val="double" w:sz="6" w:space="0" w:color="auto"/>
              <w:right w:val="nil"/>
            </w:tcBorders>
            <w:shd w:val="clear" w:color="auto" w:fill="auto"/>
            <w:vAlign w:val="center"/>
            <w:hideMark/>
          </w:tcPr>
          <w:p w14:paraId="76EE4543"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 </w:t>
            </w:r>
          </w:p>
        </w:tc>
        <w:tc>
          <w:tcPr>
            <w:tcW w:w="1080" w:type="dxa"/>
            <w:tcBorders>
              <w:top w:val="single" w:sz="4" w:space="0" w:color="auto"/>
              <w:left w:val="nil"/>
              <w:bottom w:val="double" w:sz="6" w:space="0" w:color="auto"/>
              <w:right w:val="nil"/>
            </w:tcBorders>
            <w:shd w:val="clear" w:color="auto" w:fill="auto"/>
            <w:noWrap/>
            <w:vAlign w:val="center"/>
            <w:hideMark/>
          </w:tcPr>
          <w:p w14:paraId="2DE4104E" w14:textId="77777777" w:rsidR="00CA0EF0" w:rsidRPr="00361E30" w:rsidRDefault="00CA0EF0" w:rsidP="003C13F4">
            <w:pPr>
              <w:spacing w:after="0" w:line="240" w:lineRule="auto"/>
              <w:jc w:val="center"/>
              <w:rPr>
                <w:rFonts w:ascii="Arial" w:eastAsia="Times New Roman" w:hAnsi="Arial" w:cs="Arial"/>
                <w:color w:val="000000"/>
                <w:sz w:val="18"/>
                <w:szCs w:val="18"/>
              </w:rPr>
            </w:pPr>
            <w:r w:rsidRPr="00361E30">
              <w:rPr>
                <w:rFonts w:ascii="Arial" w:eastAsia="Times New Roman" w:hAnsi="Arial" w:cs="Arial"/>
                <w:color w:val="000000"/>
                <w:sz w:val="18"/>
                <w:szCs w:val="18"/>
              </w:rPr>
              <w:t>0.000</w:t>
            </w:r>
          </w:p>
        </w:tc>
      </w:tr>
    </w:tbl>
    <w:p w14:paraId="6CB9A048" w14:textId="77777777" w:rsidR="00CA0EF0" w:rsidRPr="00361E30" w:rsidRDefault="00CA0EF0" w:rsidP="003C13F4">
      <w:pPr>
        <w:pStyle w:val="TableTitle"/>
      </w:pPr>
      <w:bookmarkStart w:id="129" w:name="_Toc528321047"/>
      <w:r w:rsidRPr="00361E30">
        <w:t>Table 5.3: Univariate analysis of the association between physiological variables and 30-day survival</w:t>
      </w:r>
      <w:bookmarkEnd w:id="129"/>
    </w:p>
    <w:p w14:paraId="2846C8CB" w14:textId="77777777" w:rsidR="00CA0EF0" w:rsidRPr="00361E30" w:rsidRDefault="00CA0EF0" w:rsidP="003C13F4">
      <w:pPr>
        <w:pStyle w:val="Heading2"/>
      </w:pPr>
      <w:bookmarkStart w:id="130" w:name="_Toc1902301"/>
      <w:r w:rsidRPr="00361E30">
        <w:t>5.3.5</w:t>
      </w:r>
      <w:r w:rsidRPr="00361E30">
        <w:tab/>
        <w:t>Summary of Univariate Analysis and Choice of Variables for Multivariate Model</w:t>
      </w:r>
      <w:bookmarkEnd w:id="130"/>
    </w:p>
    <w:p w14:paraId="3E91D71B" w14:textId="77777777" w:rsidR="00CA0EF0" w:rsidRPr="00361E30" w:rsidRDefault="00CA0EF0" w:rsidP="003C13F4">
      <w:r w:rsidRPr="00361E30">
        <w:t>All variables initially identified in the systematic review as having an association with survival in older trauma patients were considered for inclusion in the multivariate model. Of these, use of warfarin and clopidogrel were excluded, as the proportion of patients recorded as being on these drugs was very small and unlikely to impact on the final model. In addition, it seemed likely that this low incidence of recorded medication use was due to under-reporting.</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1276"/>
        <w:gridCol w:w="851"/>
        <w:gridCol w:w="850"/>
        <w:gridCol w:w="4394"/>
      </w:tblGrid>
      <w:tr w:rsidR="00CA0EF0" w:rsidRPr="00361E30" w14:paraId="17063DC3" w14:textId="77777777" w:rsidTr="00876267">
        <w:trPr>
          <w:cantSplit/>
          <w:trHeight w:val="2259"/>
        </w:trPr>
        <w:tc>
          <w:tcPr>
            <w:tcW w:w="2376" w:type="dxa"/>
            <w:tcBorders>
              <w:top w:val="single" w:sz="4" w:space="0" w:color="auto"/>
              <w:bottom w:val="double" w:sz="4" w:space="0" w:color="auto"/>
            </w:tcBorders>
            <w:vAlign w:val="center"/>
          </w:tcPr>
          <w:p w14:paraId="7BF60BF5" w14:textId="77777777" w:rsidR="00CA0EF0" w:rsidRPr="00361E30" w:rsidRDefault="00CA0EF0" w:rsidP="003C13F4">
            <w:pPr>
              <w:spacing w:line="240" w:lineRule="auto"/>
              <w:rPr>
                <w:lang w:val="en-GB"/>
              </w:rPr>
            </w:pPr>
            <w:r w:rsidRPr="00361E30">
              <w:rPr>
                <w:lang w:val="en-GB"/>
              </w:rPr>
              <w:lastRenderedPageBreak/>
              <w:t>Variable</w:t>
            </w:r>
          </w:p>
        </w:tc>
        <w:tc>
          <w:tcPr>
            <w:tcW w:w="1276" w:type="dxa"/>
            <w:tcBorders>
              <w:top w:val="single" w:sz="4" w:space="0" w:color="auto"/>
              <w:bottom w:val="double" w:sz="4" w:space="0" w:color="auto"/>
            </w:tcBorders>
            <w:textDirection w:val="btLr"/>
            <w:vAlign w:val="center"/>
          </w:tcPr>
          <w:p w14:paraId="2935BE73" w14:textId="77777777" w:rsidR="00CA0EF0" w:rsidRPr="00361E30" w:rsidRDefault="00CA0EF0" w:rsidP="003C13F4">
            <w:pPr>
              <w:spacing w:line="240" w:lineRule="auto"/>
              <w:ind w:left="113" w:right="113"/>
              <w:rPr>
                <w:lang w:val="en-GB"/>
              </w:rPr>
            </w:pPr>
            <w:r w:rsidRPr="00361E30">
              <w:rPr>
                <w:lang w:val="en-GB"/>
              </w:rPr>
              <w:t>Continuous or Categorical</w:t>
            </w:r>
          </w:p>
        </w:tc>
        <w:tc>
          <w:tcPr>
            <w:tcW w:w="851" w:type="dxa"/>
            <w:tcBorders>
              <w:top w:val="single" w:sz="4" w:space="0" w:color="auto"/>
              <w:bottom w:val="double" w:sz="4" w:space="0" w:color="auto"/>
            </w:tcBorders>
            <w:textDirection w:val="btLr"/>
          </w:tcPr>
          <w:p w14:paraId="0DD812C7" w14:textId="77777777" w:rsidR="00CA0EF0" w:rsidRPr="00361E30" w:rsidRDefault="00CA0EF0" w:rsidP="003C13F4">
            <w:pPr>
              <w:spacing w:line="240" w:lineRule="auto"/>
              <w:ind w:left="113" w:right="113"/>
              <w:rPr>
                <w:lang w:val="en-GB"/>
              </w:rPr>
            </w:pPr>
            <w:r w:rsidRPr="00361E30">
              <w:rPr>
                <w:lang w:val="en-GB"/>
              </w:rPr>
              <w:t>Significant association in Univariate analysis?</w:t>
            </w:r>
          </w:p>
        </w:tc>
        <w:tc>
          <w:tcPr>
            <w:tcW w:w="850" w:type="dxa"/>
            <w:tcBorders>
              <w:top w:val="single" w:sz="4" w:space="0" w:color="auto"/>
              <w:bottom w:val="double" w:sz="4" w:space="0" w:color="auto"/>
            </w:tcBorders>
            <w:textDirection w:val="btLr"/>
            <w:vAlign w:val="center"/>
          </w:tcPr>
          <w:p w14:paraId="35551D55" w14:textId="77777777" w:rsidR="00CA0EF0" w:rsidRPr="00361E30" w:rsidRDefault="00CA0EF0" w:rsidP="003C13F4">
            <w:pPr>
              <w:spacing w:line="240" w:lineRule="auto"/>
              <w:ind w:left="113" w:right="113"/>
              <w:rPr>
                <w:lang w:val="en-GB"/>
              </w:rPr>
            </w:pPr>
            <w:r w:rsidRPr="00361E30">
              <w:rPr>
                <w:lang w:val="en-GB"/>
              </w:rPr>
              <w:t>Included in multivariate analysis?</w:t>
            </w:r>
          </w:p>
        </w:tc>
        <w:tc>
          <w:tcPr>
            <w:tcW w:w="4394" w:type="dxa"/>
            <w:tcBorders>
              <w:top w:val="single" w:sz="4" w:space="0" w:color="auto"/>
              <w:bottom w:val="double" w:sz="4" w:space="0" w:color="auto"/>
            </w:tcBorders>
            <w:vAlign w:val="center"/>
          </w:tcPr>
          <w:p w14:paraId="1D5312D5" w14:textId="77777777" w:rsidR="00CA0EF0" w:rsidRPr="00361E30" w:rsidRDefault="00CA0EF0" w:rsidP="003C13F4">
            <w:pPr>
              <w:spacing w:line="240" w:lineRule="auto"/>
              <w:rPr>
                <w:lang w:val="en-GB"/>
              </w:rPr>
            </w:pPr>
            <w:r w:rsidRPr="00361E30">
              <w:rPr>
                <w:lang w:val="en-GB"/>
              </w:rPr>
              <w:t>Comments</w:t>
            </w:r>
          </w:p>
        </w:tc>
      </w:tr>
      <w:tr w:rsidR="00CA0EF0" w:rsidRPr="00361E30" w14:paraId="66F6B751" w14:textId="77777777" w:rsidTr="00876267">
        <w:tc>
          <w:tcPr>
            <w:tcW w:w="9747" w:type="dxa"/>
            <w:gridSpan w:val="5"/>
            <w:tcBorders>
              <w:top w:val="double" w:sz="4" w:space="0" w:color="auto"/>
              <w:bottom w:val="single" w:sz="4" w:space="0" w:color="auto"/>
            </w:tcBorders>
          </w:tcPr>
          <w:p w14:paraId="657C2726" w14:textId="77777777" w:rsidR="00CA0EF0" w:rsidRPr="00361E30" w:rsidRDefault="00CA0EF0" w:rsidP="003C13F4">
            <w:pPr>
              <w:spacing w:line="240" w:lineRule="auto"/>
              <w:rPr>
                <w:lang w:val="en-GB"/>
              </w:rPr>
            </w:pPr>
            <w:r w:rsidRPr="00361E30">
              <w:rPr>
                <w:lang w:val="en-GB"/>
              </w:rPr>
              <w:t>Demographic variables</w:t>
            </w:r>
          </w:p>
        </w:tc>
      </w:tr>
      <w:tr w:rsidR="00CA0EF0" w:rsidRPr="00361E30" w14:paraId="61C4AFBF" w14:textId="77777777" w:rsidTr="00876267">
        <w:tc>
          <w:tcPr>
            <w:tcW w:w="2376" w:type="dxa"/>
            <w:tcBorders>
              <w:top w:val="single" w:sz="4" w:space="0" w:color="auto"/>
            </w:tcBorders>
          </w:tcPr>
          <w:p w14:paraId="21E38874" w14:textId="77777777" w:rsidR="00CA0EF0" w:rsidRPr="00361E30" w:rsidRDefault="00CA0EF0" w:rsidP="003C13F4">
            <w:pPr>
              <w:spacing w:line="240" w:lineRule="auto"/>
              <w:rPr>
                <w:lang w:val="en-GB"/>
              </w:rPr>
            </w:pPr>
            <w:r w:rsidRPr="00361E30">
              <w:rPr>
                <w:lang w:val="en-GB"/>
              </w:rPr>
              <w:t>Age</w:t>
            </w:r>
          </w:p>
        </w:tc>
        <w:tc>
          <w:tcPr>
            <w:tcW w:w="1276" w:type="dxa"/>
            <w:tcBorders>
              <w:top w:val="single" w:sz="4" w:space="0" w:color="auto"/>
            </w:tcBorders>
          </w:tcPr>
          <w:p w14:paraId="30F67E71" w14:textId="77777777" w:rsidR="00CA0EF0" w:rsidRPr="00361E30" w:rsidRDefault="00CA0EF0" w:rsidP="003C13F4">
            <w:pPr>
              <w:spacing w:line="240" w:lineRule="auto"/>
              <w:rPr>
                <w:lang w:val="en-GB"/>
              </w:rPr>
            </w:pPr>
            <w:r w:rsidRPr="00361E30">
              <w:rPr>
                <w:lang w:val="en-GB"/>
              </w:rPr>
              <w:t>Both</w:t>
            </w:r>
          </w:p>
        </w:tc>
        <w:tc>
          <w:tcPr>
            <w:tcW w:w="851" w:type="dxa"/>
            <w:tcBorders>
              <w:top w:val="single" w:sz="4" w:space="0" w:color="auto"/>
            </w:tcBorders>
          </w:tcPr>
          <w:p w14:paraId="7B5D86A5" w14:textId="77777777" w:rsidR="00CA0EF0" w:rsidRPr="00361E30" w:rsidRDefault="00CA0EF0" w:rsidP="003C13F4">
            <w:pPr>
              <w:spacing w:line="240" w:lineRule="auto"/>
              <w:rPr>
                <w:lang w:val="en-GB"/>
              </w:rPr>
            </w:pPr>
            <w:r w:rsidRPr="00361E30">
              <w:rPr>
                <w:lang w:val="en-GB"/>
              </w:rPr>
              <w:t>Yes</w:t>
            </w:r>
          </w:p>
        </w:tc>
        <w:tc>
          <w:tcPr>
            <w:tcW w:w="850" w:type="dxa"/>
            <w:tcBorders>
              <w:top w:val="single" w:sz="4" w:space="0" w:color="auto"/>
            </w:tcBorders>
          </w:tcPr>
          <w:p w14:paraId="4E0360BA" w14:textId="77777777" w:rsidR="00CA0EF0" w:rsidRPr="00361E30" w:rsidRDefault="00CA0EF0" w:rsidP="003C13F4">
            <w:pPr>
              <w:spacing w:line="240" w:lineRule="auto"/>
              <w:rPr>
                <w:lang w:val="en-GB"/>
              </w:rPr>
            </w:pPr>
            <w:r w:rsidRPr="00361E30">
              <w:rPr>
                <w:lang w:val="en-GB"/>
              </w:rPr>
              <w:t>Yes</w:t>
            </w:r>
          </w:p>
        </w:tc>
        <w:tc>
          <w:tcPr>
            <w:tcW w:w="4394" w:type="dxa"/>
            <w:tcBorders>
              <w:top w:val="single" w:sz="4" w:space="0" w:color="auto"/>
            </w:tcBorders>
          </w:tcPr>
          <w:p w14:paraId="72A291EA" w14:textId="77777777" w:rsidR="00CA0EF0" w:rsidRPr="00361E30" w:rsidRDefault="00CA0EF0" w:rsidP="003C13F4">
            <w:pPr>
              <w:spacing w:line="240" w:lineRule="auto"/>
              <w:rPr>
                <w:lang w:val="en-GB"/>
              </w:rPr>
            </w:pPr>
            <w:r w:rsidRPr="00361E30">
              <w:rPr>
                <w:lang w:val="en-GB"/>
              </w:rPr>
              <w:t>Both categorical and continuous forms of the variable were significantly associated with survival on univariate analysis</w:t>
            </w:r>
          </w:p>
        </w:tc>
      </w:tr>
      <w:tr w:rsidR="00CA0EF0" w:rsidRPr="00361E30" w14:paraId="32CB2386" w14:textId="77777777" w:rsidTr="00876267">
        <w:tc>
          <w:tcPr>
            <w:tcW w:w="2376" w:type="dxa"/>
          </w:tcPr>
          <w:p w14:paraId="51972866" w14:textId="77777777" w:rsidR="00CA0EF0" w:rsidRPr="00361E30" w:rsidRDefault="00CA0EF0" w:rsidP="003C13F4">
            <w:pPr>
              <w:spacing w:line="240" w:lineRule="auto"/>
              <w:rPr>
                <w:lang w:val="en-GB"/>
              </w:rPr>
            </w:pPr>
            <w:r w:rsidRPr="00361E30">
              <w:rPr>
                <w:lang w:val="en-GB"/>
              </w:rPr>
              <w:t>Gender</w:t>
            </w:r>
          </w:p>
        </w:tc>
        <w:tc>
          <w:tcPr>
            <w:tcW w:w="1276" w:type="dxa"/>
          </w:tcPr>
          <w:p w14:paraId="2EF5AE1E" w14:textId="77777777" w:rsidR="00CA0EF0" w:rsidRPr="00361E30" w:rsidRDefault="00CA0EF0" w:rsidP="003C13F4">
            <w:pPr>
              <w:spacing w:line="240" w:lineRule="auto"/>
              <w:rPr>
                <w:lang w:val="en-GB"/>
              </w:rPr>
            </w:pPr>
            <w:r w:rsidRPr="00361E30">
              <w:rPr>
                <w:lang w:val="en-GB"/>
              </w:rPr>
              <w:t>Categorical</w:t>
            </w:r>
          </w:p>
        </w:tc>
        <w:tc>
          <w:tcPr>
            <w:tcW w:w="851" w:type="dxa"/>
          </w:tcPr>
          <w:p w14:paraId="22257F4E" w14:textId="77777777" w:rsidR="00CA0EF0" w:rsidRPr="00361E30" w:rsidRDefault="00CA0EF0" w:rsidP="003C13F4">
            <w:pPr>
              <w:spacing w:line="240" w:lineRule="auto"/>
              <w:rPr>
                <w:lang w:val="en-GB"/>
              </w:rPr>
            </w:pPr>
            <w:r w:rsidRPr="00361E30">
              <w:rPr>
                <w:lang w:val="en-GB"/>
              </w:rPr>
              <w:t>Yes</w:t>
            </w:r>
          </w:p>
        </w:tc>
        <w:tc>
          <w:tcPr>
            <w:tcW w:w="850" w:type="dxa"/>
          </w:tcPr>
          <w:p w14:paraId="139194FA" w14:textId="77777777" w:rsidR="00CA0EF0" w:rsidRPr="00361E30" w:rsidRDefault="00CA0EF0" w:rsidP="003C13F4">
            <w:pPr>
              <w:spacing w:line="240" w:lineRule="auto"/>
              <w:rPr>
                <w:lang w:val="en-GB"/>
              </w:rPr>
            </w:pPr>
            <w:r w:rsidRPr="00361E30">
              <w:rPr>
                <w:lang w:val="en-GB"/>
              </w:rPr>
              <w:t>Yes</w:t>
            </w:r>
          </w:p>
        </w:tc>
        <w:tc>
          <w:tcPr>
            <w:tcW w:w="4394" w:type="dxa"/>
          </w:tcPr>
          <w:p w14:paraId="530CF2CA" w14:textId="77777777" w:rsidR="00CA0EF0" w:rsidRPr="00361E30" w:rsidRDefault="00CA0EF0" w:rsidP="003C13F4">
            <w:pPr>
              <w:spacing w:line="240" w:lineRule="auto"/>
              <w:rPr>
                <w:lang w:val="en-GB"/>
              </w:rPr>
            </w:pPr>
            <w:r w:rsidRPr="00361E30">
              <w:rPr>
                <w:lang w:val="en-GB"/>
              </w:rPr>
              <w:t>Interaction between age and gender also noted</w:t>
            </w:r>
          </w:p>
        </w:tc>
      </w:tr>
      <w:tr w:rsidR="00CA0EF0" w:rsidRPr="00361E30" w14:paraId="4E200F40" w14:textId="77777777" w:rsidTr="00876267">
        <w:tc>
          <w:tcPr>
            <w:tcW w:w="9747" w:type="dxa"/>
            <w:gridSpan w:val="5"/>
          </w:tcPr>
          <w:p w14:paraId="361E93FD" w14:textId="77777777" w:rsidR="00CA0EF0" w:rsidRPr="00361E30" w:rsidRDefault="00CA0EF0" w:rsidP="003C13F4">
            <w:pPr>
              <w:spacing w:line="240" w:lineRule="auto"/>
              <w:rPr>
                <w:lang w:val="en-GB"/>
              </w:rPr>
            </w:pPr>
            <w:r w:rsidRPr="00361E30">
              <w:rPr>
                <w:lang w:val="en-GB"/>
              </w:rPr>
              <w:t>Pre-injury characteristics</w:t>
            </w:r>
          </w:p>
        </w:tc>
      </w:tr>
      <w:tr w:rsidR="00CA0EF0" w:rsidRPr="00361E30" w14:paraId="20FA33DC" w14:textId="77777777" w:rsidTr="00876267">
        <w:tc>
          <w:tcPr>
            <w:tcW w:w="2376" w:type="dxa"/>
          </w:tcPr>
          <w:p w14:paraId="3EF5E8E3" w14:textId="77777777" w:rsidR="00CA0EF0" w:rsidRPr="00361E30" w:rsidRDefault="00CA0EF0" w:rsidP="003C13F4">
            <w:pPr>
              <w:spacing w:line="240" w:lineRule="auto"/>
              <w:rPr>
                <w:lang w:val="en-GB"/>
              </w:rPr>
            </w:pPr>
            <w:r w:rsidRPr="00361E30">
              <w:rPr>
                <w:lang w:val="en-GB"/>
              </w:rPr>
              <w:t>Charlson Comorbidity Index</w:t>
            </w:r>
          </w:p>
        </w:tc>
        <w:tc>
          <w:tcPr>
            <w:tcW w:w="1276" w:type="dxa"/>
          </w:tcPr>
          <w:p w14:paraId="7AF40FBF" w14:textId="77777777" w:rsidR="00CA0EF0" w:rsidRPr="00361E30" w:rsidRDefault="00CA0EF0" w:rsidP="003C13F4">
            <w:pPr>
              <w:spacing w:line="240" w:lineRule="auto"/>
              <w:rPr>
                <w:lang w:val="en-GB"/>
              </w:rPr>
            </w:pPr>
            <w:r w:rsidRPr="00361E30">
              <w:rPr>
                <w:lang w:val="en-GB"/>
              </w:rPr>
              <w:t>Categorical</w:t>
            </w:r>
          </w:p>
        </w:tc>
        <w:tc>
          <w:tcPr>
            <w:tcW w:w="851" w:type="dxa"/>
          </w:tcPr>
          <w:p w14:paraId="000D16F0" w14:textId="77777777" w:rsidR="00CA0EF0" w:rsidRPr="00361E30" w:rsidRDefault="00CA0EF0" w:rsidP="003C13F4">
            <w:pPr>
              <w:spacing w:line="240" w:lineRule="auto"/>
              <w:rPr>
                <w:lang w:val="en-GB"/>
              </w:rPr>
            </w:pPr>
            <w:r w:rsidRPr="00361E30">
              <w:rPr>
                <w:lang w:val="en-GB"/>
              </w:rPr>
              <w:t>Yes</w:t>
            </w:r>
          </w:p>
        </w:tc>
        <w:tc>
          <w:tcPr>
            <w:tcW w:w="850" w:type="dxa"/>
          </w:tcPr>
          <w:p w14:paraId="1135B51B" w14:textId="77777777" w:rsidR="00CA0EF0" w:rsidRPr="00361E30" w:rsidRDefault="00CA0EF0" w:rsidP="003C13F4">
            <w:pPr>
              <w:spacing w:line="240" w:lineRule="auto"/>
              <w:rPr>
                <w:lang w:val="en-GB"/>
              </w:rPr>
            </w:pPr>
            <w:r w:rsidRPr="00361E30">
              <w:rPr>
                <w:lang w:val="en-GB"/>
              </w:rPr>
              <w:t>Yes</w:t>
            </w:r>
          </w:p>
        </w:tc>
        <w:tc>
          <w:tcPr>
            <w:tcW w:w="4394" w:type="dxa"/>
          </w:tcPr>
          <w:p w14:paraId="54717DF6" w14:textId="77777777" w:rsidR="00CA0EF0" w:rsidRPr="00361E30" w:rsidRDefault="00CA0EF0" w:rsidP="003C13F4">
            <w:pPr>
              <w:spacing w:line="240" w:lineRule="auto"/>
              <w:rPr>
                <w:lang w:val="en-GB"/>
              </w:rPr>
            </w:pPr>
            <w:r w:rsidRPr="00361E30">
              <w:rPr>
                <w:lang w:val="en-GB"/>
              </w:rPr>
              <w:t>Categories used in PS14 model retained, for ease of comparison</w:t>
            </w:r>
          </w:p>
        </w:tc>
      </w:tr>
      <w:tr w:rsidR="00CA0EF0" w:rsidRPr="00361E30" w14:paraId="7F3B31FF" w14:textId="77777777" w:rsidTr="00876267">
        <w:tc>
          <w:tcPr>
            <w:tcW w:w="2376" w:type="dxa"/>
            <w:tcBorders>
              <w:bottom w:val="double" w:sz="4" w:space="0" w:color="auto"/>
            </w:tcBorders>
          </w:tcPr>
          <w:p w14:paraId="39A438FE" w14:textId="77777777" w:rsidR="00CA0EF0" w:rsidRPr="00361E30" w:rsidRDefault="00CA0EF0" w:rsidP="003C13F4">
            <w:pPr>
              <w:spacing w:line="240" w:lineRule="auto"/>
              <w:rPr>
                <w:lang w:val="en-GB"/>
              </w:rPr>
            </w:pPr>
            <w:r w:rsidRPr="00361E30">
              <w:rPr>
                <w:lang w:val="en-GB"/>
              </w:rPr>
              <w:t>Pre-Injury Medication</w:t>
            </w:r>
          </w:p>
          <w:p w14:paraId="6C2B3958" w14:textId="77777777" w:rsidR="00CA0EF0" w:rsidRPr="00361E30" w:rsidRDefault="00CA0EF0" w:rsidP="003C13F4">
            <w:pPr>
              <w:spacing w:line="240" w:lineRule="auto"/>
              <w:rPr>
                <w:lang w:val="en-GB"/>
              </w:rPr>
            </w:pPr>
          </w:p>
        </w:tc>
        <w:tc>
          <w:tcPr>
            <w:tcW w:w="1276" w:type="dxa"/>
            <w:tcBorders>
              <w:bottom w:val="double" w:sz="4" w:space="0" w:color="auto"/>
            </w:tcBorders>
          </w:tcPr>
          <w:p w14:paraId="5143D356" w14:textId="77777777" w:rsidR="00CA0EF0" w:rsidRPr="00361E30" w:rsidRDefault="00CA0EF0" w:rsidP="003C13F4">
            <w:pPr>
              <w:spacing w:line="240" w:lineRule="auto"/>
              <w:rPr>
                <w:lang w:val="en-GB"/>
              </w:rPr>
            </w:pPr>
            <w:r w:rsidRPr="00361E30">
              <w:rPr>
                <w:lang w:val="en-GB"/>
              </w:rPr>
              <w:t>Categorical</w:t>
            </w:r>
          </w:p>
        </w:tc>
        <w:tc>
          <w:tcPr>
            <w:tcW w:w="851" w:type="dxa"/>
            <w:tcBorders>
              <w:bottom w:val="double" w:sz="4" w:space="0" w:color="auto"/>
            </w:tcBorders>
          </w:tcPr>
          <w:p w14:paraId="320F7983" w14:textId="77777777" w:rsidR="00CA0EF0" w:rsidRPr="00361E30" w:rsidRDefault="00CA0EF0" w:rsidP="003C13F4">
            <w:pPr>
              <w:spacing w:line="240" w:lineRule="auto"/>
              <w:rPr>
                <w:lang w:val="en-GB"/>
              </w:rPr>
            </w:pPr>
            <w:r w:rsidRPr="00361E30">
              <w:rPr>
                <w:lang w:val="en-GB"/>
              </w:rPr>
              <w:t>Not tested</w:t>
            </w:r>
          </w:p>
        </w:tc>
        <w:tc>
          <w:tcPr>
            <w:tcW w:w="850" w:type="dxa"/>
            <w:tcBorders>
              <w:bottom w:val="double" w:sz="4" w:space="0" w:color="auto"/>
            </w:tcBorders>
          </w:tcPr>
          <w:p w14:paraId="16B56651" w14:textId="77777777" w:rsidR="00CA0EF0" w:rsidRPr="00361E30" w:rsidRDefault="00CA0EF0" w:rsidP="003C13F4">
            <w:pPr>
              <w:spacing w:line="240" w:lineRule="auto"/>
              <w:rPr>
                <w:lang w:val="en-GB"/>
              </w:rPr>
            </w:pPr>
            <w:r w:rsidRPr="00361E30">
              <w:rPr>
                <w:lang w:val="en-GB"/>
              </w:rPr>
              <w:t>No</w:t>
            </w:r>
          </w:p>
        </w:tc>
        <w:tc>
          <w:tcPr>
            <w:tcW w:w="4394" w:type="dxa"/>
            <w:tcBorders>
              <w:bottom w:val="double" w:sz="4" w:space="0" w:color="auto"/>
            </w:tcBorders>
          </w:tcPr>
          <w:p w14:paraId="4822EF17" w14:textId="77777777" w:rsidR="00CA0EF0" w:rsidRPr="00361E30" w:rsidRDefault="00CA0EF0" w:rsidP="003C13F4">
            <w:pPr>
              <w:spacing w:line="240" w:lineRule="auto"/>
              <w:rPr>
                <w:lang w:val="en-GB"/>
              </w:rPr>
            </w:pPr>
            <w:r w:rsidRPr="00361E30">
              <w:rPr>
                <w:lang w:val="en-GB"/>
              </w:rPr>
              <w:t>Very low frequency of medication use with high probability of under-reporting</w:t>
            </w:r>
          </w:p>
        </w:tc>
      </w:tr>
      <w:tr w:rsidR="00CA0EF0" w:rsidRPr="00361E30" w14:paraId="409FC7C3" w14:textId="77777777" w:rsidTr="00876267">
        <w:tc>
          <w:tcPr>
            <w:tcW w:w="9747" w:type="dxa"/>
            <w:gridSpan w:val="5"/>
            <w:tcBorders>
              <w:top w:val="double" w:sz="4" w:space="0" w:color="auto"/>
              <w:bottom w:val="single" w:sz="4" w:space="0" w:color="auto"/>
            </w:tcBorders>
          </w:tcPr>
          <w:p w14:paraId="1CFA1261" w14:textId="77777777" w:rsidR="00CA0EF0" w:rsidRPr="00361E30" w:rsidRDefault="00CA0EF0" w:rsidP="003C13F4">
            <w:pPr>
              <w:spacing w:line="240" w:lineRule="auto"/>
              <w:rPr>
                <w:lang w:val="en-GB"/>
              </w:rPr>
            </w:pPr>
            <w:r w:rsidRPr="00361E30">
              <w:rPr>
                <w:lang w:val="en-GB"/>
              </w:rPr>
              <w:t>Injury Characteristics</w:t>
            </w:r>
          </w:p>
        </w:tc>
      </w:tr>
      <w:tr w:rsidR="00CA0EF0" w:rsidRPr="00361E30" w14:paraId="191A8227" w14:textId="77777777" w:rsidTr="00876267">
        <w:tc>
          <w:tcPr>
            <w:tcW w:w="2376" w:type="dxa"/>
            <w:tcBorders>
              <w:top w:val="single" w:sz="4" w:space="0" w:color="auto"/>
            </w:tcBorders>
          </w:tcPr>
          <w:p w14:paraId="4CBF6A57" w14:textId="77777777" w:rsidR="00CA0EF0" w:rsidRPr="00361E30" w:rsidRDefault="00CA0EF0" w:rsidP="003C13F4">
            <w:pPr>
              <w:spacing w:line="240" w:lineRule="auto"/>
              <w:rPr>
                <w:lang w:val="en-GB"/>
              </w:rPr>
            </w:pPr>
            <w:r w:rsidRPr="00361E30">
              <w:rPr>
                <w:lang w:val="en-GB"/>
              </w:rPr>
              <w:t>Injury Severity Score</w:t>
            </w:r>
          </w:p>
        </w:tc>
        <w:tc>
          <w:tcPr>
            <w:tcW w:w="1276" w:type="dxa"/>
            <w:tcBorders>
              <w:top w:val="single" w:sz="4" w:space="0" w:color="auto"/>
            </w:tcBorders>
          </w:tcPr>
          <w:p w14:paraId="665F7806" w14:textId="77777777" w:rsidR="00CA0EF0" w:rsidRPr="00361E30" w:rsidRDefault="00CA0EF0" w:rsidP="003C13F4">
            <w:pPr>
              <w:spacing w:line="240" w:lineRule="auto"/>
              <w:rPr>
                <w:lang w:val="en-GB"/>
              </w:rPr>
            </w:pPr>
            <w:r w:rsidRPr="00361E30">
              <w:rPr>
                <w:lang w:val="en-GB"/>
              </w:rPr>
              <w:t>Both</w:t>
            </w:r>
          </w:p>
        </w:tc>
        <w:tc>
          <w:tcPr>
            <w:tcW w:w="851" w:type="dxa"/>
            <w:tcBorders>
              <w:top w:val="single" w:sz="4" w:space="0" w:color="auto"/>
            </w:tcBorders>
          </w:tcPr>
          <w:p w14:paraId="778C7803" w14:textId="77777777" w:rsidR="00CA0EF0" w:rsidRPr="00361E30" w:rsidRDefault="00CA0EF0" w:rsidP="003C13F4">
            <w:pPr>
              <w:spacing w:line="240" w:lineRule="auto"/>
              <w:rPr>
                <w:lang w:val="en-GB"/>
              </w:rPr>
            </w:pPr>
            <w:r w:rsidRPr="00361E30">
              <w:rPr>
                <w:lang w:val="en-GB"/>
              </w:rPr>
              <w:t>Yes</w:t>
            </w:r>
          </w:p>
        </w:tc>
        <w:tc>
          <w:tcPr>
            <w:tcW w:w="850" w:type="dxa"/>
            <w:tcBorders>
              <w:top w:val="single" w:sz="4" w:space="0" w:color="auto"/>
            </w:tcBorders>
          </w:tcPr>
          <w:p w14:paraId="62E4F244" w14:textId="77777777" w:rsidR="00CA0EF0" w:rsidRPr="00361E30" w:rsidRDefault="00CA0EF0" w:rsidP="003C13F4">
            <w:pPr>
              <w:spacing w:line="240" w:lineRule="auto"/>
              <w:rPr>
                <w:lang w:val="en-GB"/>
              </w:rPr>
            </w:pPr>
            <w:r w:rsidRPr="00361E30">
              <w:rPr>
                <w:lang w:val="en-GB"/>
              </w:rPr>
              <w:t>Yes</w:t>
            </w:r>
          </w:p>
        </w:tc>
        <w:tc>
          <w:tcPr>
            <w:tcW w:w="4394" w:type="dxa"/>
            <w:tcBorders>
              <w:top w:val="single" w:sz="4" w:space="0" w:color="auto"/>
            </w:tcBorders>
          </w:tcPr>
          <w:p w14:paraId="042EF931" w14:textId="77777777" w:rsidR="00CA0EF0" w:rsidRPr="00361E30" w:rsidRDefault="00CA0EF0" w:rsidP="003C13F4">
            <w:pPr>
              <w:spacing w:line="240" w:lineRule="auto"/>
              <w:rPr>
                <w:lang w:val="en-GB"/>
              </w:rPr>
            </w:pPr>
            <w:r w:rsidRPr="00361E30">
              <w:rPr>
                <w:lang w:val="en-GB"/>
              </w:rPr>
              <w:t>Polynomial transformation of ISS used, as per PS14 but categorical form of ISS also tested, as this could potentially produce a simpler final model which would be easier to understand and interpret</w:t>
            </w:r>
          </w:p>
        </w:tc>
      </w:tr>
      <w:tr w:rsidR="00CA0EF0" w:rsidRPr="00361E30" w14:paraId="53D36CEE" w14:textId="77777777" w:rsidTr="00876267">
        <w:tc>
          <w:tcPr>
            <w:tcW w:w="2376" w:type="dxa"/>
          </w:tcPr>
          <w:p w14:paraId="28FFD23C" w14:textId="77777777" w:rsidR="00CA0EF0" w:rsidRPr="00361E30" w:rsidRDefault="00CA0EF0" w:rsidP="003C13F4">
            <w:pPr>
              <w:spacing w:line="240" w:lineRule="auto"/>
              <w:rPr>
                <w:lang w:val="en-GB"/>
              </w:rPr>
            </w:pPr>
            <w:r w:rsidRPr="00361E30">
              <w:rPr>
                <w:lang w:val="en-GB"/>
              </w:rPr>
              <w:t>Injury Pattern</w:t>
            </w:r>
          </w:p>
        </w:tc>
        <w:tc>
          <w:tcPr>
            <w:tcW w:w="1276" w:type="dxa"/>
          </w:tcPr>
          <w:p w14:paraId="793106E2" w14:textId="77777777" w:rsidR="00CA0EF0" w:rsidRPr="00361E30" w:rsidRDefault="00CA0EF0" w:rsidP="003C13F4">
            <w:pPr>
              <w:spacing w:line="240" w:lineRule="auto"/>
              <w:rPr>
                <w:lang w:val="en-GB"/>
              </w:rPr>
            </w:pPr>
            <w:r w:rsidRPr="00361E30">
              <w:rPr>
                <w:lang w:val="en-GB"/>
              </w:rPr>
              <w:t>Categorical</w:t>
            </w:r>
          </w:p>
        </w:tc>
        <w:tc>
          <w:tcPr>
            <w:tcW w:w="851" w:type="dxa"/>
          </w:tcPr>
          <w:p w14:paraId="68E20A0E" w14:textId="77777777" w:rsidR="00CA0EF0" w:rsidRPr="00361E30" w:rsidRDefault="00CA0EF0" w:rsidP="003C13F4">
            <w:pPr>
              <w:spacing w:line="240" w:lineRule="auto"/>
              <w:rPr>
                <w:lang w:val="en-GB"/>
              </w:rPr>
            </w:pPr>
            <w:r w:rsidRPr="00361E30">
              <w:rPr>
                <w:lang w:val="en-GB"/>
              </w:rPr>
              <w:t>Yes</w:t>
            </w:r>
          </w:p>
        </w:tc>
        <w:tc>
          <w:tcPr>
            <w:tcW w:w="850" w:type="dxa"/>
          </w:tcPr>
          <w:p w14:paraId="42A8A1F6" w14:textId="77777777" w:rsidR="00CA0EF0" w:rsidRPr="00361E30" w:rsidRDefault="00CA0EF0" w:rsidP="003C13F4">
            <w:pPr>
              <w:spacing w:line="240" w:lineRule="auto"/>
              <w:rPr>
                <w:lang w:val="en-GB"/>
              </w:rPr>
            </w:pPr>
            <w:r w:rsidRPr="00361E30">
              <w:rPr>
                <w:lang w:val="en-GB"/>
              </w:rPr>
              <w:t>Yes</w:t>
            </w:r>
          </w:p>
        </w:tc>
        <w:tc>
          <w:tcPr>
            <w:tcW w:w="4394" w:type="dxa"/>
          </w:tcPr>
          <w:p w14:paraId="5A5A4344" w14:textId="77777777" w:rsidR="00CA0EF0" w:rsidRPr="00361E30" w:rsidRDefault="00CA0EF0" w:rsidP="003C13F4">
            <w:pPr>
              <w:spacing w:line="240" w:lineRule="auto"/>
              <w:rPr>
                <w:lang w:val="en-GB"/>
              </w:rPr>
            </w:pPr>
          </w:p>
        </w:tc>
      </w:tr>
      <w:tr w:rsidR="00CA0EF0" w:rsidRPr="00361E30" w14:paraId="238DE681" w14:textId="77777777" w:rsidTr="00876267">
        <w:tc>
          <w:tcPr>
            <w:tcW w:w="2376" w:type="dxa"/>
          </w:tcPr>
          <w:p w14:paraId="7106CF82" w14:textId="77777777" w:rsidR="00CA0EF0" w:rsidRPr="00361E30" w:rsidRDefault="00CA0EF0" w:rsidP="003C13F4">
            <w:pPr>
              <w:spacing w:line="240" w:lineRule="auto"/>
              <w:rPr>
                <w:lang w:val="en-GB"/>
              </w:rPr>
            </w:pPr>
            <w:r w:rsidRPr="00361E30">
              <w:rPr>
                <w:lang w:val="en-GB"/>
              </w:rPr>
              <w:t>Number of injuries</w:t>
            </w:r>
          </w:p>
        </w:tc>
        <w:tc>
          <w:tcPr>
            <w:tcW w:w="1276" w:type="dxa"/>
          </w:tcPr>
          <w:p w14:paraId="2D53A165" w14:textId="77777777" w:rsidR="00CA0EF0" w:rsidRPr="00361E30" w:rsidRDefault="00CA0EF0" w:rsidP="003C13F4">
            <w:pPr>
              <w:spacing w:line="240" w:lineRule="auto"/>
              <w:rPr>
                <w:lang w:val="en-GB"/>
              </w:rPr>
            </w:pPr>
            <w:r w:rsidRPr="00361E30">
              <w:rPr>
                <w:lang w:val="en-GB"/>
              </w:rPr>
              <w:t>Both</w:t>
            </w:r>
          </w:p>
        </w:tc>
        <w:tc>
          <w:tcPr>
            <w:tcW w:w="851" w:type="dxa"/>
          </w:tcPr>
          <w:p w14:paraId="7C635A35" w14:textId="77777777" w:rsidR="00CA0EF0" w:rsidRPr="00361E30" w:rsidRDefault="00CA0EF0" w:rsidP="003C13F4">
            <w:pPr>
              <w:spacing w:line="240" w:lineRule="auto"/>
              <w:rPr>
                <w:lang w:val="en-GB"/>
              </w:rPr>
            </w:pPr>
            <w:r w:rsidRPr="00361E30">
              <w:rPr>
                <w:lang w:val="en-GB"/>
              </w:rPr>
              <w:t>Yes</w:t>
            </w:r>
          </w:p>
        </w:tc>
        <w:tc>
          <w:tcPr>
            <w:tcW w:w="850" w:type="dxa"/>
          </w:tcPr>
          <w:p w14:paraId="0A889E24" w14:textId="77777777" w:rsidR="00CA0EF0" w:rsidRPr="00361E30" w:rsidRDefault="00CA0EF0" w:rsidP="003C13F4">
            <w:pPr>
              <w:spacing w:line="240" w:lineRule="auto"/>
              <w:rPr>
                <w:lang w:val="en-GB"/>
              </w:rPr>
            </w:pPr>
            <w:r w:rsidRPr="00361E30">
              <w:rPr>
                <w:lang w:val="en-GB"/>
              </w:rPr>
              <w:t>Yes</w:t>
            </w:r>
          </w:p>
        </w:tc>
        <w:tc>
          <w:tcPr>
            <w:tcW w:w="4394" w:type="dxa"/>
          </w:tcPr>
          <w:p w14:paraId="36277A5C" w14:textId="77777777" w:rsidR="00CA0EF0" w:rsidRPr="00361E30" w:rsidRDefault="00CA0EF0" w:rsidP="003C13F4">
            <w:pPr>
              <w:spacing w:line="240" w:lineRule="auto"/>
              <w:rPr>
                <w:lang w:val="en-GB"/>
              </w:rPr>
            </w:pPr>
            <w:r w:rsidRPr="00361E30">
              <w:rPr>
                <w:lang w:val="en-GB"/>
              </w:rPr>
              <w:t>Both the categorical and continuous forms of this variable were significantly associated with survival; both were tested in the multivariate analysis.</w:t>
            </w:r>
          </w:p>
        </w:tc>
      </w:tr>
      <w:tr w:rsidR="00CA0EF0" w:rsidRPr="00361E30" w14:paraId="0313F741" w14:textId="77777777" w:rsidTr="00876267">
        <w:tc>
          <w:tcPr>
            <w:tcW w:w="2376" w:type="dxa"/>
            <w:tcBorders>
              <w:bottom w:val="double" w:sz="4" w:space="0" w:color="auto"/>
            </w:tcBorders>
          </w:tcPr>
          <w:p w14:paraId="15D0967E" w14:textId="77777777" w:rsidR="00CA0EF0" w:rsidRPr="00361E30" w:rsidRDefault="00CA0EF0" w:rsidP="003C13F4">
            <w:pPr>
              <w:spacing w:line="240" w:lineRule="auto"/>
              <w:rPr>
                <w:lang w:val="en-GB"/>
              </w:rPr>
            </w:pPr>
            <w:r w:rsidRPr="00361E30">
              <w:rPr>
                <w:lang w:val="en-GB"/>
              </w:rPr>
              <w:t>Mechanism of injury</w:t>
            </w:r>
          </w:p>
        </w:tc>
        <w:tc>
          <w:tcPr>
            <w:tcW w:w="1276" w:type="dxa"/>
            <w:tcBorders>
              <w:bottom w:val="double" w:sz="4" w:space="0" w:color="auto"/>
            </w:tcBorders>
          </w:tcPr>
          <w:p w14:paraId="7E2A1904" w14:textId="77777777" w:rsidR="00CA0EF0" w:rsidRPr="00361E30" w:rsidRDefault="00CA0EF0" w:rsidP="003C13F4">
            <w:pPr>
              <w:spacing w:line="240" w:lineRule="auto"/>
              <w:rPr>
                <w:lang w:val="en-GB"/>
              </w:rPr>
            </w:pPr>
            <w:r w:rsidRPr="00361E30">
              <w:rPr>
                <w:lang w:val="en-GB"/>
              </w:rPr>
              <w:t>Both</w:t>
            </w:r>
          </w:p>
        </w:tc>
        <w:tc>
          <w:tcPr>
            <w:tcW w:w="851" w:type="dxa"/>
            <w:tcBorders>
              <w:bottom w:val="double" w:sz="4" w:space="0" w:color="auto"/>
            </w:tcBorders>
          </w:tcPr>
          <w:p w14:paraId="300EA5F7" w14:textId="77777777" w:rsidR="00CA0EF0" w:rsidRPr="00361E30" w:rsidRDefault="00CA0EF0" w:rsidP="003C13F4">
            <w:pPr>
              <w:spacing w:line="240" w:lineRule="auto"/>
              <w:rPr>
                <w:lang w:val="en-GB"/>
              </w:rPr>
            </w:pPr>
            <w:r w:rsidRPr="00361E30">
              <w:rPr>
                <w:lang w:val="en-GB"/>
              </w:rPr>
              <w:t>Yes</w:t>
            </w:r>
          </w:p>
        </w:tc>
        <w:tc>
          <w:tcPr>
            <w:tcW w:w="850" w:type="dxa"/>
            <w:tcBorders>
              <w:bottom w:val="double" w:sz="4" w:space="0" w:color="auto"/>
            </w:tcBorders>
          </w:tcPr>
          <w:p w14:paraId="3D01C3C8" w14:textId="77777777" w:rsidR="00CA0EF0" w:rsidRPr="00361E30" w:rsidRDefault="00CA0EF0" w:rsidP="003C13F4">
            <w:pPr>
              <w:spacing w:line="240" w:lineRule="auto"/>
              <w:rPr>
                <w:lang w:val="en-GB"/>
              </w:rPr>
            </w:pPr>
            <w:r w:rsidRPr="00361E30">
              <w:rPr>
                <w:lang w:val="en-GB"/>
              </w:rPr>
              <w:t>Yes</w:t>
            </w:r>
          </w:p>
        </w:tc>
        <w:tc>
          <w:tcPr>
            <w:tcW w:w="4394" w:type="dxa"/>
            <w:tcBorders>
              <w:bottom w:val="double" w:sz="4" w:space="0" w:color="auto"/>
            </w:tcBorders>
          </w:tcPr>
          <w:p w14:paraId="07C09B56" w14:textId="77777777" w:rsidR="00CA0EF0" w:rsidRPr="00361E30" w:rsidRDefault="00CA0EF0" w:rsidP="003C13F4">
            <w:pPr>
              <w:spacing w:line="240" w:lineRule="auto"/>
              <w:rPr>
                <w:lang w:val="en-GB"/>
              </w:rPr>
            </w:pPr>
          </w:p>
        </w:tc>
      </w:tr>
      <w:tr w:rsidR="00CA0EF0" w:rsidRPr="00361E30" w14:paraId="39B18CC3" w14:textId="77777777" w:rsidTr="00876267">
        <w:tc>
          <w:tcPr>
            <w:tcW w:w="9747" w:type="dxa"/>
            <w:gridSpan w:val="5"/>
            <w:tcBorders>
              <w:top w:val="double" w:sz="4" w:space="0" w:color="auto"/>
              <w:bottom w:val="single" w:sz="4" w:space="0" w:color="auto"/>
            </w:tcBorders>
          </w:tcPr>
          <w:p w14:paraId="30013741" w14:textId="77777777" w:rsidR="00CA0EF0" w:rsidRPr="00361E30" w:rsidRDefault="00CA0EF0" w:rsidP="003C13F4">
            <w:pPr>
              <w:spacing w:line="240" w:lineRule="auto"/>
              <w:rPr>
                <w:lang w:val="en-GB"/>
              </w:rPr>
            </w:pPr>
            <w:r w:rsidRPr="00361E30">
              <w:rPr>
                <w:lang w:val="en-GB"/>
              </w:rPr>
              <w:t>Physiological variables</w:t>
            </w:r>
          </w:p>
        </w:tc>
      </w:tr>
      <w:tr w:rsidR="00CA0EF0" w:rsidRPr="00361E30" w14:paraId="63E5C61C" w14:textId="77777777" w:rsidTr="00876267">
        <w:tc>
          <w:tcPr>
            <w:tcW w:w="2376" w:type="dxa"/>
            <w:tcBorders>
              <w:top w:val="single" w:sz="4" w:space="0" w:color="auto"/>
            </w:tcBorders>
          </w:tcPr>
          <w:p w14:paraId="6B71DEA4" w14:textId="77777777" w:rsidR="00CA0EF0" w:rsidRPr="00361E30" w:rsidRDefault="00CA0EF0" w:rsidP="003C13F4">
            <w:pPr>
              <w:spacing w:line="240" w:lineRule="auto"/>
              <w:rPr>
                <w:lang w:val="en-GB"/>
              </w:rPr>
            </w:pPr>
            <w:r w:rsidRPr="00361E30">
              <w:rPr>
                <w:lang w:val="en-GB"/>
              </w:rPr>
              <w:t>Glasgow coma score</w:t>
            </w:r>
          </w:p>
        </w:tc>
        <w:tc>
          <w:tcPr>
            <w:tcW w:w="1276" w:type="dxa"/>
            <w:tcBorders>
              <w:top w:val="single" w:sz="4" w:space="0" w:color="auto"/>
            </w:tcBorders>
          </w:tcPr>
          <w:p w14:paraId="0A773690" w14:textId="77777777" w:rsidR="00CA0EF0" w:rsidRPr="00361E30" w:rsidRDefault="00CA0EF0" w:rsidP="003C13F4">
            <w:pPr>
              <w:spacing w:line="240" w:lineRule="auto"/>
              <w:rPr>
                <w:lang w:val="en-GB"/>
              </w:rPr>
            </w:pPr>
            <w:r w:rsidRPr="00361E30">
              <w:rPr>
                <w:lang w:val="en-GB"/>
              </w:rPr>
              <w:t>Categorical</w:t>
            </w:r>
          </w:p>
        </w:tc>
        <w:tc>
          <w:tcPr>
            <w:tcW w:w="851" w:type="dxa"/>
            <w:tcBorders>
              <w:top w:val="single" w:sz="4" w:space="0" w:color="auto"/>
            </w:tcBorders>
          </w:tcPr>
          <w:p w14:paraId="1A74E4E4" w14:textId="77777777" w:rsidR="00CA0EF0" w:rsidRPr="00361E30" w:rsidRDefault="00CA0EF0" w:rsidP="003C13F4">
            <w:pPr>
              <w:spacing w:line="240" w:lineRule="auto"/>
              <w:rPr>
                <w:lang w:val="en-GB"/>
              </w:rPr>
            </w:pPr>
            <w:r w:rsidRPr="00361E30">
              <w:rPr>
                <w:lang w:val="en-GB"/>
              </w:rPr>
              <w:t>Yes</w:t>
            </w:r>
          </w:p>
        </w:tc>
        <w:tc>
          <w:tcPr>
            <w:tcW w:w="850" w:type="dxa"/>
            <w:tcBorders>
              <w:top w:val="single" w:sz="4" w:space="0" w:color="auto"/>
            </w:tcBorders>
          </w:tcPr>
          <w:p w14:paraId="117DC99C" w14:textId="77777777" w:rsidR="00CA0EF0" w:rsidRPr="00361E30" w:rsidRDefault="00CA0EF0" w:rsidP="003C13F4">
            <w:pPr>
              <w:spacing w:line="240" w:lineRule="auto"/>
              <w:rPr>
                <w:lang w:val="en-GB"/>
              </w:rPr>
            </w:pPr>
            <w:r w:rsidRPr="00361E30">
              <w:rPr>
                <w:lang w:val="en-GB"/>
              </w:rPr>
              <w:t>Yes</w:t>
            </w:r>
          </w:p>
        </w:tc>
        <w:tc>
          <w:tcPr>
            <w:tcW w:w="4394" w:type="dxa"/>
            <w:tcBorders>
              <w:top w:val="single" w:sz="4" w:space="0" w:color="auto"/>
            </w:tcBorders>
          </w:tcPr>
          <w:p w14:paraId="21AC23CA" w14:textId="77777777" w:rsidR="00CA0EF0" w:rsidRPr="00361E30" w:rsidRDefault="00CA0EF0" w:rsidP="003C13F4">
            <w:pPr>
              <w:spacing w:line="240" w:lineRule="auto"/>
              <w:rPr>
                <w:lang w:val="en-GB"/>
              </w:rPr>
            </w:pPr>
            <w:r w:rsidRPr="00361E30">
              <w:rPr>
                <w:lang w:val="en-GB"/>
              </w:rPr>
              <w:t>The categories used in the TARN PS14 model were retained for ease of comparison</w:t>
            </w:r>
          </w:p>
        </w:tc>
      </w:tr>
      <w:tr w:rsidR="00CA0EF0" w:rsidRPr="00361E30" w14:paraId="6C982BDF" w14:textId="77777777" w:rsidTr="00876267">
        <w:tc>
          <w:tcPr>
            <w:tcW w:w="2376" w:type="dxa"/>
          </w:tcPr>
          <w:p w14:paraId="00EE1630" w14:textId="77777777" w:rsidR="00CA0EF0" w:rsidRPr="00361E30" w:rsidRDefault="00CA0EF0" w:rsidP="003C13F4">
            <w:pPr>
              <w:spacing w:line="240" w:lineRule="auto"/>
              <w:rPr>
                <w:lang w:val="en-GB"/>
              </w:rPr>
            </w:pPr>
            <w:r w:rsidRPr="00361E30">
              <w:rPr>
                <w:lang w:val="en-GB"/>
              </w:rPr>
              <w:t>Systolic blood pressure</w:t>
            </w:r>
          </w:p>
        </w:tc>
        <w:tc>
          <w:tcPr>
            <w:tcW w:w="1276" w:type="dxa"/>
          </w:tcPr>
          <w:p w14:paraId="48D5E623" w14:textId="77777777" w:rsidR="00CA0EF0" w:rsidRPr="00361E30" w:rsidRDefault="00CA0EF0" w:rsidP="003C13F4">
            <w:pPr>
              <w:spacing w:line="240" w:lineRule="auto"/>
              <w:rPr>
                <w:lang w:val="en-GB"/>
              </w:rPr>
            </w:pPr>
            <w:r w:rsidRPr="00361E30">
              <w:rPr>
                <w:lang w:val="en-GB"/>
              </w:rPr>
              <w:t>Categorical</w:t>
            </w:r>
          </w:p>
        </w:tc>
        <w:tc>
          <w:tcPr>
            <w:tcW w:w="851" w:type="dxa"/>
          </w:tcPr>
          <w:p w14:paraId="50EA971E" w14:textId="77777777" w:rsidR="00CA0EF0" w:rsidRPr="00361E30" w:rsidRDefault="00CA0EF0" w:rsidP="003C13F4">
            <w:pPr>
              <w:spacing w:line="240" w:lineRule="auto"/>
              <w:rPr>
                <w:lang w:val="en-GB"/>
              </w:rPr>
            </w:pPr>
            <w:r w:rsidRPr="00361E30">
              <w:rPr>
                <w:lang w:val="en-GB"/>
              </w:rPr>
              <w:t>Yes</w:t>
            </w:r>
          </w:p>
        </w:tc>
        <w:tc>
          <w:tcPr>
            <w:tcW w:w="850" w:type="dxa"/>
          </w:tcPr>
          <w:p w14:paraId="52B44D5D" w14:textId="77777777" w:rsidR="00CA0EF0" w:rsidRPr="00361E30" w:rsidRDefault="00CA0EF0" w:rsidP="003C13F4">
            <w:pPr>
              <w:spacing w:line="240" w:lineRule="auto"/>
              <w:rPr>
                <w:lang w:val="en-GB"/>
              </w:rPr>
            </w:pPr>
            <w:r w:rsidRPr="00361E30">
              <w:rPr>
                <w:lang w:val="en-GB"/>
              </w:rPr>
              <w:t>Yes</w:t>
            </w:r>
          </w:p>
        </w:tc>
        <w:tc>
          <w:tcPr>
            <w:tcW w:w="4394" w:type="dxa"/>
          </w:tcPr>
          <w:p w14:paraId="6A08BF1A" w14:textId="77777777" w:rsidR="00CA0EF0" w:rsidRPr="00361E30" w:rsidRDefault="00CA0EF0" w:rsidP="003C13F4">
            <w:pPr>
              <w:spacing w:line="240" w:lineRule="auto"/>
              <w:rPr>
                <w:lang w:val="en-GB"/>
              </w:rPr>
            </w:pPr>
            <w:r w:rsidRPr="00361E30">
              <w:rPr>
                <w:lang w:val="en-GB"/>
              </w:rPr>
              <w:t>Systolic Blood pressure was dichotomised. A cut-off of 110mmHg was used, as this represents the SBP at which mortality increases in trauma patients, as demonstrated in previous research.</w:t>
            </w:r>
          </w:p>
        </w:tc>
      </w:tr>
      <w:tr w:rsidR="00CA0EF0" w:rsidRPr="00361E30" w14:paraId="761873E1" w14:textId="77777777" w:rsidTr="00876267">
        <w:tc>
          <w:tcPr>
            <w:tcW w:w="2376" w:type="dxa"/>
            <w:tcBorders>
              <w:bottom w:val="double" w:sz="4" w:space="0" w:color="auto"/>
            </w:tcBorders>
          </w:tcPr>
          <w:p w14:paraId="24D80BA4" w14:textId="77777777" w:rsidR="00CA0EF0" w:rsidRPr="00361E30" w:rsidRDefault="00CA0EF0" w:rsidP="003C13F4">
            <w:pPr>
              <w:spacing w:line="240" w:lineRule="auto"/>
              <w:rPr>
                <w:lang w:val="en-GB"/>
              </w:rPr>
            </w:pPr>
            <w:r w:rsidRPr="00361E30">
              <w:rPr>
                <w:lang w:val="en-GB"/>
              </w:rPr>
              <w:t>Respiratory rate</w:t>
            </w:r>
          </w:p>
        </w:tc>
        <w:tc>
          <w:tcPr>
            <w:tcW w:w="1276" w:type="dxa"/>
            <w:tcBorders>
              <w:bottom w:val="double" w:sz="4" w:space="0" w:color="auto"/>
            </w:tcBorders>
          </w:tcPr>
          <w:p w14:paraId="0F434F59" w14:textId="77777777" w:rsidR="00CA0EF0" w:rsidRPr="00361E30" w:rsidRDefault="00CA0EF0" w:rsidP="003C13F4">
            <w:pPr>
              <w:spacing w:line="240" w:lineRule="auto"/>
              <w:rPr>
                <w:lang w:val="en-GB"/>
              </w:rPr>
            </w:pPr>
            <w:r w:rsidRPr="00361E30">
              <w:rPr>
                <w:lang w:val="en-GB"/>
              </w:rPr>
              <w:t>Categorical</w:t>
            </w:r>
          </w:p>
        </w:tc>
        <w:tc>
          <w:tcPr>
            <w:tcW w:w="851" w:type="dxa"/>
            <w:tcBorders>
              <w:bottom w:val="double" w:sz="4" w:space="0" w:color="auto"/>
            </w:tcBorders>
          </w:tcPr>
          <w:p w14:paraId="2447C8B9" w14:textId="77777777" w:rsidR="00CA0EF0" w:rsidRPr="00361E30" w:rsidRDefault="00CA0EF0" w:rsidP="003C13F4">
            <w:pPr>
              <w:spacing w:line="240" w:lineRule="auto"/>
              <w:rPr>
                <w:lang w:val="en-GB"/>
              </w:rPr>
            </w:pPr>
            <w:r w:rsidRPr="00361E30">
              <w:rPr>
                <w:lang w:val="en-GB"/>
              </w:rPr>
              <w:t xml:space="preserve">Yes </w:t>
            </w:r>
          </w:p>
        </w:tc>
        <w:tc>
          <w:tcPr>
            <w:tcW w:w="850" w:type="dxa"/>
            <w:tcBorders>
              <w:bottom w:val="double" w:sz="4" w:space="0" w:color="auto"/>
            </w:tcBorders>
          </w:tcPr>
          <w:p w14:paraId="70EC2E4E" w14:textId="77777777" w:rsidR="00CA0EF0" w:rsidRPr="00361E30" w:rsidRDefault="00CA0EF0" w:rsidP="003C13F4">
            <w:pPr>
              <w:spacing w:line="240" w:lineRule="auto"/>
              <w:rPr>
                <w:lang w:val="en-GB"/>
              </w:rPr>
            </w:pPr>
            <w:r w:rsidRPr="00361E30">
              <w:rPr>
                <w:lang w:val="en-GB"/>
              </w:rPr>
              <w:t>Yes</w:t>
            </w:r>
          </w:p>
        </w:tc>
        <w:tc>
          <w:tcPr>
            <w:tcW w:w="4394" w:type="dxa"/>
            <w:tcBorders>
              <w:bottom w:val="double" w:sz="4" w:space="0" w:color="auto"/>
            </w:tcBorders>
          </w:tcPr>
          <w:p w14:paraId="2FB96305" w14:textId="77777777" w:rsidR="00CA0EF0" w:rsidRPr="00361E30" w:rsidRDefault="00CA0EF0" w:rsidP="003C13F4">
            <w:pPr>
              <w:spacing w:line="240" w:lineRule="auto"/>
              <w:rPr>
                <w:lang w:val="en-GB"/>
              </w:rPr>
            </w:pPr>
            <w:r w:rsidRPr="00361E30">
              <w:rPr>
                <w:lang w:val="en-GB"/>
              </w:rPr>
              <w:t>The categories used were those used for the revised trauma score, with the normal range as the reference.</w:t>
            </w:r>
          </w:p>
        </w:tc>
      </w:tr>
    </w:tbl>
    <w:p w14:paraId="2322805E" w14:textId="77777777" w:rsidR="00CA0EF0" w:rsidRPr="00361E30" w:rsidRDefault="00CA0EF0" w:rsidP="003C13F4">
      <w:pPr>
        <w:pStyle w:val="TableTitle"/>
      </w:pPr>
      <w:bookmarkStart w:id="131" w:name="_Toc528321048"/>
      <w:r w:rsidRPr="00361E30">
        <w:t>Table 5.4: Variables tested for univariate association with survival, indicating those carried forward to the multivariate analysis, which form of the variable was used (continuous or categorical), and giving reasons for decisions made.</w:t>
      </w:r>
      <w:bookmarkEnd w:id="131"/>
      <w:r w:rsidRPr="00361E30">
        <w:t xml:space="preserve"> </w:t>
      </w:r>
    </w:p>
    <w:p w14:paraId="7DA352E9" w14:textId="77777777" w:rsidR="00CA0EF0" w:rsidRPr="00361E30" w:rsidRDefault="00CA0EF0" w:rsidP="003C13F4">
      <w:pPr>
        <w:ind w:firstLine="720"/>
      </w:pPr>
      <w:r w:rsidRPr="00361E30">
        <w:t xml:space="preserve">As described earlier, the relationship between continuous variables tested in the final multivariate model (age, ISS and number of injuries) and survival </w:t>
      </w:r>
      <w:r w:rsidR="00631C5D">
        <w:t>was</w:t>
      </w:r>
      <w:r w:rsidRPr="00361E30">
        <w:t xml:space="preserve"> explored. On univariate analysis, the best fit model for age was the linear model, while for ISS and number of injuries </w:t>
      </w:r>
      <w:r w:rsidRPr="00361E30">
        <w:lastRenderedPageBreak/>
        <w:t>the closest approximation to a linear association was represented by second order fractional polynomial transformation.</w:t>
      </w:r>
    </w:p>
    <w:p w14:paraId="7DB0C0C2" w14:textId="77777777" w:rsidR="00CA0EF0" w:rsidRPr="00361E30" w:rsidRDefault="00CA0EF0" w:rsidP="003C13F4">
      <w:pPr>
        <w:ind w:firstLine="720"/>
      </w:pPr>
      <w:r w:rsidRPr="00361E30">
        <w:t>The modified Charlson comorbidity score, Glasgow coma scale and systolic blood pressure were included in the multivariate model as categorical variables. For GCS a</w:t>
      </w:r>
      <w:r w:rsidR="00721917">
        <w:t>n</w:t>
      </w:r>
      <w:r w:rsidRPr="00361E30">
        <w:t xml:space="preserve">d mCCI, the categorical form of these variables was used in the final multivariate model, as this reflected the forms of these variables used in the most recent predictive models used at TARN (the PS12 and PS14). For systolic blood pressure, the dichotomous form produced a model that was more in keeping with the clinical definition of ‘shock’, in which a single cut off is used to define the patient in shock. The cut-off for blood pressure (‘shock’) was chosen as 110mmHg, as previous work has identified this as the inflexion point below which survival decreases significantly in older trauma patients </w:t>
      </w:r>
      <w:r w:rsidRPr="00361E30">
        <w:rPr>
          <w:noProof/>
        </w:rPr>
        <w:t>(Brown et al. 2015, Hasler et al. 2011)</w:t>
      </w:r>
      <w:r w:rsidRPr="00361E30">
        <w:t>.</w:t>
      </w:r>
    </w:p>
    <w:p w14:paraId="00DFC618" w14:textId="77777777" w:rsidR="00CA0EF0" w:rsidRPr="00361E30" w:rsidRDefault="00CA0EF0" w:rsidP="003C13F4">
      <w:r w:rsidRPr="00361E30">
        <w:t>Table 5.4 is a summary of the variables assessed in the univariate analysis, identifying those that were tested in the multivariate model. The variables omitted from the multivariate analysis are also shown, and the reasons for their exclusion explained.</w:t>
      </w:r>
    </w:p>
    <w:p w14:paraId="23BF44B0" w14:textId="77777777" w:rsidR="00CA0EF0" w:rsidRPr="00361E30" w:rsidRDefault="00CA0EF0" w:rsidP="003C13F4">
      <w:pPr>
        <w:pStyle w:val="Heading1"/>
        <w:rPr>
          <w:szCs w:val="22"/>
        </w:rPr>
      </w:pPr>
      <w:bookmarkStart w:id="132" w:name="_Toc1902302"/>
      <w:r w:rsidRPr="00361E30">
        <w:rPr>
          <w:szCs w:val="22"/>
        </w:rPr>
        <w:t>5.4</w:t>
      </w:r>
      <w:r w:rsidRPr="00361E30">
        <w:rPr>
          <w:szCs w:val="22"/>
        </w:rPr>
        <w:tab/>
        <w:t>Development of the Multivariate Model</w:t>
      </w:r>
      <w:bookmarkEnd w:id="132"/>
    </w:p>
    <w:p w14:paraId="7BBACFBA" w14:textId="77777777" w:rsidR="00CA0EF0" w:rsidRPr="00361E30" w:rsidRDefault="00CA0EF0" w:rsidP="003C13F4">
      <w:r w:rsidRPr="00361E30">
        <w:t xml:space="preserve">This section outlines the results of the multivariate analysis of survival, using the variables from Section 5.3 of this chapter that were found to be moderately associated with this outcome on univariate analysis (those with an association significant at the p≤0.2 level). </w:t>
      </w:r>
    </w:p>
    <w:p w14:paraId="48C01C53" w14:textId="77777777" w:rsidR="00CA0EF0" w:rsidRPr="00361E30" w:rsidRDefault="00CA0EF0" w:rsidP="003C13F4">
      <w:pPr>
        <w:pStyle w:val="Heading2"/>
      </w:pPr>
      <w:bookmarkStart w:id="133" w:name="_Toc1902303"/>
      <w:r w:rsidRPr="00361E30">
        <w:t>5.4.1</w:t>
      </w:r>
      <w:r w:rsidRPr="00361E30">
        <w:tab/>
        <w:t>Selection of variables for the final multivariate model</w:t>
      </w:r>
      <w:bookmarkEnd w:id="133"/>
    </w:p>
    <w:p w14:paraId="0D0B873A" w14:textId="77777777" w:rsidR="00CA0EF0" w:rsidRPr="00361E30" w:rsidRDefault="00CA0EF0" w:rsidP="003C13F4">
      <w:r w:rsidRPr="00361E30">
        <w:t xml:space="preserve">As discussed earlier in this chapter, all covariates identified in the literature review (Chapter </w:t>
      </w:r>
      <w:r w:rsidR="00721917">
        <w:t>2</w:t>
      </w:r>
      <w:r w:rsidRPr="00361E30">
        <w:t>) and all used in the current PS14 TARN model were initially assessed for association with survival. Those in which the univariate association was not significant at the p ≤0.2 level were excluded. Variables with very low prevalence in the study sample were also excluded at this stage. In addition, multi-collinearity was assessed after initial multivariate analysis, and variables with a high degree of collinearity were excluded from further analyses (Section 5.4.2 below).</w:t>
      </w:r>
    </w:p>
    <w:p w14:paraId="0E4F8534" w14:textId="77777777" w:rsidR="00CA0EF0" w:rsidRPr="00361E30" w:rsidRDefault="00CA0EF0" w:rsidP="003C13F4">
      <w:pPr>
        <w:pStyle w:val="Heading2"/>
      </w:pPr>
      <w:bookmarkStart w:id="134" w:name="_Toc1902304"/>
      <w:r w:rsidRPr="00361E30">
        <w:t>5.4.2</w:t>
      </w:r>
      <w:r w:rsidRPr="00361E30">
        <w:tab/>
        <w:t>Variables with significant collinearity</w:t>
      </w:r>
      <w:bookmarkEnd w:id="134"/>
    </w:p>
    <w:p w14:paraId="1BB5DA29" w14:textId="77777777" w:rsidR="00CA0EF0" w:rsidRPr="00361E30" w:rsidRDefault="00CA0EF0" w:rsidP="003C13F4">
      <w:r w:rsidRPr="00361E30">
        <w:t xml:space="preserve">Tables 5.5 and 5.6 show the variance-covariance estimates for the correlation matrix including all covariates initially included in the multivariate analysis, as well as the variance inflation factors for each of the covariates (see above). From these results, the highest level of collinearity was between injury pattern (represented by the severity of head injuries) and injury severity score (vce = .6260 and .5089 for the collinearity between head injury and ISS). However, this did not cross the threshold of 0.8 so both variables were initially included in the </w:t>
      </w:r>
      <w:r w:rsidRPr="00361E30">
        <w:lastRenderedPageBreak/>
        <w:t>model. None of the variance inflation factors reached the threshold of 10, though the vif for head injuries was the highest.</w:t>
      </w:r>
    </w:p>
    <w:p w14:paraId="2A7F0833" w14:textId="77777777" w:rsidR="00CA0EF0" w:rsidRPr="00361E30" w:rsidRDefault="00CA0EF0" w:rsidP="003C13F4">
      <w:pPr>
        <w:pStyle w:val="Heading2"/>
      </w:pPr>
      <w:bookmarkStart w:id="135" w:name="_Toc1902305"/>
      <w:r w:rsidRPr="00361E30">
        <w:t>5.4.3</w:t>
      </w:r>
      <w:r w:rsidRPr="00361E30">
        <w:tab/>
        <w:t>Variables initially included in the multivariate model</w:t>
      </w:r>
      <w:bookmarkEnd w:id="135"/>
    </w:p>
    <w:p w14:paraId="666A53EF" w14:textId="77777777" w:rsidR="00CA0EF0" w:rsidRPr="00361E30" w:rsidRDefault="00CA0EF0" w:rsidP="003C13F4">
      <w:r w:rsidRPr="00361E30">
        <w:t>Of the variables identified in the systematic review, the following were included in further multivariate analyses (see Section 5.6):</w:t>
      </w:r>
    </w:p>
    <w:p w14:paraId="1822D5A3" w14:textId="77777777" w:rsidR="00CA0EF0" w:rsidRPr="00361E30" w:rsidRDefault="00CA0EF0" w:rsidP="003C13F4">
      <w:pPr>
        <w:ind w:firstLine="720"/>
      </w:pPr>
      <w:r w:rsidRPr="00361E30">
        <w:t>Demographic variables:</w:t>
      </w:r>
    </w:p>
    <w:p w14:paraId="0B6A9194" w14:textId="77777777" w:rsidR="00CA0EF0" w:rsidRPr="00361E30" w:rsidRDefault="00CA0EF0" w:rsidP="003C13F4">
      <w:pPr>
        <w:pStyle w:val="ListParagraph"/>
        <w:numPr>
          <w:ilvl w:val="0"/>
          <w:numId w:val="29"/>
        </w:numPr>
      </w:pPr>
      <w:r w:rsidRPr="00361E30">
        <w:t>Age</w:t>
      </w:r>
    </w:p>
    <w:p w14:paraId="125F998F" w14:textId="77777777" w:rsidR="00CA0EF0" w:rsidRPr="00361E30" w:rsidRDefault="00CA0EF0" w:rsidP="003C13F4">
      <w:pPr>
        <w:pStyle w:val="ListParagraph"/>
        <w:numPr>
          <w:ilvl w:val="0"/>
          <w:numId w:val="29"/>
        </w:numPr>
      </w:pPr>
      <w:r w:rsidRPr="00361E30">
        <w:t>Gender</w:t>
      </w:r>
    </w:p>
    <w:p w14:paraId="7892BEAA" w14:textId="77777777" w:rsidR="00CA0EF0" w:rsidRPr="00361E30" w:rsidRDefault="00CA0EF0" w:rsidP="003C13F4">
      <w:pPr>
        <w:ind w:firstLine="720"/>
      </w:pPr>
      <w:r w:rsidRPr="00361E30">
        <w:t>Pre-injury clinical characteristics:</w:t>
      </w:r>
    </w:p>
    <w:p w14:paraId="30A9770B" w14:textId="77777777" w:rsidR="00CA0EF0" w:rsidRPr="00361E30" w:rsidRDefault="00CA0EF0" w:rsidP="003C13F4">
      <w:pPr>
        <w:pStyle w:val="ListParagraph"/>
        <w:numPr>
          <w:ilvl w:val="0"/>
          <w:numId w:val="29"/>
        </w:numPr>
      </w:pPr>
      <w:r w:rsidRPr="00361E30">
        <w:t>Charlson comorbidity index</w:t>
      </w:r>
    </w:p>
    <w:p w14:paraId="7048C16D" w14:textId="77777777" w:rsidR="00CA0EF0" w:rsidRPr="00361E30" w:rsidRDefault="00CA0EF0" w:rsidP="003C13F4">
      <w:pPr>
        <w:ind w:firstLine="720"/>
      </w:pPr>
      <w:r w:rsidRPr="00361E30">
        <w:t>Injury characteristics:</w:t>
      </w:r>
    </w:p>
    <w:p w14:paraId="32316A09" w14:textId="77777777" w:rsidR="00CA0EF0" w:rsidRPr="00361E30" w:rsidRDefault="00CA0EF0" w:rsidP="003C13F4">
      <w:pPr>
        <w:pStyle w:val="ListParagraph"/>
        <w:numPr>
          <w:ilvl w:val="0"/>
          <w:numId w:val="30"/>
        </w:numPr>
      </w:pPr>
      <w:r w:rsidRPr="00361E30">
        <w:t>Injury severity score</w:t>
      </w:r>
    </w:p>
    <w:p w14:paraId="2CBDA36D" w14:textId="77777777" w:rsidR="00CA0EF0" w:rsidRPr="00361E30" w:rsidRDefault="00CA0EF0" w:rsidP="003C13F4">
      <w:pPr>
        <w:pStyle w:val="ListParagraph"/>
        <w:numPr>
          <w:ilvl w:val="0"/>
          <w:numId w:val="30"/>
        </w:numPr>
      </w:pPr>
      <w:r w:rsidRPr="00361E30">
        <w:t>Injury pattern</w:t>
      </w:r>
    </w:p>
    <w:p w14:paraId="0233635E" w14:textId="77777777" w:rsidR="00CA0EF0" w:rsidRPr="00361E30" w:rsidRDefault="00CA0EF0" w:rsidP="003C13F4">
      <w:pPr>
        <w:pStyle w:val="ListParagraph"/>
        <w:numPr>
          <w:ilvl w:val="0"/>
          <w:numId w:val="30"/>
        </w:numPr>
      </w:pPr>
      <w:r w:rsidRPr="00361E30">
        <w:t>Number of injuries</w:t>
      </w:r>
    </w:p>
    <w:p w14:paraId="0877CDAA" w14:textId="77777777" w:rsidR="00CA0EF0" w:rsidRPr="00361E30" w:rsidRDefault="00CA0EF0" w:rsidP="003C13F4">
      <w:pPr>
        <w:pStyle w:val="ListParagraph"/>
        <w:numPr>
          <w:ilvl w:val="0"/>
          <w:numId w:val="30"/>
        </w:numPr>
      </w:pPr>
      <w:r w:rsidRPr="00361E30">
        <w:t>Mechanism of injury</w:t>
      </w:r>
    </w:p>
    <w:p w14:paraId="7719B54B" w14:textId="77777777" w:rsidR="00CA0EF0" w:rsidRPr="00361E30" w:rsidRDefault="00CA0EF0" w:rsidP="003C13F4">
      <w:pPr>
        <w:ind w:firstLine="720"/>
      </w:pPr>
      <w:r w:rsidRPr="00361E30">
        <w:t>Physiological status (on arrival to the ED):</w:t>
      </w:r>
    </w:p>
    <w:p w14:paraId="304CFA78" w14:textId="77777777" w:rsidR="00CA0EF0" w:rsidRPr="00361E30" w:rsidRDefault="00CA0EF0" w:rsidP="003C13F4">
      <w:pPr>
        <w:pStyle w:val="ListParagraph"/>
        <w:numPr>
          <w:ilvl w:val="0"/>
          <w:numId w:val="31"/>
        </w:numPr>
      </w:pPr>
      <w:r w:rsidRPr="00361E30">
        <w:t>Glasgow coma score</w:t>
      </w:r>
    </w:p>
    <w:p w14:paraId="14319E72" w14:textId="77777777" w:rsidR="00CA0EF0" w:rsidRPr="00361E30" w:rsidRDefault="00CA0EF0" w:rsidP="003C13F4">
      <w:pPr>
        <w:pStyle w:val="ListParagraph"/>
        <w:numPr>
          <w:ilvl w:val="0"/>
          <w:numId w:val="31"/>
        </w:numPr>
      </w:pPr>
      <w:r w:rsidRPr="00361E30">
        <w:t>Systolic blood pressure</w:t>
      </w:r>
    </w:p>
    <w:p w14:paraId="4E982E84" w14:textId="77777777" w:rsidR="00CA0EF0" w:rsidRPr="00361E30" w:rsidRDefault="00CA0EF0" w:rsidP="003C13F4">
      <w:pPr>
        <w:pStyle w:val="ListParagraph"/>
        <w:numPr>
          <w:ilvl w:val="0"/>
          <w:numId w:val="31"/>
        </w:numPr>
      </w:pPr>
      <w:r w:rsidRPr="00361E30">
        <w:t>Respiratory rate</w:t>
      </w:r>
    </w:p>
    <w:p w14:paraId="3F3D5326" w14:textId="77777777" w:rsidR="00CA0EF0" w:rsidRPr="00361E30" w:rsidRDefault="00CA0EF0" w:rsidP="003C13F4"/>
    <w:tbl>
      <w:tblPr>
        <w:tblStyle w:val="TableGrid"/>
        <w:tblW w:w="0" w:type="auto"/>
        <w:tblCellMar>
          <w:top w:w="144" w:type="dxa"/>
          <w:left w:w="72" w:type="dxa"/>
          <w:bottom w:w="144" w:type="dxa"/>
          <w:right w:w="72" w:type="dxa"/>
        </w:tblCellMar>
        <w:tblLook w:val="04A0" w:firstRow="1" w:lastRow="0" w:firstColumn="1" w:lastColumn="0" w:noHBand="0" w:noVBand="1"/>
      </w:tblPr>
      <w:tblGrid>
        <w:gridCol w:w="7060"/>
        <w:gridCol w:w="1302"/>
      </w:tblGrid>
      <w:tr w:rsidR="00CA0EF0" w:rsidRPr="00361E30" w14:paraId="3BA77F8D" w14:textId="77777777" w:rsidTr="003C13F4">
        <w:trPr>
          <w:cantSplit/>
          <w:trHeight w:val="1103"/>
        </w:trPr>
        <w:tc>
          <w:tcPr>
            <w:tcW w:w="7060" w:type="dxa"/>
          </w:tcPr>
          <w:p w14:paraId="2EABA070" w14:textId="77777777" w:rsidR="00CA0EF0" w:rsidRPr="00361E30" w:rsidRDefault="00CA0EF0" w:rsidP="003C13F4">
            <w:pPr>
              <w:spacing w:line="276" w:lineRule="auto"/>
              <w:jc w:val="left"/>
              <w:rPr>
                <w:lang w:val="en-GB"/>
              </w:rPr>
            </w:pPr>
            <w:r w:rsidRPr="00361E30">
              <w:rPr>
                <w:b/>
                <w:noProof/>
                <w:lang w:eastAsia="en-GB"/>
              </w:rPr>
              <w:lastRenderedPageBreak/>
              <w:drawing>
                <wp:inline distT="0" distB="0" distL="0" distR="0" wp14:anchorId="4847CBB9" wp14:editId="055F44CA">
                  <wp:extent cx="8204971" cy="4388371"/>
                  <wp:effectExtent l="3493"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204971" cy="4388371"/>
                          </a:xfrm>
                          <a:prstGeom prst="rect">
                            <a:avLst/>
                          </a:prstGeom>
                          <a:noFill/>
                          <a:ln>
                            <a:noFill/>
                          </a:ln>
                        </pic:spPr>
                      </pic:pic>
                    </a:graphicData>
                  </a:graphic>
                </wp:inline>
              </w:drawing>
            </w:r>
          </w:p>
        </w:tc>
        <w:tc>
          <w:tcPr>
            <w:tcW w:w="1302" w:type="dxa"/>
            <w:textDirection w:val="btLr"/>
          </w:tcPr>
          <w:p w14:paraId="0936B50B" w14:textId="77777777" w:rsidR="00CA0EF0" w:rsidRPr="00361E30" w:rsidRDefault="00CA0EF0" w:rsidP="003C13F4">
            <w:pPr>
              <w:pStyle w:val="TableTitle"/>
              <w:rPr>
                <w:lang w:val="en-GB"/>
              </w:rPr>
            </w:pPr>
            <w:bookmarkStart w:id="136" w:name="_Toc528321049"/>
            <w:r w:rsidRPr="00361E30">
              <w:rPr>
                <w:lang w:val="en-GB"/>
              </w:rPr>
              <w:t>Table 5.5: Variance-Covariance Matrix (including all variables in tested in the multivariate analysis.  Correlation coefficients for ‘number of injuries’ versus ‘ISS category’ are highlighted. Note that the correlation matrices for parameters pertaining to the same covariate (ISSgp 2,3,4; Agegp 2,3 etc) would be high as they pertain to different groups within the same covariate.</w:t>
            </w:r>
            <w:bookmarkEnd w:id="136"/>
          </w:p>
          <w:p w14:paraId="12CC1DFF" w14:textId="77777777" w:rsidR="00CA0EF0" w:rsidRPr="00361E30" w:rsidRDefault="00CA0EF0" w:rsidP="003C13F4">
            <w:pPr>
              <w:spacing w:line="276" w:lineRule="auto"/>
              <w:ind w:left="113" w:right="113"/>
              <w:jc w:val="left"/>
              <w:rPr>
                <w:lang w:val="en-GB"/>
              </w:rPr>
            </w:pPr>
          </w:p>
        </w:tc>
      </w:tr>
    </w:tbl>
    <w:p w14:paraId="23D51BBE" w14:textId="77777777" w:rsidR="00CA0EF0" w:rsidRPr="00361E30" w:rsidRDefault="00CA0EF0" w:rsidP="003C13F4">
      <w:pPr>
        <w:spacing w:line="276" w:lineRule="auto"/>
        <w:jc w:val="left"/>
        <w:sectPr w:rsidR="00CA0EF0" w:rsidRPr="00361E30" w:rsidSect="003C13F4">
          <w:pgSz w:w="11906" w:h="16838"/>
          <w:pgMar w:top="1138" w:right="1138" w:bottom="1138" w:left="2275" w:header="709" w:footer="709" w:gutter="0"/>
          <w:pgNumType w:start="1"/>
          <w:cols w:space="708"/>
          <w:docGrid w:linePitch="360"/>
        </w:sectPr>
      </w:pPr>
    </w:p>
    <w:tbl>
      <w:tblPr>
        <w:tblW w:w="5595" w:type="dxa"/>
        <w:tblInd w:w="93" w:type="dxa"/>
        <w:tblLook w:val="04A0" w:firstRow="1" w:lastRow="0" w:firstColumn="1" w:lastColumn="0" w:noHBand="0" w:noVBand="1"/>
      </w:tblPr>
      <w:tblGrid>
        <w:gridCol w:w="3435"/>
        <w:gridCol w:w="1080"/>
        <w:gridCol w:w="1080"/>
      </w:tblGrid>
      <w:tr w:rsidR="00CA0EF0" w:rsidRPr="00361E30" w14:paraId="1CF03553" w14:textId="77777777" w:rsidTr="003C13F4">
        <w:trPr>
          <w:trHeight w:val="315"/>
        </w:trPr>
        <w:tc>
          <w:tcPr>
            <w:tcW w:w="3435" w:type="dxa"/>
            <w:tcBorders>
              <w:top w:val="single" w:sz="4" w:space="0" w:color="auto"/>
              <w:left w:val="nil"/>
              <w:bottom w:val="single" w:sz="4" w:space="0" w:color="auto"/>
              <w:right w:val="nil"/>
            </w:tcBorders>
            <w:shd w:val="clear" w:color="auto" w:fill="auto"/>
            <w:noWrap/>
            <w:vAlign w:val="bottom"/>
            <w:hideMark/>
          </w:tcPr>
          <w:p w14:paraId="4196017E" w14:textId="77777777" w:rsidR="00CA0EF0" w:rsidRPr="00361E30" w:rsidRDefault="00CA0EF0" w:rsidP="003C13F4">
            <w:pPr>
              <w:spacing w:after="0" w:line="240" w:lineRule="auto"/>
              <w:rPr>
                <w:rFonts w:ascii="Calibri" w:eastAsia="Times New Roman" w:hAnsi="Calibri" w:cs="Calibri"/>
                <w:b/>
                <w:color w:val="000000"/>
                <w:lang w:eastAsia="en-GB"/>
              </w:rPr>
            </w:pPr>
            <w:r w:rsidRPr="00361E30">
              <w:rPr>
                <w:rFonts w:ascii="Calibri" w:eastAsia="Times New Roman" w:hAnsi="Calibri" w:cs="Calibri"/>
                <w:b/>
                <w:color w:val="000000"/>
                <w:lang w:eastAsia="en-GB"/>
              </w:rPr>
              <w:lastRenderedPageBreak/>
              <w:t>Variable</w:t>
            </w:r>
          </w:p>
        </w:tc>
        <w:tc>
          <w:tcPr>
            <w:tcW w:w="1080" w:type="dxa"/>
            <w:tcBorders>
              <w:top w:val="single" w:sz="4" w:space="0" w:color="auto"/>
              <w:left w:val="nil"/>
              <w:bottom w:val="single" w:sz="4" w:space="0" w:color="auto"/>
              <w:right w:val="nil"/>
            </w:tcBorders>
            <w:shd w:val="clear" w:color="auto" w:fill="auto"/>
            <w:noWrap/>
            <w:vAlign w:val="center"/>
            <w:hideMark/>
          </w:tcPr>
          <w:p w14:paraId="32C424D4" w14:textId="77777777" w:rsidR="00CA0EF0" w:rsidRPr="00361E30" w:rsidRDefault="00CA0EF0" w:rsidP="003C13F4">
            <w:pPr>
              <w:spacing w:after="0" w:line="240" w:lineRule="auto"/>
              <w:jc w:val="center"/>
              <w:rPr>
                <w:rFonts w:ascii="Calibri" w:eastAsia="Times New Roman" w:hAnsi="Calibri" w:cs="Calibri"/>
                <w:b/>
                <w:color w:val="000000"/>
                <w:lang w:eastAsia="en-GB"/>
              </w:rPr>
            </w:pPr>
            <w:r w:rsidRPr="00361E30">
              <w:rPr>
                <w:rFonts w:ascii="Calibri" w:eastAsia="Times New Roman" w:hAnsi="Calibri" w:cs="Calibri"/>
                <w:b/>
                <w:color w:val="000000"/>
                <w:lang w:eastAsia="en-GB"/>
              </w:rPr>
              <w:t>VIF</w:t>
            </w:r>
          </w:p>
        </w:tc>
        <w:tc>
          <w:tcPr>
            <w:tcW w:w="1080" w:type="dxa"/>
            <w:tcBorders>
              <w:top w:val="single" w:sz="4" w:space="0" w:color="auto"/>
              <w:left w:val="nil"/>
              <w:bottom w:val="single" w:sz="4" w:space="0" w:color="auto"/>
              <w:right w:val="nil"/>
            </w:tcBorders>
            <w:shd w:val="clear" w:color="auto" w:fill="auto"/>
            <w:noWrap/>
            <w:vAlign w:val="center"/>
            <w:hideMark/>
          </w:tcPr>
          <w:p w14:paraId="29C59BA1" w14:textId="77777777" w:rsidR="00CA0EF0" w:rsidRPr="00361E30" w:rsidRDefault="00CA0EF0" w:rsidP="003C13F4">
            <w:pPr>
              <w:spacing w:after="0" w:line="240" w:lineRule="auto"/>
              <w:jc w:val="center"/>
              <w:rPr>
                <w:rFonts w:ascii="Calibri" w:eastAsia="Times New Roman" w:hAnsi="Calibri" w:cs="Calibri"/>
                <w:b/>
                <w:color w:val="000000"/>
                <w:lang w:eastAsia="en-GB"/>
              </w:rPr>
            </w:pPr>
            <w:r w:rsidRPr="00361E30">
              <w:rPr>
                <w:rFonts w:ascii="Calibri" w:eastAsia="Times New Roman" w:hAnsi="Calibri" w:cs="Calibri"/>
                <w:b/>
                <w:color w:val="000000"/>
                <w:lang w:eastAsia="en-GB"/>
              </w:rPr>
              <w:t>1/VIF</w:t>
            </w:r>
          </w:p>
        </w:tc>
      </w:tr>
      <w:tr w:rsidR="00CA0EF0" w:rsidRPr="00361E30" w14:paraId="38C058C1" w14:textId="77777777" w:rsidTr="003C13F4">
        <w:trPr>
          <w:trHeight w:val="315"/>
        </w:trPr>
        <w:tc>
          <w:tcPr>
            <w:tcW w:w="3435" w:type="dxa"/>
            <w:tcBorders>
              <w:top w:val="single" w:sz="4" w:space="0" w:color="auto"/>
              <w:left w:val="nil"/>
              <w:bottom w:val="nil"/>
              <w:right w:val="nil"/>
            </w:tcBorders>
            <w:shd w:val="clear" w:color="auto" w:fill="auto"/>
            <w:noWrap/>
            <w:vAlign w:val="bottom"/>
            <w:hideMark/>
          </w:tcPr>
          <w:p w14:paraId="463A6FB8" w14:textId="77777777" w:rsidR="00CA0EF0" w:rsidRPr="00361E30" w:rsidRDefault="00CA0EF0" w:rsidP="003C13F4">
            <w:pPr>
              <w:spacing w:after="0" w:line="240" w:lineRule="auto"/>
              <w:rPr>
                <w:rFonts w:ascii="Calibri" w:eastAsia="Times New Roman" w:hAnsi="Calibri" w:cs="Calibri"/>
                <w:color w:val="000000"/>
                <w:lang w:eastAsia="en-GB"/>
              </w:rPr>
            </w:pPr>
          </w:p>
        </w:tc>
        <w:tc>
          <w:tcPr>
            <w:tcW w:w="1080" w:type="dxa"/>
            <w:tcBorders>
              <w:top w:val="single" w:sz="4" w:space="0" w:color="auto"/>
              <w:left w:val="nil"/>
              <w:bottom w:val="nil"/>
              <w:right w:val="nil"/>
            </w:tcBorders>
            <w:shd w:val="clear" w:color="auto" w:fill="auto"/>
            <w:noWrap/>
            <w:vAlign w:val="center"/>
            <w:hideMark/>
          </w:tcPr>
          <w:p w14:paraId="4ADCB305"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080" w:type="dxa"/>
            <w:tcBorders>
              <w:top w:val="single" w:sz="4" w:space="0" w:color="auto"/>
              <w:left w:val="nil"/>
              <w:bottom w:val="nil"/>
              <w:right w:val="nil"/>
            </w:tcBorders>
            <w:shd w:val="clear" w:color="auto" w:fill="auto"/>
            <w:noWrap/>
            <w:vAlign w:val="center"/>
            <w:hideMark/>
          </w:tcPr>
          <w:p w14:paraId="0FCCA41B"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2058163C" w14:textId="77777777" w:rsidTr="003C13F4">
        <w:trPr>
          <w:trHeight w:val="300"/>
        </w:trPr>
        <w:tc>
          <w:tcPr>
            <w:tcW w:w="3435" w:type="dxa"/>
            <w:tcBorders>
              <w:top w:val="nil"/>
              <w:left w:val="nil"/>
              <w:bottom w:val="nil"/>
              <w:right w:val="nil"/>
            </w:tcBorders>
            <w:shd w:val="clear" w:color="auto" w:fill="auto"/>
            <w:noWrap/>
            <w:vAlign w:val="bottom"/>
            <w:hideMark/>
          </w:tcPr>
          <w:p w14:paraId="4619BFC0"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Age (categorical)</w:t>
            </w:r>
          </w:p>
        </w:tc>
        <w:tc>
          <w:tcPr>
            <w:tcW w:w="1080" w:type="dxa"/>
            <w:tcBorders>
              <w:top w:val="nil"/>
              <w:left w:val="nil"/>
              <w:bottom w:val="nil"/>
              <w:right w:val="nil"/>
            </w:tcBorders>
            <w:shd w:val="clear" w:color="auto" w:fill="auto"/>
            <w:noWrap/>
            <w:vAlign w:val="center"/>
            <w:hideMark/>
          </w:tcPr>
          <w:p w14:paraId="64DE0835"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080" w:type="dxa"/>
            <w:tcBorders>
              <w:top w:val="nil"/>
              <w:left w:val="nil"/>
              <w:bottom w:val="nil"/>
              <w:right w:val="nil"/>
            </w:tcBorders>
            <w:shd w:val="clear" w:color="auto" w:fill="auto"/>
            <w:noWrap/>
            <w:vAlign w:val="center"/>
            <w:hideMark/>
          </w:tcPr>
          <w:p w14:paraId="34EDC2D4"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23290452" w14:textId="77777777" w:rsidTr="003C13F4">
        <w:trPr>
          <w:trHeight w:val="300"/>
        </w:trPr>
        <w:tc>
          <w:tcPr>
            <w:tcW w:w="3435" w:type="dxa"/>
            <w:tcBorders>
              <w:top w:val="nil"/>
              <w:left w:val="nil"/>
              <w:bottom w:val="nil"/>
              <w:right w:val="nil"/>
            </w:tcBorders>
            <w:shd w:val="clear" w:color="auto" w:fill="auto"/>
            <w:noWrap/>
            <w:vAlign w:val="bottom"/>
            <w:hideMark/>
          </w:tcPr>
          <w:p w14:paraId="6E59BFC1"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2</w:t>
            </w:r>
          </w:p>
        </w:tc>
        <w:tc>
          <w:tcPr>
            <w:tcW w:w="1080" w:type="dxa"/>
            <w:tcBorders>
              <w:top w:val="nil"/>
              <w:left w:val="nil"/>
              <w:bottom w:val="nil"/>
              <w:right w:val="nil"/>
            </w:tcBorders>
            <w:shd w:val="clear" w:color="auto" w:fill="auto"/>
            <w:noWrap/>
            <w:vAlign w:val="center"/>
            <w:hideMark/>
          </w:tcPr>
          <w:p w14:paraId="041E45A7"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2.14</w:t>
            </w:r>
          </w:p>
        </w:tc>
        <w:tc>
          <w:tcPr>
            <w:tcW w:w="1080" w:type="dxa"/>
            <w:tcBorders>
              <w:top w:val="nil"/>
              <w:left w:val="nil"/>
              <w:bottom w:val="nil"/>
              <w:right w:val="nil"/>
            </w:tcBorders>
            <w:shd w:val="clear" w:color="auto" w:fill="auto"/>
            <w:noWrap/>
            <w:vAlign w:val="center"/>
            <w:hideMark/>
          </w:tcPr>
          <w:p w14:paraId="1862D8EF"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0.46781</w:t>
            </w:r>
          </w:p>
        </w:tc>
      </w:tr>
      <w:tr w:rsidR="00CA0EF0" w:rsidRPr="00361E30" w14:paraId="7FA7490A" w14:textId="77777777" w:rsidTr="003C13F4">
        <w:trPr>
          <w:trHeight w:val="300"/>
        </w:trPr>
        <w:tc>
          <w:tcPr>
            <w:tcW w:w="3435" w:type="dxa"/>
            <w:tcBorders>
              <w:top w:val="nil"/>
              <w:left w:val="nil"/>
              <w:bottom w:val="single" w:sz="4" w:space="0" w:color="auto"/>
              <w:right w:val="nil"/>
            </w:tcBorders>
            <w:shd w:val="clear" w:color="auto" w:fill="auto"/>
            <w:noWrap/>
            <w:vAlign w:val="bottom"/>
            <w:hideMark/>
          </w:tcPr>
          <w:p w14:paraId="779779CE"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3</w:t>
            </w:r>
          </w:p>
        </w:tc>
        <w:tc>
          <w:tcPr>
            <w:tcW w:w="1080" w:type="dxa"/>
            <w:tcBorders>
              <w:top w:val="nil"/>
              <w:left w:val="nil"/>
              <w:bottom w:val="single" w:sz="4" w:space="0" w:color="auto"/>
              <w:right w:val="nil"/>
            </w:tcBorders>
            <w:shd w:val="clear" w:color="auto" w:fill="auto"/>
            <w:noWrap/>
            <w:vAlign w:val="center"/>
            <w:hideMark/>
          </w:tcPr>
          <w:p w14:paraId="0928C0A3"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2.42</w:t>
            </w:r>
          </w:p>
        </w:tc>
        <w:tc>
          <w:tcPr>
            <w:tcW w:w="1080" w:type="dxa"/>
            <w:tcBorders>
              <w:top w:val="nil"/>
              <w:left w:val="nil"/>
              <w:bottom w:val="single" w:sz="4" w:space="0" w:color="auto"/>
              <w:right w:val="nil"/>
            </w:tcBorders>
            <w:shd w:val="clear" w:color="auto" w:fill="auto"/>
            <w:noWrap/>
            <w:vAlign w:val="center"/>
            <w:hideMark/>
          </w:tcPr>
          <w:p w14:paraId="7B72D6CC"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0.41296</w:t>
            </w:r>
          </w:p>
        </w:tc>
      </w:tr>
      <w:tr w:rsidR="00CA0EF0" w:rsidRPr="00361E30" w14:paraId="4D2A7F83" w14:textId="77777777" w:rsidTr="003C13F4">
        <w:trPr>
          <w:trHeight w:val="300"/>
        </w:trPr>
        <w:tc>
          <w:tcPr>
            <w:tcW w:w="3435" w:type="dxa"/>
            <w:tcBorders>
              <w:top w:val="nil"/>
              <w:left w:val="nil"/>
              <w:bottom w:val="single" w:sz="4" w:space="0" w:color="auto"/>
              <w:right w:val="nil"/>
            </w:tcBorders>
            <w:shd w:val="clear" w:color="auto" w:fill="auto"/>
            <w:noWrap/>
            <w:vAlign w:val="bottom"/>
            <w:hideMark/>
          </w:tcPr>
          <w:p w14:paraId="4FAA0B6E"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Gender</w:t>
            </w:r>
          </w:p>
        </w:tc>
        <w:tc>
          <w:tcPr>
            <w:tcW w:w="1080" w:type="dxa"/>
            <w:tcBorders>
              <w:top w:val="nil"/>
              <w:left w:val="nil"/>
              <w:bottom w:val="single" w:sz="4" w:space="0" w:color="auto"/>
              <w:right w:val="nil"/>
            </w:tcBorders>
            <w:shd w:val="clear" w:color="auto" w:fill="auto"/>
            <w:noWrap/>
            <w:vAlign w:val="center"/>
            <w:hideMark/>
          </w:tcPr>
          <w:p w14:paraId="49854C1C"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2.43</w:t>
            </w:r>
          </w:p>
        </w:tc>
        <w:tc>
          <w:tcPr>
            <w:tcW w:w="1080" w:type="dxa"/>
            <w:tcBorders>
              <w:top w:val="nil"/>
              <w:left w:val="nil"/>
              <w:bottom w:val="single" w:sz="4" w:space="0" w:color="auto"/>
              <w:right w:val="nil"/>
            </w:tcBorders>
            <w:shd w:val="clear" w:color="auto" w:fill="auto"/>
            <w:noWrap/>
            <w:vAlign w:val="center"/>
            <w:hideMark/>
          </w:tcPr>
          <w:p w14:paraId="19C59D26"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0.41208</w:t>
            </w:r>
          </w:p>
        </w:tc>
      </w:tr>
      <w:tr w:rsidR="00CA0EF0" w:rsidRPr="00361E30" w14:paraId="53DBAE38" w14:textId="77777777" w:rsidTr="003C13F4">
        <w:trPr>
          <w:trHeight w:val="300"/>
        </w:trPr>
        <w:tc>
          <w:tcPr>
            <w:tcW w:w="3435" w:type="dxa"/>
            <w:tcBorders>
              <w:top w:val="nil"/>
              <w:left w:val="nil"/>
              <w:bottom w:val="nil"/>
              <w:right w:val="nil"/>
            </w:tcBorders>
            <w:shd w:val="clear" w:color="auto" w:fill="auto"/>
            <w:noWrap/>
            <w:vAlign w:val="bottom"/>
            <w:hideMark/>
          </w:tcPr>
          <w:p w14:paraId="726AB415"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Charlson Comorbidity Index</w:t>
            </w:r>
          </w:p>
        </w:tc>
        <w:tc>
          <w:tcPr>
            <w:tcW w:w="1080" w:type="dxa"/>
            <w:tcBorders>
              <w:top w:val="nil"/>
              <w:left w:val="nil"/>
              <w:bottom w:val="nil"/>
              <w:right w:val="nil"/>
            </w:tcBorders>
            <w:shd w:val="clear" w:color="auto" w:fill="auto"/>
            <w:noWrap/>
            <w:vAlign w:val="center"/>
            <w:hideMark/>
          </w:tcPr>
          <w:p w14:paraId="028B6E43"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080" w:type="dxa"/>
            <w:tcBorders>
              <w:top w:val="nil"/>
              <w:left w:val="nil"/>
              <w:bottom w:val="nil"/>
              <w:right w:val="nil"/>
            </w:tcBorders>
            <w:shd w:val="clear" w:color="auto" w:fill="auto"/>
            <w:noWrap/>
            <w:vAlign w:val="center"/>
            <w:hideMark/>
          </w:tcPr>
          <w:p w14:paraId="3A11B1B8"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722FC682" w14:textId="77777777" w:rsidTr="003C13F4">
        <w:trPr>
          <w:trHeight w:val="300"/>
        </w:trPr>
        <w:tc>
          <w:tcPr>
            <w:tcW w:w="3435" w:type="dxa"/>
            <w:tcBorders>
              <w:top w:val="nil"/>
              <w:left w:val="nil"/>
              <w:bottom w:val="nil"/>
              <w:right w:val="nil"/>
            </w:tcBorders>
            <w:shd w:val="clear" w:color="auto" w:fill="auto"/>
            <w:noWrap/>
            <w:vAlign w:val="bottom"/>
            <w:hideMark/>
          </w:tcPr>
          <w:p w14:paraId="2DB78B0A"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1</w:t>
            </w:r>
          </w:p>
        </w:tc>
        <w:tc>
          <w:tcPr>
            <w:tcW w:w="1080" w:type="dxa"/>
            <w:tcBorders>
              <w:top w:val="nil"/>
              <w:left w:val="nil"/>
              <w:bottom w:val="nil"/>
              <w:right w:val="nil"/>
            </w:tcBorders>
            <w:shd w:val="clear" w:color="auto" w:fill="auto"/>
            <w:noWrap/>
            <w:vAlign w:val="center"/>
            <w:hideMark/>
          </w:tcPr>
          <w:p w14:paraId="755DB94C"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1.83</w:t>
            </w:r>
          </w:p>
        </w:tc>
        <w:tc>
          <w:tcPr>
            <w:tcW w:w="1080" w:type="dxa"/>
            <w:tcBorders>
              <w:top w:val="nil"/>
              <w:left w:val="nil"/>
              <w:bottom w:val="nil"/>
              <w:right w:val="nil"/>
            </w:tcBorders>
            <w:shd w:val="clear" w:color="auto" w:fill="auto"/>
            <w:noWrap/>
            <w:vAlign w:val="center"/>
            <w:hideMark/>
          </w:tcPr>
          <w:p w14:paraId="279AA16E"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0.54503</w:t>
            </w:r>
          </w:p>
        </w:tc>
      </w:tr>
      <w:tr w:rsidR="00CA0EF0" w:rsidRPr="00361E30" w14:paraId="2CD2BE7A" w14:textId="77777777" w:rsidTr="003C13F4">
        <w:trPr>
          <w:trHeight w:val="300"/>
        </w:trPr>
        <w:tc>
          <w:tcPr>
            <w:tcW w:w="3435" w:type="dxa"/>
            <w:tcBorders>
              <w:top w:val="nil"/>
              <w:left w:val="nil"/>
              <w:bottom w:val="nil"/>
              <w:right w:val="nil"/>
            </w:tcBorders>
            <w:shd w:val="clear" w:color="auto" w:fill="auto"/>
            <w:noWrap/>
            <w:vAlign w:val="bottom"/>
            <w:hideMark/>
          </w:tcPr>
          <w:p w14:paraId="2DDF695B"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2</w:t>
            </w:r>
          </w:p>
        </w:tc>
        <w:tc>
          <w:tcPr>
            <w:tcW w:w="1080" w:type="dxa"/>
            <w:tcBorders>
              <w:top w:val="nil"/>
              <w:left w:val="nil"/>
              <w:bottom w:val="nil"/>
              <w:right w:val="nil"/>
            </w:tcBorders>
            <w:shd w:val="clear" w:color="auto" w:fill="auto"/>
            <w:noWrap/>
            <w:vAlign w:val="center"/>
            <w:hideMark/>
          </w:tcPr>
          <w:p w14:paraId="6ED992E9"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1.38</w:t>
            </w:r>
          </w:p>
        </w:tc>
        <w:tc>
          <w:tcPr>
            <w:tcW w:w="1080" w:type="dxa"/>
            <w:tcBorders>
              <w:top w:val="nil"/>
              <w:left w:val="nil"/>
              <w:bottom w:val="nil"/>
              <w:right w:val="nil"/>
            </w:tcBorders>
            <w:shd w:val="clear" w:color="auto" w:fill="auto"/>
            <w:noWrap/>
            <w:vAlign w:val="center"/>
            <w:hideMark/>
          </w:tcPr>
          <w:p w14:paraId="2BE5E018"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0.72695</w:t>
            </w:r>
          </w:p>
        </w:tc>
      </w:tr>
      <w:tr w:rsidR="00CA0EF0" w:rsidRPr="00361E30" w14:paraId="1C28478E" w14:textId="77777777" w:rsidTr="003C13F4">
        <w:trPr>
          <w:trHeight w:val="300"/>
        </w:trPr>
        <w:tc>
          <w:tcPr>
            <w:tcW w:w="3435" w:type="dxa"/>
            <w:tcBorders>
              <w:top w:val="nil"/>
              <w:left w:val="nil"/>
              <w:bottom w:val="single" w:sz="4" w:space="0" w:color="auto"/>
              <w:right w:val="nil"/>
            </w:tcBorders>
            <w:shd w:val="clear" w:color="auto" w:fill="auto"/>
            <w:noWrap/>
            <w:vAlign w:val="bottom"/>
            <w:hideMark/>
          </w:tcPr>
          <w:p w14:paraId="2BE22C48"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3</w:t>
            </w:r>
          </w:p>
        </w:tc>
        <w:tc>
          <w:tcPr>
            <w:tcW w:w="1080" w:type="dxa"/>
            <w:tcBorders>
              <w:top w:val="nil"/>
              <w:left w:val="nil"/>
              <w:bottom w:val="single" w:sz="4" w:space="0" w:color="auto"/>
              <w:right w:val="nil"/>
            </w:tcBorders>
            <w:shd w:val="clear" w:color="auto" w:fill="auto"/>
            <w:noWrap/>
            <w:vAlign w:val="center"/>
            <w:hideMark/>
          </w:tcPr>
          <w:p w14:paraId="1EC99775"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1.14</w:t>
            </w:r>
          </w:p>
        </w:tc>
        <w:tc>
          <w:tcPr>
            <w:tcW w:w="1080" w:type="dxa"/>
            <w:tcBorders>
              <w:top w:val="nil"/>
              <w:left w:val="nil"/>
              <w:bottom w:val="single" w:sz="4" w:space="0" w:color="auto"/>
              <w:right w:val="nil"/>
            </w:tcBorders>
            <w:shd w:val="clear" w:color="auto" w:fill="auto"/>
            <w:noWrap/>
            <w:vAlign w:val="center"/>
            <w:hideMark/>
          </w:tcPr>
          <w:p w14:paraId="36C41A0D"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0.87564</w:t>
            </w:r>
          </w:p>
        </w:tc>
      </w:tr>
      <w:tr w:rsidR="00CA0EF0" w:rsidRPr="00361E30" w14:paraId="03C0468B" w14:textId="77777777" w:rsidTr="003C13F4">
        <w:trPr>
          <w:trHeight w:val="300"/>
        </w:trPr>
        <w:tc>
          <w:tcPr>
            <w:tcW w:w="3435" w:type="dxa"/>
            <w:tcBorders>
              <w:top w:val="nil"/>
              <w:left w:val="nil"/>
              <w:bottom w:val="nil"/>
              <w:right w:val="nil"/>
            </w:tcBorders>
            <w:shd w:val="clear" w:color="auto" w:fill="auto"/>
            <w:noWrap/>
            <w:vAlign w:val="bottom"/>
            <w:hideMark/>
          </w:tcPr>
          <w:p w14:paraId="504DDC77"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ISS (categorical)</w:t>
            </w:r>
          </w:p>
        </w:tc>
        <w:tc>
          <w:tcPr>
            <w:tcW w:w="1080" w:type="dxa"/>
            <w:tcBorders>
              <w:top w:val="nil"/>
              <w:left w:val="nil"/>
              <w:bottom w:val="nil"/>
              <w:right w:val="nil"/>
            </w:tcBorders>
            <w:shd w:val="clear" w:color="auto" w:fill="auto"/>
            <w:noWrap/>
            <w:vAlign w:val="center"/>
            <w:hideMark/>
          </w:tcPr>
          <w:p w14:paraId="560F9ED1"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080" w:type="dxa"/>
            <w:tcBorders>
              <w:top w:val="nil"/>
              <w:left w:val="nil"/>
              <w:bottom w:val="nil"/>
              <w:right w:val="nil"/>
            </w:tcBorders>
            <w:shd w:val="clear" w:color="auto" w:fill="auto"/>
            <w:noWrap/>
            <w:vAlign w:val="center"/>
            <w:hideMark/>
          </w:tcPr>
          <w:p w14:paraId="304C8CBF"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33BF6BBB" w14:textId="77777777" w:rsidTr="003C13F4">
        <w:trPr>
          <w:trHeight w:val="300"/>
        </w:trPr>
        <w:tc>
          <w:tcPr>
            <w:tcW w:w="3435" w:type="dxa"/>
            <w:tcBorders>
              <w:top w:val="nil"/>
              <w:left w:val="nil"/>
              <w:bottom w:val="nil"/>
              <w:right w:val="nil"/>
            </w:tcBorders>
            <w:shd w:val="clear" w:color="auto" w:fill="auto"/>
            <w:noWrap/>
            <w:vAlign w:val="bottom"/>
            <w:hideMark/>
          </w:tcPr>
          <w:p w14:paraId="025EFD18"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2</w:t>
            </w:r>
          </w:p>
        </w:tc>
        <w:tc>
          <w:tcPr>
            <w:tcW w:w="1080" w:type="dxa"/>
            <w:tcBorders>
              <w:top w:val="nil"/>
              <w:left w:val="nil"/>
              <w:bottom w:val="nil"/>
              <w:right w:val="nil"/>
            </w:tcBorders>
            <w:shd w:val="clear" w:color="auto" w:fill="auto"/>
            <w:noWrap/>
            <w:vAlign w:val="center"/>
            <w:hideMark/>
          </w:tcPr>
          <w:p w14:paraId="112036D9"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2.26</w:t>
            </w:r>
          </w:p>
        </w:tc>
        <w:tc>
          <w:tcPr>
            <w:tcW w:w="1080" w:type="dxa"/>
            <w:tcBorders>
              <w:top w:val="nil"/>
              <w:left w:val="nil"/>
              <w:bottom w:val="nil"/>
              <w:right w:val="nil"/>
            </w:tcBorders>
            <w:shd w:val="clear" w:color="auto" w:fill="auto"/>
            <w:noWrap/>
            <w:vAlign w:val="center"/>
            <w:hideMark/>
          </w:tcPr>
          <w:p w14:paraId="1BE4CDFF"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0.44311</w:t>
            </w:r>
          </w:p>
        </w:tc>
      </w:tr>
      <w:tr w:rsidR="00CA0EF0" w:rsidRPr="00361E30" w14:paraId="04D5A3D0" w14:textId="77777777" w:rsidTr="003C13F4">
        <w:trPr>
          <w:trHeight w:val="300"/>
        </w:trPr>
        <w:tc>
          <w:tcPr>
            <w:tcW w:w="3435" w:type="dxa"/>
            <w:tcBorders>
              <w:top w:val="nil"/>
              <w:left w:val="nil"/>
              <w:bottom w:val="nil"/>
              <w:right w:val="nil"/>
            </w:tcBorders>
            <w:shd w:val="clear" w:color="auto" w:fill="auto"/>
            <w:noWrap/>
            <w:vAlign w:val="bottom"/>
            <w:hideMark/>
          </w:tcPr>
          <w:p w14:paraId="5194B255"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3</w:t>
            </w:r>
          </w:p>
        </w:tc>
        <w:tc>
          <w:tcPr>
            <w:tcW w:w="1080" w:type="dxa"/>
            <w:tcBorders>
              <w:top w:val="nil"/>
              <w:left w:val="nil"/>
              <w:bottom w:val="nil"/>
              <w:right w:val="nil"/>
            </w:tcBorders>
            <w:shd w:val="clear" w:color="auto" w:fill="auto"/>
            <w:noWrap/>
            <w:vAlign w:val="center"/>
            <w:hideMark/>
          </w:tcPr>
          <w:p w14:paraId="508A5912"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2.51</w:t>
            </w:r>
          </w:p>
        </w:tc>
        <w:tc>
          <w:tcPr>
            <w:tcW w:w="1080" w:type="dxa"/>
            <w:tcBorders>
              <w:top w:val="nil"/>
              <w:left w:val="nil"/>
              <w:bottom w:val="nil"/>
              <w:right w:val="nil"/>
            </w:tcBorders>
            <w:shd w:val="clear" w:color="auto" w:fill="auto"/>
            <w:noWrap/>
            <w:vAlign w:val="center"/>
            <w:hideMark/>
          </w:tcPr>
          <w:p w14:paraId="6687DA7C"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0.39877</w:t>
            </w:r>
          </w:p>
        </w:tc>
      </w:tr>
      <w:tr w:rsidR="00CA0EF0" w:rsidRPr="00361E30" w14:paraId="5ED8CC69" w14:textId="77777777" w:rsidTr="003C13F4">
        <w:trPr>
          <w:trHeight w:val="300"/>
        </w:trPr>
        <w:tc>
          <w:tcPr>
            <w:tcW w:w="3435" w:type="dxa"/>
            <w:tcBorders>
              <w:top w:val="nil"/>
              <w:left w:val="nil"/>
              <w:bottom w:val="single" w:sz="4" w:space="0" w:color="auto"/>
              <w:right w:val="nil"/>
            </w:tcBorders>
            <w:shd w:val="clear" w:color="auto" w:fill="auto"/>
            <w:noWrap/>
            <w:vAlign w:val="bottom"/>
            <w:hideMark/>
          </w:tcPr>
          <w:p w14:paraId="12FA1119"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4</w:t>
            </w:r>
          </w:p>
        </w:tc>
        <w:tc>
          <w:tcPr>
            <w:tcW w:w="1080" w:type="dxa"/>
            <w:tcBorders>
              <w:top w:val="nil"/>
              <w:left w:val="nil"/>
              <w:bottom w:val="single" w:sz="4" w:space="0" w:color="auto"/>
              <w:right w:val="nil"/>
            </w:tcBorders>
            <w:shd w:val="clear" w:color="auto" w:fill="auto"/>
            <w:noWrap/>
            <w:vAlign w:val="center"/>
            <w:hideMark/>
          </w:tcPr>
          <w:p w14:paraId="1E6E97D8"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2.97</w:t>
            </w:r>
          </w:p>
        </w:tc>
        <w:tc>
          <w:tcPr>
            <w:tcW w:w="1080" w:type="dxa"/>
            <w:tcBorders>
              <w:top w:val="nil"/>
              <w:left w:val="nil"/>
              <w:bottom w:val="single" w:sz="4" w:space="0" w:color="auto"/>
              <w:right w:val="nil"/>
            </w:tcBorders>
            <w:shd w:val="clear" w:color="auto" w:fill="auto"/>
            <w:noWrap/>
            <w:vAlign w:val="center"/>
            <w:hideMark/>
          </w:tcPr>
          <w:p w14:paraId="13C3EFF2"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0.33644</w:t>
            </w:r>
          </w:p>
        </w:tc>
      </w:tr>
      <w:tr w:rsidR="00CA0EF0" w:rsidRPr="00361E30" w14:paraId="5A367D60" w14:textId="77777777" w:rsidTr="003C13F4">
        <w:trPr>
          <w:trHeight w:val="300"/>
        </w:trPr>
        <w:tc>
          <w:tcPr>
            <w:tcW w:w="3435" w:type="dxa"/>
            <w:tcBorders>
              <w:top w:val="nil"/>
              <w:left w:val="nil"/>
              <w:bottom w:val="single" w:sz="4" w:space="0" w:color="auto"/>
              <w:right w:val="nil"/>
            </w:tcBorders>
            <w:shd w:val="clear" w:color="auto" w:fill="auto"/>
            <w:noWrap/>
            <w:vAlign w:val="bottom"/>
            <w:hideMark/>
          </w:tcPr>
          <w:p w14:paraId="3E26CC82"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Severe Head Injury</w:t>
            </w:r>
          </w:p>
        </w:tc>
        <w:tc>
          <w:tcPr>
            <w:tcW w:w="1080" w:type="dxa"/>
            <w:tcBorders>
              <w:top w:val="nil"/>
              <w:left w:val="nil"/>
              <w:bottom w:val="single" w:sz="4" w:space="0" w:color="auto"/>
              <w:right w:val="nil"/>
            </w:tcBorders>
            <w:shd w:val="clear" w:color="auto" w:fill="auto"/>
            <w:noWrap/>
            <w:vAlign w:val="center"/>
            <w:hideMark/>
          </w:tcPr>
          <w:p w14:paraId="7180746F"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3.46</w:t>
            </w:r>
          </w:p>
        </w:tc>
        <w:tc>
          <w:tcPr>
            <w:tcW w:w="1080" w:type="dxa"/>
            <w:tcBorders>
              <w:top w:val="nil"/>
              <w:left w:val="nil"/>
              <w:bottom w:val="single" w:sz="4" w:space="0" w:color="auto"/>
              <w:right w:val="nil"/>
            </w:tcBorders>
            <w:shd w:val="clear" w:color="auto" w:fill="auto"/>
            <w:noWrap/>
            <w:vAlign w:val="center"/>
            <w:hideMark/>
          </w:tcPr>
          <w:p w14:paraId="67FFC507"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0.2894</w:t>
            </w:r>
          </w:p>
        </w:tc>
      </w:tr>
      <w:tr w:rsidR="00CA0EF0" w:rsidRPr="00361E30" w14:paraId="105A6119" w14:textId="77777777" w:rsidTr="003C13F4">
        <w:trPr>
          <w:trHeight w:val="300"/>
        </w:trPr>
        <w:tc>
          <w:tcPr>
            <w:tcW w:w="3435" w:type="dxa"/>
            <w:tcBorders>
              <w:top w:val="nil"/>
              <w:left w:val="nil"/>
              <w:bottom w:val="nil"/>
              <w:right w:val="nil"/>
            </w:tcBorders>
            <w:shd w:val="clear" w:color="auto" w:fill="auto"/>
            <w:noWrap/>
            <w:vAlign w:val="bottom"/>
            <w:hideMark/>
          </w:tcPr>
          <w:p w14:paraId="7774B1ED"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Number of Injuries</w:t>
            </w:r>
          </w:p>
        </w:tc>
        <w:tc>
          <w:tcPr>
            <w:tcW w:w="1080" w:type="dxa"/>
            <w:tcBorders>
              <w:top w:val="nil"/>
              <w:left w:val="nil"/>
              <w:bottom w:val="nil"/>
              <w:right w:val="nil"/>
            </w:tcBorders>
            <w:shd w:val="clear" w:color="auto" w:fill="auto"/>
            <w:noWrap/>
            <w:vAlign w:val="center"/>
            <w:hideMark/>
          </w:tcPr>
          <w:p w14:paraId="52DABA12"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080" w:type="dxa"/>
            <w:tcBorders>
              <w:top w:val="nil"/>
              <w:left w:val="nil"/>
              <w:bottom w:val="nil"/>
              <w:right w:val="nil"/>
            </w:tcBorders>
            <w:shd w:val="clear" w:color="auto" w:fill="auto"/>
            <w:noWrap/>
            <w:vAlign w:val="center"/>
            <w:hideMark/>
          </w:tcPr>
          <w:p w14:paraId="2C2130D0"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638C5B88" w14:textId="77777777" w:rsidTr="003C13F4">
        <w:trPr>
          <w:trHeight w:val="300"/>
        </w:trPr>
        <w:tc>
          <w:tcPr>
            <w:tcW w:w="3435" w:type="dxa"/>
            <w:tcBorders>
              <w:top w:val="nil"/>
              <w:left w:val="nil"/>
              <w:bottom w:val="nil"/>
              <w:right w:val="nil"/>
            </w:tcBorders>
            <w:shd w:val="clear" w:color="auto" w:fill="auto"/>
            <w:noWrap/>
            <w:vAlign w:val="bottom"/>
            <w:hideMark/>
          </w:tcPr>
          <w:p w14:paraId="764BC522"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2</w:t>
            </w:r>
          </w:p>
        </w:tc>
        <w:tc>
          <w:tcPr>
            <w:tcW w:w="1080" w:type="dxa"/>
            <w:tcBorders>
              <w:top w:val="nil"/>
              <w:left w:val="nil"/>
              <w:bottom w:val="nil"/>
              <w:right w:val="nil"/>
            </w:tcBorders>
            <w:shd w:val="clear" w:color="auto" w:fill="auto"/>
            <w:noWrap/>
            <w:vAlign w:val="center"/>
            <w:hideMark/>
          </w:tcPr>
          <w:p w14:paraId="53D6AD60"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1.69</w:t>
            </w:r>
          </w:p>
        </w:tc>
        <w:tc>
          <w:tcPr>
            <w:tcW w:w="1080" w:type="dxa"/>
            <w:tcBorders>
              <w:top w:val="nil"/>
              <w:left w:val="nil"/>
              <w:bottom w:val="nil"/>
              <w:right w:val="nil"/>
            </w:tcBorders>
            <w:shd w:val="clear" w:color="auto" w:fill="auto"/>
            <w:noWrap/>
            <w:vAlign w:val="center"/>
            <w:hideMark/>
          </w:tcPr>
          <w:p w14:paraId="6DC617CF"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0.59031</w:t>
            </w:r>
          </w:p>
        </w:tc>
      </w:tr>
      <w:tr w:rsidR="00CA0EF0" w:rsidRPr="00361E30" w14:paraId="20DA6536" w14:textId="77777777" w:rsidTr="003C13F4">
        <w:trPr>
          <w:trHeight w:val="300"/>
        </w:trPr>
        <w:tc>
          <w:tcPr>
            <w:tcW w:w="3435" w:type="dxa"/>
            <w:tcBorders>
              <w:top w:val="nil"/>
              <w:left w:val="nil"/>
              <w:bottom w:val="single" w:sz="4" w:space="0" w:color="auto"/>
              <w:right w:val="nil"/>
            </w:tcBorders>
            <w:shd w:val="clear" w:color="auto" w:fill="auto"/>
            <w:noWrap/>
            <w:vAlign w:val="bottom"/>
            <w:hideMark/>
          </w:tcPr>
          <w:p w14:paraId="1AA049A6"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3</w:t>
            </w:r>
          </w:p>
        </w:tc>
        <w:tc>
          <w:tcPr>
            <w:tcW w:w="1080" w:type="dxa"/>
            <w:tcBorders>
              <w:top w:val="nil"/>
              <w:left w:val="nil"/>
              <w:bottom w:val="single" w:sz="4" w:space="0" w:color="auto"/>
              <w:right w:val="nil"/>
            </w:tcBorders>
            <w:shd w:val="clear" w:color="auto" w:fill="auto"/>
            <w:noWrap/>
            <w:vAlign w:val="center"/>
            <w:hideMark/>
          </w:tcPr>
          <w:p w14:paraId="12362599"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2.41</w:t>
            </w:r>
          </w:p>
        </w:tc>
        <w:tc>
          <w:tcPr>
            <w:tcW w:w="1080" w:type="dxa"/>
            <w:tcBorders>
              <w:top w:val="nil"/>
              <w:left w:val="nil"/>
              <w:bottom w:val="single" w:sz="4" w:space="0" w:color="auto"/>
              <w:right w:val="nil"/>
            </w:tcBorders>
            <w:shd w:val="clear" w:color="auto" w:fill="auto"/>
            <w:noWrap/>
            <w:vAlign w:val="center"/>
            <w:hideMark/>
          </w:tcPr>
          <w:p w14:paraId="424D0C37"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0.415</w:t>
            </w:r>
          </w:p>
        </w:tc>
      </w:tr>
      <w:tr w:rsidR="00CA0EF0" w:rsidRPr="00361E30" w14:paraId="5E080E01" w14:textId="77777777" w:rsidTr="003C13F4">
        <w:trPr>
          <w:trHeight w:val="300"/>
        </w:trPr>
        <w:tc>
          <w:tcPr>
            <w:tcW w:w="3435" w:type="dxa"/>
            <w:tcBorders>
              <w:top w:val="nil"/>
              <w:left w:val="nil"/>
              <w:bottom w:val="nil"/>
              <w:right w:val="nil"/>
            </w:tcBorders>
            <w:shd w:val="clear" w:color="auto" w:fill="auto"/>
            <w:noWrap/>
            <w:vAlign w:val="bottom"/>
            <w:hideMark/>
          </w:tcPr>
          <w:p w14:paraId="75698A2D"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Mechanism of Injury</w:t>
            </w:r>
          </w:p>
        </w:tc>
        <w:tc>
          <w:tcPr>
            <w:tcW w:w="1080" w:type="dxa"/>
            <w:tcBorders>
              <w:top w:val="nil"/>
              <w:left w:val="nil"/>
              <w:bottom w:val="nil"/>
              <w:right w:val="nil"/>
            </w:tcBorders>
            <w:shd w:val="clear" w:color="auto" w:fill="auto"/>
            <w:noWrap/>
            <w:vAlign w:val="center"/>
            <w:hideMark/>
          </w:tcPr>
          <w:p w14:paraId="6CE6DE13"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080" w:type="dxa"/>
            <w:tcBorders>
              <w:top w:val="nil"/>
              <w:left w:val="nil"/>
              <w:bottom w:val="nil"/>
              <w:right w:val="nil"/>
            </w:tcBorders>
            <w:shd w:val="clear" w:color="auto" w:fill="auto"/>
            <w:noWrap/>
            <w:vAlign w:val="center"/>
            <w:hideMark/>
          </w:tcPr>
          <w:p w14:paraId="6FE2774F"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27252E0C" w14:textId="77777777" w:rsidTr="003C13F4">
        <w:trPr>
          <w:trHeight w:val="300"/>
        </w:trPr>
        <w:tc>
          <w:tcPr>
            <w:tcW w:w="3435" w:type="dxa"/>
            <w:tcBorders>
              <w:top w:val="nil"/>
              <w:left w:val="nil"/>
              <w:bottom w:val="nil"/>
              <w:right w:val="nil"/>
            </w:tcBorders>
            <w:shd w:val="clear" w:color="auto" w:fill="auto"/>
            <w:noWrap/>
            <w:vAlign w:val="bottom"/>
            <w:hideMark/>
          </w:tcPr>
          <w:p w14:paraId="760E2363"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2</w:t>
            </w:r>
          </w:p>
        </w:tc>
        <w:tc>
          <w:tcPr>
            <w:tcW w:w="1080" w:type="dxa"/>
            <w:tcBorders>
              <w:top w:val="nil"/>
              <w:left w:val="nil"/>
              <w:bottom w:val="nil"/>
              <w:right w:val="nil"/>
            </w:tcBorders>
            <w:shd w:val="clear" w:color="auto" w:fill="auto"/>
            <w:noWrap/>
            <w:vAlign w:val="center"/>
            <w:hideMark/>
          </w:tcPr>
          <w:p w14:paraId="177083CE"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1.2</w:t>
            </w:r>
          </w:p>
        </w:tc>
        <w:tc>
          <w:tcPr>
            <w:tcW w:w="1080" w:type="dxa"/>
            <w:tcBorders>
              <w:top w:val="nil"/>
              <w:left w:val="nil"/>
              <w:bottom w:val="nil"/>
              <w:right w:val="nil"/>
            </w:tcBorders>
            <w:shd w:val="clear" w:color="auto" w:fill="auto"/>
            <w:noWrap/>
            <w:vAlign w:val="center"/>
            <w:hideMark/>
          </w:tcPr>
          <w:p w14:paraId="527D2C9C"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0.83263</w:t>
            </w:r>
          </w:p>
        </w:tc>
      </w:tr>
      <w:tr w:rsidR="00CA0EF0" w:rsidRPr="00361E30" w14:paraId="7B8573F2" w14:textId="77777777" w:rsidTr="003C13F4">
        <w:trPr>
          <w:trHeight w:val="300"/>
        </w:trPr>
        <w:tc>
          <w:tcPr>
            <w:tcW w:w="3435" w:type="dxa"/>
            <w:tcBorders>
              <w:top w:val="nil"/>
              <w:left w:val="nil"/>
              <w:bottom w:val="nil"/>
              <w:right w:val="nil"/>
            </w:tcBorders>
            <w:shd w:val="clear" w:color="auto" w:fill="auto"/>
            <w:noWrap/>
            <w:vAlign w:val="bottom"/>
            <w:hideMark/>
          </w:tcPr>
          <w:p w14:paraId="58643FE0"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3</w:t>
            </w:r>
          </w:p>
        </w:tc>
        <w:tc>
          <w:tcPr>
            <w:tcW w:w="1080" w:type="dxa"/>
            <w:tcBorders>
              <w:top w:val="nil"/>
              <w:left w:val="nil"/>
              <w:bottom w:val="nil"/>
              <w:right w:val="nil"/>
            </w:tcBorders>
            <w:shd w:val="clear" w:color="auto" w:fill="auto"/>
            <w:noWrap/>
            <w:vAlign w:val="center"/>
            <w:hideMark/>
          </w:tcPr>
          <w:p w14:paraId="18F35316"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1.16</w:t>
            </w:r>
          </w:p>
        </w:tc>
        <w:tc>
          <w:tcPr>
            <w:tcW w:w="1080" w:type="dxa"/>
            <w:tcBorders>
              <w:top w:val="nil"/>
              <w:left w:val="nil"/>
              <w:bottom w:val="nil"/>
              <w:right w:val="nil"/>
            </w:tcBorders>
            <w:shd w:val="clear" w:color="auto" w:fill="auto"/>
            <w:noWrap/>
            <w:vAlign w:val="center"/>
            <w:hideMark/>
          </w:tcPr>
          <w:p w14:paraId="49C73D3F"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0.8625</w:t>
            </w:r>
          </w:p>
        </w:tc>
      </w:tr>
      <w:tr w:rsidR="00CA0EF0" w:rsidRPr="00361E30" w14:paraId="70408F8B" w14:textId="77777777" w:rsidTr="003C13F4">
        <w:trPr>
          <w:trHeight w:val="300"/>
        </w:trPr>
        <w:tc>
          <w:tcPr>
            <w:tcW w:w="3435" w:type="dxa"/>
            <w:tcBorders>
              <w:top w:val="nil"/>
              <w:left w:val="nil"/>
              <w:bottom w:val="single" w:sz="4" w:space="0" w:color="auto"/>
              <w:right w:val="nil"/>
            </w:tcBorders>
            <w:shd w:val="clear" w:color="auto" w:fill="auto"/>
            <w:noWrap/>
            <w:vAlign w:val="bottom"/>
            <w:hideMark/>
          </w:tcPr>
          <w:p w14:paraId="49BE17DB"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4</w:t>
            </w:r>
          </w:p>
        </w:tc>
        <w:tc>
          <w:tcPr>
            <w:tcW w:w="1080" w:type="dxa"/>
            <w:tcBorders>
              <w:top w:val="nil"/>
              <w:left w:val="nil"/>
              <w:bottom w:val="single" w:sz="4" w:space="0" w:color="auto"/>
              <w:right w:val="nil"/>
            </w:tcBorders>
            <w:shd w:val="clear" w:color="auto" w:fill="auto"/>
            <w:noWrap/>
            <w:vAlign w:val="center"/>
            <w:hideMark/>
          </w:tcPr>
          <w:p w14:paraId="1CA5F9AA"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1.03</w:t>
            </w:r>
          </w:p>
        </w:tc>
        <w:tc>
          <w:tcPr>
            <w:tcW w:w="1080" w:type="dxa"/>
            <w:tcBorders>
              <w:top w:val="nil"/>
              <w:left w:val="nil"/>
              <w:bottom w:val="single" w:sz="4" w:space="0" w:color="auto"/>
              <w:right w:val="nil"/>
            </w:tcBorders>
            <w:shd w:val="clear" w:color="auto" w:fill="auto"/>
            <w:noWrap/>
            <w:vAlign w:val="center"/>
            <w:hideMark/>
          </w:tcPr>
          <w:p w14:paraId="26679EB7"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0.97084</w:t>
            </w:r>
          </w:p>
        </w:tc>
      </w:tr>
      <w:tr w:rsidR="00CA0EF0" w:rsidRPr="00361E30" w14:paraId="1902A1AE" w14:textId="77777777" w:rsidTr="003C13F4">
        <w:trPr>
          <w:trHeight w:val="300"/>
        </w:trPr>
        <w:tc>
          <w:tcPr>
            <w:tcW w:w="3435" w:type="dxa"/>
            <w:tcBorders>
              <w:top w:val="nil"/>
              <w:left w:val="nil"/>
              <w:bottom w:val="nil"/>
              <w:right w:val="nil"/>
            </w:tcBorders>
            <w:shd w:val="clear" w:color="auto" w:fill="auto"/>
            <w:noWrap/>
            <w:vAlign w:val="bottom"/>
            <w:hideMark/>
          </w:tcPr>
          <w:p w14:paraId="77CFC91E"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Glasgow Coma Score on Admission</w:t>
            </w:r>
          </w:p>
        </w:tc>
        <w:tc>
          <w:tcPr>
            <w:tcW w:w="1080" w:type="dxa"/>
            <w:tcBorders>
              <w:top w:val="nil"/>
              <w:left w:val="nil"/>
              <w:bottom w:val="nil"/>
              <w:right w:val="nil"/>
            </w:tcBorders>
            <w:shd w:val="clear" w:color="auto" w:fill="auto"/>
            <w:noWrap/>
            <w:vAlign w:val="center"/>
            <w:hideMark/>
          </w:tcPr>
          <w:p w14:paraId="79638D64"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080" w:type="dxa"/>
            <w:tcBorders>
              <w:top w:val="nil"/>
              <w:left w:val="nil"/>
              <w:bottom w:val="nil"/>
              <w:right w:val="nil"/>
            </w:tcBorders>
            <w:shd w:val="clear" w:color="auto" w:fill="auto"/>
            <w:noWrap/>
            <w:vAlign w:val="center"/>
            <w:hideMark/>
          </w:tcPr>
          <w:p w14:paraId="7B341B27"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2BC28C7E" w14:textId="77777777" w:rsidTr="003C13F4">
        <w:trPr>
          <w:trHeight w:val="300"/>
        </w:trPr>
        <w:tc>
          <w:tcPr>
            <w:tcW w:w="3435" w:type="dxa"/>
            <w:tcBorders>
              <w:top w:val="nil"/>
              <w:left w:val="nil"/>
              <w:bottom w:val="nil"/>
              <w:right w:val="nil"/>
            </w:tcBorders>
            <w:shd w:val="clear" w:color="auto" w:fill="auto"/>
            <w:noWrap/>
            <w:vAlign w:val="bottom"/>
            <w:hideMark/>
          </w:tcPr>
          <w:p w14:paraId="15014317"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2</w:t>
            </w:r>
          </w:p>
        </w:tc>
        <w:tc>
          <w:tcPr>
            <w:tcW w:w="1080" w:type="dxa"/>
            <w:tcBorders>
              <w:top w:val="nil"/>
              <w:left w:val="nil"/>
              <w:bottom w:val="nil"/>
              <w:right w:val="nil"/>
            </w:tcBorders>
            <w:shd w:val="clear" w:color="auto" w:fill="auto"/>
            <w:noWrap/>
            <w:vAlign w:val="center"/>
            <w:hideMark/>
          </w:tcPr>
          <w:p w14:paraId="6C7789A4"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1.34</w:t>
            </w:r>
          </w:p>
        </w:tc>
        <w:tc>
          <w:tcPr>
            <w:tcW w:w="1080" w:type="dxa"/>
            <w:tcBorders>
              <w:top w:val="nil"/>
              <w:left w:val="nil"/>
              <w:bottom w:val="nil"/>
              <w:right w:val="nil"/>
            </w:tcBorders>
            <w:shd w:val="clear" w:color="auto" w:fill="auto"/>
            <w:noWrap/>
            <w:vAlign w:val="center"/>
            <w:hideMark/>
          </w:tcPr>
          <w:p w14:paraId="40E852F0"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0.74838</w:t>
            </w:r>
          </w:p>
        </w:tc>
      </w:tr>
      <w:tr w:rsidR="00CA0EF0" w:rsidRPr="00361E30" w14:paraId="2D117AD4" w14:textId="77777777" w:rsidTr="003C13F4">
        <w:trPr>
          <w:trHeight w:val="300"/>
        </w:trPr>
        <w:tc>
          <w:tcPr>
            <w:tcW w:w="3435" w:type="dxa"/>
            <w:tcBorders>
              <w:top w:val="nil"/>
              <w:left w:val="nil"/>
              <w:bottom w:val="nil"/>
              <w:right w:val="nil"/>
            </w:tcBorders>
            <w:shd w:val="clear" w:color="auto" w:fill="auto"/>
            <w:noWrap/>
            <w:vAlign w:val="bottom"/>
            <w:hideMark/>
          </w:tcPr>
          <w:p w14:paraId="6194864D"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3</w:t>
            </w:r>
          </w:p>
        </w:tc>
        <w:tc>
          <w:tcPr>
            <w:tcW w:w="1080" w:type="dxa"/>
            <w:tcBorders>
              <w:top w:val="nil"/>
              <w:left w:val="nil"/>
              <w:bottom w:val="nil"/>
              <w:right w:val="nil"/>
            </w:tcBorders>
            <w:shd w:val="clear" w:color="auto" w:fill="auto"/>
            <w:noWrap/>
            <w:vAlign w:val="center"/>
            <w:hideMark/>
          </w:tcPr>
          <w:p w14:paraId="19F13195"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1.12</w:t>
            </w:r>
          </w:p>
        </w:tc>
        <w:tc>
          <w:tcPr>
            <w:tcW w:w="1080" w:type="dxa"/>
            <w:tcBorders>
              <w:top w:val="nil"/>
              <w:left w:val="nil"/>
              <w:bottom w:val="nil"/>
              <w:right w:val="nil"/>
            </w:tcBorders>
            <w:shd w:val="clear" w:color="auto" w:fill="auto"/>
            <w:noWrap/>
            <w:vAlign w:val="center"/>
            <w:hideMark/>
          </w:tcPr>
          <w:p w14:paraId="5507F366"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0.89393</w:t>
            </w:r>
          </w:p>
        </w:tc>
      </w:tr>
      <w:tr w:rsidR="00CA0EF0" w:rsidRPr="00361E30" w14:paraId="6E45070C" w14:textId="77777777" w:rsidTr="003C13F4">
        <w:trPr>
          <w:trHeight w:val="300"/>
        </w:trPr>
        <w:tc>
          <w:tcPr>
            <w:tcW w:w="3435" w:type="dxa"/>
            <w:tcBorders>
              <w:top w:val="nil"/>
              <w:left w:val="nil"/>
              <w:bottom w:val="nil"/>
              <w:right w:val="nil"/>
            </w:tcBorders>
            <w:shd w:val="clear" w:color="auto" w:fill="auto"/>
            <w:noWrap/>
            <w:vAlign w:val="bottom"/>
            <w:hideMark/>
          </w:tcPr>
          <w:p w14:paraId="12A1EAA4"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4</w:t>
            </w:r>
          </w:p>
        </w:tc>
        <w:tc>
          <w:tcPr>
            <w:tcW w:w="1080" w:type="dxa"/>
            <w:tcBorders>
              <w:top w:val="nil"/>
              <w:left w:val="nil"/>
              <w:bottom w:val="nil"/>
              <w:right w:val="nil"/>
            </w:tcBorders>
            <w:shd w:val="clear" w:color="auto" w:fill="auto"/>
            <w:noWrap/>
            <w:vAlign w:val="center"/>
            <w:hideMark/>
          </w:tcPr>
          <w:p w14:paraId="68B33DF6"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1.07</w:t>
            </w:r>
          </w:p>
        </w:tc>
        <w:tc>
          <w:tcPr>
            <w:tcW w:w="1080" w:type="dxa"/>
            <w:tcBorders>
              <w:top w:val="nil"/>
              <w:left w:val="nil"/>
              <w:bottom w:val="nil"/>
              <w:right w:val="nil"/>
            </w:tcBorders>
            <w:shd w:val="clear" w:color="auto" w:fill="auto"/>
            <w:noWrap/>
            <w:vAlign w:val="center"/>
            <w:hideMark/>
          </w:tcPr>
          <w:p w14:paraId="3F5D02E6"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0.93569</w:t>
            </w:r>
          </w:p>
        </w:tc>
      </w:tr>
      <w:tr w:rsidR="00CA0EF0" w:rsidRPr="00361E30" w14:paraId="04F773C2" w14:textId="77777777" w:rsidTr="003C13F4">
        <w:trPr>
          <w:trHeight w:val="300"/>
        </w:trPr>
        <w:tc>
          <w:tcPr>
            <w:tcW w:w="3435" w:type="dxa"/>
            <w:tcBorders>
              <w:top w:val="nil"/>
              <w:left w:val="nil"/>
              <w:bottom w:val="nil"/>
              <w:right w:val="nil"/>
            </w:tcBorders>
            <w:shd w:val="clear" w:color="auto" w:fill="auto"/>
            <w:noWrap/>
            <w:vAlign w:val="bottom"/>
            <w:hideMark/>
          </w:tcPr>
          <w:p w14:paraId="692C3ADD"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5</w:t>
            </w:r>
          </w:p>
        </w:tc>
        <w:tc>
          <w:tcPr>
            <w:tcW w:w="1080" w:type="dxa"/>
            <w:tcBorders>
              <w:top w:val="nil"/>
              <w:left w:val="nil"/>
              <w:bottom w:val="nil"/>
              <w:right w:val="nil"/>
            </w:tcBorders>
            <w:shd w:val="clear" w:color="auto" w:fill="auto"/>
            <w:noWrap/>
            <w:vAlign w:val="center"/>
            <w:hideMark/>
          </w:tcPr>
          <w:p w14:paraId="60DB1284"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1.05</w:t>
            </w:r>
          </w:p>
        </w:tc>
        <w:tc>
          <w:tcPr>
            <w:tcW w:w="1080" w:type="dxa"/>
            <w:tcBorders>
              <w:top w:val="nil"/>
              <w:left w:val="nil"/>
              <w:bottom w:val="nil"/>
              <w:right w:val="nil"/>
            </w:tcBorders>
            <w:shd w:val="clear" w:color="auto" w:fill="auto"/>
            <w:noWrap/>
            <w:vAlign w:val="center"/>
            <w:hideMark/>
          </w:tcPr>
          <w:p w14:paraId="4F6230D0"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0.95566</w:t>
            </w:r>
          </w:p>
        </w:tc>
      </w:tr>
      <w:tr w:rsidR="00CA0EF0" w:rsidRPr="00361E30" w14:paraId="352516AC" w14:textId="77777777" w:rsidTr="003C13F4">
        <w:trPr>
          <w:trHeight w:val="300"/>
        </w:trPr>
        <w:tc>
          <w:tcPr>
            <w:tcW w:w="3435" w:type="dxa"/>
            <w:tcBorders>
              <w:top w:val="nil"/>
              <w:left w:val="nil"/>
              <w:bottom w:val="nil"/>
              <w:right w:val="nil"/>
            </w:tcBorders>
            <w:shd w:val="clear" w:color="auto" w:fill="auto"/>
            <w:noWrap/>
            <w:vAlign w:val="bottom"/>
            <w:hideMark/>
          </w:tcPr>
          <w:p w14:paraId="242084F0"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6</w:t>
            </w:r>
          </w:p>
        </w:tc>
        <w:tc>
          <w:tcPr>
            <w:tcW w:w="1080" w:type="dxa"/>
            <w:tcBorders>
              <w:top w:val="nil"/>
              <w:left w:val="nil"/>
              <w:bottom w:val="nil"/>
              <w:right w:val="nil"/>
            </w:tcBorders>
            <w:shd w:val="clear" w:color="auto" w:fill="auto"/>
            <w:noWrap/>
            <w:vAlign w:val="center"/>
            <w:hideMark/>
          </w:tcPr>
          <w:p w14:paraId="0E98AC27"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1.06</w:t>
            </w:r>
          </w:p>
        </w:tc>
        <w:tc>
          <w:tcPr>
            <w:tcW w:w="1080" w:type="dxa"/>
            <w:tcBorders>
              <w:top w:val="nil"/>
              <w:left w:val="nil"/>
              <w:bottom w:val="nil"/>
              <w:right w:val="nil"/>
            </w:tcBorders>
            <w:shd w:val="clear" w:color="auto" w:fill="auto"/>
            <w:noWrap/>
            <w:vAlign w:val="center"/>
            <w:hideMark/>
          </w:tcPr>
          <w:p w14:paraId="12111A27"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0.93997</w:t>
            </w:r>
          </w:p>
        </w:tc>
      </w:tr>
      <w:tr w:rsidR="00CA0EF0" w:rsidRPr="00361E30" w14:paraId="0A90A286" w14:textId="77777777" w:rsidTr="003C13F4">
        <w:trPr>
          <w:trHeight w:val="300"/>
        </w:trPr>
        <w:tc>
          <w:tcPr>
            <w:tcW w:w="3435" w:type="dxa"/>
            <w:tcBorders>
              <w:top w:val="nil"/>
              <w:left w:val="nil"/>
              <w:bottom w:val="single" w:sz="4" w:space="0" w:color="auto"/>
              <w:right w:val="nil"/>
            </w:tcBorders>
            <w:shd w:val="clear" w:color="auto" w:fill="auto"/>
            <w:noWrap/>
            <w:vAlign w:val="bottom"/>
            <w:hideMark/>
          </w:tcPr>
          <w:p w14:paraId="6AE3896B"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96</w:t>
            </w:r>
          </w:p>
        </w:tc>
        <w:tc>
          <w:tcPr>
            <w:tcW w:w="1080" w:type="dxa"/>
            <w:tcBorders>
              <w:top w:val="nil"/>
              <w:left w:val="nil"/>
              <w:bottom w:val="single" w:sz="4" w:space="0" w:color="auto"/>
              <w:right w:val="nil"/>
            </w:tcBorders>
            <w:shd w:val="clear" w:color="auto" w:fill="auto"/>
            <w:noWrap/>
            <w:vAlign w:val="center"/>
            <w:hideMark/>
          </w:tcPr>
          <w:p w14:paraId="361BABE8"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1.09</w:t>
            </w:r>
          </w:p>
        </w:tc>
        <w:tc>
          <w:tcPr>
            <w:tcW w:w="1080" w:type="dxa"/>
            <w:tcBorders>
              <w:top w:val="nil"/>
              <w:left w:val="nil"/>
              <w:bottom w:val="single" w:sz="4" w:space="0" w:color="auto"/>
              <w:right w:val="nil"/>
            </w:tcBorders>
            <w:shd w:val="clear" w:color="auto" w:fill="auto"/>
            <w:noWrap/>
            <w:vAlign w:val="center"/>
            <w:hideMark/>
          </w:tcPr>
          <w:p w14:paraId="5E9EBB9F"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0.91796</w:t>
            </w:r>
          </w:p>
        </w:tc>
      </w:tr>
      <w:tr w:rsidR="00CA0EF0" w:rsidRPr="00361E30" w14:paraId="4B489493" w14:textId="77777777" w:rsidTr="003C13F4">
        <w:trPr>
          <w:trHeight w:val="300"/>
        </w:trPr>
        <w:tc>
          <w:tcPr>
            <w:tcW w:w="3435" w:type="dxa"/>
            <w:tcBorders>
              <w:top w:val="nil"/>
              <w:left w:val="nil"/>
              <w:bottom w:val="single" w:sz="4" w:space="0" w:color="auto"/>
              <w:right w:val="nil"/>
            </w:tcBorders>
            <w:shd w:val="clear" w:color="auto" w:fill="auto"/>
            <w:noWrap/>
            <w:vAlign w:val="bottom"/>
            <w:hideMark/>
          </w:tcPr>
          <w:p w14:paraId="69B7A766"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Systolic Blood Pressure</w:t>
            </w:r>
          </w:p>
        </w:tc>
        <w:tc>
          <w:tcPr>
            <w:tcW w:w="1080" w:type="dxa"/>
            <w:tcBorders>
              <w:top w:val="nil"/>
              <w:left w:val="nil"/>
              <w:bottom w:val="single" w:sz="4" w:space="0" w:color="auto"/>
              <w:right w:val="nil"/>
            </w:tcBorders>
            <w:shd w:val="clear" w:color="auto" w:fill="auto"/>
            <w:noWrap/>
            <w:vAlign w:val="center"/>
            <w:hideMark/>
          </w:tcPr>
          <w:p w14:paraId="459DE126"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1.11</w:t>
            </w:r>
          </w:p>
        </w:tc>
        <w:tc>
          <w:tcPr>
            <w:tcW w:w="1080" w:type="dxa"/>
            <w:tcBorders>
              <w:top w:val="nil"/>
              <w:left w:val="nil"/>
              <w:bottom w:val="single" w:sz="4" w:space="0" w:color="auto"/>
              <w:right w:val="nil"/>
            </w:tcBorders>
            <w:shd w:val="clear" w:color="auto" w:fill="auto"/>
            <w:noWrap/>
            <w:vAlign w:val="center"/>
            <w:hideMark/>
          </w:tcPr>
          <w:p w14:paraId="54D35AA0"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0.90202</w:t>
            </w:r>
          </w:p>
        </w:tc>
      </w:tr>
      <w:tr w:rsidR="00CA0EF0" w:rsidRPr="00361E30" w14:paraId="33541B4E" w14:textId="77777777" w:rsidTr="003C13F4">
        <w:trPr>
          <w:trHeight w:val="300"/>
        </w:trPr>
        <w:tc>
          <w:tcPr>
            <w:tcW w:w="3435" w:type="dxa"/>
            <w:tcBorders>
              <w:top w:val="nil"/>
              <w:left w:val="nil"/>
              <w:bottom w:val="nil"/>
              <w:right w:val="nil"/>
            </w:tcBorders>
            <w:shd w:val="clear" w:color="auto" w:fill="auto"/>
            <w:noWrap/>
            <w:vAlign w:val="bottom"/>
            <w:hideMark/>
          </w:tcPr>
          <w:p w14:paraId="3A78AD2F"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Respiratory Rate</w:t>
            </w:r>
          </w:p>
        </w:tc>
        <w:tc>
          <w:tcPr>
            <w:tcW w:w="1080" w:type="dxa"/>
            <w:tcBorders>
              <w:top w:val="nil"/>
              <w:left w:val="nil"/>
              <w:bottom w:val="nil"/>
              <w:right w:val="nil"/>
            </w:tcBorders>
            <w:shd w:val="clear" w:color="auto" w:fill="auto"/>
            <w:noWrap/>
            <w:vAlign w:val="center"/>
            <w:hideMark/>
          </w:tcPr>
          <w:p w14:paraId="4298BF7D"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080" w:type="dxa"/>
            <w:tcBorders>
              <w:top w:val="nil"/>
              <w:left w:val="nil"/>
              <w:bottom w:val="nil"/>
              <w:right w:val="nil"/>
            </w:tcBorders>
            <w:shd w:val="clear" w:color="auto" w:fill="auto"/>
            <w:noWrap/>
            <w:vAlign w:val="center"/>
            <w:hideMark/>
          </w:tcPr>
          <w:p w14:paraId="78F6E8F6"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08EA17C0" w14:textId="77777777" w:rsidTr="003C13F4">
        <w:trPr>
          <w:trHeight w:val="300"/>
        </w:trPr>
        <w:tc>
          <w:tcPr>
            <w:tcW w:w="3435" w:type="dxa"/>
            <w:tcBorders>
              <w:top w:val="nil"/>
              <w:left w:val="nil"/>
              <w:bottom w:val="nil"/>
              <w:right w:val="nil"/>
            </w:tcBorders>
            <w:shd w:val="clear" w:color="auto" w:fill="auto"/>
            <w:noWrap/>
            <w:vAlign w:val="bottom"/>
            <w:hideMark/>
          </w:tcPr>
          <w:p w14:paraId="3CA85594"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2</w:t>
            </w:r>
          </w:p>
        </w:tc>
        <w:tc>
          <w:tcPr>
            <w:tcW w:w="1080" w:type="dxa"/>
            <w:tcBorders>
              <w:top w:val="nil"/>
              <w:left w:val="nil"/>
              <w:bottom w:val="nil"/>
              <w:right w:val="nil"/>
            </w:tcBorders>
            <w:shd w:val="clear" w:color="auto" w:fill="auto"/>
            <w:noWrap/>
            <w:vAlign w:val="center"/>
            <w:hideMark/>
          </w:tcPr>
          <w:p w14:paraId="20E7EB3B"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1.03</w:t>
            </w:r>
          </w:p>
        </w:tc>
        <w:tc>
          <w:tcPr>
            <w:tcW w:w="1080" w:type="dxa"/>
            <w:tcBorders>
              <w:top w:val="nil"/>
              <w:left w:val="nil"/>
              <w:bottom w:val="nil"/>
              <w:right w:val="nil"/>
            </w:tcBorders>
            <w:shd w:val="clear" w:color="auto" w:fill="auto"/>
            <w:noWrap/>
            <w:vAlign w:val="center"/>
            <w:hideMark/>
          </w:tcPr>
          <w:p w14:paraId="7C37EF73"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0.96728</w:t>
            </w:r>
          </w:p>
        </w:tc>
      </w:tr>
      <w:tr w:rsidR="00CA0EF0" w:rsidRPr="00361E30" w14:paraId="7FD3F4C9" w14:textId="77777777" w:rsidTr="003C13F4">
        <w:trPr>
          <w:trHeight w:val="300"/>
        </w:trPr>
        <w:tc>
          <w:tcPr>
            <w:tcW w:w="3435" w:type="dxa"/>
            <w:tcBorders>
              <w:top w:val="nil"/>
              <w:left w:val="nil"/>
              <w:bottom w:val="nil"/>
              <w:right w:val="nil"/>
            </w:tcBorders>
            <w:shd w:val="clear" w:color="auto" w:fill="auto"/>
            <w:noWrap/>
            <w:vAlign w:val="bottom"/>
            <w:hideMark/>
          </w:tcPr>
          <w:p w14:paraId="179DD5BA"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3</w:t>
            </w:r>
          </w:p>
        </w:tc>
        <w:tc>
          <w:tcPr>
            <w:tcW w:w="1080" w:type="dxa"/>
            <w:tcBorders>
              <w:top w:val="nil"/>
              <w:left w:val="nil"/>
              <w:bottom w:val="nil"/>
              <w:right w:val="nil"/>
            </w:tcBorders>
            <w:shd w:val="clear" w:color="auto" w:fill="auto"/>
            <w:noWrap/>
            <w:vAlign w:val="center"/>
            <w:hideMark/>
          </w:tcPr>
          <w:p w14:paraId="1D1D0428"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1.01</w:t>
            </w:r>
          </w:p>
        </w:tc>
        <w:tc>
          <w:tcPr>
            <w:tcW w:w="1080" w:type="dxa"/>
            <w:tcBorders>
              <w:top w:val="nil"/>
              <w:left w:val="nil"/>
              <w:bottom w:val="nil"/>
              <w:right w:val="nil"/>
            </w:tcBorders>
            <w:shd w:val="clear" w:color="auto" w:fill="auto"/>
            <w:noWrap/>
            <w:vAlign w:val="center"/>
            <w:hideMark/>
          </w:tcPr>
          <w:p w14:paraId="7D354639"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0.98694</w:t>
            </w:r>
          </w:p>
        </w:tc>
      </w:tr>
      <w:tr w:rsidR="00CA0EF0" w:rsidRPr="00361E30" w14:paraId="30E073FB" w14:textId="77777777" w:rsidTr="003C13F4">
        <w:trPr>
          <w:trHeight w:val="300"/>
        </w:trPr>
        <w:tc>
          <w:tcPr>
            <w:tcW w:w="3435" w:type="dxa"/>
            <w:tcBorders>
              <w:top w:val="nil"/>
              <w:left w:val="nil"/>
              <w:bottom w:val="nil"/>
              <w:right w:val="nil"/>
            </w:tcBorders>
            <w:shd w:val="clear" w:color="auto" w:fill="auto"/>
            <w:noWrap/>
            <w:vAlign w:val="bottom"/>
            <w:hideMark/>
          </w:tcPr>
          <w:p w14:paraId="0162BB6F"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4</w:t>
            </w:r>
          </w:p>
        </w:tc>
        <w:tc>
          <w:tcPr>
            <w:tcW w:w="1080" w:type="dxa"/>
            <w:tcBorders>
              <w:top w:val="nil"/>
              <w:left w:val="nil"/>
              <w:bottom w:val="nil"/>
              <w:right w:val="nil"/>
            </w:tcBorders>
            <w:shd w:val="clear" w:color="auto" w:fill="auto"/>
            <w:noWrap/>
            <w:vAlign w:val="center"/>
            <w:hideMark/>
          </w:tcPr>
          <w:p w14:paraId="43BD40E7"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1.01</w:t>
            </w:r>
          </w:p>
        </w:tc>
        <w:tc>
          <w:tcPr>
            <w:tcW w:w="1080" w:type="dxa"/>
            <w:tcBorders>
              <w:top w:val="nil"/>
              <w:left w:val="nil"/>
              <w:bottom w:val="nil"/>
              <w:right w:val="nil"/>
            </w:tcBorders>
            <w:shd w:val="clear" w:color="auto" w:fill="auto"/>
            <w:noWrap/>
            <w:vAlign w:val="center"/>
            <w:hideMark/>
          </w:tcPr>
          <w:p w14:paraId="4E6FC4DF"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0.98666</w:t>
            </w:r>
          </w:p>
        </w:tc>
      </w:tr>
      <w:tr w:rsidR="00CA0EF0" w:rsidRPr="00361E30" w14:paraId="219FFFB1" w14:textId="77777777" w:rsidTr="003C13F4">
        <w:trPr>
          <w:trHeight w:val="300"/>
        </w:trPr>
        <w:tc>
          <w:tcPr>
            <w:tcW w:w="3435" w:type="dxa"/>
            <w:tcBorders>
              <w:top w:val="nil"/>
              <w:left w:val="nil"/>
              <w:bottom w:val="single" w:sz="4" w:space="0" w:color="auto"/>
              <w:right w:val="nil"/>
            </w:tcBorders>
            <w:shd w:val="clear" w:color="auto" w:fill="auto"/>
            <w:noWrap/>
            <w:vAlign w:val="bottom"/>
            <w:hideMark/>
          </w:tcPr>
          <w:p w14:paraId="2DCE3D46"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5</w:t>
            </w:r>
          </w:p>
        </w:tc>
        <w:tc>
          <w:tcPr>
            <w:tcW w:w="1080" w:type="dxa"/>
            <w:tcBorders>
              <w:top w:val="nil"/>
              <w:left w:val="nil"/>
              <w:bottom w:val="single" w:sz="4" w:space="0" w:color="auto"/>
              <w:right w:val="nil"/>
            </w:tcBorders>
            <w:shd w:val="clear" w:color="auto" w:fill="auto"/>
            <w:noWrap/>
            <w:vAlign w:val="center"/>
            <w:hideMark/>
          </w:tcPr>
          <w:p w14:paraId="5C117F25"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1.06</w:t>
            </w:r>
          </w:p>
        </w:tc>
        <w:tc>
          <w:tcPr>
            <w:tcW w:w="1080" w:type="dxa"/>
            <w:tcBorders>
              <w:top w:val="nil"/>
              <w:left w:val="nil"/>
              <w:bottom w:val="single" w:sz="4" w:space="0" w:color="auto"/>
              <w:right w:val="nil"/>
            </w:tcBorders>
            <w:shd w:val="clear" w:color="auto" w:fill="auto"/>
            <w:noWrap/>
            <w:vAlign w:val="center"/>
            <w:hideMark/>
          </w:tcPr>
          <w:p w14:paraId="26478AAE"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0.94698</w:t>
            </w:r>
          </w:p>
        </w:tc>
      </w:tr>
      <w:tr w:rsidR="00CA0EF0" w:rsidRPr="00361E30" w14:paraId="4B625CAB" w14:textId="77777777" w:rsidTr="003C13F4">
        <w:trPr>
          <w:trHeight w:val="300"/>
        </w:trPr>
        <w:tc>
          <w:tcPr>
            <w:tcW w:w="3435" w:type="dxa"/>
            <w:tcBorders>
              <w:top w:val="nil"/>
              <w:left w:val="nil"/>
              <w:right w:val="nil"/>
            </w:tcBorders>
            <w:shd w:val="clear" w:color="auto" w:fill="auto"/>
            <w:noWrap/>
            <w:vAlign w:val="bottom"/>
            <w:hideMark/>
          </w:tcPr>
          <w:p w14:paraId="1220F1E9" w14:textId="77777777" w:rsidR="00CA0EF0" w:rsidRPr="00361E30" w:rsidRDefault="00CA0EF0" w:rsidP="003C13F4">
            <w:pPr>
              <w:spacing w:after="0" w:line="240" w:lineRule="auto"/>
              <w:rPr>
                <w:rFonts w:ascii="Calibri" w:eastAsia="Times New Roman" w:hAnsi="Calibri" w:cs="Calibri"/>
                <w:color w:val="000000"/>
                <w:lang w:eastAsia="en-GB"/>
              </w:rPr>
            </w:pPr>
          </w:p>
        </w:tc>
        <w:tc>
          <w:tcPr>
            <w:tcW w:w="1080" w:type="dxa"/>
            <w:tcBorders>
              <w:top w:val="nil"/>
              <w:left w:val="nil"/>
              <w:right w:val="nil"/>
            </w:tcBorders>
            <w:shd w:val="clear" w:color="auto" w:fill="auto"/>
            <w:noWrap/>
            <w:vAlign w:val="center"/>
            <w:hideMark/>
          </w:tcPr>
          <w:p w14:paraId="14ED2B7F"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080" w:type="dxa"/>
            <w:tcBorders>
              <w:top w:val="nil"/>
              <w:left w:val="nil"/>
              <w:right w:val="nil"/>
            </w:tcBorders>
            <w:shd w:val="clear" w:color="auto" w:fill="auto"/>
            <w:noWrap/>
            <w:vAlign w:val="center"/>
            <w:hideMark/>
          </w:tcPr>
          <w:p w14:paraId="69AA7549"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6C882F0B" w14:textId="77777777" w:rsidTr="003C13F4">
        <w:trPr>
          <w:trHeight w:val="315"/>
        </w:trPr>
        <w:tc>
          <w:tcPr>
            <w:tcW w:w="3435" w:type="dxa"/>
            <w:tcBorders>
              <w:top w:val="nil"/>
              <w:left w:val="nil"/>
              <w:bottom w:val="single" w:sz="4" w:space="0" w:color="auto"/>
              <w:right w:val="nil"/>
            </w:tcBorders>
            <w:shd w:val="clear" w:color="auto" w:fill="auto"/>
            <w:noWrap/>
            <w:vAlign w:val="bottom"/>
            <w:hideMark/>
          </w:tcPr>
          <w:p w14:paraId="1789DC39"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Mean VIF</w:t>
            </w:r>
          </w:p>
        </w:tc>
        <w:tc>
          <w:tcPr>
            <w:tcW w:w="1080" w:type="dxa"/>
            <w:tcBorders>
              <w:top w:val="nil"/>
              <w:left w:val="nil"/>
              <w:bottom w:val="single" w:sz="4" w:space="0" w:color="auto"/>
              <w:right w:val="nil"/>
            </w:tcBorders>
            <w:shd w:val="clear" w:color="auto" w:fill="auto"/>
            <w:noWrap/>
            <w:vAlign w:val="center"/>
            <w:hideMark/>
          </w:tcPr>
          <w:p w14:paraId="1ED230DB"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1.61</w:t>
            </w:r>
          </w:p>
        </w:tc>
        <w:tc>
          <w:tcPr>
            <w:tcW w:w="1080" w:type="dxa"/>
            <w:tcBorders>
              <w:top w:val="nil"/>
              <w:left w:val="nil"/>
              <w:bottom w:val="single" w:sz="4" w:space="0" w:color="auto"/>
              <w:right w:val="nil"/>
            </w:tcBorders>
            <w:shd w:val="clear" w:color="auto" w:fill="auto"/>
            <w:noWrap/>
            <w:vAlign w:val="center"/>
            <w:hideMark/>
          </w:tcPr>
          <w:p w14:paraId="00A8F33E"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bl>
    <w:p w14:paraId="3F81A891" w14:textId="77777777" w:rsidR="00CA0EF0" w:rsidRPr="00361E30" w:rsidRDefault="00CA0EF0" w:rsidP="003C13F4">
      <w:pPr>
        <w:pStyle w:val="TableTitle"/>
      </w:pPr>
      <w:bookmarkStart w:id="137" w:name="_Toc528321050"/>
      <w:r w:rsidRPr="00361E30">
        <w:t>Table 5.6: Variance Inflated Factors for variables tested in the multivariate analysis. None of the VIF’s were greater than 10, though the VIF for Head Injuries was the highest.</w:t>
      </w:r>
      <w:bookmarkEnd w:id="137"/>
    </w:p>
    <w:p w14:paraId="6C2C9385" w14:textId="77777777" w:rsidR="00CA0EF0" w:rsidRPr="00361E30" w:rsidRDefault="00CA0EF0" w:rsidP="003C13F4"/>
    <w:p w14:paraId="05245526" w14:textId="77777777" w:rsidR="00CA0EF0" w:rsidRPr="00361E30" w:rsidRDefault="00CA0EF0" w:rsidP="003C13F4"/>
    <w:p w14:paraId="5DE341C9" w14:textId="77777777" w:rsidR="00CA0EF0" w:rsidRPr="00361E30" w:rsidRDefault="00CA0EF0" w:rsidP="003C13F4"/>
    <w:tbl>
      <w:tblPr>
        <w:tblW w:w="9322" w:type="dxa"/>
        <w:jc w:val="center"/>
        <w:tblLook w:val="04A0" w:firstRow="1" w:lastRow="0" w:firstColumn="1" w:lastColumn="0" w:noHBand="0" w:noVBand="1"/>
      </w:tblPr>
      <w:tblGrid>
        <w:gridCol w:w="2448"/>
        <w:gridCol w:w="2055"/>
        <w:gridCol w:w="1275"/>
        <w:gridCol w:w="1276"/>
        <w:gridCol w:w="1276"/>
        <w:gridCol w:w="992"/>
      </w:tblGrid>
      <w:tr w:rsidR="00CA0EF0" w:rsidRPr="00361E30" w14:paraId="0DF6AC37" w14:textId="77777777" w:rsidTr="003C13F4">
        <w:trPr>
          <w:trHeight w:val="300"/>
          <w:jc w:val="center"/>
        </w:trPr>
        <w:tc>
          <w:tcPr>
            <w:tcW w:w="2448" w:type="dxa"/>
            <w:tcBorders>
              <w:top w:val="single" w:sz="4" w:space="0" w:color="auto"/>
              <w:left w:val="nil"/>
              <w:bottom w:val="nil"/>
              <w:right w:val="nil"/>
            </w:tcBorders>
            <w:shd w:val="clear" w:color="auto" w:fill="auto"/>
            <w:noWrap/>
            <w:vAlign w:val="bottom"/>
            <w:hideMark/>
          </w:tcPr>
          <w:p w14:paraId="725F9196" w14:textId="77777777" w:rsidR="00CA0EF0" w:rsidRPr="00361E30" w:rsidRDefault="00CA0EF0" w:rsidP="003C13F4">
            <w:pPr>
              <w:spacing w:after="0" w:line="240" w:lineRule="auto"/>
              <w:rPr>
                <w:rFonts w:ascii="Calibri" w:eastAsia="Times New Roman" w:hAnsi="Calibri" w:cs="Calibri"/>
                <w:b/>
                <w:bCs/>
                <w:color w:val="000000"/>
              </w:rPr>
            </w:pPr>
            <w:r w:rsidRPr="00361E30">
              <w:rPr>
                <w:rFonts w:ascii="Calibri" w:eastAsia="Times New Roman" w:hAnsi="Calibri" w:cs="Calibri"/>
                <w:b/>
                <w:bCs/>
                <w:color w:val="000000"/>
              </w:rPr>
              <w:lastRenderedPageBreak/>
              <w:t>Covariates</w:t>
            </w:r>
          </w:p>
        </w:tc>
        <w:tc>
          <w:tcPr>
            <w:tcW w:w="2055" w:type="dxa"/>
            <w:tcBorders>
              <w:top w:val="single" w:sz="4" w:space="0" w:color="auto"/>
              <w:left w:val="nil"/>
              <w:bottom w:val="nil"/>
              <w:right w:val="nil"/>
            </w:tcBorders>
            <w:shd w:val="clear" w:color="auto" w:fill="auto"/>
            <w:noWrap/>
            <w:vAlign w:val="center"/>
            <w:hideMark/>
          </w:tcPr>
          <w:p w14:paraId="576111F7" w14:textId="77777777" w:rsidR="00CA0EF0" w:rsidRPr="00361E30" w:rsidRDefault="00CA0EF0" w:rsidP="003C13F4">
            <w:pPr>
              <w:spacing w:after="0" w:line="240" w:lineRule="auto"/>
              <w:rPr>
                <w:rFonts w:ascii="Calibri" w:eastAsia="Times New Roman" w:hAnsi="Calibri" w:cs="Calibri"/>
                <w:b/>
                <w:bCs/>
                <w:color w:val="000000"/>
              </w:rPr>
            </w:pPr>
            <w:r w:rsidRPr="00361E30">
              <w:rPr>
                <w:rFonts w:ascii="Calibri" w:eastAsia="Times New Roman" w:hAnsi="Calibri" w:cs="Calibri"/>
                <w:b/>
                <w:bCs/>
                <w:color w:val="000000"/>
              </w:rPr>
              <w:t>Categories</w:t>
            </w:r>
          </w:p>
        </w:tc>
        <w:tc>
          <w:tcPr>
            <w:tcW w:w="1275" w:type="dxa"/>
            <w:tcBorders>
              <w:top w:val="single" w:sz="4" w:space="0" w:color="auto"/>
              <w:left w:val="nil"/>
              <w:bottom w:val="nil"/>
              <w:right w:val="nil"/>
            </w:tcBorders>
            <w:shd w:val="clear" w:color="auto" w:fill="auto"/>
            <w:noWrap/>
            <w:vAlign w:val="center"/>
            <w:hideMark/>
          </w:tcPr>
          <w:p w14:paraId="41FB0EEA" w14:textId="77777777" w:rsidR="00CA0EF0" w:rsidRPr="00361E30" w:rsidRDefault="00CA0EF0" w:rsidP="003C13F4">
            <w:pPr>
              <w:spacing w:after="0" w:line="240" w:lineRule="auto"/>
              <w:jc w:val="center"/>
              <w:rPr>
                <w:rFonts w:ascii="Calibri" w:eastAsia="Times New Roman" w:hAnsi="Calibri" w:cs="Calibri"/>
                <w:b/>
                <w:bCs/>
                <w:color w:val="000000"/>
              </w:rPr>
            </w:pPr>
            <w:r w:rsidRPr="00361E30">
              <w:rPr>
                <w:rFonts w:ascii="Calibri" w:eastAsia="Times New Roman" w:hAnsi="Calibri" w:cs="Calibri"/>
                <w:b/>
                <w:bCs/>
                <w:color w:val="000000"/>
              </w:rPr>
              <w:t>Odds Ratio</w:t>
            </w:r>
          </w:p>
        </w:tc>
        <w:tc>
          <w:tcPr>
            <w:tcW w:w="2552" w:type="dxa"/>
            <w:gridSpan w:val="2"/>
            <w:tcBorders>
              <w:top w:val="single" w:sz="4" w:space="0" w:color="auto"/>
              <w:left w:val="nil"/>
              <w:bottom w:val="nil"/>
              <w:right w:val="nil"/>
            </w:tcBorders>
            <w:shd w:val="clear" w:color="auto" w:fill="auto"/>
            <w:noWrap/>
            <w:vAlign w:val="center"/>
            <w:hideMark/>
          </w:tcPr>
          <w:p w14:paraId="57780D35" w14:textId="77777777" w:rsidR="00CA0EF0" w:rsidRPr="00361E30" w:rsidRDefault="00CA0EF0" w:rsidP="003C13F4">
            <w:pPr>
              <w:spacing w:after="0" w:line="240" w:lineRule="auto"/>
              <w:jc w:val="center"/>
              <w:rPr>
                <w:rFonts w:ascii="Calibri" w:eastAsia="Times New Roman" w:hAnsi="Calibri" w:cs="Calibri"/>
                <w:b/>
                <w:bCs/>
                <w:color w:val="000000"/>
              </w:rPr>
            </w:pPr>
            <w:r w:rsidRPr="00361E30">
              <w:rPr>
                <w:rFonts w:ascii="Calibri" w:eastAsia="Times New Roman" w:hAnsi="Calibri" w:cs="Calibri"/>
                <w:b/>
                <w:bCs/>
                <w:color w:val="000000"/>
              </w:rPr>
              <w:t>95% Confidence Intervals</w:t>
            </w:r>
          </w:p>
        </w:tc>
        <w:tc>
          <w:tcPr>
            <w:tcW w:w="992" w:type="dxa"/>
            <w:tcBorders>
              <w:top w:val="single" w:sz="4" w:space="0" w:color="auto"/>
              <w:left w:val="nil"/>
              <w:bottom w:val="nil"/>
              <w:right w:val="nil"/>
            </w:tcBorders>
            <w:shd w:val="clear" w:color="auto" w:fill="auto"/>
            <w:noWrap/>
            <w:vAlign w:val="center"/>
            <w:hideMark/>
          </w:tcPr>
          <w:p w14:paraId="339FA12B" w14:textId="77777777" w:rsidR="00CA0EF0" w:rsidRPr="00361E30" w:rsidRDefault="00CA0EF0" w:rsidP="003C13F4">
            <w:pPr>
              <w:spacing w:after="0" w:line="240" w:lineRule="auto"/>
              <w:jc w:val="center"/>
              <w:rPr>
                <w:rFonts w:ascii="Calibri" w:eastAsia="Times New Roman" w:hAnsi="Calibri" w:cs="Calibri"/>
                <w:b/>
                <w:bCs/>
                <w:color w:val="000000"/>
              </w:rPr>
            </w:pPr>
            <w:r w:rsidRPr="00361E30">
              <w:rPr>
                <w:rFonts w:ascii="Calibri" w:eastAsia="Times New Roman" w:hAnsi="Calibri" w:cs="Calibri"/>
                <w:b/>
                <w:bCs/>
                <w:color w:val="000000"/>
              </w:rPr>
              <w:t>p value</w:t>
            </w:r>
          </w:p>
        </w:tc>
      </w:tr>
      <w:tr w:rsidR="00CA0EF0" w:rsidRPr="00361E30" w14:paraId="4141B147" w14:textId="77777777" w:rsidTr="003C13F4">
        <w:trPr>
          <w:trHeight w:val="315"/>
          <w:jc w:val="center"/>
        </w:trPr>
        <w:tc>
          <w:tcPr>
            <w:tcW w:w="2448" w:type="dxa"/>
            <w:tcBorders>
              <w:top w:val="nil"/>
              <w:left w:val="nil"/>
              <w:bottom w:val="double" w:sz="6" w:space="0" w:color="auto"/>
              <w:right w:val="nil"/>
            </w:tcBorders>
            <w:shd w:val="clear" w:color="auto" w:fill="auto"/>
            <w:noWrap/>
            <w:vAlign w:val="bottom"/>
            <w:hideMark/>
          </w:tcPr>
          <w:p w14:paraId="4B39794B" w14:textId="77777777" w:rsidR="00CA0EF0" w:rsidRPr="00361E30" w:rsidRDefault="00CA0EF0" w:rsidP="003C13F4">
            <w:pPr>
              <w:spacing w:after="0" w:line="240" w:lineRule="auto"/>
              <w:rPr>
                <w:rFonts w:ascii="Calibri" w:eastAsia="Times New Roman" w:hAnsi="Calibri" w:cs="Calibri"/>
                <w:b/>
                <w:bCs/>
                <w:color w:val="000000"/>
              </w:rPr>
            </w:pPr>
            <w:r w:rsidRPr="00361E30">
              <w:rPr>
                <w:rFonts w:ascii="Calibri" w:eastAsia="Times New Roman" w:hAnsi="Calibri" w:cs="Calibri"/>
                <w:b/>
                <w:bCs/>
                <w:color w:val="000000"/>
              </w:rPr>
              <w:t> </w:t>
            </w:r>
          </w:p>
        </w:tc>
        <w:tc>
          <w:tcPr>
            <w:tcW w:w="2055" w:type="dxa"/>
            <w:tcBorders>
              <w:top w:val="nil"/>
              <w:left w:val="nil"/>
              <w:bottom w:val="double" w:sz="6" w:space="0" w:color="auto"/>
              <w:right w:val="nil"/>
            </w:tcBorders>
            <w:shd w:val="clear" w:color="auto" w:fill="auto"/>
            <w:noWrap/>
            <w:vAlign w:val="center"/>
            <w:hideMark/>
          </w:tcPr>
          <w:p w14:paraId="76EF1EBD" w14:textId="77777777" w:rsidR="00CA0EF0" w:rsidRPr="00361E30" w:rsidRDefault="00CA0EF0" w:rsidP="003C13F4">
            <w:pPr>
              <w:spacing w:after="0" w:line="240" w:lineRule="auto"/>
              <w:rPr>
                <w:rFonts w:ascii="Calibri" w:eastAsia="Times New Roman" w:hAnsi="Calibri" w:cs="Calibri"/>
                <w:b/>
                <w:bCs/>
                <w:color w:val="000000"/>
              </w:rPr>
            </w:pPr>
            <w:r w:rsidRPr="00361E30">
              <w:rPr>
                <w:rFonts w:ascii="Calibri" w:eastAsia="Times New Roman" w:hAnsi="Calibri" w:cs="Calibri"/>
                <w:b/>
                <w:bCs/>
                <w:color w:val="000000"/>
              </w:rPr>
              <w:t> </w:t>
            </w:r>
          </w:p>
        </w:tc>
        <w:tc>
          <w:tcPr>
            <w:tcW w:w="1275" w:type="dxa"/>
            <w:tcBorders>
              <w:top w:val="nil"/>
              <w:left w:val="nil"/>
              <w:bottom w:val="double" w:sz="6" w:space="0" w:color="auto"/>
              <w:right w:val="nil"/>
            </w:tcBorders>
            <w:shd w:val="clear" w:color="auto" w:fill="auto"/>
            <w:noWrap/>
            <w:vAlign w:val="center"/>
            <w:hideMark/>
          </w:tcPr>
          <w:p w14:paraId="4E7B3976" w14:textId="77777777" w:rsidR="00CA0EF0" w:rsidRPr="00361E30" w:rsidRDefault="00CA0EF0" w:rsidP="003C13F4">
            <w:pPr>
              <w:spacing w:after="0" w:line="240" w:lineRule="auto"/>
              <w:jc w:val="center"/>
              <w:rPr>
                <w:rFonts w:ascii="Calibri" w:eastAsia="Times New Roman" w:hAnsi="Calibri" w:cs="Calibri"/>
                <w:b/>
                <w:bCs/>
                <w:color w:val="000000"/>
              </w:rPr>
            </w:pPr>
            <w:r w:rsidRPr="00361E30">
              <w:rPr>
                <w:rFonts w:ascii="Calibri" w:eastAsia="Times New Roman" w:hAnsi="Calibri" w:cs="Calibri"/>
                <w:b/>
                <w:bCs/>
                <w:color w:val="000000"/>
              </w:rPr>
              <w:t> </w:t>
            </w:r>
          </w:p>
        </w:tc>
        <w:tc>
          <w:tcPr>
            <w:tcW w:w="1276" w:type="dxa"/>
            <w:tcBorders>
              <w:top w:val="nil"/>
              <w:left w:val="nil"/>
              <w:bottom w:val="double" w:sz="6" w:space="0" w:color="auto"/>
              <w:right w:val="nil"/>
            </w:tcBorders>
            <w:shd w:val="clear" w:color="auto" w:fill="auto"/>
            <w:noWrap/>
            <w:vAlign w:val="center"/>
            <w:hideMark/>
          </w:tcPr>
          <w:p w14:paraId="685846FF" w14:textId="77777777" w:rsidR="00CA0EF0" w:rsidRPr="00361E30" w:rsidRDefault="00CA0EF0" w:rsidP="003C13F4">
            <w:pPr>
              <w:spacing w:after="0" w:line="240" w:lineRule="auto"/>
              <w:jc w:val="center"/>
              <w:rPr>
                <w:rFonts w:ascii="Calibri" w:eastAsia="Times New Roman" w:hAnsi="Calibri" w:cs="Calibri"/>
                <w:b/>
                <w:bCs/>
                <w:color w:val="000000"/>
              </w:rPr>
            </w:pPr>
            <w:r w:rsidRPr="00361E30">
              <w:rPr>
                <w:rFonts w:ascii="Calibri" w:eastAsia="Times New Roman" w:hAnsi="Calibri" w:cs="Calibri"/>
                <w:b/>
                <w:bCs/>
                <w:color w:val="000000"/>
              </w:rPr>
              <w:t>Lower</w:t>
            </w:r>
          </w:p>
        </w:tc>
        <w:tc>
          <w:tcPr>
            <w:tcW w:w="1276" w:type="dxa"/>
            <w:tcBorders>
              <w:top w:val="nil"/>
              <w:left w:val="nil"/>
              <w:bottom w:val="double" w:sz="6" w:space="0" w:color="auto"/>
              <w:right w:val="nil"/>
            </w:tcBorders>
            <w:shd w:val="clear" w:color="auto" w:fill="auto"/>
            <w:noWrap/>
            <w:vAlign w:val="center"/>
            <w:hideMark/>
          </w:tcPr>
          <w:p w14:paraId="1DA88A64" w14:textId="77777777" w:rsidR="00CA0EF0" w:rsidRPr="00361E30" w:rsidRDefault="00CA0EF0" w:rsidP="003C13F4">
            <w:pPr>
              <w:spacing w:after="0" w:line="240" w:lineRule="auto"/>
              <w:jc w:val="center"/>
              <w:rPr>
                <w:rFonts w:ascii="Calibri" w:eastAsia="Times New Roman" w:hAnsi="Calibri" w:cs="Calibri"/>
                <w:b/>
                <w:bCs/>
                <w:color w:val="000000"/>
              </w:rPr>
            </w:pPr>
            <w:r w:rsidRPr="00361E30">
              <w:rPr>
                <w:rFonts w:ascii="Calibri" w:eastAsia="Times New Roman" w:hAnsi="Calibri" w:cs="Calibri"/>
                <w:b/>
                <w:bCs/>
                <w:color w:val="000000"/>
              </w:rPr>
              <w:t>Upper</w:t>
            </w:r>
          </w:p>
        </w:tc>
        <w:tc>
          <w:tcPr>
            <w:tcW w:w="992" w:type="dxa"/>
            <w:tcBorders>
              <w:top w:val="nil"/>
              <w:left w:val="nil"/>
              <w:bottom w:val="double" w:sz="6" w:space="0" w:color="auto"/>
              <w:right w:val="nil"/>
            </w:tcBorders>
            <w:shd w:val="clear" w:color="auto" w:fill="auto"/>
            <w:noWrap/>
            <w:vAlign w:val="center"/>
            <w:hideMark/>
          </w:tcPr>
          <w:p w14:paraId="65D1EB6D" w14:textId="77777777" w:rsidR="00CA0EF0" w:rsidRPr="00361E30" w:rsidRDefault="00CA0EF0" w:rsidP="003C13F4">
            <w:pPr>
              <w:spacing w:after="0" w:line="240" w:lineRule="auto"/>
              <w:jc w:val="center"/>
              <w:rPr>
                <w:rFonts w:ascii="Calibri" w:eastAsia="Times New Roman" w:hAnsi="Calibri" w:cs="Calibri"/>
                <w:b/>
                <w:bCs/>
                <w:color w:val="000000"/>
              </w:rPr>
            </w:pPr>
            <w:r w:rsidRPr="00361E30">
              <w:rPr>
                <w:rFonts w:ascii="Calibri" w:eastAsia="Times New Roman" w:hAnsi="Calibri" w:cs="Calibri"/>
                <w:b/>
                <w:bCs/>
                <w:color w:val="000000"/>
              </w:rPr>
              <w:t> </w:t>
            </w:r>
          </w:p>
        </w:tc>
      </w:tr>
      <w:tr w:rsidR="00CA0EF0" w:rsidRPr="00361E30" w14:paraId="6EBE85D5" w14:textId="77777777" w:rsidTr="003C13F4">
        <w:trPr>
          <w:trHeight w:val="315"/>
          <w:jc w:val="center"/>
        </w:trPr>
        <w:tc>
          <w:tcPr>
            <w:tcW w:w="2448" w:type="dxa"/>
            <w:tcBorders>
              <w:top w:val="nil"/>
              <w:left w:val="nil"/>
              <w:bottom w:val="nil"/>
              <w:right w:val="nil"/>
            </w:tcBorders>
            <w:shd w:val="clear" w:color="auto" w:fill="auto"/>
            <w:noWrap/>
            <w:vAlign w:val="bottom"/>
            <w:hideMark/>
          </w:tcPr>
          <w:p w14:paraId="103AD43A" w14:textId="77777777" w:rsidR="00CA0EF0" w:rsidRPr="00361E30" w:rsidRDefault="00CA0EF0" w:rsidP="003C13F4">
            <w:pPr>
              <w:spacing w:after="0" w:line="240" w:lineRule="auto"/>
              <w:rPr>
                <w:rFonts w:ascii="Calibri" w:eastAsia="Times New Roman" w:hAnsi="Calibri" w:cs="Calibri"/>
                <w:b/>
                <w:bCs/>
                <w:color w:val="000000"/>
              </w:rPr>
            </w:pPr>
            <w:r w:rsidRPr="00361E30">
              <w:rPr>
                <w:rFonts w:ascii="Calibri" w:eastAsia="Times New Roman" w:hAnsi="Calibri" w:cs="Calibri"/>
                <w:b/>
                <w:bCs/>
                <w:color w:val="000000"/>
              </w:rPr>
              <w:t>Age</w:t>
            </w:r>
          </w:p>
        </w:tc>
        <w:tc>
          <w:tcPr>
            <w:tcW w:w="2055" w:type="dxa"/>
            <w:tcBorders>
              <w:top w:val="nil"/>
              <w:left w:val="nil"/>
              <w:bottom w:val="nil"/>
              <w:right w:val="nil"/>
            </w:tcBorders>
            <w:shd w:val="clear" w:color="auto" w:fill="auto"/>
            <w:noWrap/>
            <w:vAlign w:val="bottom"/>
            <w:hideMark/>
          </w:tcPr>
          <w:p w14:paraId="3BEC69F8"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65 - 74 years</w:t>
            </w:r>
          </w:p>
        </w:tc>
        <w:tc>
          <w:tcPr>
            <w:tcW w:w="1275" w:type="dxa"/>
            <w:tcBorders>
              <w:top w:val="nil"/>
              <w:left w:val="nil"/>
              <w:bottom w:val="nil"/>
              <w:right w:val="nil"/>
            </w:tcBorders>
            <w:shd w:val="clear" w:color="auto" w:fill="auto"/>
            <w:noWrap/>
            <w:vAlign w:val="bottom"/>
            <w:hideMark/>
          </w:tcPr>
          <w:p w14:paraId="77AA3212"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Reference</w:t>
            </w:r>
          </w:p>
        </w:tc>
        <w:tc>
          <w:tcPr>
            <w:tcW w:w="1276" w:type="dxa"/>
            <w:tcBorders>
              <w:top w:val="nil"/>
              <w:left w:val="nil"/>
              <w:bottom w:val="nil"/>
              <w:right w:val="nil"/>
            </w:tcBorders>
            <w:shd w:val="clear" w:color="auto" w:fill="auto"/>
            <w:noWrap/>
            <w:vAlign w:val="bottom"/>
            <w:hideMark/>
          </w:tcPr>
          <w:p w14:paraId="574FDAB8" w14:textId="77777777" w:rsidR="00CA0EF0" w:rsidRPr="00361E30" w:rsidRDefault="00CA0EF0" w:rsidP="003C13F4">
            <w:pPr>
              <w:spacing w:after="0" w:line="240" w:lineRule="auto"/>
              <w:jc w:val="center"/>
              <w:rPr>
                <w:rFonts w:ascii="Calibri" w:eastAsia="Times New Roman" w:hAnsi="Calibri" w:cs="Calibri"/>
                <w:color w:val="000000"/>
              </w:rPr>
            </w:pPr>
          </w:p>
        </w:tc>
        <w:tc>
          <w:tcPr>
            <w:tcW w:w="1276" w:type="dxa"/>
            <w:tcBorders>
              <w:top w:val="nil"/>
              <w:left w:val="nil"/>
              <w:bottom w:val="nil"/>
              <w:right w:val="nil"/>
            </w:tcBorders>
            <w:shd w:val="clear" w:color="auto" w:fill="auto"/>
            <w:noWrap/>
            <w:vAlign w:val="bottom"/>
            <w:hideMark/>
          </w:tcPr>
          <w:p w14:paraId="2D869A30" w14:textId="77777777" w:rsidR="00CA0EF0" w:rsidRPr="00361E30" w:rsidRDefault="00CA0EF0" w:rsidP="003C13F4">
            <w:pPr>
              <w:spacing w:after="0" w:line="240" w:lineRule="auto"/>
              <w:jc w:val="center"/>
              <w:rPr>
                <w:rFonts w:ascii="Calibri" w:eastAsia="Times New Roman" w:hAnsi="Calibri" w:cs="Calibri"/>
                <w:color w:val="000000"/>
              </w:rPr>
            </w:pPr>
          </w:p>
        </w:tc>
        <w:tc>
          <w:tcPr>
            <w:tcW w:w="992" w:type="dxa"/>
            <w:tcBorders>
              <w:top w:val="nil"/>
              <w:left w:val="nil"/>
              <w:bottom w:val="nil"/>
              <w:right w:val="nil"/>
            </w:tcBorders>
            <w:shd w:val="clear" w:color="auto" w:fill="auto"/>
            <w:noWrap/>
            <w:vAlign w:val="bottom"/>
            <w:hideMark/>
          </w:tcPr>
          <w:p w14:paraId="1FD5F902" w14:textId="77777777" w:rsidR="00CA0EF0" w:rsidRPr="00361E30" w:rsidRDefault="00CA0EF0" w:rsidP="003C13F4">
            <w:pPr>
              <w:spacing w:after="0" w:line="240" w:lineRule="auto"/>
              <w:jc w:val="center"/>
              <w:rPr>
                <w:rFonts w:ascii="Calibri" w:eastAsia="Times New Roman" w:hAnsi="Calibri" w:cs="Calibri"/>
                <w:color w:val="000000"/>
              </w:rPr>
            </w:pPr>
          </w:p>
        </w:tc>
      </w:tr>
      <w:tr w:rsidR="00CA0EF0" w:rsidRPr="00361E30" w14:paraId="41EB6C02" w14:textId="77777777" w:rsidTr="003C13F4">
        <w:trPr>
          <w:trHeight w:val="300"/>
          <w:jc w:val="center"/>
        </w:trPr>
        <w:tc>
          <w:tcPr>
            <w:tcW w:w="2448" w:type="dxa"/>
            <w:tcBorders>
              <w:top w:val="nil"/>
              <w:left w:val="nil"/>
              <w:right w:val="nil"/>
            </w:tcBorders>
            <w:shd w:val="clear" w:color="auto" w:fill="auto"/>
            <w:noWrap/>
            <w:vAlign w:val="bottom"/>
            <w:hideMark/>
          </w:tcPr>
          <w:p w14:paraId="1E2140DB"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right w:val="nil"/>
            </w:tcBorders>
            <w:shd w:val="clear" w:color="auto" w:fill="auto"/>
            <w:noWrap/>
            <w:vAlign w:val="bottom"/>
            <w:hideMark/>
          </w:tcPr>
          <w:p w14:paraId="7CC1CA6D"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75 - 84 years</w:t>
            </w:r>
          </w:p>
        </w:tc>
        <w:tc>
          <w:tcPr>
            <w:tcW w:w="1275" w:type="dxa"/>
            <w:tcBorders>
              <w:top w:val="nil"/>
              <w:left w:val="nil"/>
              <w:right w:val="nil"/>
            </w:tcBorders>
            <w:shd w:val="clear" w:color="auto" w:fill="auto"/>
            <w:noWrap/>
            <w:vAlign w:val="bottom"/>
            <w:hideMark/>
          </w:tcPr>
          <w:p w14:paraId="317FB2A2"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0.384</w:t>
            </w:r>
          </w:p>
        </w:tc>
        <w:tc>
          <w:tcPr>
            <w:tcW w:w="1276" w:type="dxa"/>
            <w:tcBorders>
              <w:top w:val="nil"/>
              <w:left w:val="nil"/>
              <w:right w:val="nil"/>
            </w:tcBorders>
            <w:shd w:val="clear" w:color="auto" w:fill="auto"/>
            <w:noWrap/>
            <w:vAlign w:val="bottom"/>
            <w:hideMark/>
          </w:tcPr>
          <w:p w14:paraId="0AF4AE39"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0.336</w:t>
            </w:r>
          </w:p>
        </w:tc>
        <w:tc>
          <w:tcPr>
            <w:tcW w:w="1276" w:type="dxa"/>
            <w:tcBorders>
              <w:top w:val="nil"/>
              <w:left w:val="nil"/>
              <w:right w:val="nil"/>
            </w:tcBorders>
            <w:shd w:val="clear" w:color="auto" w:fill="auto"/>
            <w:noWrap/>
            <w:vAlign w:val="bottom"/>
            <w:hideMark/>
          </w:tcPr>
          <w:p w14:paraId="67CC6B1D"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0.439</w:t>
            </w:r>
          </w:p>
        </w:tc>
        <w:tc>
          <w:tcPr>
            <w:tcW w:w="992" w:type="dxa"/>
            <w:tcBorders>
              <w:top w:val="nil"/>
              <w:left w:val="nil"/>
              <w:right w:val="nil"/>
            </w:tcBorders>
            <w:shd w:val="clear" w:color="auto" w:fill="auto"/>
            <w:noWrap/>
            <w:vAlign w:val="bottom"/>
            <w:hideMark/>
          </w:tcPr>
          <w:p w14:paraId="28363065"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749200D6" w14:textId="77777777" w:rsidTr="003C13F4">
        <w:trPr>
          <w:trHeight w:val="300"/>
          <w:jc w:val="center"/>
        </w:trPr>
        <w:tc>
          <w:tcPr>
            <w:tcW w:w="2448" w:type="dxa"/>
            <w:tcBorders>
              <w:top w:val="nil"/>
              <w:left w:val="nil"/>
              <w:bottom w:val="single" w:sz="4" w:space="0" w:color="auto"/>
              <w:right w:val="nil"/>
            </w:tcBorders>
            <w:shd w:val="clear" w:color="auto" w:fill="auto"/>
            <w:noWrap/>
            <w:vAlign w:val="bottom"/>
            <w:hideMark/>
          </w:tcPr>
          <w:p w14:paraId="7F9B4FFB"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bottom w:val="single" w:sz="4" w:space="0" w:color="auto"/>
              <w:right w:val="nil"/>
            </w:tcBorders>
            <w:shd w:val="clear" w:color="auto" w:fill="auto"/>
            <w:noWrap/>
            <w:vAlign w:val="bottom"/>
            <w:hideMark/>
          </w:tcPr>
          <w:p w14:paraId="0458466D"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&gt;=85 years</w:t>
            </w:r>
          </w:p>
        </w:tc>
        <w:tc>
          <w:tcPr>
            <w:tcW w:w="1275" w:type="dxa"/>
            <w:tcBorders>
              <w:top w:val="nil"/>
              <w:left w:val="nil"/>
              <w:bottom w:val="single" w:sz="4" w:space="0" w:color="auto"/>
              <w:right w:val="nil"/>
            </w:tcBorders>
            <w:shd w:val="clear" w:color="auto" w:fill="auto"/>
            <w:noWrap/>
            <w:vAlign w:val="bottom"/>
            <w:hideMark/>
          </w:tcPr>
          <w:p w14:paraId="499268FD"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0.230</w:t>
            </w:r>
          </w:p>
        </w:tc>
        <w:tc>
          <w:tcPr>
            <w:tcW w:w="1276" w:type="dxa"/>
            <w:tcBorders>
              <w:top w:val="nil"/>
              <w:left w:val="nil"/>
              <w:bottom w:val="single" w:sz="4" w:space="0" w:color="auto"/>
              <w:right w:val="nil"/>
            </w:tcBorders>
            <w:shd w:val="clear" w:color="auto" w:fill="auto"/>
            <w:noWrap/>
            <w:vAlign w:val="bottom"/>
            <w:hideMark/>
          </w:tcPr>
          <w:p w14:paraId="10D27DE4"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0.201</w:t>
            </w:r>
          </w:p>
        </w:tc>
        <w:tc>
          <w:tcPr>
            <w:tcW w:w="1276" w:type="dxa"/>
            <w:tcBorders>
              <w:top w:val="nil"/>
              <w:left w:val="nil"/>
              <w:bottom w:val="single" w:sz="4" w:space="0" w:color="auto"/>
              <w:right w:val="nil"/>
            </w:tcBorders>
            <w:shd w:val="clear" w:color="auto" w:fill="auto"/>
            <w:noWrap/>
            <w:vAlign w:val="bottom"/>
            <w:hideMark/>
          </w:tcPr>
          <w:p w14:paraId="76344E58"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0.262</w:t>
            </w:r>
          </w:p>
        </w:tc>
        <w:tc>
          <w:tcPr>
            <w:tcW w:w="992" w:type="dxa"/>
            <w:tcBorders>
              <w:top w:val="nil"/>
              <w:left w:val="nil"/>
              <w:bottom w:val="single" w:sz="4" w:space="0" w:color="auto"/>
              <w:right w:val="nil"/>
            </w:tcBorders>
            <w:shd w:val="clear" w:color="auto" w:fill="auto"/>
            <w:noWrap/>
            <w:vAlign w:val="bottom"/>
            <w:hideMark/>
          </w:tcPr>
          <w:p w14:paraId="4FAE80DA"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1AF5706A" w14:textId="77777777" w:rsidTr="003C13F4">
        <w:trPr>
          <w:trHeight w:val="300"/>
          <w:jc w:val="center"/>
        </w:trPr>
        <w:tc>
          <w:tcPr>
            <w:tcW w:w="2448" w:type="dxa"/>
            <w:tcBorders>
              <w:top w:val="single" w:sz="4" w:space="0" w:color="auto"/>
              <w:left w:val="nil"/>
              <w:right w:val="nil"/>
            </w:tcBorders>
            <w:shd w:val="clear" w:color="auto" w:fill="auto"/>
            <w:noWrap/>
            <w:vAlign w:val="bottom"/>
            <w:hideMark/>
          </w:tcPr>
          <w:p w14:paraId="20370330" w14:textId="77777777" w:rsidR="00CA0EF0" w:rsidRPr="00361E30" w:rsidRDefault="00CA0EF0" w:rsidP="003C13F4">
            <w:pPr>
              <w:spacing w:after="0" w:line="240" w:lineRule="auto"/>
              <w:rPr>
                <w:rFonts w:ascii="Calibri" w:eastAsia="Times New Roman" w:hAnsi="Calibri" w:cs="Calibri"/>
                <w:b/>
                <w:bCs/>
                <w:color w:val="000000"/>
              </w:rPr>
            </w:pPr>
            <w:r w:rsidRPr="00361E30">
              <w:rPr>
                <w:rFonts w:ascii="Calibri" w:eastAsia="Times New Roman" w:hAnsi="Calibri" w:cs="Calibri"/>
                <w:b/>
                <w:bCs/>
                <w:color w:val="000000"/>
              </w:rPr>
              <w:t>Gender</w:t>
            </w:r>
          </w:p>
        </w:tc>
        <w:tc>
          <w:tcPr>
            <w:tcW w:w="2055" w:type="dxa"/>
            <w:tcBorders>
              <w:top w:val="single" w:sz="4" w:space="0" w:color="auto"/>
              <w:left w:val="nil"/>
              <w:right w:val="nil"/>
            </w:tcBorders>
            <w:shd w:val="clear" w:color="auto" w:fill="auto"/>
            <w:noWrap/>
            <w:vAlign w:val="bottom"/>
            <w:hideMark/>
          </w:tcPr>
          <w:p w14:paraId="7981FC36"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Mal</w:t>
            </w:r>
          </w:p>
        </w:tc>
        <w:tc>
          <w:tcPr>
            <w:tcW w:w="1275" w:type="dxa"/>
            <w:tcBorders>
              <w:top w:val="single" w:sz="4" w:space="0" w:color="auto"/>
              <w:left w:val="nil"/>
              <w:right w:val="nil"/>
            </w:tcBorders>
            <w:shd w:val="clear" w:color="auto" w:fill="auto"/>
            <w:noWrap/>
            <w:vAlign w:val="bottom"/>
            <w:hideMark/>
          </w:tcPr>
          <w:p w14:paraId="0AB5912A"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Reference</w:t>
            </w:r>
          </w:p>
        </w:tc>
        <w:tc>
          <w:tcPr>
            <w:tcW w:w="1276" w:type="dxa"/>
            <w:tcBorders>
              <w:top w:val="single" w:sz="4" w:space="0" w:color="auto"/>
              <w:left w:val="nil"/>
              <w:right w:val="nil"/>
            </w:tcBorders>
            <w:shd w:val="clear" w:color="auto" w:fill="auto"/>
            <w:noWrap/>
            <w:vAlign w:val="bottom"/>
            <w:hideMark/>
          </w:tcPr>
          <w:p w14:paraId="728EC14F" w14:textId="77777777" w:rsidR="00CA0EF0" w:rsidRPr="00361E30" w:rsidRDefault="00CA0EF0" w:rsidP="003C13F4">
            <w:pPr>
              <w:spacing w:after="0" w:line="240" w:lineRule="auto"/>
              <w:jc w:val="center"/>
              <w:rPr>
                <w:rFonts w:ascii="Calibri" w:eastAsia="Times New Roman" w:hAnsi="Calibri" w:cs="Calibri"/>
                <w:color w:val="000000"/>
              </w:rPr>
            </w:pPr>
          </w:p>
        </w:tc>
        <w:tc>
          <w:tcPr>
            <w:tcW w:w="1276" w:type="dxa"/>
            <w:tcBorders>
              <w:top w:val="single" w:sz="4" w:space="0" w:color="auto"/>
              <w:left w:val="nil"/>
              <w:right w:val="nil"/>
            </w:tcBorders>
            <w:shd w:val="clear" w:color="auto" w:fill="auto"/>
            <w:noWrap/>
            <w:vAlign w:val="bottom"/>
            <w:hideMark/>
          </w:tcPr>
          <w:p w14:paraId="699AF7B8" w14:textId="77777777" w:rsidR="00CA0EF0" w:rsidRPr="00361E30" w:rsidRDefault="00CA0EF0" w:rsidP="003C13F4">
            <w:pPr>
              <w:spacing w:after="0" w:line="240" w:lineRule="auto"/>
              <w:jc w:val="center"/>
              <w:rPr>
                <w:rFonts w:ascii="Calibri" w:eastAsia="Times New Roman" w:hAnsi="Calibri" w:cs="Calibri"/>
                <w:color w:val="000000"/>
              </w:rPr>
            </w:pPr>
          </w:p>
        </w:tc>
        <w:tc>
          <w:tcPr>
            <w:tcW w:w="992" w:type="dxa"/>
            <w:tcBorders>
              <w:top w:val="single" w:sz="4" w:space="0" w:color="auto"/>
              <w:left w:val="nil"/>
              <w:right w:val="nil"/>
            </w:tcBorders>
            <w:shd w:val="clear" w:color="auto" w:fill="auto"/>
            <w:noWrap/>
            <w:vAlign w:val="bottom"/>
            <w:hideMark/>
          </w:tcPr>
          <w:p w14:paraId="791E5024" w14:textId="77777777" w:rsidR="00CA0EF0" w:rsidRPr="00361E30" w:rsidRDefault="00CA0EF0" w:rsidP="003C13F4">
            <w:pPr>
              <w:spacing w:after="0" w:line="240" w:lineRule="auto"/>
              <w:jc w:val="center"/>
              <w:rPr>
                <w:rFonts w:ascii="Calibri" w:eastAsia="Times New Roman" w:hAnsi="Calibri" w:cs="Calibri"/>
                <w:color w:val="000000"/>
              </w:rPr>
            </w:pPr>
          </w:p>
        </w:tc>
      </w:tr>
      <w:tr w:rsidR="00CA0EF0" w:rsidRPr="00361E30" w14:paraId="62729C9E" w14:textId="77777777" w:rsidTr="003C13F4">
        <w:trPr>
          <w:trHeight w:val="300"/>
          <w:jc w:val="center"/>
        </w:trPr>
        <w:tc>
          <w:tcPr>
            <w:tcW w:w="2448" w:type="dxa"/>
            <w:tcBorders>
              <w:top w:val="nil"/>
              <w:left w:val="nil"/>
              <w:bottom w:val="single" w:sz="4" w:space="0" w:color="auto"/>
              <w:right w:val="nil"/>
            </w:tcBorders>
            <w:shd w:val="clear" w:color="auto" w:fill="auto"/>
            <w:noWrap/>
            <w:vAlign w:val="bottom"/>
            <w:hideMark/>
          </w:tcPr>
          <w:p w14:paraId="54E64562"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bottom w:val="single" w:sz="4" w:space="0" w:color="auto"/>
              <w:right w:val="nil"/>
            </w:tcBorders>
            <w:shd w:val="clear" w:color="auto" w:fill="auto"/>
            <w:noWrap/>
            <w:vAlign w:val="bottom"/>
            <w:hideMark/>
          </w:tcPr>
          <w:p w14:paraId="2100A741"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Female</w:t>
            </w:r>
          </w:p>
        </w:tc>
        <w:tc>
          <w:tcPr>
            <w:tcW w:w="1275" w:type="dxa"/>
            <w:tcBorders>
              <w:top w:val="nil"/>
              <w:left w:val="nil"/>
              <w:bottom w:val="single" w:sz="4" w:space="0" w:color="auto"/>
              <w:right w:val="nil"/>
            </w:tcBorders>
            <w:shd w:val="clear" w:color="auto" w:fill="auto"/>
            <w:noWrap/>
            <w:vAlign w:val="bottom"/>
            <w:hideMark/>
          </w:tcPr>
          <w:p w14:paraId="311D3C9C"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1.321</w:t>
            </w:r>
          </w:p>
        </w:tc>
        <w:tc>
          <w:tcPr>
            <w:tcW w:w="1276" w:type="dxa"/>
            <w:tcBorders>
              <w:top w:val="nil"/>
              <w:left w:val="nil"/>
              <w:bottom w:val="single" w:sz="4" w:space="0" w:color="auto"/>
              <w:right w:val="nil"/>
            </w:tcBorders>
            <w:shd w:val="clear" w:color="auto" w:fill="auto"/>
            <w:noWrap/>
            <w:vAlign w:val="bottom"/>
            <w:hideMark/>
          </w:tcPr>
          <w:p w14:paraId="49AAF7E6"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1.217</w:t>
            </w:r>
          </w:p>
        </w:tc>
        <w:tc>
          <w:tcPr>
            <w:tcW w:w="1276" w:type="dxa"/>
            <w:tcBorders>
              <w:top w:val="nil"/>
              <w:left w:val="nil"/>
              <w:bottom w:val="single" w:sz="4" w:space="0" w:color="auto"/>
              <w:right w:val="nil"/>
            </w:tcBorders>
            <w:shd w:val="clear" w:color="auto" w:fill="auto"/>
            <w:noWrap/>
            <w:vAlign w:val="bottom"/>
            <w:hideMark/>
          </w:tcPr>
          <w:p w14:paraId="3EF51A7B"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1.433</w:t>
            </w:r>
          </w:p>
        </w:tc>
        <w:tc>
          <w:tcPr>
            <w:tcW w:w="992" w:type="dxa"/>
            <w:tcBorders>
              <w:top w:val="nil"/>
              <w:left w:val="nil"/>
              <w:bottom w:val="single" w:sz="4" w:space="0" w:color="auto"/>
              <w:right w:val="nil"/>
            </w:tcBorders>
            <w:shd w:val="clear" w:color="auto" w:fill="auto"/>
            <w:noWrap/>
            <w:vAlign w:val="bottom"/>
            <w:hideMark/>
          </w:tcPr>
          <w:p w14:paraId="5C05B80C"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11A2835F" w14:textId="77777777" w:rsidTr="003C13F4">
        <w:trPr>
          <w:trHeight w:val="300"/>
          <w:jc w:val="center"/>
        </w:trPr>
        <w:tc>
          <w:tcPr>
            <w:tcW w:w="2448" w:type="dxa"/>
            <w:vMerge w:val="restart"/>
            <w:tcBorders>
              <w:top w:val="single" w:sz="4" w:space="0" w:color="auto"/>
              <w:left w:val="nil"/>
              <w:right w:val="nil"/>
            </w:tcBorders>
            <w:shd w:val="clear" w:color="auto" w:fill="auto"/>
            <w:noWrap/>
            <w:hideMark/>
          </w:tcPr>
          <w:p w14:paraId="61EF47B1"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Charlson Comorbidity Index</w:t>
            </w:r>
          </w:p>
        </w:tc>
        <w:tc>
          <w:tcPr>
            <w:tcW w:w="2055" w:type="dxa"/>
            <w:tcBorders>
              <w:top w:val="single" w:sz="4" w:space="0" w:color="auto"/>
              <w:left w:val="nil"/>
              <w:bottom w:val="nil"/>
              <w:right w:val="nil"/>
            </w:tcBorders>
            <w:shd w:val="clear" w:color="auto" w:fill="auto"/>
            <w:noWrap/>
            <w:vAlign w:val="bottom"/>
            <w:hideMark/>
          </w:tcPr>
          <w:p w14:paraId="339E3987"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0</w:t>
            </w:r>
          </w:p>
        </w:tc>
        <w:tc>
          <w:tcPr>
            <w:tcW w:w="1275" w:type="dxa"/>
            <w:tcBorders>
              <w:top w:val="single" w:sz="4" w:space="0" w:color="auto"/>
              <w:left w:val="nil"/>
              <w:bottom w:val="nil"/>
              <w:right w:val="nil"/>
            </w:tcBorders>
            <w:shd w:val="clear" w:color="auto" w:fill="auto"/>
            <w:noWrap/>
            <w:vAlign w:val="bottom"/>
            <w:hideMark/>
          </w:tcPr>
          <w:p w14:paraId="5811BCEB"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xml:space="preserve">Reference </w:t>
            </w:r>
          </w:p>
        </w:tc>
        <w:tc>
          <w:tcPr>
            <w:tcW w:w="1276" w:type="dxa"/>
            <w:tcBorders>
              <w:top w:val="single" w:sz="4" w:space="0" w:color="auto"/>
              <w:left w:val="nil"/>
              <w:bottom w:val="nil"/>
              <w:right w:val="nil"/>
            </w:tcBorders>
            <w:shd w:val="clear" w:color="auto" w:fill="auto"/>
            <w:noWrap/>
            <w:vAlign w:val="bottom"/>
            <w:hideMark/>
          </w:tcPr>
          <w:p w14:paraId="3B896B26" w14:textId="77777777" w:rsidR="00CA0EF0" w:rsidRPr="00361E30" w:rsidRDefault="00CA0EF0" w:rsidP="003C13F4">
            <w:pPr>
              <w:spacing w:after="0" w:line="240" w:lineRule="auto"/>
              <w:jc w:val="center"/>
              <w:rPr>
                <w:rFonts w:ascii="Calibri" w:eastAsia="Times New Roman" w:hAnsi="Calibri" w:cs="Calibri"/>
                <w:color w:val="000000"/>
              </w:rPr>
            </w:pPr>
          </w:p>
        </w:tc>
        <w:tc>
          <w:tcPr>
            <w:tcW w:w="1276" w:type="dxa"/>
            <w:tcBorders>
              <w:top w:val="single" w:sz="4" w:space="0" w:color="auto"/>
              <w:left w:val="nil"/>
              <w:bottom w:val="nil"/>
              <w:right w:val="nil"/>
            </w:tcBorders>
            <w:shd w:val="clear" w:color="auto" w:fill="auto"/>
            <w:noWrap/>
            <w:vAlign w:val="bottom"/>
            <w:hideMark/>
          </w:tcPr>
          <w:p w14:paraId="21E05A3D" w14:textId="77777777" w:rsidR="00CA0EF0" w:rsidRPr="00361E30" w:rsidRDefault="00CA0EF0" w:rsidP="003C13F4">
            <w:pPr>
              <w:spacing w:after="0" w:line="240" w:lineRule="auto"/>
              <w:jc w:val="center"/>
              <w:rPr>
                <w:rFonts w:ascii="Calibri" w:eastAsia="Times New Roman" w:hAnsi="Calibri" w:cs="Calibri"/>
                <w:color w:val="000000"/>
              </w:rPr>
            </w:pPr>
          </w:p>
        </w:tc>
        <w:tc>
          <w:tcPr>
            <w:tcW w:w="992" w:type="dxa"/>
            <w:tcBorders>
              <w:top w:val="single" w:sz="4" w:space="0" w:color="auto"/>
              <w:left w:val="nil"/>
              <w:bottom w:val="nil"/>
              <w:right w:val="nil"/>
            </w:tcBorders>
            <w:shd w:val="clear" w:color="auto" w:fill="auto"/>
            <w:noWrap/>
            <w:vAlign w:val="bottom"/>
            <w:hideMark/>
          </w:tcPr>
          <w:p w14:paraId="36F289F0" w14:textId="77777777" w:rsidR="00CA0EF0" w:rsidRPr="00361E30" w:rsidRDefault="00CA0EF0" w:rsidP="003C13F4">
            <w:pPr>
              <w:spacing w:after="0" w:line="240" w:lineRule="auto"/>
              <w:jc w:val="center"/>
              <w:rPr>
                <w:rFonts w:ascii="Calibri" w:eastAsia="Times New Roman" w:hAnsi="Calibri" w:cs="Calibri"/>
                <w:color w:val="000000"/>
              </w:rPr>
            </w:pPr>
          </w:p>
        </w:tc>
      </w:tr>
      <w:tr w:rsidR="00CA0EF0" w:rsidRPr="00361E30" w14:paraId="7560470E" w14:textId="77777777" w:rsidTr="003C13F4">
        <w:trPr>
          <w:trHeight w:val="300"/>
          <w:jc w:val="center"/>
        </w:trPr>
        <w:tc>
          <w:tcPr>
            <w:tcW w:w="2448" w:type="dxa"/>
            <w:vMerge/>
            <w:tcBorders>
              <w:left w:val="nil"/>
              <w:right w:val="nil"/>
            </w:tcBorders>
            <w:shd w:val="clear" w:color="auto" w:fill="auto"/>
            <w:noWrap/>
            <w:vAlign w:val="bottom"/>
            <w:hideMark/>
          </w:tcPr>
          <w:p w14:paraId="22969C6B"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bottom w:val="nil"/>
              <w:right w:val="nil"/>
            </w:tcBorders>
            <w:shd w:val="clear" w:color="auto" w:fill="auto"/>
            <w:noWrap/>
            <w:vAlign w:val="bottom"/>
            <w:hideMark/>
          </w:tcPr>
          <w:p w14:paraId="06FB8499"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1 to 5</w:t>
            </w:r>
          </w:p>
        </w:tc>
        <w:tc>
          <w:tcPr>
            <w:tcW w:w="1275" w:type="dxa"/>
            <w:tcBorders>
              <w:top w:val="nil"/>
              <w:left w:val="nil"/>
              <w:bottom w:val="nil"/>
              <w:right w:val="nil"/>
            </w:tcBorders>
            <w:shd w:val="clear" w:color="auto" w:fill="auto"/>
            <w:noWrap/>
            <w:vAlign w:val="bottom"/>
            <w:hideMark/>
          </w:tcPr>
          <w:p w14:paraId="7A1A9F3F"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0.606</w:t>
            </w:r>
          </w:p>
        </w:tc>
        <w:tc>
          <w:tcPr>
            <w:tcW w:w="1276" w:type="dxa"/>
            <w:tcBorders>
              <w:top w:val="nil"/>
              <w:left w:val="nil"/>
              <w:bottom w:val="nil"/>
              <w:right w:val="nil"/>
            </w:tcBorders>
            <w:shd w:val="clear" w:color="auto" w:fill="auto"/>
            <w:noWrap/>
            <w:vAlign w:val="bottom"/>
            <w:hideMark/>
          </w:tcPr>
          <w:p w14:paraId="6A5C2088"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0.547</w:t>
            </w:r>
          </w:p>
        </w:tc>
        <w:tc>
          <w:tcPr>
            <w:tcW w:w="1276" w:type="dxa"/>
            <w:tcBorders>
              <w:top w:val="nil"/>
              <w:left w:val="nil"/>
              <w:bottom w:val="nil"/>
              <w:right w:val="nil"/>
            </w:tcBorders>
            <w:shd w:val="clear" w:color="auto" w:fill="auto"/>
            <w:noWrap/>
            <w:vAlign w:val="bottom"/>
            <w:hideMark/>
          </w:tcPr>
          <w:p w14:paraId="6B58E9EE"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0.671</w:t>
            </w:r>
          </w:p>
        </w:tc>
        <w:tc>
          <w:tcPr>
            <w:tcW w:w="992" w:type="dxa"/>
            <w:tcBorders>
              <w:top w:val="nil"/>
              <w:left w:val="nil"/>
              <w:bottom w:val="nil"/>
              <w:right w:val="nil"/>
            </w:tcBorders>
            <w:shd w:val="clear" w:color="auto" w:fill="auto"/>
            <w:noWrap/>
            <w:vAlign w:val="bottom"/>
            <w:hideMark/>
          </w:tcPr>
          <w:p w14:paraId="4D133836"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461EA12B" w14:textId="77777777" w:rsidTr="003C13F4">
        <w:trPr>
          <w:trHeight w:val="300"/>
          <w:jc w:val="center"/>
        </w:trPr>
        <w:tc>
          <w:tcPr>
            <w:tcW w:w="2448" w:type="dxa"/>
            <w:vMerge/>
            <w:tcBorders>
              <w:left w:val="nil"/>
              <w:right w:val="nil"/>
            </w:tcBorders>
            <w:shd w:val="clear" w:color="auto" w:fill="auto"/>
            <w:noWrap/>
            <w:vAlign w:val="bottom"/>
            <w:hideMark/>
          </w:tcPr>
          <w:p w14:paraId="0992E351"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bottom w:val="nil"/>
              <w:right w:val="nil"/>
            </w:tcBorders>
            <w:shd w:val="clear" w:color="auto" w:fill="auto"/>
            <w:noWrap/>
            <w:vAlign w:val="bottom"/>
            <w:hideMark/>
          </w:tcPr>
          <w:p w14:paraId="63275E62"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6 to 10</w:t>
            </w:r>
          </w:p>
        </w:tc>
        <w:tc>
          <w:tcPr>
            <w:tcW w:w="1275" w:type="dxa"/>
            <w:tcBorders>
              <w:top w:val="nil"/>
              <w:left w:val="nil"/>
              <w:bottom w:val="nil"/>
              <w:right w:val="nil"/>
            </w:tcBorders>
            <w:shd w:val="clear" w:color="auto" w:fill="auto"/>
            <w:noWrap/>
            <w:vAlign w:val="bottom"/>
            <w:hideMark/>
          </w:tcPr>
          <w:p w14:paraId="785CCC23"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0.441</w:t>
            </w:r>
          </w:p>
        </w:tc>
        <w:tc>
          <w:tcPr>
            <w:tcW w:w="1276" w:type="dxa"/>
            <w:tcBorders>
              <w:top w:val="nil"/>
              <w:left w:val="nil"/>
              <w:bottom w:val="nil"/>
              <w:right w:val="nil"/>
            </w:tcBorders>
            <w:shd w:val="clear" w:color="auto" w:fill="auto"/>
            <w:noWrap/>
            <w:vAlign w:val="bottom"/>
            <w:hideMark/>
          </w:tcPr>
          <w:p w14:paraId="1B104232"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0.391</w:t>
            </w:r>
          </w:p>
        </w:tc>
        <w:tc>
          <w:tcPr>
            <w:tcW w:w="1276" w:type="dxa"/>
            <w:tcBorders>
              <w:top w:val="nil"/>
              <w:left w:val="nil"/>
              <w:bottom w:val="nil"/>
              <w:right w:val="nil"/>
            </w:tcBorders>
            <w:shd w:val="clear" w:color="auto" w:fill="auto"/>
            <w:noWrap/>
            <w:vAlign w:val="bottom"/>
            <w:hideMark/>
          </w:tcPr>
          <w:p w14:paraId="59C825CB"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0.497</w:t>
            </w:r>
          </w:p>
        </w:tc>
        <w:tc>
          <w:tcPr>
            <w:tcW w:w="992" w:type="dxa"/>
            <w:tcBorders>
              <w:top w:val="nil"/>
              <w:left w:val="nil"/>
              <w:bottom w:val="nil"/>
              <w:right w:val="nil"/>
            </w:tcBorders>
            <w:shd w:val="clear" w:color="auto" w:fill="auto"/>
            <w:noWrap/>
            <w:vAlign w:val="bottom"/>
            <w:hideMark/>
          </w:tcPr>
          <w:p w14:paraId="6E5ECE56"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0BF056B3" w14:textId="77777777" w:rsidTr="003C13F4">
        <w:trPr>
          <w:trHeight w:val="300"/>
          <w:jc w:val="center"/>
        </w:trPr>
        <w:tc>
          <w:tcPr>
            <w:tcW w:w="2448" w:type="dxa"/>
            <w:vMerge/>
            <w:tcBorders>
              <w:left w:val="nil"/>
              <w:right w:val="nil"/>
            </w:tcBorders>
            <w:shd w:val="clear" w:color="auto" w:fill="auto"/>
            <w:noWrap/>
            <w:vAlign w:val="bottom"/>
            <w:hideMark/>
          </w:tcPr>
          <w:p w14:paraId="2019C611"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bottom w:val="nil"/>
              <w:right w:val="nil"/>
            </w:tcBorders>
            <w:shd w:val="clear" w:color="auto" w:fill="auto"/>
            <w:noWrap/>
            <w:vAlign w:val="bottom"/>
            <w:hideMark/>
          </w:tcPr>
          <w:p w14:paraId="17D02CAE"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&gt;10</w:t>
            </w:r>
          </w:p>
        </w:tc>
        <w:tc>
          <w:tcPr>
            <w:tcW w:w="1275" w:type="dxa"/>
            <w:tcBorders>
              <w:top w:val="nil"/>
              <w:left w:val="nil"/>
              <w:bottom w:val="nil"/>
              <w:right w:val="nil"/>
            </w:tcBorders>
            <w:shd w:val="clear" w:color="auto" w:fill="auto"/>
            <w:noWrap/>
            <w:vAlign w:val="bottom"/>
            <w:hideMark/>
          </w:tcPr>
          <w:p w14:paraId="284ED306"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0.299</w:t>
            </w:r>
          </w:p>
        </w:tc>
        <w:tc>
          <w:tcPr>
            <w:tcW w:w="1276" w:type="dxa"/>
            <w:tcBorders>
              <w:top w:val="nil"/>
              <w:left w:val="nil"/>
              <w:bottom w:val="nil"/>
              <w:right w:val="nil"/>
            </w:tcBorders>
            <w:shd w:val="clear" w:color="auto" w:fill="auto"/>
            <w:noWrap/>
            <w:vAlign w:val="bottom"/>
            <w:hideMark/>
          </w:tcPr>
          <w:p w14:paraId="73024F6A"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0.257</w:t>
            </w:r>
          </w:p>
        </w:tc>
        <w:tc>
          <w:tcPr>
            <w:tcW w:w="1276" w:type="dxa"/>
            <w:tcBorders>
              <w:top w:val="nil"/>
              <w:left w:val="nil"/>
              <w:bottom w:val="nil"/>
              <w:right w:val="nil"/>
            </w:tcBorders>
            <w:shd w:val="clear" w:color="auto" w:fill="auto"/>
            <w:noWrap/>
            <w:vAlign w:val="bottom"/>
            <w:hideMark/>
          </w:tcPr>
          <w:p w14:paraId="3AAD853A"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0.347</w:t>
            </w:r>
          </w:p>
        </w:tc>
        <w:tc>
          <w:tcPr>
            <w:tcW w:w="992" w:type="dxa"/>
            <w:tcBorders>
              <w:top w:val="nil"/>
              <w:left w:val="nil"/>
              <w:bottom w:val="nil"/>
              <w:right w:val="nil"/>
            </w:tcBorders>
            <w:shd w:val="clear" w:color="auto" w:fill="auto"/>
            <w:noWrap/>
            <w:vAlign w:val="bottom"/>
            <w:hideMark/>
          </w:tcPr>
          <w:p w14:paraId="2DDCD551"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471C7F88" w14:textId="77777777" w:rsidTr="003C13F4">
        <w:trPr>
          <w:trHeight w:val="300"/>
          <w:jc w:val="center"/>
        </w:trPr>
        <w:tc>
          <w:tcPr>
            <w:tcW w:w="2448" w:type="dxa"/>
            <w:vMerge/>
            <w:tcBorders>
              <w:left w:val="nil"/>
              <w:bottom w:val="single" w:sz="4" w:space="0" w:color="auto"/>
              <w:right w:val="nil"/>
            </w:tcBorders>
            <w:shd w:val="clear" w:color="auto" w:fill="auto"/>
            <w:noWrap/>
            <w:vAlign w:val="bottom"/>
            <w:hideMark/>
          </w:tcPr>
          <w:p w14:paraId="1E3AD570"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bottom w:val="single" w:sz="4" w:space="0" w:color="auto"/>
              <w:right w:val="nil"/>
            </w:tcBorders>
            <w:shd w:val="clear" w:color="auto" w:fill="auto"/>
            <w:noWrap/>
            <w:vAlign w:val="bottom"/>
            <w:hideMark/>
          </w:tcPr>
          <w:p w14:paraId="521AFD4F"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Not recorded</w:t>
            </w:r>
          </w:p>
        </w:tc>
        <w:tc>
          <w:tcPr>
            <w:tcW w:w="1275" w:type="dxa"/>
            <w:tcBorders>
              <w:top w:val="nil"/>
              <w:left w:val="nil"/>
              <w:bottom w:val="single" w:sz="4" w:space="0" w:color="auto"/>
              <w:right w:val="nil"/>
            </w:tcBorders>
            <w:shd w:val="clear" w:color="auto" w:fill="auto"/>
            <w:noWrap/>
            <w:vAlign w:val="bottom"/>
            <w:hideMark/>
          </w:tcPr>
          <w:p w14:paraId="70748E72"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0.576</w:t>
            </w:r>
          </w:p>
        </w:tc>
        <w:tc>
          <w:tcPr>
            <w:tcW w:w="1276" w:type="dxa"/>
            <w:tcBorders>
              <w:top w:val="nil"/>
              <w:left w:val="nil"/>
              <w:bottom w:val="single" w:sz="4" w:space="0" w:color="auto"/>
              <w:right w:val="nil"/>
            </w:tcBorders>
            <w:shd w:val="clear" w:color="auto" w:fill="auto"/>
            <w:noWrap/>
            <w:vAlign w:val="bottom"/>
            <w:hideMark/>
          </w:tcPr>
          <w:p w14:paraId="4289A7F2"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0.479</w:t>
            </w:r>
          </w:p>
        </w:tc>
        <w:tc>
          <w:tcPr>
            <w:tcW w:w="1276" w:type="dxa"/>
            <w:tcBorders>
              <w:top w:val="nil"/>
              <w:left w:val="nil"/>
              <w:bottom w:val="single" w:sz="4" w:space="0" w:color="auto"/>
              <w:right w:val="nil"/>
            </w:tcBorders>
            <w:shd w:val="clear" w:color="auto" w:fill="auto"/>
            <w:noWrap/>
            <w:vAlign w:val="bottom"/>
            <w:hideMark/>
          </w:tcPr>
          <w:p w14:paraId="35FCC48F"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0.692</w:t>
            </w:r>
          </w:p>
        </w:tc>
        <w:tc>
          <w:tcPr>
            <w:tcW w:w="992" w:type="dxa"/>
            <w:tcBorders>
              <w:top w:val="nil"/>
              <w:left w:val="nil"/>
              <w:bottom w:val="single" w:sz="4" w:space="0" w:color="auto"/>
              <w:right w:val="nil"/>
            </w:tcBorders>
            <w:shd w:val="clear" w:color="auto" w:fill="auto"/>
            <w:noWrap/>
            <w:vAlign w:val="bottom"/>
            <w:hideMark/>
          </w:tcPr>
          <w:p w14:paraId="3D0D6D07"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73B546AD" w14:textId="77777777" w:rsidTr="003C13F4">
        <w:trPr>
          <w:trHeight w:val="300"/>
          <w:jc w:val="center"/>
        </w:trPr>
        <w:tc>
          <w:tcPr>
            <w:tcW w:w="2448" w:type="dxa"/>
            <w:tcBorders>
              <w:top w:val="single" w:sz="4" w:space="0" w:color="auto"/>
              <w:left w:val="nil"/>
              <w:bottom w:val="nil"/>
              <w:right w:val="nil"/>
            </w:tcBorders>
            <w:shd w:val="clear" w:color="auto" w:fill="auto"/>
            <w:noWrap/>
            <w:vAlign w:val="bottom"/>
            <w:hideMark/>
          </w:tcPr>
          <w:p w14:paraId="2B556404" w14:textId="77777777" w:rsidR="00CA0EF0" w:rsidRPr="00361E30" w:rsidRDefault="00CA0EF0" w:rsidP="003C13F4">
            <w:pPr>
              <w:spacing w:after="0" w:line="240" w:lineRule="auto"/>
              <w:rPr>
                <w:rFonts w:ascii="Calibri" w:eastAsia="Times New Roman" w:hAnsi="Calibri" w:cs="Calibri"/>
                <w:b/>
                <w:bCs/>
                <w:color w:val="000000"/>
              </w:rPr>
            </w:pPr>
            <w:r w:rsidRPr="00361E30">
              <w:rPr>
                <w:rFonts w:ascii="Calibri" w:eastAsia="Times New Roman" w:hAnsi="Calibri" w:cs="Calibri"/>
                <w:b/>
                <w:bCs/>
                <w:color w:val="000000"/>
              </w:rPr>
              <w:t>Injury Severity Score</w:t>
            </w:r>
          </w:p>
        </w:tc>
        <w:tc>
          <w:tcPr>
            <w:tcW w:w="2055" w:type="dxa"/>
            <w:tcBorders>
              <w:top w:val="single" w:sz="4" w:space="0" w:color="auto"/>
              <w:left w:val="nil"/>
              <w:bottom w:val="nil"/>
              <w:right w:val="nil"/>
            </w:tcBorders>
            <w:shd w:val="clear" w:color="auto" w:fill="auto"/>
            <w:noWrap/>
            <w:vAlign w:val="bottom"/>
            <w:hideMark/>
          </w:tcPr>
          <w:p w14:paraId="05EABE9B"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9 to 16</w:t>
            </w:r>
          </w:p>
        </w:tc>
        <w:tc>
          <w:tcPr>
            <w:tcW w:w="1275" w:type="dxa"/>
            <w:tcBorders>
              <w:top w:val="single" w:sz="4" w:space="0" w:color="auto"/>
              <w:left w:val="nil"/>
              <w:bottom w:val="nil"/>
              <w:right w:val="nil"/>
            </w:tcBorders>
            <w:shd w:val="clear" w:color="auto" w:fill="auto"/>
            <w:noWrap/>
            <w:vAlign w:val="bottom"/>
            <w:hideMark/>
          </w:tcPr>
          <w:p w14:paraId="199EE8EC"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Reference</w:t>
            </w:r>
          </w:p>
        </w:tc>
        <w:tc>
          <w:tcPr>
            <w:tcW w:w="1276" w:type="dxa"/>
            <w:tcBorders>
              <w:top w:val="single" w:sz="4" w:space="0" w:color="auto"/>
              <w:left w:val="nil"/>
              <w:bottom w:val="nil"/>
              <w:right w:val="nil"/>
            </w:tcBorders>
            <w:shd w:val="clear" w:color="auto" w:fill="auto"/>
            <w:noWrap/>
            <w:vAlign w:val="bottom"/>
            <w:hideMark/>
          </w:tcPr>
          <w:p w14:paraId="005A6A73" w14:textId="77777777" w:rsidR="00CA0EF0" w:rsidRPr="00361E30" w:rsidRDefault="00CA0EF0" w:rsidP="003C13F4">
            <w:pPr>
              <w:spacing w:after="0" w:line="240" w:lineRule="auto"/>
              <w:jc w:val="center"/>
              <w:rPr>
                <w:rFonts w:ascii="Calibri" w:eastAsia="Times New Roman" w:hAnsi="Calibri" w:cs="Calibri"/>
                <w:color w:val="000000"/>
              </w:rPr>
            </w:pPr>
          </w:p>
        </w:tc>
        <w:tc>
          <w:tcPr>
            <w:tcW w:w="1276" w:type="dxa"/>
            <w:tcBorders>
              <w:top w:val="single" w:sz="4" w:space="0" w:color="auto"/>
              <w:left w:val="nil"/>
              <w:bottom w:val="nil"/>
              <w:right w:val="nil"/>
            </w:tcBorders>
            <w:shd w:val="clear" w:color="auto" w:fill="auto"/>
            <w:noWrap/>
            <w:vAlign w:val="bottom"/>
            <w:hideMark/>
          </w:tcPr>
          <w:p w14:paraId="27B2608C" w14:textId="77777777" w:rsidR="00CA0EF0" w:rsidRPr="00361E30" w:rsidRDefault="00CA0EF0" w:rsidP="003C13F4">
            <w:pPr>
              <w:spacing w:after="0" w:line="240" w:lineRule="auto"/>
              <w:jc w:val="center"/>
              <w:rPr>
                <w:rFonts w:ascii="Calibri" w:eastAsia="Times New Roman" w:hAnsi="Calibri" w:cs="Calibri"/>
                <w:color w:val="000000"/>
              </w:rPr>
            </w:pPr>
          </w:p>
        </w:tc>
        <w:tc>
          <w:tcPr>
            <w:tcW w:w="992" w:type="dxa"/>
            <w:tcBorders>
              <w:top w:val="single" w:sz="4" w:space="0" w:color="auto"/>
              <w:left w:val="nil"/>
              <w:bottom w:val="nil"/>
              <w:right w:val="nil"/>
            </w:tcBorders>
            <w:shd w:val="clear" w:color="auto" w:fill="auto"/>
            <w:noWrap/>
            <w:vAlign w:val="bottom"/>
            <w:hideMark/>
          </w:tcPr>
          <w:p w14:paraId="012E9921" w14:textId="77777777" w:rsidR="00CA0EF0" w:rsidRPr="00361E30" w:rsidRDefault="00CA0EF0" w:rsidP="003C13F4">
            <w:pPr>
              <w:spacing w:after="0" w:line="240" w:lineRule="auto"/>
              <w:jc w:val="center"/>
              <w:rPr>
                <w:rFonts w:ascii="Calibri" w:eastAsia="Times New Roman" w:hAnsi="Calibri" w:cs="Calibri"/>
                <w:color w:val="000000"/>
              </w:rPr>
            </w:pPr>
          </w:p>
        </w:tc>
      </w:tr>
      <w:tr w:rsidR="00CA0EF0" w:rsidRPr="00361E30" w14:paraId="303E4F22" w14:textId="77777777" w:rsidTr="003C13F4">
        <w:trPr>
          <w:trHeight w:val="300"/>
          <w:jc w:val="center"/>
        </w:trPr>
        <w:tc>
          <w:tcPr>
            <w:tcW w:w="2448" w:type="dxa"/>
            <w:tcBorders>
              <w:top w:val="nil"/>
              <w:left w:val="nil"/>
              <w:bottom w:val="nil"/>
              <w:right w:val="nil"/>
            </w:tcBorders>
            <w:shd w:val="clear" w:color="auto" w:fill="auto"/>
            <w:noWrap/>
            <w:vAlign w:val="bottom"/>
            <w:hideMark/>
          </w:tcPr>
          <w:p w14:paraId="0C6543D4"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bottom w:val="nil"/>
              <w:right w:val="nil"/>
            </w:tcBorders>
            <w:shd w:val="clear" w:color="auto" w:fill="auto"/>
            <w:noWrap/>
            <w:vAlign w:val="bottom"/>
            <w:hideMark/>
          </w:tcPr>
          <w:p w14:paraId="23E7C71A"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&lt;9</w:t>
            </w:r>
          </w:p>
        </w:tc>
        <w:tc>
          <w:tcPr>
            <w:tcW w:w="1275" w:type="dxa"/>
            <w:tcBorders>
              <w:top w:val="nil"/>
              <w:left w:val="nil"/>
              <w:bottom w:val="nil"/>
              <w:right w:val="nil"/>
            </w:tcBorders>
            <w:shd w:val="clear" w:color="auto" w:fill="auto"/>
            <w:noWrap/>
            <w:vAlign w:val="bottom"/>
            <w:hideMark/>
          </w:tcPr>
          <w:p w14:paraId="0DCDF4EF"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1.692</w:t>
            </w:r>
          </w:p>
        </w:tc>
        <w:tc>
          <w:tcPr>
            <w:tcW w:w="1276" w:type="dxa"/>
            <w:tcBorders>
              <w:top w:val="nil"/>
              <w:left w:val="nil"/>
              <w:bottom w:val="nil"/>
              <w:right w:val="nil"/>
            </w:tcBorders>
            <w:shd w:val="clear" w:color="auto" w:fill="auto"/>
            <w:noWrap/>
            <w:vAlign w:val="bottom"/>
            <w:hideMark/>
          </w:tcPr>
          <w:p w14:paraId="313A290D"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1.493</w:t>
            </w:r>
          </w:p>
        </w:tc>
        <w:tc>
          <w:tcPr>
            <w:tcW w:w="1276" w:type="dxa"/>
            <w:tcBorders>
              <w:top w:val="nil"/>
              <w:left w:val="nil"/>
              <w:bottom w:val="nil"/>
              <w:right w:val="nil"/>
            </w:tcBorders>
            <w:shd w:val="clear" w:color="auto" w:fill="auto"/>
            <w:noWrap/>
            <w:vAlign w:val="bottom"/>
            <w:hideMark/>
          </w:tcPr>
          <w:p w14:paraId="1F45A25B"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1.916</w:t>
            </w:r>
          </w:p>
        </w:tc>
        <w:tc>
          <w:tcPr>
            <w:tcW w:w="992" w:type="dxa"/>
            <w:tcBorders>
              <w:top w:val="nil"/>
              <w:left w:val="nil"/>
              <w:bottom w:val="nil"/>
              <w:right w:val="nil"/>
            </w:tcBorders>
            <w:shd w:val="clear" w:color="auto" w:fill="auto"/>
            <w:noWrap/>
            <w:vAlign w:val="bottom"/>
            <w:hideMark/>
          </w:tcPr>
          <w:p w14:paraId="4D722D3D"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45C4B3AF" w14:textId="77777777" w:rsidTr="003C13F4">
        <w:trPr>
          <w:trHeight w:val="300"/>
          <w:jc w:val="center"/>
        </w:trPr>
        <w:tc>
          <w:tcPr>
            <w:tcW w:w="2448" w:type="dxa"/>
            <w:tcBorders>
              <w:top w:val="nil"/>
              <w:left w:val="nil"/>
              <w:right w:val="nil"/>
            </w:tcBorders>
            <w:shd w:val="clear" w:color="auto" w:fill="auto"/>
            <w:noWrap/>
            <w:vAlign w:val="bottom"/>
            <w:hideMark/>
          </w:tcPr>
          <w:p w14:paraId="616E9A40"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right w:val="nil"/>
            </w:tcBorders>
            <w:shd w:val="clear" w:color="auto" w:fill="auto"/>
            <w:noWrap/>
            <w:vAlign w:val="bottom"/>
            <w:hideMark/>
          </w:tcPr>
          <w:p w14:paraId="6B206D5A"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16 to 24</w:t>
            </w:r>
          </w:p>
        </w:tc>
        <w:tc>
          <w:tcPr>
            <w:tcW w:w="1275" w:type="dxa"/>
            <w:tcBorders>
              <w:top w:val="nil"/>
              <w:left w:val="nil"/>
              <w:right w:val="nil"/>
            </w:tcBorders>
            <w:shd w:val="clear" w:color="auto" w:fill="auto"/>
            <w:noWrap/>
            <w:vAlign w:val="bottom"/>
            <w:hideMark/>
          </w:tcPr>
          <w:p w14:paraId="5610094F"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0.720</w:t>
            </w:r>
          </w:p>
        </w:tc>
        <w:tc>
          <w:tcPr>
            <w:tcW w:w="1276" w:type="dxa"/>
            <w:tcBorders>
              <w:top w:val="nil"/>
              <w:left w:val="nil"/>
              <w:right w:val="nil"/>
            </w:tcBorders>
            <w:shd w:val="clear" w:color="auto" w:fill="auto"/>
            <w:noWrap/>
            <w:vAlign w:val="bottom"/>
            <w:hideMark/>
          </w:tcPr>
          <w:p w14:paraId="40420007"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0.627</w:t>
            </w:r>
          </w:p>
        </w:tc>
        <w:tc>
          <w:tcPr>
            <w:tcW w:w="1276" w:type="dxa"/>
            <w:tcBorders>
              <w:top w:val="nil"/>
              <w:left w:val="nil"/>
              <w:right w:val="nil"/>
            </w:tcBorders>
            <w:shd w:val="clear" w:color="auto" w:fill="auto"/>
            <w:noWrap/>
            <w:vAlign w:val="bottom"/>
            <w:hideMark/>
          </w:tcPr>
          <w:p w14:paraId="3F07EEB3"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0.827</w:t>
            </w:r>
          </w:p>
        </w:tc>
        <w:tc>
          <w:tcPr>
            <w:tcW w:w="992" w:type="dxa"/>
            <w:tcBorders>
              <w:top w:val="nil"/>
              <w:left w:val="nil"/>
              <w:right w:val="nil"/>
            </w:tcBorders>
            <w:shd w:val="clear" w:color="auto" w:fill="auto"/>
            <w:noWrap/>
            <w:vAlign w:val="bottom"/>
            <w:hideMark/>
          </w:tcPr>
          <w:p w14:paraId="2E5D20EB"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33C7AB4D" w14:textId="77777777" w:rsidTr="003C13F4">
        <w:trPr>
          <w:trHeight w:val="300"/>
          <w:jc w:val="center"/>
        </w:trPr>
        <w:tc>
          <w:tcPr>
            <w:tcW w:w="2448" w:type="dxa"/>
            <w:tcBorders>
              <w:top w:val="nil"/>
              <w:left w:val="nil"/>
              <w:bottom w:val="single" w:sz="4" w:space="0" w:color="auto"/>
              <w:right w:val="nil"/>
            </w:tcBorders>
            <w:shd w:val="clear" w:color="auto" w:fill="auto"/>
            <w:noWrap/>
            <w:vAlign w:val="bottom"/>
            <w:hideMark/>
          </w:tcPr>
          <w:p w14:paraId="262E1206"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bottom w:val="single" w:sz="4" w:space="0" w:color="auto"/>
              <w:right w:val="nil"/>
            </w:tcBorders>
            <w:shd w:val="clear" w:color="auto" w:fill="auto"/>
            <w:noWrap/>
            <w:vAlign w:val="bottom"/>
            <w:hideMark/>
          </w:tcPr>
          <w:p w14:paraId="507634AA"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≥25</w:t>
            </w:r>
          </w:p>
        </w:tc>
        <w:tc>
          <w:tcPr>
            <w:tcW w:w="1275" w:type="dxa"/>
            <w:tcBorders>
              <w:top w:val="nil"/>
              <w:left w:val="nil"/>
              <w:bottom w:val="single" w:sz="4" w:space="0" w:color="auto"/>
              <w:right w:val="nil"/>
            </w:tcBorders>
            <w:shd w:val="clear" w:color="auto" w:fill="auto"/>
            <w:noWrap/>
            <w:vAlign w:val="bottom"/>
            <w:hideMark/>
          </w:tcPr>
          <w:p w14:paraId="61CF3858"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0.251</w:t>
            </w:r>
          </w:p>
        </w:tc>
        <w:tc>
          <w:tcPr>
            <w:tcW w:w="1276" w:type="dxa"/>
            <w:tcBorders>
              <w:top w:val="nil"/>
              <w:left w:val="nil"/>
              <w:bottom w:val="single" w:sz="4" w:space="0" w:color="auto"/>
              <w:right w:val="nil"/>
            </w:tcBorders>
            <w:shd w:val="clear" w:color="auto" w:fill="auto"/>
            <w:noWrap/>
            <w:vAlign w:val="bottom"/>
            <w:hideMark/>
          </w:tcPr>
          <w:p w14:paraId="65B178F5"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0.216</w:t>
            </w:r>
          </w:p>
        </w:tc>
        <w:tc>
          <w:tcPr>
            <w:tcW w:w="1276" w:type="dxa"/>
            <w:tcBorders>
              <w:top w:val="nil"/>
              <w:left w:val="nil"/>
              <w:bottom w:val="single" w:sz="4" w:space="0" w:color="auto"/>
              <w:right w:val="nil"/>
            </w:tcBorders>
            <w:shd w:val="clear" w:color="auto" w:fill="auto"/>
            <w:noWrap/>
            <w:vAlign w:val="bottom"/>
            <w:hideMark/>
          </w:tcPr>
          <w:p w14:paraId="647A4BE8"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0.292</w:t>
            </w:r>
          </w:p>
        </w:tc>
        <w:tc>
          <w:tcPr>
            <w:tcW w:w="992" w:type="dxa"/>
            <w:tcBorders>
              <w:top w:val="nil"/>
              <w:left w:val="nil"/>
              <w:bottom w:val="single" w:sz="4" w:space="0" w:color="auto"/>
              <w:right w:val="nil"/>
            </w:tcBorders>
            <w:shd w:val="clear" w:color="auto" w:fill="auto"/>
            <w:noWrap/>
            <w:vAlign w:val="bottom"/>
            <w:hideMark/>
          </w:tcPr>
          <w:p w14:paraId="42BEFB9E"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4F1E54A3" w14:textId="77777777" w:rsidTr="003C13F4">
        <w:trPr>
          <w:trHeight w:val="300"/>
          <w:jc w:val="center"/>
        </w:trPr>
        <w:tc>
          <w:tcPr>
            <w:tcW w:w="2448" w:type="dxa"/>
            <w:vMerge w:val="restart"/>
            <w:tcBorders>
              <w:top w:val="single" w:sz="4" w:space="0" w:color="auto"/>
              <w:left w:val="nil"/>
              <w:right w:val="nil"/>
            </w:tcBorders>
            <w:shd w:val="clear" w:color="auto" w:fill="auto"/>
            <w:noWrap/>
            <w:vAlign w:val="bottom"/>
            <w:hideMark/>
          </w:tcPr>
          <w:p w14:paraId="0E0366B8" w14:textId="77777777" w:rsidR="00CA0EF0" w:rsidRPr="00361E30" w:rsidRDefault="00CA0EF0" w:rsidP="003C13F4">
            <w:pPr>
              <w:spacing w:after="0" w:line="240" w:lineRule="auto"/>
              <w:rPr>
                <w:rFonts w:ascii="Calibri" w:eastAsia="Times New Roman" w:hAnsi="Calibri" w:cs="Calibri"/>
                <w:b/>
                <w:bCs/>
                <w:color w:val="000000"/>
              </w:rPr>
            </w:pPr>
            <w:r w:rsidRPr="00361E30">
              <w:rPr>
                <w:rFonts w:ascii="Calibri" w:eastAsia="Times New Roman" w:hAnsi="Calibri" w:cs="Calibri"/>
                <w:b/>
                <w:bCs/>
                <w:color w:val="000000"/>
              </w:rPr>
              <w:t>Severity of Traumatic Brain Injury (TBI)</w:t>
            </w:r>
          </w:p>
        </w:tc>
        <w:tc>
          <w:tcPr>
            <w:tcW w:w="2055" w:type="dxa"/>
            <w:tcBorders>
              <w:top w:val="single" w:sz="4" w:space="0" w:color="auto"/>
              <w:left w:val="nil"/>
              <w:bottom w:val="nil"/>
              <w:right w:val="nil"/>
            </w:tcBorders>
            <w:shd w:val="clear" w:color="auto" w:fill="auto"/>
            <w:noWrap/>
            <w:vAlign w:val="bottom"/>
            <w:hideMark/>
          </w:tcPr>
          <w:p w14:paraId="338847BC"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AIS &lt;3</w:t>
            </w:r>
          </w:p>
        </w:tc>
        <w:tc>
          <w:tcPr>
            <w:tcW w:w="1275" w:type="dxa"/>
            <w:tcBorders>
              <w:top w:val="single" w:sz="4" w:space="0" w:color="auto"/>
              <w:left w:val="nil"/>
              <w:bottom w:val="nil"/>
              <w:right w:val="nil"/>
            </w:tcBorders>
            <w:shd w:val="clear" w:color="auto" w:fill="auto"/>
            <w:noWrap/>
            <w:vAlign w:val="bottom"/>
            <w:hideMark/>
          </w:tcPr>
          <w:p w14:paraId="0E34B531"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Reference</w:t>
            </w:r>
          </w:p>
        </w:tc>
        <w:tc>
          <w:tcPr>
            <w:tcW w:w="1276" w:type="dxa"/>
            <w:tcBorders>
              <w:top w:val="single" w:sz="4" w:space="0" w:color="auto"/>
              <w:left w:val="nil"/>
              <w:bottom w:val="nil"/>
              <w:right w:val="nil"/>
            </w:tcBorders>
            <w:shd w:val="clear" w:color="auto" w:fill="auto"/>
            <w:noWrap/>
            <w:vAlign w:val="bottom"/>
            <w:hideMark/>
          </w:tcPr>
          <w:p w14:paraId="1717CDA1" w14:textId="77777777" w:rsidR="00CA0EF0" w:rsidRPr="00361E30" w:rsidRDefault="00CA0EF0" w:rsidP="003C13F4">
            <w:pPr>
              <w:spacing w:after="0" w:line="240" w:lineRule="auto"/>
              <w:jc w:val="center"/>
              <w:rPr>
                <w:rFonts w:ascii="Calibri" w:eastAsia="Times New Roman" w:hAnsi="Calibri" w:cs="Calibri"/>
                <w:color w:val="000000"/>
              </w:rPr>
            </w:pPr>
          </w:p>
        </w:tc>
        <w:tc>
          <w:tcPr>
            <w:tcW w:w="1276" w:type="dxa"/>
            <w:tcBorders>
              <w:top w:val="single" w:sz="4" w:space="0" w:color="auto"/>
              <w:left w:val="nil"/>
              <w:bottom w:val="nil"/>
              <w:right w:val="nil"/>
            </w:tcBorders>
            <w:shd w:val="clear" w:color="auto" w:fill="auto"/>
            <w:noWrap/>
            <w:vAlign w:val="bottom"/>
            <w:hideMark/>
          </w:tcPr>
          <w:p w14:paraId="07384F24" w14:textId="77777777" w:rsidR="00CA0EF0" w:rsidRPr="00361E30" w:rsidRDefault="00CA0EF0" w:rsidP="003C13F4">
            <w:pPr>
              <w:spacing w:after="0" w:line="240" w:lineRule="auto"/>
              <w:jc w:val="center"/>
              <w:rPr>
                <w:rFonts w:ascii="Calibri" w:eastAsia="Times New Roman" w:hAnsi="Calibri" w:cs="Calibri"/>
                <w:color w:val="000000"/>
              </w:rPr>
            </w:pPr>
          </w:p>
        </w:tc>
        <w:tc>
          <w:tcPr>
            <w:tcW w:w="992" w:type="dxa"/>
            <w:tcBorders>
              <w:top w:val="single" w:sz="4" w:space="0" w:color="auto"/>
              <w:left w:val="nil"/>
              <w:bottom w:val="nil"/>
              <w:right w:val="nil"/>
            </w:tcBorders>
            <w:shd w:val="clear" w:color="auto" w:fill="auto"/>
            <w:noWrap/>
            <w:vAlign w:val="bottom"/>
            <w:hideMark/>
          </w:tcPr>
          <w:p w14:paraId="1640CDA8" w14:textId="77777777" w:rsidR="00CA0EF0" w:rsidRPr="00361E30" w:rsidRDefault="00CA0EF0" w:rsidP="003C13F4">
            <w:pPr>
              <w:spacing w:after="0" w:line="240" w:lineRule="auto"/>
              <w:jc w:val="center"/>
              <w:rPr>
                <w:rFonts w:ascii="Calibri" w:eastAsia="Times New Roman" w:hAnsi="Calibri" w:cs="Calibri"/>
                <w:color w:val="000000"/>
              </w:rPr>
            </w:pPr>
          </w:p>
        </w:tc>
      </w:tr>
      <w:tr w:rsidR="00CA0EF0" w:rsidRPr="00361E30" w14:paraId="3911BB12" w14:textId="77777777" w:rsidTr="003C13F4">
        <w:trPr>
          <w:trHeight w:val="300"/>
          <w:jc w:val="center"/>
        </w:trPr>
        <w:tc>
          <w:tcPr>
            <w:tcW w:w="2448" w:type="dxa"/>
            <w:vMerge/>
            <w:tcBorders>
              <w:left w:val="nil"/>
              <w:bottom w:val="single" w:sz="4" w:space="0" w:color="auto"/>
              <w:right w:val="nil"/>
            </w:tcBorders>
            <w:shd w:val="clear" w:color="auto" w:fill="auto"/>
            <w:noWrap/>
            <w:vAlign w:val="bottom"/>
            <w:hideMark/>
          </w:tcPr>
          <w:p w14:paraId="59A1CA4E"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bottom w:val="single" w:sz="4" w:space="0" w:color="auto"/>
              <w:right w:val="nil"/>
            </w:tcBorders>
            <w:shd w:val="clear" w:color="auto" w:fill="auto"/>
            <w:noWrap/>
            <w:vAlign w:val="bottom"/>
            <w:hideMark/>
          </w:tcPr>
          <w:p w14:paraId="2EDAEB0D"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AIS ≥3</w:t>
            </w:r>
          </w:p>
        </w:tc>
        <w:tc>
          <w:tcPr>
            <w:tcW w:w="1275" w:type="dxa"/>
            <w:tcBorders>
              <w:top w:val="nil"/>
              <w:left w:val="nil"/>
              <w:bottom w:val="single" w:sz="4" w:space="0" w:color="auto"/>
              <w:right w:val="nil"/>
            </w:tcBorders>
            <w:shd w:val="clear" w:color="auto" w:fill="auto"/>
            <w:noWrap/>
            <w:vAlign w:val="bottom"/>
            <w:hideMark/>
          </w:tcPr>
          <w:p w14:paraId="1F782DF6"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1.335</w:t>
            </w:r>
          </w:p>
        </w:tc>
        <w:tc>
          <w:tcPr>
            <w:tcW w:w="1276" w:type="dxa"/>
            <w:tcBorders>
              <w:top w:val="nil"/>
              <w:left w:val="nil"/>
              <w:bottom w:val="single" w:sz="4" w:space="0" w:color="auto"/>
              <w:right w:val="nil"/>
            </w:tcBorders>
            <w:shd w:val="clear" w:color="auto" w:fill="auto"/>
            <w:noWrap/>
            <w:vAlign w:val="bottom"/>
            <w:hideMark/>
          </w:tcPr>
          <w:p w14:paraId="608800D8"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1.168</w:t>
            </w:r>
          </w:p>
        </w:tc>
        <w:tc>
          <w:tcPr>
            <w:tcW w:w="1276" w:type="dxa"/>
            <w:tcBorders>
              <w:top w:val="nil"/>
              <w:left w:val="nil"/>
              <w:bottom w:val="single" w:sz="4" w:space="0" w:color="auto"/>
              <w:right w:val="nil"/>
            </w:tcBorders>
            <w:shd w:val="clear" w:color="auto" w:fill="auto"/>
            <w:noWrap/>
            <w:vAlign w:val="bottom"/>
            <w:hideMark/>
          </w:tcPr>
          <w:p w14:paraId="5C954D70"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1.528</w:t>
            </w:r>
          </w:p>
        </w:tc>
        <w:tc>
          <w:tcPr>
            <w:tcW w:w="992" w:type="dxa"/>
            <w:tcBorders>
              <w:top w:val="nil"/>
              <w:left w:val="nil"/>
              <w:bottom w:val="single" w:sz="4" w:space="0" w:color="auto"/>
              <w:right w:val="nil"/>
            </w:tcBorders>
            <w:shd w:val="clear" w:color="auto" w:fill="auto"/>
            <w:noWrap/>
            <w:vAlign w:val="bottom"/>
            <w:hideMark/>
          </w:tcPr>
          <w:p w14:paraId="66C89BE6"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40CED0AF" w14:textId="77777777" w:rsidTr="003C13F4">
        <w:trPr>
          <w:trHeight w:val="300"/>
          <w:jc w:val="center"/>
        </w:trPr>
        <w:tc>
          <w:tcPr>
            <w:tcW w:w="2448" w:type="dxa"/>
            <w:tcBorders>
              <w:top w:val="single" w:sz="4" w:space="0" w:color="auto"/>
              <w:left w:val="nil"/>
              <w:bottom w:val="nil"/>
              <w:right w:val="nil"/>
            </w:tcBorders>
            <w:shd w:val="clear" w:color="auto" w:fill="auto"/>
            <w:noWrap/>
            <w:vAlign w:val="bottom"/>
            <w:hideMark/>
          </w:tcPr>
          <w:p w14:paraId="78426652" w14:textId="77777777" w:rsidR="00CA0EF0" w:rsidRPr="00361E30" w:rsidRDefault="00CA0EF0" w:rsidP="003C13F4">
            <w:pPr>
              <w:spacing w:after="0" w:line="240" w:lineRule="auto"/>
              <w:rPr>
                <w:rFonts w:ascii="Calibri" w:eastAsia="Times New Roman" w:hAnsi="Calibri" w:cs="Calibri"/>
                <w:b/>
                <w:bCs/>
                <w:color w:val="000000"/>
              </w:rPr>
            </w:pPr>
            <w:r w:rsidRPr="00361E30">
              <w:rPr>
                <w:rFonts w:ascii="Calibri" w:eastAsia="Times New Roman" w:hAnsi="Calibri" w:cs="Calibri"/>
                <w:b/>
                <w:bCs/>
                <w:color w:val="000000"/>
              </w:rPr>
              <w:t>Number of Injuries</w:t>
            </w:r>
          </w:p>
        </w:tc>
        <w:tc>
          <w:tcPr>
            <w:tcW w:w="2055" w:type="dxa"/>
            <w:tcBorders>
              <w:top w:val="single" w:sz="4" w:space="0" w:color="auto"/>
              <w:left w:val="nil"/>
              <w:bottom w:val="nil"/>
              <w:right w:val="nil"/>
            </w:tcBorders>
            <w:shd w:val="clear" w:color="auto" w:fill="auto"/>
            <w:noWrap/>
            <w:vAlign w:val="bottom"/>
            <w:hideMark/>
          </w:tcPr>
          <w:p w14:paraId="265C4E41"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1</w:t>
            </w:r>
          </w:p>
        </w:tc>
        <w:tc>
          <w:tcPr>
            <w:tcW w:w="1275" w:type="dxa"/>
            <w:tcBorders>
              <w:top w:val="single" w:sz="4" w:space="0" w:color="auto"/>
              <w:left w:val="nil"/>
              <w:bottom w:val="nil"/>
              <w:right w:val="nil"/>
            </w:tcBorders>
            <w:shd w:val="clear" w:color="auto" w:fill="auto"/>
            <w:noWrap/>
            <w:vAlign w:val="bottom"/>
            <w:hideMark/>
          </w:tcPr>
          <w:p w14:paraId="3E32CDD5" w14:textId="77777777" w:rsidR="00CA0EF0" w:rsidRPr="00361E30" w:rsidRDefault="00CA0EF0" w:rsidP="003C13F4">
            <w:pPr>
              <w:spacing w:after="0" w:line="240" w:lineRule="auto"/>
              <w:jc w:val="center"/>
              <w:rPr>
                <w:rFonts w:ascii="Calibri" w:eastAsia="Times New Roman" w:hAnsi="Calibri" w:cs="Calibri"/>
                <w:color w:val="000000"/>
              </w:rPr>
            </w:pPr>
          </w:p>
        </w:tc>
        <w:tc>
          <w:tcPr>
            <w:tcW w:w="1276" w:type="dxa"/>
            <w:tcBorders>
              <w:top w:val="single" w:sz="4" w:space="0" w:color="auto"/>
              <w:left w:val="nil"/>
              <w:bottom w:val="nil"/>
              <w:right w:val="nil"/>
            </w:tcBorders>
            <w:shd w:val="clear" w:color="auto" w:fill="auto"/>
            <w:noWrap/>
            <w:vAlign w:val="bottom"/>
            <w:hideMark/>
          </w:tcPr>
          <w:p w14:paraId="3E0F4363" w14:textId="77777777" w:rsidR="00CA0EF0" w:rsidRPr="00361E30" w:rsidRDefault="00CA0EF0" w:rsidP="003C13F4">
            <w:pPr>
              <w:spacing w:after="0" w:line="240" w:lineRule="auto"/>
              <w:jc w:val="center"/>
              <w:rPr>
                <w:rFonts w:ascii="Calibri" w:eastAsia="Times New Roman" w:hAnsi="Calibri" w:cs="Calibri"/>
                <w:color w:val="000000"/>
              </w:rPr>
            </w:pPr>
          </w:p>
        </w:tc>
        <w:tc>
          <w:tcPr>
            <w:tcW w:w="1276" w:type="dxa"/>
            <w:tcBorders>
              <w:top w:val="single" w:sz="4" w:space="0" w:color="auto"/>
              <w:left w:val="nil"/>
              <w:bottom w:val="nil"/>
              <w:right w:val="nil"/>
            </w:tcBorders>
            <w:shd w:val="clear" w:color="auto" w:fill="auto"/>
            <w:noWrap/>
            <w:vAlign w:val="bottom"/>
            <w:hideMark/>
          </w:tcPr>
          <w:p w14:paraId="6A991317" w14:textId="77777777" w:rsidR="00CA0EF0" w:rsidRPr="00361E30" w:rsidRDefault="00CA0EF0" w:rsidP="003C13F4">
            <w:pPr>
              <w:spacing w:after="0" w:line="240" w:lineRule="auto"/>
              <w:jc w:val="center"/>
              <w:rPr>
                <w:rFonts w:ascii="Calibri" w:eastAsia="Times New Roman" w:hAnsi="Calibri" w:cs="Calibri"/>
                <w:color w:val="000000"/>
              </w:rPr>
            </w:pPr>
          </w:p>
        </w:tc>
        <w:tc>
          <w:tcPr>
            <w:tcW w:w="992" w:type="dxa"/>
            <w:tcBorders>
              <w:top w:val="single" w:sz="4" w:space="0" w:color="auto"/>
              <w:left w:val="nil"/>
              <w:bottom w:val="nil"/>
              <w:right w:val="nil"/>
            </w:tcBorders>
            <w:shd w:val="clear" w:color="auto" w:fill="auto"/>
            <w:noWrap/>
            <w:vAlign w:val="bottom"/>
            <w:hideMark/>
          </w:tcPr>
          <w:p w14:paraId="0D7E494D" w14:textId="77777777" w:rsidR="00CA0EF0" w:rsidRPr="00361E30" w:rsidRDefault="00CA0EF0" w:rsidP="003C13F4">
            <w:pPr>
              <w:spacing w:after="0" w:line="240" w:lineRule="auto"/>
              <w:jc w:val="center"/>
              <w:rPr>
                <w:rFonts w:ascii="Calibri" w:eastAsia="Times New Roman" w:hAnsi="Calibri" w:cs="Calibri"/>
                <w:color w:val="000000"/>
              </w:rPr>
            </w:pPr>
          </w:p>
        </w:tc>
      </w:tr>
      <w:tr w:rsidR="00CA0EF0" w:rsidRPr="00361E30" w14:paraId="5309F53A" w14:textId="77777777" w:rsidTr="003C13F4">
        <w:trPr>
          <w:trHeight w:val="300"/>
          <w:jc w:val="center"/>
        </w:trPr>
        <w:tc>
          <w:tcPr>
            <w:tcW w:w="2448" w:type="dxa"/>
            <w:tcBorders>
              <w:top w:val="nil"/>
              <w:left w:val="nil"/>
              <w:right w:val="nil"/>
            </w:tcBorders>
            <w:shd w:val="clear" w:color="auto" w:fill="auto"/>
            <w:noWrap/>
            <w:vAlign w:val="bottom"/>
            <w:hideMark/>
          </w:tcPr>
          <w:p w14:paraId="5928AEE0"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right w:val="nil"/>
            </w:tcBorders>
            <w:shd w:val="clear" w:color="auto" w:fill="auto"/>
            <w:noWrap/>
            <w:vAlign w:val="bottom"/>
            <w:hideMark/>
          </w:tcPr>
          <w:p w14:paraId="08C9B766"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2</w:t>
            </w:r>
          </w:p>
        </w:tc>
        <w:tc>
          <w:tcPr>
            <w:tcW w:w="1275" w:type="dxa"/>
            <w:tcBorders>
              <w:top w:val="nil"/>
              <w:left w:val="nil"/>
              <w:right w:val="nil"/>
            </w:tcBorders>
            <w:shd w:val="clear" w:color="auto" w:fill="auto"/>
            <w:noWrap/>
            <w:vAlign w:val="bottom"/>
            <w:hideMark/>
          </w:tcPr>
          <w:p w14:paraId="3D8D665F"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0.885</w:t>
            </w:r>
          </w:p>
        </w:tc>
        <w:tc>
          <w:tcPr>
            <w:tcW w:w="1276" w:type="dxa"/>
            <w:tcBorders>
              <w:top w:val="nil"/>
              <w:left w:val="nil"/>
              <w:right w:val="nil"/>
            </w:tcBorders>
            <w:shd w:val="clear" w:color="auto" w:fill="auto"/>
            <w:noWrap/>
            <w:vAlign w:val="bottom"/>
            <w:hideMark/>
          </w:tcPr>
          <w:p w14:paraId="749D2BB1"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0.791</w:t>
            </w:r>
          </w:p>
        </w:tc>
        <w:tc>
          <w:tcPr>
            <w:tcW w:w="1276" w:type="dxa"/>
            <w:tcBorders>
              <w:top w:val="nil"/>
              <w:left w:val="nil"/>
              <w:right w:val="nil"/>
            </w:tcBorders>
            <w:shd w:val="clear" w:color="auto" w:fill="auto"/>
            <w:noWrap/>
            <w:vAlign w:val="bottom"/>
            <w:hideMark/>
          </w:tcPr>
          <w:p w14:paraId="4CA215B1"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0.990</w:t>
            </w:r>
          </w:p>
        </w:tc>
        <w:tc>
          <w:tcPr>
            <w:tcW w:w="992" w:type="dxa"/>
            <w:tcBorders>
              <w:top w:val="nil"/>
              <w:left w:val="nil"/>
              <w:right w:val="nil"/>
            </w:tcBorders>
            <w:shd w:val="clear" w:color="auto" w:fill="auto"/>
            <w:noWrap/>
            <w:vAlign w:val="bottom"/>
            <w:hideMark/>
          </w:tcPr>
          <w:p w14:paraId="012712D4"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0.032</w:t>
            </w:r>
          </w:p>
        </w:tc>
      </w:tr>
      <w:tr w:rsidR="00CA0EF0" w:rsidRPr="00361E30" w14:paraId="7B151AED" w14:textId="77777777" w:rsidTr="003C13F4">
        <w:trPr>
          <w:trHeight w:val="300"/>
          <w:jc w:val="center"/>
        </w:trPr>
        <w:tc>
          <w:tcPr>
            <w:tcW w:w="2448" w:type="dxa"/>
            <w:tcBorders>
              <w:top w:val="nil"/>
              <w:left w:val="nil"/>
              <w:bottom w:val="single" w:sz="4" w:space="0" w:color="auto"/>
              <w:right w:val="nil"/>
            </w:tcBorders>
            <w:shd w:val="clear" w:color="auto" w:fill="auto"/>
            <w:noWrap/>
            <w:vAlign w:val="bottom"/>
            <w:hideMark/>
          </w:tcPr>
          <w:p w14:paraId="4011A456"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bottom w:val="single" w:sz="4" w:space="0" w:color="auto"/>
              <w:right w:val="nil"/>
            </w:tcBorders>
            <w:shd w:val="clear" w:color="auto" w:fill="auto"/>
            <w:noWrap/>
            <w:vAlign w:val="bottom"/>
            <w:hideMark/>
          </w:tcPr>
          <w:p w14:paraId="7FDA5C9E"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≥3</w:t>
            </w:r>
          </w:p>
        </w:tc>
        <w:tc>
          <w:tcPr>
            <w:tcW w:w="1275" w:type="dxa"/>
            <w:tcBorders>
              <w:top w:val="nil"/>
              <w:left w:val="nil"/>
              <w:bottom w:val="single" w:sz="4" w:space="0" w:color="auto"/>
              <w:right w:val="nil"/>
            </w:tcBorders>
            <w:shd w:val="clear" w:color="auto" w:fill="auto"/>
            <w:noWrap/>
            <w:vAlign w:val="bottom"/>
            <w:hideMark/>
          </w:tcPr>
          <w:p w14:paraId="77201062"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0.667</w:t>
            </w:r>
          </w:p>
        </w:tc>
        <w:tc>
          <w:tcPr>
            <w:tcW w:w="1276" w:type="dxa"/>
            <w:tcBorders>
              <w:top w:val="nil"/>
              <w:left w:val="nil"/>
              <w:bottom w:val="single" w:sz="4" w:space="0" w:color="auto"/>
              <w:right w:val="nil"/>
            </w:tcBorders>
            <w:shd w:val="clear" w:color="auto" w:fill="auto"/>
            <w:noWrap/>
            <w:vAlign w:val="bottom"/>
            <w:hideMark/>
          </w:tcPr>
          <w:p w14:paraId="24216A87"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0.598</w:t>
            </w:r>
          </w:p>
        </w:tc>
        <w:tc>
          <w:tcPr>
            <w:tcW w:w="1276" w:type="dxa"/>
            <w:tcBorders>
              <w:top w:val="nil"/>
              <w:left w:val="nil"/>
              <w:bottom w:val="single" w:sz="4" w:space="0" w:color="auto"/>
              <w:right w:val="nil"/>
            </w:tcBorders>
            <w:shd w:val="clear" w:color="auto" w:fill="auto"/>
            <w:noWrap/>
            <w:vAlign w:val="bottom"/>
            <w:hideMark/>
          </w:tcPr>
          <w:p w14:paraId="31007850"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0.745</w:t>
            </w:r>
          </w:p>
        </w:tc>
        <w:tc>
          <w:tcPr>
            <w:tcW w:w="992" w:type="dxa"/>
            <w:tcBorders>
              <w:top w:val="nil"/>
              <w:left w:val="nil"/>
              <w:bottom w:val="single" w:sz="4" w:space="0" w:color="auto"/>
              <w:right w:val="nil"/>
            </w:tcBorders>
            <w:shd w:val="clear" w:color="auto" w:fill="auto"/>
            <w:noWrap/>
            <w:vAlign w:val="bottom"/>
            <w:hideMark/>
          </w:tcPr>
          <w:p w14:paraId="7A146289"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1002297E" w14:textId="77777777" w:rsidTr="003C13F4">
        <w:trPr>
          <w:trHeight w:val="300"/>
          <w:jc w:val="center"/>
        </w:trPr>
        <w:tc>
          <w:tcPr>
            <w:tcW w:w="2448" w:type="dxa"/>
            <w:tcBorders>
              <w:top w:val="single" w:sz="4" w:space="0" w:color="auto"/>
              <w:left w:val="nil"/>
              <w:bottom w:val="nil"/>
              <w:right w:val="nil"/>
            </w:tcBorders>
            <w:shd w:val="clear" w:color="auto" w:fill="auto"/>
            <w:noWrap/>
            <w:vAlign w:val="bottom"/>
            <w:hideMark/>
          </w:tcPr>
          <w:p w14:paraId="73B6EB5C" w14:textId="77777777" w:rsidR="00CA0EF0" w:rsidRPr="00361E30" w:rsidRDefault="00CA0EF0" w:rsidP="003C13F4">
            <w:pPr>
              <w:spacing w:after="0" w:line="240" w:lineRule="auto"/>
              <w:rPr>
                <w:rFonts w:ascii="Calibri" w:eastAsia="Times New Roman" w:hAnsi="Calibri" w:cs="Calibri"/>
                <w:b/>
                <w:bCs/>
                <w:color w:val="000000"/>
              </w:rPr>
            </w:pPr>
            <w:r w:rsidRPr="00361E30">
              <w:rPr>
                <w:rFonts w:ascii="Calibri" w:eastAsia="Times New Roman" w:hAnsi="Calibri" w:cs="Calibri"/>
                <w:b/>
                <w:bCs/>
                <w:color w:val="000000"/>
              </w:rPr>
              <w:t>Mechanism of Injury</w:t>
            </w:r>
          </w:p>
        </w:tc>
        <w:tc>
          <w:tcPr>
            <w:tcW w:w="2055" w:type="dxa"/>
            <w:tcBorders>
              <w:top w:val="single" w:sz="4" w:space="0" w:color="auto"/>
              <w:left w:val="nil"/>
              <w:bottom w:val="nil"/>
              <w:right w:val="nil"/>
            </w:tcBorders>
            <w:shd w:val="clear" w:color="auto" w:fill="auto"/>
            <w:noWrap/>
            <w:vAlign w:val="bottom"/>
            <w:hideMark/>
          </w:tcPr>
          <w:p w14:paraId="4B700C9A"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Fall &lt; 2m</w:t>
            </w:r>
          </w:p>
        </w:tc>
        <w:tc>
          <w:tcPr>
            <w:tcW w:w="1275" w:type="dxa"/>
            <w:tcBorders>
              <w:top w:val="single" w:sz="4" w:space="0" w:color="auto"/>
              <w:left w:val="nil"/>
              <w:bottom w:val="nil"/>
              <w:right w:val="nil"/>
            </w:tcBorders>
            <w:shd w:val="clear" w:color="auto" w:fill="auto"/>
            <w:noWrap/>
            <w:vAlign w:val="bottom"/>
            <w:hideMark/>
          </w:tcPr>
          <w:p w14:paraId="24A0443E"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Reference</w:t>
            </w:r>
          </w:p>
        </w:tc>
        <w:tc>
          <w:tcPr>
            <w:tcW w:w="1276" w:type="dxa"/>
            <w:tcBorders>
              <w:top w:val="single" w:sz="4" w:space="0" w:color="auto"/>
              <w:left w:val="nil"/>
              <w:bottom w:val="nil"/>
              <w:right w:val="nil"/>
            </w:tcBorders>
            <w:shd w:val="clear" w:color="auto" w:fill="auto"/>
            <w:noWrap/>
            <w:vAlign w:val="bottom"/>
            <w:hideMark/>
          </w:tcPr>
          <w:p w14:paraId="3366BF43" w14:textId="77777777" w:rsidR="00CA0EF0" w:rsidRPr="00361E30" w:rsidRDefault="00CA0EF0" w:rsidP="003C13F4">
            <w:pPr>
              <w:spacing w:after="0" w:line="240" w:lineRule="auto"/>
              <w:jc w:val="center"/>
              <w:rPr>
                <w:rFonts w:ascii="Calibri" w:eastAsia="Times New Roman" w:hAnsi="Calibri" w:cs="Calibri"/>
                <w:color w:val="000000"/>
              </w:rPr>
            </w:pPr>
          </w:p>
        </w:tc>
        <w:tc>
          <w:tcPr>
            <w:tcW w:w="1276" w:type="dxa"/>
            <w:tcBorders>
              <w:top w:val="single" w:sz="4" w:space="0" w:color="auto"/>
              <w:left w:val="nil"/>
              <w:bottom w:val="nil"/>
              <w:right w:val="nil"/>
            </w:tcBorders>
            <w:shd w:val="clear" w:color="auto" w:fill="auto"/>
            <w:noWrap/>
            <w:vAlign w:val="bottom"/>
            <w:hideMark/>
          </w:tcPr>
          <w:p w14:paraId="07C444C9" w14:textId="77777777" w:rsidR="00CA0EF0" w:rsidRPr="00361E30" w:rsidRDefault="00CA0EF0" w:rsidP="003C13F4">
            <w:pPr>
              <w:spacing w:after="0" w:line="240" w:lineRule="auto"/>
              <w:jc w:val="center"/>
              <w:rPr>
                <w:rFonts w:ascii="Calibri" w:eastAsia="Times New Roman" w:hAnsi="Calibri" w:cs="Calibri"/>
                <w:color w:val="000000"/>
              </w:rPr>
            </w:pPr>
          </w:p>
        </w:tc>
        <w:tc>
          <w:tcPr>
            <w:tcW w:w="992" w:type="dxa"/>
            <w:tcBorders>
              <w:top w:val="single" w:sz="4" w:space="0" w:color="auto"/>
              <w:left w:val="nil"/>
              <w:bottom w:val="nil"/>
              <w:right w:val="nil"/>
            </w:tcBorders>
            <w:shd w:val="clear" w:color="auto" w:fill="auto"/>
            <w:noWrap/>
            <w:vAlign w:val="bottom"/>
            <w:hideMark/>
          </w:tcPr>
          <w:p w14:paraId="0F8F8586" w14:textId="77777777" w:rsidR="00CA0EF0" w:rsidRPr="00361E30" w:rsidRDefault="00CA0EF0" w:rsidP="003C13F4">
            <w:pPr>
              <w:spacing w:after="0" w:line="240" w:lineRule="auto"/>
              <w:jc w:val="center"/>
              <w:rPr>
                <w:rFonts w:ascii="Calibri" w:eastAsia="Times New Roman" w:hAnsi="Calibri" w:cs="Calibri"/>
                <w:color w:val="000000"/>
              </w:rPr>
            </w:pPr>
          </w:p>
        </w:tc>
      </w:tr>
      <w:tr w:rsidR="00CA0EF0" w:rsidRPr="00361E30" w14:paraId="3738D6ED" w14:textId="77777777" w:rsidTr="003C13F4">
        <w:trPr>
          <w:trHeight w:val="300"/>
          <w:jc w:val="center"/>
        </w:trPr>
        <w:tc>
          <w:tcPr>
            <w:tcW w:w="2448" w:type="dxa"/>
            <w:tcBorders>
              <w:top w:val="nil"/>
              <w:left w:val="nil"/>
              <w:bottom w:val="nil"/>
              <w:right w:val="nil"/>
            </w:tcBorders>
            <w:shd w:val="clear" w:color="auto" w:fill="auto"/>
            <w:noWrap/>
            <w:vAlign w:val="bottom"/>
            <w:hideMark/>
          </w:tcPr>
          <w:p w14:paraId="3DFE8903"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bottom w:val="nil"/>
              <w:right w:val="nil"/>
            </w:tcBorders>
            <w:shd w:val="clear" w:color="auto" w:fill="auto"/>
            <w:noWrap/>
            <w:vAlign w:val="bottom"/>
            <w:hideMark/>
          </w:tcPr>
          <w:p w14:paraId="68DB0171"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Fall &gt;2m</w:t>
            </w:r>
          </w:p>
        </w:tc>
        <w:tc>
          <w:tcPr>
            <w:tcW w:w="1275" w:type="dxa"/>
            <w:tcBorders>
              <w:top w:val="nil"/>
              <w:left w:val="nil"/>
              <w:bottom w:val="nil"/>
              <w:right w:val="nil"/>
            </w:tcBorders>
            <w:shd w:val="clear" w:color="auto" w:fill="auto"/>
            <w:noWrap/>
            <w:vAlign w:val="bottom"/>
            <w:hideMark/>
          </w:tcPr>
          <w:p w14:paraId="34D34596"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0.850</w:t>
            </w:r>
          </w:p>
        </w:tc>
        <w:tc>
          <w:tcPr>
            <w:tcW w:w="1276" w:type="dxa"/>
            <w:tcBorders>
              <w:top w:val="nil"/>
              <w:left w:val="nil"/>
              <w:bottom w:val="nil"/>
              <w:right w:val="nil"/>
            </w:tcBorders>
            <w:shd w:val="clear" w:color="auto" w:fill="auto"/>
            <w:noWrap/>
            <w:vAlign w:val="bottom"/>
            <w:hideMark/>
          </w:tcPr>
          <w:p w14:paraId="282156CC"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0.747</w:t>
            </w:r>
          </w:p>
        </w:tc>
        <w:tc>
          <w:tcPr>
            <w:tcW w:w="1276" w:type="dxa"/>
            <w:tcBorders>
              <w:top w:val="nil"/>
              <w:left w:val="nil"/>
              <w:bottom w:val="nil"/>
              <w:right w:val="nil"/>
            </w:tcBorders>
            <w:shd w:val="clear" w:color="auto" w:fill="auto"/>
            <w:noWrap/>
            <w:vAlign w:val="bottom"/>
            <w:hideMark/>
          </w:tcPr>
          <w:p w14:paraId="220B98A4"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0.967</w:t>
            </w:r>
          </w:p>
        </w:tc>
        <w:tc>
          <w:tcPr>
            <w:tcW w:w="992" w:type="dxa"/>
            <w:tcBorders>
              <w:top w:val="nil"/>
              <w:left w:val="nil"/>
              <w:bottom w:val="nil"/>
              <w:right w:val="nil"/>
            </w:tcBorders>
            <w:shd w:val="clear" w:color="auto" w:fill="auto"/>
            <w:noWrap/>
            <w:vAlign w:val="bottom"/>
            <w:hideMark/>
          </w:tcPr>
          <w:p w14:paraId="31EB9ED3"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0.014</w:t>
            </w:r>
          </w:p>
        </w:tc>
      </w:tr>
      <w:tr w:rsidR="00CA0EF0" w:rsidRPr="00361E30" w14:paraId="356D52F3" w14:textId="77777777" w:rsidTr="003C13F4">
        <w:trPr>
          <w:trHeight w:val="300"/>
          <w:jc w:val="center"/>
        </w:trPr>
        <w:tc>
          <w:tcPr>
            <w:tcW w:w="4503" w:type="dxa"/>
            <w:gridSpan w:val="2"/>
            <w:tcBorders>
              <w:top w:val="nil"/>
              <w:left w:val="nil"/>
              <w:right w:val="nil"/>
            </w:tcBorders>
            <w:shd w:val="clear" w:color="auto" w:fill="auto"/>
            <w:noWrap/>
            <w:vAlign w:val="center"/>
            <w:hideMark/>
          </w:tcPr>
          <w:p w14:paraId="1A9A0683" w14:textId="77777777" w:rsidR="00CA0EF0" w:rsidRPr="00361E30" w:rsidRDefault="00CA0EF0" w:rsidP="003C13F4">
            <w:pPr>
              <w:spacing w:after="0" w:line="240" w:lineRule="auto"/>
              <w:jc w:val="right"/>
              <w:rPr>
                <w:rFonts w:ascii="Calibri" w:eastAsia="Times New Roman" w:hAnsi="Calibri" w:cs="Calibri"/>
                <w:color w:val="000000"/>
              </w:rPr>
            </w:pPr>
            <w:r w:rsidRPr="00361E30">
              <w:rPr>
                <w:rFonts w:ascii="Calibri" w:eastAsia="Times New Roman" w:hAnsi="Calibri" w:cs="Calibri"/>
                <w:color w:val="000000"/>
              </w:rPr>
              <w:t>Vehicle Incident/collision</w:t>
            </w:r>
          </w:p>
        </w:tc>
        <w:tc>
          <w:tcPr>
            <w:tcW w:w="1275" w:type="dxa"/>
            <w:tcBorders>
              <w:top w:val="nil"/>
              <w:left w:val="nil"/>
              <w:right w:val="nil"/>
            </w:tcBorders>
            <w:shd w:val="clear" w:color="auto" w:fill="auto"/>
            <w:noWrap/>
            <w:vAlign w:val="bottom"/>
            <w:hideMark/>
          </w:tcPr>
          <w:p w14:paraId="21F87CD9"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1.493</w:t>
            </w:r>
          </w:p>
        </w:tc>
        <w:tc>
          <w:tcPr>
            <w:tcW w:w="1276" w:type="dxa"/>
            <w:tcBorders>
              <w:top w:val="nil"/>
              <w:left w:val="nil"/>
              <w:right w:val="nil"/>
            </w:tcBorders>
            <w:shd w:val="clear" w:color="auto" w:fill="auto"/>
            <w:noWrap/>
            <w:vAlign w:val="bottom"/>
            <w:hideMark/>
          </w:tcPr>
          <w:p w14:paraId="54DA5F95"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1.243</w:t>
            </w:r>
          </w:p>
        </w:tc>
        <w:tc>
          <w:tcPr>
            <w:tcW w:w="1276" w:type="dxa"/>
            <w:tcBorders>
              <w:top w:val="nil"/>
              <w:left w:val="nil"/>
              <w:right w:val="nil"/>
            </w:tcBorders>
            <w:shd w:val="clear" w:color="auto" w:fill="auto"/>
            <w:noWrap/>
            <w:vAlign w:val="bottom"/>
            <w:hideMark/>
          </w:tcPr>
          <w:p w14:paraId="5891AD4C"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1.792</w:t>
            </w:r>
          </w:p>
        </w:tc>
        <w:tc>
          <w:tcPr>
            <w:tcW w:w="992" w:type="dxa"/>
            <w:tcBorders>
              <w:top w:val="nil"/>
              <w:left w:val="nil"/>
              <w:right w:val="nil"/>
            </w:tcBorders>
            <w:shd w:val="clear" w:color="auto" w:fill="auto"/>
            <w:noWrap/>
            <w:vAlign w:val="bottom"/>
            <w:hideMark/>
          </w:tcPr>
          <w:p w14:paraId="67B2121A"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1DEADA7A" w14:textId="77777777" w:rsidTr="003C13F4">
        <w:trPr>
          <w:trHeight w:val="300"/>
          <w:jc w:val="center"/>
        </w:trPr>
        <w:tc>
          <w:tcPr>
            <w:tcW w:w="2448" w:type="dxa"/>
            <w:tcBorders>
              <w:top w:val="nil"/>
              <w:left w:val="nil"/>
              <w:bottom w:val="single" w:sz="4" w:space="0" w:color="auto"/>
              <w:right w:val="nil"/>
            </w:tcBorders>
            <w:shd w:val="clear" w:color="auto" w:fill="auto"/>
            <w:noWrap/>
            <w:vAlign w:val="bottom"/>
            <w:hideMark/>
          </w:tcPr>
          <w:p w14:paraId="3E141682"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bottom w:val="single" w:sz="4" w:space="0" w:color="auto"/>
              <w:right w:val="nil"/>
            </w:tcBorders>
            <w:shd w:val="clear" w:color="auto" w:fill="auto"/>
            <w:noWrap/>
            <w:vAlign w:val="bottom"/>
            <w:hideMark/>
          </w:tcPr>
          <w:p w14:paraId="23B05816"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Other</w:t>
            </w:r>
          </w:p>
        </w:tc>
        <w:tc>
          <w:tcPr>
            <w:tcW w:w="1275" w:type="dxa"/>
            <w:tcBorders>
              <w:top w:val="nil"/>
              <w:left w:val="nil"/>
              <w:bottom w:val="single" w:sz="4" w:space="0" w:color="auto"/>
              <w:right w:val="nil"/>
            </w:tcBorders>
            <w:shd w:val="clear" w:color="auto" w:fill="auto"/>
            <w:noWrap/>
            <w:vAlign w:val="bottom"/>
            <w:hideMark/>
          </w:tcPr>
          <w:p w14:paraId="3F301C2F"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1.000</w:t>
            </w:r>
          </w:p>
        </w:tc>
        <w:tc>
          <w:tcPr>
            <w:tcW w:w="1276" w:type="dxa"/>
            <w:tcBorders>
              <w:top w:val="nil"/>
              <w:left w:val="nil"/>
              <w:bottom w:val="single" w:sz="4" w:space="0" w:color="auto"/>
              <w:right w:val="nil"/>
            </w:tcBorders>
            <w:shd w:val="clear" w:color="auto" w:fill="auto"/>
            <w:noWrap/>
            <w:vAlign w:val="bottom"/>
            <w:hideMark/>
          </w:tcPr>
          <w:p w14:paraId="33B608E6"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0.753</w:t>
            </w:r>
          </w:p>
        </w:tc>
        <w:tc>
          <w:tcPr>
            <w:tcW w:w="1276" w:type="dxa"/>
            <w:tcBorders>
              <w:top w:val="nil"/>
              <w:left w:val="nil"/>
              <w:bottom w:val="single" w:sz="4" w:space="0" w:color="auto"/>
              <w:right w:val="nil"/>
            </w:tcBorders>
            <w:shd w:val="clear" w:color="auto" w:fill="auto"/>
            <w:noWrap/>
            <w:vAlign w:val="bottom"/>
            <w:hideMark/>
          </w:tcPr>
          <w:p w14:paraId="69802084"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1.329</w:t>
            </w:r>
          </w:p>
        </w:tc>
        <w:tc>
          <w:tcPr>
            <w:tcW w:w="992" w:type="dxa"/>
            <w:tcBorders>
              <w:top w:val="nil"/>
              <w:left w:val="nil"/>
              <w:bottom w:val="single" w:sz="4" w:space="0" w:color="auto"/>
              <w:right w:val="nil"/>
            </w:tcBorders>
            <w:shd w:val="clear" w:color="auto" w:fill="auto"/>
            <w:noWrap/>
            <w:vAlign w:val="bottom"/>
            <w:hideMark/>
          </w:tcPr>
          <w:p w14:paraId="736C544C"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0.999</w:t>
            </w:r>
          </w:p>
        </w:tc>
      </w:tr>
      <w:tr w:rsidR="00CA0EF0" w:rsidRPr="00361E30" w14:paraId="4DECE54F" w14:textId="77777777" w:rsidTr="003C13F4">
        <w:trPr>
          <w:trHeight w:val="300"/>
          <w:jc w:val="center"/>
        </w:trPr>
        <w:tc>
          <w:tcPr>
            <w:tcW w:w="2448" w:type="dxa"/>
            <w:tcBorders>
              <w:top w:val="single" w:sz="4" w:space="0" w:color="auto"/>
              <w:left w:val="nil"/>
              <w:bottom w:val="nil"/>
              <w:right w:val="nil"/>
            </w:tcBorders>
            <w:shd w:val="clear" w:color="auto" w:fill="auto"/>
            <w:noWrap/>
            <w:vAlign w:val="bottom"/>
            <w:hideMark/>
          </w:tcPr>
          <w:p w14:paraId="55CC3F54" w14:textId="77777777" w:rsidR="00CA0EF0" w:rsidRPr="00361E30" w:rsidRDefault="00CA0EF0" w:rsidP="003C13F4">
            <w:pPr>
              <w:spacing w:after="0" w:line="240" w:lineRule="auto"/>
              <w:rPr>
                <w:rFonts w:ascii="Calibri" w:eastAsia="Times New Roman" w:hAnsi="Calibri" w:cs="Calibri"/>
                <w:b/>
                <w:bCs/>
                <w:color w:val="000000"/>
              </w:rPr>
            </w:pPr>
            <w:r w:rsidRPr="00361E30">
              <w:rPr>
                <w:rFonts w:ascii="Calibri" w:eastAsia="Times New Roman" w:hAnsi="Calibri" w:cs="Calibri"/>
                <w:b/>
                <w:bCs/>
                <w:color w:val="000000"/>
              </w:rPr>
              <w:t>Glasgow Coma Score</w:t>
            </w:r>
          </w:p>
        </w:tc>
        <w:tc>
          <w:tcPr>
            <w:tcW w:w="2055" w:type="dxa"/>
            <w:tcBorders>
              <w:top w:val="single" w:sz="4" w:space="0" w:color="auto"/>
              <w:left w:val="nil"/>
              <w:bottom w:val="nil"/>
              <w:right w:val="nil"/>
            </w:tcBorders>
            <w:shd w:val="clear" w:color="auto" w:fill="auto"/>
            <w:noWrap/>
            <w:vAlign w:val="bottom"/>
            <w:hideMark/>
          </w:tcPr>
          <w:p w14:paraId="17A65E86"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15</w:t>
            </w:r>
          </w:p>
        </w:tc>
        <w:tc>
          <w:tcPr>
            <w:tcW w:w="1275" w:type="dxa"/>
            <w:tcBorders>
              <w:top w:val="single" w:sz="4" w:space="0" w:color="auto"/>
              <w:left w:val="nil"/>
              <w:bottom w:val="nil"/>
              <w:right w:val="nil"/>
            </w:tcBorders>
            <w:shd w:val="clear" w:color="auto" w:fill="auto"/>
            <w:noWrap/>
            <w:vAlign w:val="bottom"/>
            <w:hideMark/>
          </w:tcPr>
          <w:p w14:paraId="6484E875"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Reference</w:t>
            </w:r>
          </w:p>
        </w:tc>
        <w:tc>
          <w:tcPr>
            <w:tcW w:w="1276" w:type="dxa"/>
            <w:tcBorders>
              <w:top w:val="single" w:sz="4" w:space="0" w:color="auto"/>
              <w:left w:val="nil"/>
              <w:bottom w:val="nil"/>
              <w:right w:val="nil"/>
            </w:tcBorders>
            <w:shd w:val="clear" w:color="auto" w:fill="auto"/>
            <w:noWrap/>
            <w:vAlign w:val="bottom"/>
            <w:hideMark/>
          </w:tcPr>
          <w:p w14:paraId="59D6D008" w14:textId="77777777" w:rsidR="00CA0EF0" w:rsidRPr="00361E30" w:rsidRDefault="00CA0EF0" w:rsidP="003C13F4">
            <w:pPr>
              <w:spacing w:after="0" w:line="240" w:lineRule="auto"/>
              <w:jc w:val="center"/>
              <w:rPr>
                <w:rFonts w:ascii="Calibri" w:eastAsia="Times New Roman" w:hAnsi="Calibri" w:cs="Calibri"/>
                <w:color w:val="000000"/>
              </w:rPr>
            </w:pPr>
          </w:p>
        </w:tc>
        <w:tc>
          <w:tcPr>
            <w:tcW w:w="1276" w:type="dxa"/>
            <w:tcBorders>
              <w:top w:val="single" w:sz="4" w:space="0" w:color="auto"/>
              <w:left w:val="nil"/>
              <w:bottom w:val="nil"/>
              <w:right w:val="nil"/>
            </w:tcBorders>
            <w:shd w:val="clear" w:color="auto" w:fill="auto"/>
            <w:noWrap/>
            <w:vAlign w:val="bottom"/>
            <w:hideMark/>
          </w:tcPr>
          <w:p w14:paraId="20F7A298" w14:textId="77777777" w:rsidR="00CA0EF0" w:rsidRPr="00361E30" w:rsidRDefault="00CA0EF0" w:rsidP="003C13F4">
            <w:pPr>
              <w:spacing w:after="0" w:line="240" w:lineRule="auto"/>
              <w:jc w:val="center"/>
              <w:rPr>
                <w:rFonts w:ascii="Calibri" w:eastAsia="Times New Roman" w:hAnsi="Calibri" w:cs="Calibri"/>
                <w:color w:val="000000"/>
              </w:rPr>
            </w:pPr>
          </w:p>
        </w:tc>
        <w:tc>
          <w:tcPr>
            <w:tcW w:w="992" w:type="dxa"/>
            <w:tcBorders>
              <w:top w:val="single" w:sz="4" w:space="0" w:color="auto"/>
              <w:left w:val="nil"/>
              <w:bottom w:val="nil"/>
              <w:right w:val="nil"/>
            </w:tcBorders>
            <w:shd w:val="clear" w:color="auto" w:fill="auto"/>
            <w:noWrap/>
            <w:vAlign w:val="bottom"/>
            <w:hideMark/>
          </w:tcPr>
          <w:p w14:paraId="572552F8" w14:textId="77777777" w:rsidR="00CA0EF0" w:rsidRPr="00361E30" w:rsidRDefault="00CA0EF0" w:rsidP="003C13F4">
            <w:pPr>
              <w:spacing w:after="0" w:line="240" w:lineRule="auto"/>
              <w:jc w:val="center"/>
              <w:rPr>
                <w:rFonts w:ascii="Calibri" w:eastAsia="Times New Roman" w:hAnsi="Calibri" w:cs="Calibri"/>
                <w:color w:val="000000"/>
              </w:rPr>
            </w:pPr>
          </w:p>
        </w:tc>
      </w:tr>
      <w:tr w:rsidR="00CA0EF0" w:rsidRPr="00361E30" w14:paraId="0B849306" w14:textId="77777777" w:rsidTr="003C13F4">
        <w:trPr>
          <w:trHeight w:val="300"/>
          <w:jc w:val="center"/>
        </w:trPr>
        <w:tc>
          <w:tcPr>
            <w:tcW w:w="2448" w:type="dxa"/>
            <w:tcBorders>
              <w:top w:val="nil"/>
              <w:left w:val="nil"/>
              <w:bottom w:val="nil"/>
              <w:right w:val="nil"/>
            </w:tcBorders>
            <w:shd w:val="clear" w:color="auto" w:fill="auto"/>
            <w:noWrap/>
            <w:vAlign w:val="bottom"/>
            <w:hideMark/>
          </w:tcPr>
          <w:p w14:paraId="1425F326"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bottom w:val="nil"/>
              <w:right w:val="nil"/>
            </w:tcBorders>
            <w:shd w:val="clear" w:color="auto" w:fill="auto"/>
            <w:noWrap/>
            <w:vAlign w:val="bottom"/>
            <w:hideMark/>
          </w:tcPr>
          <w:p w14:paraId="0EEDBE6B"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13 - 14</w:t>
            </w:r>
          </w:p>
        </w:tc>
        <w:tc>
          <w:tcPr>
            <w:tcW w:w="1275" w:type="dxa"/>
            <w:tcBorders>
              <w:top w:val="nil"/>
              <w:left w:val="nil"/>
              <w:bottom w:val="nil"/>
              <w:right w:val="nil"/>
            </w:tcBorders>
            <w:shd w:val="clear" w:color="auto" w:fill="auto"/>
            <w:noWrap/>
            <w:vAlign w:val="bottom"/>
            <w:hideMark/>
          </w:tcPr>
          <w:p w14:paraId="51AEB888"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0.623</w:t>
            </w:r>
          </w:p>
        </w:tc>
        <w:tc>
          <w:tcPr>
            <w:tcW w:w="1276" w:type="dxa"/>
            <w:tcBorders>
              <w:top w:val="nil"/>
              <w:left w:val="nil"/>
              <w:bottom w:val="nil"/>
              <w:right w:val="nil"/>
            </w:tcBorders>
            <w:shd w:val="clear" w:color="auto" w:fill="auto"/>
            <w:noWrap/>
            <w:vAlign w:val="bottom"/>
            <w:hideMark/>
          </w:tcPr>
          <w:p w14:paraId="36EA12F2"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0.564</w:t>
            </w:r>
          </w:p>
        </w:tc>
        <w:tc>
          <w:tcPr>
            <w:tcW w:w="1276" w:type="dxa"/>
            <w:tcBorders>
              <w:top w:val="nil"/>
              <w:left w:val="nil"/>
              <w:bottom w:val="nil"/>
              <w:right w:val="nil"/>
            </w:tcBorders>
            <w:shd w:val="clear" w:color="auto" w:fill="auto"/>
            <w:noWrap/>
            <w:vAlign w:val="bottom"/>
            <w:hideMark/>
          </w:tcPr>
          <w:p w14:paraId="4CE5AA13"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0.687</w:t>
            </w:r>
          </w:p>
        </w:tc>
        <w:tc>
          <w:tcPr>
            <w:tcW w:w="992" w:type="dxa"/>
            <w:tcBorders>
              <w:top w:val="nil"/>
              <w:left w:val="nil"/>
              <w:bottom w:val="nil"/>
              <w:right w:val="nil"/>
            </w:tcBorders>
            <w:shd w:val="clear" w:color="auto" w:fill="auto"/>
            <w:noWrap/>
            <w:vAlign w:val="bottom"/>
            <w:hideMark/>
          </w:tcPr>
          <w:p w14:paraId="21BA84C7"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56531B2C" w14:textId="77777777" w:rsidTr="003C13F4">
        <w:trPr>
          <w:trHeight w:val="300"/>
          <w:jc w:val="center"/>
        </w:trPr>
        <w:tc>
          <w:tcPr>
            <w:tcW w:w="2448" w:type="dxa"/>
            <w:tcBorders>
              <w:top w:val="nil"/>
              <w:left w:val="nil"/>
              <w:bottom w:val="nil"/>
              <w:right w:val="nil"/>
            </w:tcBorders>
            <w:shd w:val="clear" w:color="auto" w:fill="auto"/>
            <w:noWrap/>
            <w:vAlign w:val="bottom"/>
            <w:hideMark/>
          </w:tcPr>
          <w:p w14:paraId="780900A7"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bottom w:val="nil"/>
              <w:right w:val="nil"/>
            </w:tcBorders>
            <w:shd w:val="clear" w:color="auto" w:fill="auto"/>
            <w:noWrap/>
            <w:vAlign w:val="bottom"/>
            <w:hideMark/>
          </w:tcPr>
          <w:p w14:paraId="0C6AFEB5"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9 to 12</w:t>
            </w:r>
          </w:p>
        </w:tc>
        <w:tc>
          <w:tcPr>
            <w:tcW w:w="1275" w:type="dxa"/>
            <w:tcBorders>
              <w:top w:val="nil"/>
              <w:left w:val="nil"/>
              <w:bottom w:val="nil"/>
              <w:right w:val="nil"/>
            </w:tcBorders>
            <w:shd w:val="clear" w:color="auto" w:fill="auto"/>
            <w:noWrap/>
            <w:vAlign w:val="bottom"/>
            <w:hideMark/>
          </w:tcPr>
          <w:p w14:paraId="7FBA18ED"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0.230</w:t>
            </w:r>
          </w:p>
        </w:tc>
        <w:tc>
          <w:tcPr>
            <w:tcW w:w="1276" w:type="dxa"/>
            <w:tcBorders>
              <w:top w:val="nil"/>
              <w:left w:val="nil"/>
              <w:bottom w:val="nil"/>
              <w:right w:val="nil"/>
            </w:tcBorders>
            <w:shd w:val="clear" w:color="auto" w:fill="auto"/>
            <w:noWrap/>
            <w:vAlign w:val="bottom"/>
            <w:hideMark/>
          </w:tcPr>
          <w:p w14:paraId="215B3EA0"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0.197</w:t>
            </w:r>
          </w:p>
        </w:tc>
        <w:tc>
          <w:tcPr>
            <w:tcW w:w="1276" w:type="dxa"/>
            <w:tcBorders>
              <w:top w:val="nil"/>
              <w:left w:val="nil"/>
              <w:bottom w:val="nil"/>
              <w:right w:val="nil"/>
            </w:tcBorders>
            <w:shd w:val="clear" w:color="auto" w:fill="auto"/>
            <w:noWrap/>
            <w:vAlign w:val="bottom"/>
            <w:hideMark/>
          </w:tcPr>
          <w:p w14:paraId="447E43C9"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0.269</w:t>
            </w:r>
          </w:p>
        </w:tc>
        <w:tc>
          <w:tcPr>
            <w:tcW w:w="992" w:type="dxa"/>
            <w:tcBorders>
              <w:top w:val="nil"/>
              <w:left w:val="nil"/>
              <w:bottom w:val="nil"/>
              <w:right w:val="nil"/>
            </w:tcBorders>
            <w:shd w:val="clear" w:color="auto" w:fill="auto"/>
            <w:noWrap/>
            <w:vAlign w:val="bottom"/>
            <w:hideMark/>
          </w:tcPr>
          <w:p w14:paraId="3AFB50AF"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04F37D90" w14:textId="77777777" w:rsidTr="003C13F4">
        <w:trPr>
          <w:trHeight w:val="300"/>
          <w:jc w:val="center"/>
        </w:trPr>
        <w:tc>
          <w:tcPr>
            <w:tcW w:w="2448" w:type="dxa"/>
            <w:tcBorders>
              <w:top w:val="nil"/>
              <w:left w:val="nil"/>
              <w:bottom w:val="nil"/>
              <w:right w:val="nil"/>
            </w:tcBorders>
            <w:shd w:val="clear" w:color="auto" w:fill="auto"/>
            <w:noWrap/>
            <w:vAlign w:val="bottom"/>
            <w:hideMark/>
          </w:tcPr>
          <w:p w14:paraId="4D463968"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bottom w:val="nil"/>
              <w:right w:val="nil"/>
            </w:tcBorders>
            <w:shd w:val="clear" w:color="auto" w:fill="auto"/>
            <w:noWrap/>
            <w:vAlign w:val="bottom"/>
            <w:hideMark/>
          </w:tcPr>
          <w:p w14:paraId="1A151D21"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6 to 8</w:t>
            </w:r>
          </w:p>
        </w:tc>
        <w:tc>
          <w:tcPr>
            <w:tcW w:w="1275" w:type="dxa"/>
            <w:tcBorders>
              <w:top w:val="nil"/>
              <w:left w:val="nil"/>
              <w:bottom w:val="nil"/>
              <w:right w:val="nil"/>
            </w:tcBorders>
            <w:shd w:val="clear" w:color="auto" w:fill="auto"/>
            <w:noWrap/>
            <w:vAlign w:val="bottom"/>
            <w:hideMark/>
          </w:tcPr>
          <w:p w14:paraId="370B465E"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0.082</w:t>
            </w:r>
          </w:p>
        </w:tc>
        <w:tc>
          <w:tcPr>
            <w:tcW w:w="1276" w:type="dxa"/>
            <w:tcBorders>
              <w:top w:val="nil"/>
              <w:left w:val="nil"/>
              <w:bottom w:val="nil"/>
              <w:right w:val="nil"/>
            </w:tcBorders>
            <w:shd w:val="clear" w:color="auto" w:fill="auto"/>
            <w:noWrap/>
            <w:vAlign w:val="bottom"/>
            <w:hideMark/>
          </w:tcPr>
          <w:p w14:paraId="469753A6"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0.064</w:t>
            </w:r>
          </w:p>
        </w:tc>
        <w:tc>
          <w:tcPr>
            <w:tcW w:w="1276" w:type="dxa"/>
            <w:tcBorders>
              <w:top w:val="nil"/>
              <w:left w:val="nil"/>
              <w:bottom w:val="nil"/>
              <w:right w:val="nil"/>
            </w:tcBorders>
            <w:shd w:val="clear" w:color="auto" w:fill="auto"/>
            <w:noWrap/>
            <w:vAlign w:val="bottom"/>
            <w:hideMark/>
          </w:tcPr>
          <w:p w14:paraId="3670D66E"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0.105</w:t>
            </w:r>
          </w:p>
        </w:tc>
        <w:tc>
          <w:tcPr>
            <w:tcW w:w="992" w:type="dxa"/>
            <w:tcBorders>
              <w:top w:val="nil"/>
              <w:left w:val="nil"/>
              <w:bottom w:val="nil"/>
              <w:right w:val="nil"/>
            </w:tcBorders>
            <w:shd w:val="clear" w:color="auto" w:fill="auto"/>
            <w:noWrap/>
            <w:vAlign w:val="bottom"/>
            <w:hideMark/>
          </w:tcPr>
          <w:p w14:paraId="21DF0C9C"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09C653F7" w14:textId="77777777" w:rsidTr="003C13F4">
        <w:trPr>
          <w:trHeight w:val="300"/>
          <w:jc w:val="center"/>
        </w:trPr>
        <w:tc>
          <w:tcPr>
            <w:tcW w:w="2448" w:type="dxa"/>
            <w:tcBorders>
              <w:top w:val="nil"/>
              <w:left w:val="nil"/>
              <w:bottom w:val="nil"/>
              <w:right w:val="nil"/>
            </w:tcBorders>
            <w:shd w:val="clear" w:color="auto" w:fill="auto"/>
            <w:noWrap/>
            <w:vAlign w:val="bottom"/>
            <w:hideMark/>
          </w:tcPr>
          <w:p w14:paraId="0C24BC55"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bottom w:val="nil"/>
              <w:right w:val="nil"/>
            </w:tcBorders>
            <w:shd w:val="clear" w:color="auto" w:fill="auto"/>
            <w:noWrap/>
            <w:vAlign w:val="bottom"/>
            <w:hideMark/>
          </w:tcPr>
          <w:p w14:paraId="7859B323"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4 to 5</w:t>
            </w:r>
          </w:p>
        </w:tc>
        <w:tc>
          <w:tcPr>
            <w:tcW w:w="1275" w:type="dxa"/>
            <w:tcBorders>
              <w:top w:val="nil"/>
              <w:left w:val="nil"/>
              <w:bottom w:val="nil"/>
              <w:right w:val="nil"/>
            </w:tcBorders>
            <w:shd w:val="clear" w:color="auto" w:fill="auto"/>
            <w:noWrap/>
            <w:vAlign w:val="bottom"/>
            <w:hideMark/>
          </w:tcPr>
          <w:p w14:paraId="243A30A4"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0.030</w:t>
            </w:r>
          </w:p>
        </w:tc>
        <w:tc>
          <w:tcPr>
            <w:tcW w:w="1276" w:type="dxa"/>
            <w:tcBorders>
              <w:top w:val="nil"/>
              <w:left w:val="nil"/>
              <w:bottom w:val="nil"/>
              <w:right w:val="nil"/>
            </w:tcBorders>
            <w:shd w:val="clear" w:color="auto" w:fill="auto"/>
            <w:noWrap/>
            <w:vAlign w:val="bottom"/>
            <w:hideMark/>
          </w:tcPr>
          <w:p w14:paraId="6768BED8"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0.020</w:t>
            </w:r>
          </w:p>
        </w:tc>
        <w:tc>
          <w:tcPr>
            <w:tcW w:w="1276" w:type="dxa"/>
            <w:tcBorders>
              <w:top w:val="nil"/>
              <w:left w:val="nil"/>
              <w:bottom w:val="nil"/>
              <w:right w:val="nil"/>
            </w:tcBorders>
            <w:shd w:val="clear" w:color="auto" w:fill="auto"/>
            <w:noWrap/>
            <w:vAlign w:val="bottom"/>
            <w:hideMark/>
          </w:tcPr>
          <w:p w14:paraId="386E584F"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0.045</w:t>
            </w:r>
          </w:p>
        </w:tc>
        <w:tc>
          <w:tcPr>
            <w:tcW w:w="992" w:type="dxa"/>
            <w:tcBorders>
              <w:top w:val="nil"/>
              <w:left w:val="nil"/>
              <w:bottom w:val="nil"/>
              <w:right w:val="nil"/>
            </w:tcBorders>
            <w:shd w:val="clear" w:color="auto" w:fill="auto"/>
            <w:noWrap/>
            <w:vAlign w:val="bottom"/>
            <w:hideMark/>
          </w:tcPr>
          <w:p w14:paraId="7C3EA17E"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4B84D238" w14:textId="77777777" w:rsidTr="003C13F4">
        <w:trPr>
          <w:trHeight w:val="300"/>
          <w:jc w:val="center"/>
        </w:trPr>
        <w:tc>
          <w:tcPr>
            <w:tcW w:w="2448" w:type="dxa"/>
            <w:tcBorders>
              <w:top w:val="nil"/>
              <w:left w:val="nil"/>
              <w:right w:val="nil"/>
            </w:tcBorders>
            <w:shd w:val="clear" w:color="auto" w:fill="auto"/>
            <w:noWrap/>
            <w:vAlign w:val="bottom"/>
            <w:hideMark/>
          </w:tcPr>
          <w:p w14:paraId="188FE181"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right w:val="nil"/>
            </w:tcBorders>
            <w:shd w:val="clear" w:color="auto" w:fill="auto"/>
            <w:noWrap/>
            <w:vAlign w:val="bottom"/>
            <w:hideMark/>
          </w:tcPr>
          <w:p w14:paraId="62CAE33C"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3</w:t>
            </w:r>
          </w:p>
        </w:tc>
        <w:tc>
          <w:tcPr>
            <w:tcW w:w="1275" w:type="dxa"/>
            <w:tcBorders>
              <w:top w:val="nil"/>
              <w:left w:val="nil"/>
              <w:right w:val="nil"/>
            </w:tcBorders>
            <w:shd w:val="clear" w:color="auto" w:fill="auto"/>
            <w:noWrap/>
            <w:vAlign w:val="bottom"/>
            <w:hideMark/>
          </w:tcPr>
          <w:p w14:paraId="1C7C58AE"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0.028</w:t>
            </w:r>
          </w:p>
        </w:tc>
        <w:tc>
          <w:tcPr>
            <w:tcW w:w="1276" w:type="dxa"/>
            <w:tcBorders>
              <w:top w:val="nil"/>
              <w:left w:val="nil"/>
              <w:right w:val="nil"/>
            </w:tcBorders>
            <w:shd w:val="clear" w:color="auto" w:fill="auto"/>
            <w:noWrap/>
            <w:vAlign w:val="bottom"/>
            <w:hideMark/>
          </w:tcPr>
          <w:p w14:paraId="6962C38E"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0.019</w:t>
            </w:r>
          </w:p>
        </w:tc>
        <w:tc>
          <w:tcPr>
            <w:tcW w:w="1276" w:type="dxa"/>
            <w:tcBorders>
              <w:top w:val="nil"/>
              <w:left w:val="nil"/>
              <w:right w:val="nil"/>
            </w:tcBorders>
            <w:shd w:val="clear" w:color="auto" w:fill="auto"/>
            <w:noWrap/>
            <w:vAlign w:val="bottom"/>
            <w:hideMark/>
          </w:tcPr>
          <w:p w14:paraId="0CF50F35"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0.040</w:t>
            </w:r>
          </w:p>
        </w:tc>
        <w:tc>
          <w:tcPr>
            <w:tcW w:w="992" w:type="dxa"/>
            <w:tcBorders>
              <w:top w:val="nil"/>
              <w:left w:val="nil"/>
              <w:right w:val="nil"/>
            </w:tcBorders>
            <w:shd w:val="clear" w:color="auto" w:fill="auto"/>
            <w:noWrap/>
            <w:vAlign w:val="bottom"/>
            <w:hideMark/>
          </w:tcPr>
          <w:p w14:paraId="305517F5"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4DAE2A6C" w14:textId="77777777" w:rsidTr="003C13F4">
        <w:trPr>
          <w:trHeight w:val="300"/>
          <w:jc w:val="center"/>
        </w:trPr>
        <w:tc>
          <w:tcPr>
            <w:tcW w:w="2448" w:type="dxa"/>
            <w:tcBorders>
              <w:top w:val="nil"/>
              <w:left w:val="nil"/>
              <w:bottom w:val="single" w:sz="4" w:space="0" w:color="auto"/>
              <w:right w:val="nil"/>
            </w:tcBorders>
            <w:shd w:val="clear" w:color="auto" w:fill="auto"/>
            <w:noWrap/>
            <w:vAlign w:val="bottom"/>
            <w:hideMark/>
          </w:tcPr>
          <w:p w14:paraId="41817B5F"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bottom w:val="single" w:sz="4" w:space="0" w:color="auto"/>
              <w:right w:val="nil"/>
            </w:tcBorders>
            <w:shd w:val="clear" w:color="auto" w:fill="auto"/>
            <w:noWrap/>
            <w:vAlign w:val="bottom"/>
            <w:hideMark/>
          </w:tcPr>
          <w:p w14:paraId="1F66BADD"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Intubated</w:t>
            </w:r>
          </w:p>
        </w:tc>
        <w:tc>
          <w:tcPr>
            <w:tcW w:w="1275" w:type="dxa"/>
            <w:tcBorders>
              <w:top w:val="nil"/>
              <w:left w:val="nil"/>
              <w:bottom w:val="single" w:sz="4" w:space="0" w:color="auto"/>
              <w:right w:val="nil"/>
            </w:tcBorders>
            <w:shd w:val="clear" w:color="auto" w:fill="auto"/>
            <w:noWrap/>
            <w:vAlign w:val="bottom"/>
            <w:hideMark/>
          </w:tcPr>
          <w:p w14:paraId="431B7179"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0.036</w:t>
            </w:r>
          </w:p>
        </w:tc>
        <w:tc>
          <w:tcPr>
            <w:tcW w:w="1276" w:type="dxa"/>
            <w:tcBorders>
              <w:top w:val="nil"/>
              <w:left w:val="nil"/>
              <w:bottom w:val="single" w:sz="4" w:space="0" w:color="auto"/>
              <w:right w:val="nil"/>
            </w:tcBorders>
            <w:shd w:val="clear" w:color="auto" w:fill="auto"/>
            <w:noWrap/>
            <w:vAlign w:val="bottom"/>
            <w:hideMark/>
          </w:tcPr>
          <w:p w14:paraId="0EDD09D9"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0.025</w:t>
            </w:r>
          </w:p>
        </w:tc>
        <w:tc>
          <w:tcPr>
            <w:tcW w:w="1276" w:type="dxa"/>
            <w:tcBorders>
              <w:top w:val="nil"/>
              <w:left w:val="nil"/>
              <w:bottom w:val="single" w:sz="4" w:space="0" w:color="auto"/>
              <w:right w:val="nil"/>
            </w:tcBorders>
            <w:shd w:val="clear" w:color="auto" w:fill="auto"/>
            <w:noWrap/>
            <w:vAlign w:val="bottom"/>
            <w:hideMark/>
          </w:tcPr>
          <w:p w14:paraId="50CF89F8"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0.051</w:t>
            </w:r>
          </w:p>
        </w:tc>
        <w:tc>
          <w:tcPr>
            <w:tcW w:w="992" w:type="dxa"/>
            <w:tcBorders>
              <w:top w:val="nil"/>
              <w:left w:val="nil"/>
              <w:bottom w:val="single" w:sz="4" w:space="0" w:color="auto"/>
              <w:right w:val="nil"/>
            </w:tcBorders>
            <w:shd w:val="clear" w:color="auto" w:fill="auto"/>
            <w:noWrap/>
            <w:vAlign w:val="bottom"/>
            <w:hideMark/>
          </w:tcPr>
          <w:p w14:paraId="44ECDB84"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76974876" w14:textId="77777777" w:rsidTr="003C13F4">
        <w:trPr>
          <w:trHeight w:val="300"/>
          <w:jc w:val="center"/>
        </w:trPr>
        <w:tc>
          <w:tcPr>
            <w:tcW w:w="2448" w:type="dxa"/>
            <w:tcBorders>
              <w:top w:val="single" w:sz="4" w:space="0" w:color="auto"/>
              <w:left w:val="nil"/>
              <w:right w:val="nil"/>
            </w:tcBorders>
            <w:shd w:val="clear" w:color="auto" w:fill="auto"/>
            <w:noWrap/>
            <w:vAlign w:val="bottom"/>
            <w:hideMark/>
          </w:tcPr>
          <w:p w14:paraId="2D9E5869" w14:textId="77777777" w:rsidR="00CA0EF0" w:rsidRPr="00361E30" w:rsidRDefault="00CA0EF0" w:rsidP="003C13F4">
            <w:pPr>
              <w:spacing w:after="0" w:line="240" w:lineRule="auto"/>
              <w:rPr>
                <w:rFonts w:ascii="Calibri" w:eastAsia="Times New Roman" w:hAnsi="Calibri" w:cs="Calibri"/>
                <w:b/>
                <w:bCs/>
                <w:color w:val="000000"/>
              </w:rPr>
            </w:pPr>
            <w:r w:rsidRPr="00361E30">
              <w:rPr>
                <w:rFonts w:ascii="Calibri" w:eastAsia="Times New Roman" w:hAnsi="Calibri" w:cs="Calibri"/>
                <w:b/>
                <w:bCs/>
                <w:color w:val="000000"/>
              </w:rPr>
              <w:t>Systolic Blood Pressure</w:t>
            </w:r>
          </w:p>
        </w:tc>
        <w:tc>
          <w:tcPr>
            <w:tcW w:w="2055" w:type="dxa"/>
            <w:tcBorders>
              <w:top w:val="single" w:sz="4" w:space="0" w:color="auto"/>
              <w:left w:val="nil"/>
              <w:right w:val="nil"/>
            </w:tcBorders>
            <w:shd w:val="clear" w:color="auto" w:fill="auto"/>
            <w:noWrap/>
            <w:vAlign w:val="bottom"/>
            <w:hideMark/>
          </w:tcPr>
          <w:p w14:paraId="2EB2928E"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SBP ≥110mmHg</w:t>
            </w:r>
          </w:p>
        </w:tc>
        <w:tc>
          <w:tcPr>
            <w:tcW w:w="1275" w:type="dxa"/>
            <w:tcBorders>
              <w:top w:val="single" w:sz="4" w:space="0" w:color="auto"/>
              <w:left w:val="nil"/>
              <w:right w:val="nil"/>
            </w:tcBorders>
            <w:shd w:val="clear" w:color="auto" w:fill="auto"/>
            <w:noWrap/>
            <w:vAlign w:val="bottom"/>
            <w:hideMark/>
          </w:tcPr>
          <w:p w14:paraId="13AD2655"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Reference</w:t>
            </w:r>
          </w:p>
        </w:tc>
        <w:tc>
          <w:tcPr>
            <w:tcW w:w="1276" w:type="dxa"/>
            <w:tcBorders>
              <w:top w:val="single" w:sz="4" w:space="0" w:color="auto"/>
              <w:left w:val="nil"/>
              <w:right w:val="nil"/>
            </w:tcBorders>
            <w:shd w:val="clear" w:color="auto" w:fill="auto"/>
            <w:noWrap/>
            <w:vAlign w:val="bottom"/>
            <w:hideMark/>
          </w:tcPr>
          <w:p w14:paraId="74A44F10" w14:textId="77777777" w:rsidR="00CA0EF0" w:rsidRPr="00361E30" w:rsidRDefault="00CA0EF0" w:rsidP="003C13F4">
            <w:pPr>
              <w:spacing w:after="0" w:line="240" w:lineRule="auto"/>
              <w:jc w:val="center"/>
              <w:rPr>
                <w:rFonts w:ascii="Calibri" w:eastAsia="Times New Roman" w:hAnsi="Calibri" w:cs="Calibri"/>
                <w:color w:val="000000"/>
              </w:rPr>
            </w:pPr>
          </w:p>
        </w:tc>
        <w:tc>
          <w:tcPr>
            <w:tcW w:w="1276" w:type="dxa"/>
            <w:tcBorders>
              <w:top w:val="single" w:sz="4" w:space="0" w:color="auto"/>
              <w:left w:val="nil"/>
              <w:right w:val="nil"/>
            </w:tcBorders>
            <w:shd w:val="clear" w:color="auto" w:fill="auto"/>
            <w:noWrap/>
            <w:vAlign w:val="bottom"/>
            <w:hideMark/>
          </w:tcPr>
          <w:p w14:paraId="5E79FDE4" w14:textId="77777777" w:rsidR="00CA0EF0" w:rsidRPr="00361E30" w:rsidRDefault="00CA0EF0" w:rsidP="003C13F4">
            <w:pPr>
              <w:spacing w:after="0" w:line="240" w:lineRule="auto"/>
              <w:jc w:val="center"/>
              <w:rPr>
                <w:rFonts w:ascii="Calibri" w:eastAsia="Times New Roman" w:hAnsi="Calibri" w:cs="Calibri"/>
                <w:color w:val="000000"/>
              </w:rPr>
            </w:pPr>
          </w:p>
        </w:tc>
        <w:tc>
          <w:tcPr>
            <w:tcW w:w="992" w:type="dxa"/>
            <w:tcBorders>
              <w:top w:val="single" w:sz="4" w:space="0" w:color="auto"/>
              <w:left w:val="nil"/>
              <w:right w:val="nil"/>
            </w:tcBorders>
            <w:shd w:val="clear" w:color="auto" w:fill="auto"/>
            <w:noWrap/>
            <w:vAlign w:val="bottom"/>
            <w:hideMark/>
          </w:tcPr>
          <w:p w14:paraId="090DEF05" w14:textId="77777777" w:rsidR="00CA0EF0" w:rsidRPr="00361E30" w:rsidRDefault="00CA0EF0" w:rsidP="003C13F4">
            <w:pPr>
              <w:spacing w:after="0" w:line="240" w:lineRule="auto"/>
              <w:jc w:val="center"/>
              <w:rPr>
                <w:rFonts w:ascii="Calibri" w:eastAsia="Times New Roman" w:hAnsi="Calibri" w:cs="Calibri"/>
                <w:color w:val="000000"/>
              </w:rPr>
            </w:pPr>
          </w:p>
        </w:tc>
      </w:tr>
      <w:tr w:rsidR="00CA0EF0" w:rsidRPr="00361E30" w14:paraId="34B6F03C" w14:textId="77777777" w:rsidTr="003C13F4">
        <w:trPr>
          <w:trHeight w:val="300"/>
          <w:jc w:val="center"/>
        </w:trPr>
        <w:tc>
          <w:tcPr>
            <w:tcW w:w="2448" w:type="dxa"/>
            <w:tcBorders>
              <w:top w:val="nil"/>
              <w:left w:val="nil"/>
              <w:bottom w:val="single" w:sz="4" w:space="0" w:color="auto"/>
              <w:right w:val="nil"/>
            </w:tcBorders>
            <w:shd w:val="clear" w:color="auto" w:fill="auto"/>
            <w:noWrap/>
            <w:vAlign w:val="bottom"/>
            <w:hideMark/>
          </w:tcPr>
          <w:p w14:paraId="24C3D92B"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bottom w:val="single" w:sz="4" w:space="0" w:color="auto"/>
              <w:right w:val="nil"/>
            </w:tcBorders>
            <w:shd w:val="clear" w:color="auto" w:fill="auto"/>
            <w:noWrap/>
            <w:vAlign w:val="bottom"/>
            <w:hideMark/>
          </w:tcPr>
          <w:p w14:paraId="086F1BAB"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SBP &lt;110mmHg</w:t>
            </w:r>
          </w:p>
        </w:tc>
        <w:tc>
          <w:tcPr>
            <w:tcW w:w="1275" w:type="dxa"/>
            <w:tcBorders>
              <w:top w:val="nil"/>
              <w:left w:val="nil"/>
              <w:bottom w:val="single" w:sz="4" w:space="0" w:color="auto"/>
              <w:right w:val="nil"/>
            </w:tcBorders>
            <w:shd w:val="clear" w:color="auto" w:fill="auto"/>
            <w:noWrap/>
            <w:vAlign w:val="bottom"/>
            <w:hideMark/>
          </w:tcPr>
          <w:p w14:paraId="298528D1"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0.555</w:t>
            </w:r>
          </w:p>
        </w:tc>
        <w:tc>
          <w:tcPr>
            <w:tcW w:w="1276" w:type="dxa"/>
            <w:tcBorders>
              <w:top w:val="nil"/>
              <w:left w:val="nil"/>
              <w:bottom w:val="single" w:sz="4" w:space="0" w:color="auto"/>
              <w:right w:val="nil"/>
            </w:tcBorders>
            <w:shd w:val="clear" w:color="auto" w:fill="auto"/>
            <w:noWrap/>
            <w:vAlign w:val="bottom"/>
            <w:hideMark/>
          </w:tcPr>
          <w:p w14:paraId="747BAE84"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0.493</w:t>
            </w:r>
          </w:p>
        </w:tc>
        <w:tc>
          <w:tcPr>
            <w:tcW w:w="1276" w:type="dxa"/>
            <w:tcBorders>
              <w:top w:val="nil"/>
              <w:left w:val="nil"/>
              <w:bottom w:val="single" w:sz="4" w:space="0" w:color="auto"/>
              <w:right w:val="nil"/>
            </w:tcBorders>
            <w:shd w:val="clear" w:color="auto" w:fill="auto"/>
            <w:noWrap/>
            <w:vAlign w:val="bottom"/>
            <w:hideMark/>
          </w:tcPr>
          <w:p w14:paraId="47E300ED"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0.626</w:t>
            </w:r>
          </w:p>
        </w:tc>
        <w:tc>
          <w:tcPr>
            <w:tcW w:w="992" w:type="dxa"/>
            <w:tcBorders>
              <w:top w:val="nil"/>
              <w:left w:val="nil"/>
              <w:bottom w:val="single" w:sz="4" w:space="0" w:color="auto"/>
              <w:right w:val="nil"/>
            </w:tcBorders>
            <w:shd w:val="clear" w:color="auto" w:fill="auto"/>
            <w:noWrap/>
            <w:vAlign w:val="bottom"/>
            <w:hideMark/>
          </w:tcPr>
          <w:p w14:paraId="6AA7716A"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0BE58F95" w14:textId="77777777" w:rsidTr="003C13F4">
        <w:trPr>
          <w:trHeight w:val="300"/>
          <w:jc w:val="center"/>
        </w:trPr>
        <w:tc>
          <w:tcPr>
            <w:tcW w:w="2448" w:type="dxa"/>
            <w:tcBorders>
              <w:top w:val="single" w:sz="4" w:space="0" w:color="auto"/>
              <w:left w:val="nil"/>
              <w:bottom w:val="nil"/>
              <w:right w:val="nil"/>
            </w:tcBorders>
            <w:shd w:val="clear" w:color="auto" w:fill="auto"/>
            <w:noWrap/>
            <w:vAlign w:val="bottom"/>
            <w:hideMark/>
          </w:tcPr>
          <w:p w14:paraId="692B09E2" w14:textId="77777777" w:rsidR="00CA0EF0" w:rsidRPr="00361E30" w:rsidRDefault="00CA0EF0" w:rsidP="003C13F4">
            <w:pPr>
              <w:spacing w:after="0" w:line="240" w:lineRule="auto"/>
              <w:rPr>
                <w:rFonts w:ascii="Calibri" w:eastAsia="Times New Roman" w:hAnsi="Calibri" w:cs="Calibri"/>
                <w:b/>
                <w:bCs/>
                <w:color w:val="000000"/>
              </w:rPr>
            </w:pPr>
            <w:r w:rsidRPr="00361E30">
              <w:rPr>
                <w:rFonts w:ascii="Calibri" w:eastAsia="Times New Roman" w:hAnsi="Calibri" w:cs="Calibri"/>
                <w:b/>
                <w:bCs/>
                <w:color w:val="000000"/>
              </w:rPr>
              <w:t>Respiratory Rate</w:t>
            </w:r>
          </w:p>
        </w:tc>
        <w:tc>
          <w:tcPr>
            <w:tcW w:w="2055" w:type="dxa"/>
            <w:tcBorders>
              <w:top w:val="single" w:sz="4" w:space="0" w:color="auto"/>
              <w:left w:val="nil"/>
              <w:bottom w:val="nil"/>
              <w:right w:val="nil"/>
            </w:tcBorders>
            <w:shd w:val="clear" w:color="auto" w:fill="auto"/>
            <w:noWrap/>
            <w:vAlign w:val="bottom"/>
            <w:hideMark/>
          </w:tcPr>
          <w:p w14:paraId="33270602"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10 to 29</w:t>
            </w:r>
          </w:p>
        </w:tc>
        <w:tc>
          <w:tcPr>
            <w:tcW w:w="1275" w:type="dxa"/>
            <w:tcBorders>
              <w:top w:val="single" w:sz="4" w:space="0" w:color="auto"/>
              <w:left w:val="nil"/>
              <w:bottom w:val="nil"/>
              <w:right w:val="nil"/>
            </w:tcBorders>
            <w:shd w:val="clear" w:color="auto" w:fill="auto"/>
            <w:noWrap/>
            <w:vAlign w:val="bottom"/>
            <w:hideMark/>
          </w:tcPr>
          <w:p w14:paraId="7B1E4B92"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Reference</w:t>
            </w:r>
          </w:p>
        </w:tc>
        <w:tc>
          <w:tcPr>
            <w:tcW w:w="1276" w:type="dxa"/>
            <w:tcBorders>
              <w:top w:val="single" w:sz="4" w:space="0" w:color="auto"/>
              <w:left w:val="nil"/>
              <w:bottom w:val="nil"/>
              <w:right w:val="nil"/>
            </w:tcBorders>
            <w:shd w:val="clear" w:color="auto" w:fill="auto"/>
            <w:noWrap/>
            <w:vAlign w:val="bottom"/>
            <w:hideMark/>
          </w:tcPr>
          <w:p w14:paraId="54461FDE" w14:textId="77777777" w:rsidR="00CA0EF0" w:rsidRPr="00361E30" w:rsidRDefault="00CA0EF0" w:rsidP="003C13F4">
            <w:pPr>
              <w:spacing w:after="0" w:line="240" w:lineRule="auto"/>
              <w:jc w:val="center"/>
              <w:rPr>
                <w:rFonts w:ascii="Calibri" w:eastAsia="Times New Roman" w:hAnsi="Calibri" w:cs="Calibri"/>
                <w:color w:val="000000"/>
              </w:rPr>
            </w:pPr>
          </w:p>
        </w:tc>
        <w:tc>
          <w:tcPr>
            <w:tcW w:w="1276" w:type="dxa"/>
            <w:tcBorders>
              <w:top w:val="single" w:sz="4" w:space="0" w:color="auto"/>
              <w:left w:val="nil"/>
              <w:bottom w:val="nil"/>
              <w:right w:val="nil"/>
            </w:tcBorders>
            <w:shd w:val="clear" w:color="auto" w:fill="auto"/>
            <w:noWrap/>
            <w:vAlign w:val="bottom"/>
            <w:hideMark/>
          </w:tcPr>
          <w:p w14:paraId="21415CFE" w14:textId="77777777" w:rsidR="00CA0EF0" w:rsidRPr="00361E30" w:rsidRDefault="00CA0EF0" w:rsidP="003C13F4">
            <w:pPr>
              <w:spacing w:after="0" w:line="240" w:lineRule="auto"/>
              <w:jc w:val="center"/>
              <w:rPr>
                <w:rFonts w:ascii="Calibri" w:eastAsia="Times New Roman" w:hAnsi="Calibri" w:cs="Calibri"/>
                <w:color w:val="000000"/>
              </w:rPr>
            </w:pPr>
          </w:p>
        </w:tc>
        <w:tc>
          <w:tcPr>
            <w:tcW w:w="992" w:type="dxa"/>
            <w:tcBorders>
              <w:top w:val="single" w:sz="4" w:space="0" w:color="auto"/>
              <w:left w:val="nil"/>
              <w:bottom w:val="nil"/>
              <w:right w:val="nil"/>
            </w:tcBorders>
            <w:shd w:val="clear" w:color="auto" w:fill="auto"/>
            <w:noWrap/>
            <w:vAlign w:val="bottom"/>
            <w:hideMark/>
          </w:tcPr>
          <w:p w14:paraId="639951D7" w14:textId="77777777" w:rsidR="00CA0EF0" w:rsidRPr="00361E30" w:rsidRDefault="00CA0EF0" w:rsidP="003C13F4">
            <w:pPr>
              <w:spacing w:after="0" w:line="240" w:lineRule="auto"/>
              <w:jc w:val="center"/>
              <w:rPr>
                <w:rFonts w:ascii="Calibri" w:eastAsia="Times New Roman" w:hAnsi="Calibri" w:cs="Calibri"/>
                <w:color w:val="000000"/>
              </w:rPr>
            </w:pPr>
          </w:p>
        </w:tc>
      </w:tr>
      <w:tr w:rsidR="00CA0EF0" w:rsidRPr="00361E30" w14:paraId="32CBC153" w14:textId="77777777" w:rsidTr="003C13F4">
        <w:trPr>
          <w:trHeight w:val="300"/>
          <w:jc w:val="center"/>
        </w:trPr>
        <w:tc>
          <w:tcPr>
            <w:tcW w:w="2448" w:type="dxa"/>
            <w:tcBorders>
              <w:top w:val="nil"/>
              <w:left w:val="nil"/>
              <w:bottom w:val="nil"/>
              <w:right w:val="nil"/>
            </w:tcBorders>
            <w:shd w:val="clear" w:color="auto" w:fill="auto"/>
            <w:noWrap/>
            <w:vAlign w:val="bottom"/>
            <w:hideMark/>
          </w:tcPr>
          <w:p w14:paraId="00C1FEE1"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bottom w:val="nil"/>
              <w:right w:val="nil"/>
            </w:tcBorders>
            <w:shd w:val="clear" w:color="auto" w:fill="auto"/>
            <w:noWrap/>
            <w:vAlign w:val="bottom"/>
            <w:hideMark/>
          </w:tcPr>
          <w:p w14:paraId="2D5BB69C"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≥30</w:t>
            </w:r>
          </w:p>
        </w:tc>
        <w:tc>
          <w:tcPr>
            <w:tcW w:w="1275" w:type="dxa"/>
            <w:tcBorders>
              <w:top w:val="nil"/>
              <w:left w:val="nil"/>
              <w:bottom w:val="nil"/>
              <w:right w:val="nil"/>
            </w:tcBorders>
            <w:shd w:val="clear" w:color="auto" w:fill="auto"/>
            <w:noWrap/>
            <w:vAlign w:val="bottom"/>
            <w:hideMark/>
          </w:tcPr>
          <w:p w14:paraId="32795358"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0.429</w:t>
            </w:r>
          </w:p>
        </w:tc>
        <w:tc>
          <w:tcPr>
            <w:tcW w:w="1276" w:type="dxa"/>
            <w:tcBorders>
              <w:top w:val="nil"/>
              <w:left w:val="nil"/>
              <w:bottom w:val="nil"/>
              <w:right w:val="nil"/>
            </w:tcBorders>
            <w:shd w:val="clear" w:color="auto" w:fill="auto"/>
            <w:noWrap/>
            <w:vAlign w:val="bottom"/>
            <w:hideMark/>
          </w:tcPr>
          <w:p w14:paraId="737F1FAF"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0.352</w:t>
            </w:r>
          </w:p>
        </w:tc>
        <w:tc>
          <w:tcPr>
            <w:tcW w:w="1276" w:type="dxa"/>
            <w:tcBorders>
              <w:top w:val="nil"/>
              <w:left w:val="nil"/>
              <w:bottom w:val="nil"/>
              <w:right w:val="nil"/>
            </w:tcBorders>
            <w:shd w:val="clear" w:color="auto" w:fill="auto"/>
            <w:noWrap/>
            <w:vAlign w:val="bottom"/>
            <w:hideMark/>
          </w:tcPr>
          <w:p w14:paraId="6EEF746B"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0.523</w:t>
            </w:r>
          </w:p>
        </w:tc>
        <w:tc>
          <w:tcPr>
            <w:tcW w:w="992" w:type="dxa"/>
            <w:tcBorders>
              <w:top w:val="nil"/>
              <w:left w:val="nil"/>
              <w:bottom w:val="nil"/>
              <w:right w:val="nil"/>
            </w:tcBorders>
            <w:shd w:val="clear" w:color="auto" w:fill="auto"/>
            <w:noWrap/>
            <w:vAlign w:val="bottom"/>
            <w:hideMark/>
          </w:tcPr>
          <w:p w14:paraId="73522E6B"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43550B04" w14:textId="77777777" w:rsidTr="003C13F4">
        <w:trPr>
          <w:trHeight w:val="300"/>
          <w:jc w:val="center"/>
        </w:trPr>
        <w:tc>
          <w:tcPr>
            <w:tcW w:w="2448" w:type="dxa"/>
            <w:tcBorders>
              <w:top w:val="nil"/>
              <w:left w:val="nil"/>
              <w:bottom w:val="nil"/>
              <w:right w:val="nil"/>
            </w:tcBorders>
            <w:shd w:val="clear" w:color="auto" w:fill="auto"/>
            <w:noWrap/>
            <w:vAlign w:val="bottom"/>
            <w:hideMark/>
          </w:tcPr>
          <w:p w14:paraId="4DC449C5"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bottom w:val="nil"/>
              <w:right w:val="nil"/>
            </w:tcBorders>
            <w:shd w:val="clear" w:color="auto" w:fill="auto"/>
            <w:noWrap/>
            <w:vAlign w:val="bottom"/>
            <w:hideMark/>
          </w:tcPr>
          <w:p w14:paraId="7E4EE261"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6 to 9</w:t>
            </w:r>
          </w:p>
        </w:tc>
        <w:tc>
          <w:tcPr>
            <w:tcW w:w="1275" w:type="dxa"/>
            <w:tcBorders>
              <w:top w:val="nil"/>
              <w:left w:val="nil"/>
              <w:bottom w:val="nil"/>
              <w:right w:val="nil"/>
            </w:tcBorders>
            <w:shd w:val="clear" w:color="auto" w:fill="auto"/>
            <w:noWrap/>
            <w:vAlign w:val="bottom"/>
            <w:hideMark/>
          </w:tcPr>
          <w:p w14:paraId="334F9EF2"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0.484</w:t>
            </w:r>
          </w:p>
        </w:tc>
        <w:tc>
          <w:tcPr>
            <w:tcW w:w="1276" w:type="dxa"/>
            <w:tcBorders>
              <w:top w:val="nil"/>
              <w:left w:val="nil"/>
              <w:bottom w:val="nil"/>
              <w:right w:val="nil"/>
            </w:tcBorders>
            <w:shd w:val="clear" w:color="auto" w:fill="auto"/>
            <w:noWrap/>
            <w:vAlign w:val="bottom"/>
            <w:hideMark/>
          </w:tcPr>
          <w:p w14:paraId="10917F8F"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0.187</w:t>
            </w:r>
          </w:p>
        </w:tc>
        <w:tc>
          <w:tcPr>
            <w:tcW w:w="1276" w:type="dxa"/>
            <w:tcBorders>
              <w:top w:val="nil"/>
              <w:left w:val="nil"/>
              <w:bottom w:val="nil"/>
              <w:right w:val="nil"/>
            </w:tcBorders>
            <w:shd w:val="clear" w:color="auto" w:fill="auto"/>
            <w:noWrap/>
            <w:vAlign w:val="bottom"/>
            <w:hideMark/>
          </w:tcPr>
          <w:p w14:paraId="38D75C07"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1.251</w:t>
            </w:r>
          </w:p>
        </w:tc>
        <w:tc>
          <w:tcPr>
            <w:tcW w:w="992" w:type="dxa"/>
            <w:tcBorders>
              <w:top w:val="nil"/>
              <w:left w:val="nil"/>
              <w:bottom w:val="nil"/>
              <w:right w:val="nil"/>
            </w:tcBorders>
            <w:shd w:val="clear" w:color="auto" w:fill="auto"/>
            <w:noWrap/>
            <w:vAlign w:val="bottom"/>
            <w:hideMark/>
          </w:tcPr>
          <w:p w14:paraId="38F25288"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0.134</w:t>
            </w:r>
          </w:p>
        </w:tc>
      </w:tr>
      <w:tr w:rsidR="00CA0EF0" w:rsidRPr="00361E30" w14:paraId="66C1EF99" w14:textId="77777777" w:rsidTr="003C13F4">
        <w:trPr>
          <w:trHeight w:val="300"/>
          <w:jc w:val="center"/>
        </w:trPr>
        <w:tc>
          <w:tcPr>
            <w:tcW w:w="2448" w:type="dxa"/>
            <w:tcBorders>
              <w:top w:val="nil"/>
              <w:left w:val="nil"/>
              <w:right w:val="nil"/>
            </w:tcBorders>
            <w:shd w:val="clear" w:color="auto" w:fill="auto"/>
            <w:noWrap/>
            <w:vAlign w:val="bottom"/>
            <w:hideMark/>
          </w:tcPr>
          <w:p w14:paraId="3094699A"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right w:val="nil"/>
            </w:tcBorders>
            <w:shd w:val="clear" w:color="auto" w:fill="auto"/>
            <w:noWrap/>
            <w:vAlign w:val="bottom"/>
            <w:hideMark/>
          </w:tcPr>
          <w:p w14:paraId="48A407EB"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1 to 5</w:t>
            </w:r>
          </w:p>
        </w:tc>
        <w:tc>
          <w:tcPr>
            <w:tcW w:w="1275" w:type="dxa"/>
            <w:tcBorders>
              <w:top w:val="nil"/>
              <w:left w:val="nil"/>
              <w:right w:val="nil"/>
            </w:tcBorders>
            <w:shd w:val="clear" w:color="auto" w:fill="auto"/>
            <w:noWrap/>
            <w:vAlign w:val="bottom"/>
            <w:hideMark/>
          </w:tcPr>
          <w:p w14:paraId="57D0AD71"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0.224</w:t>
            </w:r>
          </w:p>
        </w:tc>
        <w:tc>
          <w:tcPr>
            <w:tcW w:w="1276" w:type="dxa"/>
            <w:tcBorders>
              <w:top w:val="nil"/>
              <w:left w:val="nil"/>
              <w:right w:val="nil"/>
            </w:tcBorders>
            <w:shd w:val="clear" w:color="auto" w:fill="auto"/>
            <w:noWrap/>
            <w:vAlign w:val="bottom"/>
            <w:hideMark/>
          </w:tcPr>
          <w:p w14:paraId="7B9AB78A"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0.024</w:t>
            </w:r>
          </w:p>
        </w:tc>
        <w:tc>
          <w:tcPr>
            <w:tcW w:w="1276" w:type="dxa"/>
            <w:tcBorders>
              <w:top w:val="nil"/>
              <w:left w:val="nil"/>
              <w:right w:val="nil"/>
            </w:tcBorders>
            <w:shd w:val="clear" w:color="auto" w:fill="auto"/>
            <w:noWrap/>
            <w:vAlign w:val="bottom"/>
            <w:hideMark/>
          </w:tcPr>
          <w:p w14:paraId="7980341F"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2.089</w:t>
            </w:r>
          </w:p>
        </w:tc>
        <w:tc>
          <w:tcPr>
            <w:tcW w:w="992" w:type="dxa"/>
            <w:tcBorders>
              <w:top w:val="nil"/>
              <w:left w:val="nil"/>
              <w:right w:val="nil"/>
            </w:tcBorders>
            <w:shd w:val="clear" w:color="auto" w:fill="auto"/>
            <w:noWrap/>
            <w:vAlign w:val="bottom"/>
            <w:hideMark/>
          </w:tcPr>
          <w:p w14:paraId="465C875E"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0.189</w:t>
            </w:r>
          </w:p>
        </w:tc>
      </w:tr>
      <w:tr w:rsidR="00CA0EF0" w:rsidRPr="00361E30" w14:paraId="167F2ADA" w14:textId="77777777" w:rsidTr="003C13F4">
        <w:trPr>
          <w:trHeight w:val="300"/>
          <w:jc w:val="center"/>
        </w:trPr>
        <w:tc>
          <w:tcPr>
            <w:tcW w:w="2448" w:type="dxa"/>
            <w:tcBorders>
              <w:top w:val="nil"/>
              <w:left w:val="nil"/>
              <w:bottom w:val="single" w:sz="4" w:space="0" w:color="auto"/>
              <w:right w:val="nil"/>
            </w:tcBorders>
            <w:shd w:val="clear" w:color="auto" w:fill="auto"/>
            <w:noWrap/>
            <w:vAlign w:val="bottom"/>
            <w:hideMark/>
          </w:tcPr>
          <w:p w14:paraId="3911A13E" w14:textId="77777777" w:rsidR="00CA0EF0" w:rsidRPr="00361E30" w:rsidRDefault="00CA0EF0" w:rsidP="003C13F4">
            <w:pPr>
              <w:spacing w:after="0" w:line="240" w:lineRule="auto"/>
              <w:rPr>
                <w:rFonts w:ascii="Calibri" w:eastAsia="Times New Roman" w:hAnsi="Calibri" w:cs="Calibri"/>
                <w:b/>
                <w:bCs/>
                <w:color w:val="000000"/>
              </w:rPr>
            </w:pPr>
          </w:p>
        </w:tc>
        <w:tc>
          <w:tcPr>
            <w:tcW w:w="2055" w:type="dxa"/>
            <w:tcBorders>
              <w:top w:val="nil"/>
              <w:left w:val="nil"/>
              <w:bottom w:val="single" w:sz="4" w:space="0" w:color="auto"/>
              <w:right w:val="nil"/>
            </w:tcBorders>
            <w:shd w:val="clear" w:color="auto" w:fill="auto"/>
            <w:noWrap/>
            <w:vAlign w:val="bottom"/>
            <w:hideMark/>
          </w:tcPr>
          <w:p w14:paraId="74638722"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0</w:t>
            </w:r>
          </w:p>
        </w:tc>
        <w:tc>
          <w:tcPr>
            <w:tcW w:w="1275" w:type="dxa"/>
            <w:tcBorders>
              <w:top w:val="nil"/>
              <w:left w:val="nil"/>
              <w:bottom w:val="single" w:sz="4" w:space="0" w:color="auto"/>
              <w:right w:val="nil"/>
            </w:tcBorders>
            <w:shd w:val="clear" w:color="auto" w:fill="auto"/>
            <w:noWrap/>
            <w:vAlign w:val="bottom"/>
            <w:hideMark/>
          </w:tcPr>
          <w:p w14:paraId="29442BB9"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0.033</w:t>
            </w:r>
          </w:p>
        </w:tc>
        <w:tc>
          <w:tcPr>
            <w:tcW w:w="1276" w:type="dxa"/>
            <w:tcBorders>
              <w:top w:val="nil"/>
              <w:left w:val="nil"/>
              <w:bottom w:val="single" w:sz="4" w:space="0" w:color="auto"/>
              <w:right w:val="nil"/>
            </w:tcBorders>
            <w:shd w:val="clear" w:color="auto" w:fill="auto"/>
            <w:noWrap/>
            <w:vAlign w:val="bottom"/>
            <w:hideMark/>
          </w:tcPr>
          <w:p w14:paraId="374E222A"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0.001</w:t>
            </w:r>
          </w:p>
        </w:tc>
        <w:tc>
          <w:tcPr>
            <w:tcW w:w="1276" w:type="dxa"/>
            <w:tcBorders>
              <w:top w:val="nil"/>
              <w:left w:val="nil"/>
              <w:bottom w:val="single" w:sz="4" w:space="0" w:color="auto"/>
              <w:right w:val="nil"/>
            </w:tcBorders>
            <w:shd w:val="clear" w:color="auto" w:fill="auto"/>
            <w:noWrap/>
            <w:vAlign w:val="bottom"/>
            <w:hideMark/>
          </w:tcPr>
          <w:p w14:paraId="4B816373"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1.169</w:t>
            </w:r>
          </w:p>
        </w:tc>
        <w:tc>
          <w:tcPr>
            <w:tcW w:w="992" w:type="dxa"/>
            <w:tcBorders>
              <w:top w:val="nil"/>
              <w:left w:val="nil"/>
              <w:bottom w:val="single" w:sz="4" w:space="0" w:color="auto"/>
              <w:right w:val="nil"/>
            </w:tcBorders>
            <w:shd w:val="clear" w:color="auto" w:fill="auto"/>
            <w:noWrap/>
            <w:vAlign w:val="bottom"/>
            <w:hideMark/>
          </w:tcPr>
          <w:p w14:paraId="3DD1037A"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0.061</w:t>
            </w:r>
          </w:p>
        </w:tc>
      </w:tr>
      <w:tr w:rsidR="00CA0EF0" w:rsidRPr="00361E30" w14:paraId="19D18076" w14:textId="77777777" w:rsidTr="003C13F4">
        <w:trPr>
          <w:trHeight w:val="300"/>
          <w:jc w:val="center"/>
        </w:trPr>
        <w:tc>
          <w:tcPr>
            <w:tcW w:w="2448" w:type="dxa"/>
            <w:tcBorders>
              <w:top w:val="single" w:sz="4" w:space="0" w:color="auto"/>
              <w:left w:val="nil"/>
              <w:bottom w:val="single" w:sz="4" w:space="0" w:color="auto"/>
              <w:right w:val="nil"/>
            </w:tcBorders>
            <w:shd w:val="clear" w:color="auto" w:fill="auto"/>
            <w:noWrap/>
            <w:vAlign w:val="bottom"/>
            <w:hideMark/>
          </w:tcPr>
          <w:p w14:paraId="279BA445" w14:textId="77777777" w:rsidR="00CA0EF0" w:rsidRPr="00361E30" w:rsidRDefault="00CA0EF0" w:rsidP="003C13F4">
            <w:pPr>
              <w:spacing w:after="0" w:line="240" w:lineRule="auto"/>
              <w:rPr>
                <w:rFonts w:ascii="Calibri" w:eastAsia="Times New Roman" w:hAnsi="Calibri" w:cs="Calibri"/>
                <w:b/>
                <w:bCs/>
                <w:color w:val="000000"/>
              </w:rPr>
            </w:pPr>
            <w:r w:rsidRPr="00361E30">
              <w:rPr>
                <w:rFonts w:ascii="Calibri" w:eastAsia="Times New Roman" w:hAnsi="Calibri" w:cs="Calibri"/>
                <w:b/>
                <w:bCs/>
                <w:color w:val="000000"/>
              </w:rPr>
              <w:t>Constant</w:t>
            </w:r>
          </w:p>
        </w:tc>
        <w:tc>
          <w:tcPr>
            <w:tcW w:w="2055" w:type="dxa"/>
            <w:tcBorders>
              <w:top w:val="single" w:sz="4" w:space="0" w:color="auto"/>
              <w:left w:val="nil"/>
              <w:bottom w:val="single" w:sz="4" w:space="0" w:color="auto"/>
              <w:right w:val="nil"/>
            </w:tcBorders>
            <w:shd w:val="clear" w:color="auto" w:fill="auto"/>
            <w:noWrap/>
            <w:vAlign w:val="bottom"/>
            <w:hideMark/>
          </w:tcPr>
          <w:p w14:paraId="18F9B1F4" w14:textId="77777777" w:rsidR="00CA0EF0" w:rsidRPr="00361E30" w:rsidRDefault="00CA0EF0" w:rsidP="003C13F4">
            <w:pPr>
              <w:spacing w:after="0" w:line="240" w:lineRule="auto"/>
              <w:rPr>
                <w:rFonts w:ascii="Calibri" w:eastAsia="Times New Roman" w:hAnsi="Calibri" w:cs="Calibri"/>
                <w:color w:val="000000"/>
              </w:rPr>
            </w:pPr>
            <w:r w:rsidRPr="00361E30">
              <w:rPr>
                <w:rFonts w:ascii="Calibri" w:eastAsia="Times New Roman" w:hAnsi="Calibri" w:cs="Calibri"/>
                <w:color w:val="000000"/>
              </w:rPr>
              <w:t> </w:t>
            </w:r>
          </w:p>
        </w:tc>
        <w:tc>
          <w:tcPr>
            <w:tcW w:w="1275" w:type="dxa"/>
            <w:tcBorders>
              <w:top w:val="single" w:sz="4" w:space="0" w:color="auto"/>
              <w:left w:val="nil"/>
              <w:bottom w:val="single" w:sz="4" w:space="0" w:color="auto"/>
              <w:right w:val="nil"/>
            </w:tcBorders>
            <w:shd w:val="clear" w:color="auto" w:fill="auto"/>
            <w:noWrap/>
            <w:vAlign w:val="bottom"/>
            <w:hideMark/>
          </w:tcPr>
          <w:p w14:paraId="3E2C8AAC"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77.850</w:t>
            </w:r>
          </w:p>
        </w:tc>
        <w:tc>
          <w:tcPr>
            <w:tcW w:w="1276" w:type="dxa"/>
            <w:tcBorders>
              <w:top w:val="single" w:sz="4" w:space="0" w:color="auto"/>
              <w:left w:val="nil"/>
              <w:bottom w:val="single" w:sz="4" w:space="0" w:color="auto"/>
              <w:right w:val="nil"/>
            </w:tcBorders>
            <w:shd w:val="clear" w:color="auto" w:fill="auto"/>
            <w:noWrap/>
            <w:vAlign w:val="bottom"/>
            <w:hideMark/>
          </w:tcPr>
          <w:p w14:paraId="4DD0C8B1"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65.806</w:t>
            </w:r>
          </w:p>
        </w:tc>
        <w:tc>
          <w:tcPr>
            <w:tcW w:w="1276" w:type="dxa"/>
            <w:tcBorders>
              <w:top w:val="single" w:sz="4" w:space="0" w:color="auto"/>
              <w:left w:val="nil"/>
              <w:bottom w:val="single" w:sz="4" w:space="0" w:color="auto"/>
              <w:right w:val="nil"/>
            </w:tcBorders>
            <w:shd w:val="clear" w:color="auto" w:fill="auto"/>
            <w:noWrap/>
            <w:vAlign w:val="bottom"/>
            <w:hideMark/>
          </w:tcPr>
          <w:p w14:paraId="5DB010D4"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92.099</w:t>
            </w:r>
          </w:p>
        </w:tc>
        <w:tc>
          <w:tcPr>
            <w:tcW w:w="992" w:type="dxa"/>
            <w:tcBorders>
              <w:top w:val="single" w:sz="4" w:space="0" w:color="auto"/>
              <w:left w:val="nil"/>
              <w:bottom w:val="single" w:sz="4" w:space="0" w:color="auto"/>
              <w:right w:val="nil"/>
            </w:tcBorders>
            <w:shd w:val="clear" w:color="auto" w:fill="auto"/>
            <w:noWrap/>
            <w:vAlign w:val="bottom"/>
            <w:hideMark/>
          </w:tcPr>
          <w:p w14:paraId="46828FC0"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bl>
    <w:p w14:paraId="1539DBD4" w14:textId="77777777" w:rsidR="00CA0EF0" w:rsidRPr="00361E30" w:rsidRDefault="00CA0EF0" w:rsidP="003C13F4">
      <w:pPr>
        <w:pStyle w:val="TableTitle"/>
      </w:pPr>
      <w:bookmarkStart w:id="138" w:name="_Toc528321051"/>
      <w:r w:rsidRPr="00361E30">
        <w:t>Table 5.7: Multivariate logistic model with all potential variables included in the model</w:t>
      </w:r>
      <w:bookmarkEnd w:id="138"/>
    </w:p>
    <w:p w14:paraId="67B306E4" w14:textId="77777777" w:rsidR="00CA0EF0" w:rsidRPr="00361E30" w:rsidRDefault="00CA0EF0" w:rsidP="003C13F4">
      <w:pPr>
        <w:pStyle w:val="Heading2"/>
      </w:pPr>
      <w:bookmarkStart w:id="139" w:name="_Toc1902306"/>
      <w:r w:rsidRPr="00361E30">
        <w:lastRenderedPageBreak/>
        <w:t>5.4.4</w:t>
      </w:r>
      <w:r w:rsidRPr="00361E30">
        <w:tab/>
        <w:t>Exclusion of variables on the basis of their performance in the multivariate model</w:t>
      </w:r>
      <w:bookmarkEnd w:id="139"/>
    </w:p>
    <w:p w14:paraId="5A1C3F7B" w14:textId="77777777" w:rsidR="00CA0EF0" w:rsidRPr="00361E30" w:rsidRDefault="00CA0EF0" w:rsidP="003C13F4">
      <w:r w:rsidRPr="00361E30">
        <w:t xml:space="preserve">Table 5.7 shows the results of the initial multivariate model (with all variables included). Apart from respiratory rate, all other variables included in the model were significantly associated with </w:t>
      </w:r>
      <w:r w:rsidR="00EF4FF2" w:rsidRPr="00361E30">
        <w:t>30-day</w:t>
      </w:r>
      <w:r w:rsidRPr="00361E30">
        <w:t xml:space="preserve"> mortality. Respiratory rate was therefore excluded from further analysis.</w:t>
      </w:r>
    </w:p>
    <w:p w14:paraId="08BC25AF" w14:textId="77777777" w:rsidR="00CA0EF0" w:rsidRPr="00361E30" w:rsidRDefault="00CA0EF0" w:rsidP="003C13F4">
      <w:pPr>
        <w:pStyle w:val="Heading2"/>
      </w:pPr>
      <w:bookmarkStart w:id="140" w:name="_Toc1902307"/>
      <w:r w:rsidRPr="00361E30">
        <w:t>5.4.5</w:t>
      </w:r>
      <w:r w:rsidRPr="00361E30">
        <w:tab/>
        <w:t>Further refinement of the model</w:t>
      </w:r>
      <w:bookmarkEnd w:id="140"/>
    </w:p>
    <w:p w14:paraId="34FE4F71" w14:textId="77777777" w:rsidR="00CA0EF0" w:rsidRPr="00361E30" w:rsidRDefault="00CA0EF0" w:rsidP="003C13F4">
      <w:r w:rsidRPr="00361E30">
        <w:t xml:space="preserve">Further analysis of the variables in the model demonstrated that mechanism of injury, number of injuries, injury pattern and systolic blood pressure added little to the predictive value of the model, and exclusion of these variables did not significantly affect the performance of the model (Table 5.8). </w:t>
      </w:r>
    </w:p>
    <w:p w14:paraId="1B3A639E" w14:textId="77777777" w:rsidR="00CA0EF0" w:rsidRPr="00361E30" w:rsidRDefault="00CA0EF0" w:rsidP="003C13F4">
      <w:r w:rsidRPr="00361E30">
        <w:t>Ultimately, severity of TBI was also excluded from the model, due to evidence of collinearity with ISS (see Section 5.4.5.3).</w:t>
      </w:r>
    </w:p>
    <w:p w14:paraId="2A0C5567" w14:textId="77777777" w:rsidR="00CA0EF0" w:rsidRPr="00361E30" w:rsidRDefault="00CA0EF0" w:rsidP="003C13F4">
      <w:pPr>
        <w:pStyle w:val="Heading3"/>
      </w:pPr>
      <w:r w:rsidRPr="00361E30">
        <w:t xml:space="preserve">5.4.5.1 </w:t>
      </w:r>
      <w:r w:rsidRPr="00361E30">
        <w:tab/>
        <w:t>Mechanism of injury</w:t>
      </w:r>
    </w:p>
    <w:p w14:paraId="36352251" w14:textId="77777777" w:rsidR="00CA0EF0" w:rsidRPr="00361E30" w:rsidRDefault="00CA0EF0" w:rsidP="003C13F4">
      <w:r w:rsidRPr="00361E30">
        <w:t>The performance of the multivariate model with and without the inclusion of mechanism of injury was not significantly different. The AUROC with and without mechanism of injury in the model were: 0.8266 (95% CI 0.8196 – 0.8335) and 0.8264 (95% CI 0.8195 – 0.8334) respectively.</w:t>
      </w:r>
    </w:p>
    <w:p w14:paraId="2F72455C" w14:textId="77777777" w:rsidR="00CA0EF0" w:rsidRPr="00361E30" w:rsidRDefault="00CA0EF0" w:rsidP="003C13F4">
      <w:pPr>
        <w:pStyle w:val="Heading3"/>
      </w:pPr>
      <w:r w:rsidRPr="00361E30">
        <w:t xml:space="preserve">5.4.5.2 </w:t>
      </w:r>
      <w:r w:rsidRPr="00361E30">
        <w:tab/>
        <w:t>Number of injuries</w:t>
      </w:r>
    </w:p>
    <w:p w14:paraId="4DDB9C49" w14:textId="77777777" w:rsidR="00CA0EF0" w:rsidRPr="00361E30" w:rsidRDefault="00CA0EF0" w:rsidP="003C13F4">
      <w:r w:rsidRPr="00361E30">
        <w:t>The AUROC with and without number of injuries was 0.8264 (95% CI 0.8195 – 0.8334) and 0.8252 (95% CI 0.8182 – 0.8322) respectively.</w:t>
      </w:r>
    </w:p>
    <w:p w14:paraId="7D076964" w14:textId="77777777" w:rsidR="00CA0EF0" w:rsidRPr="00361E30" w:rsidRDefault="00CA0EF0" w:rsidP="003C13F4">
      <w:pPr>
        <w:pStyle w:val="Heading3"/>
      </w:pPr>
      <w:r w:rsidRPr="00361E30">
        <w:t xml:space="preserve">5.4.5.3 </w:t>
      </w:r>
      <w:r w:rsidRPr="00361E30">
        <w:tab/>
        <w:t>Injury Pattern</w:t>
      </w:r>
    </w:p>
    <w:p w14:paraId="20632F78" w14:textId="77777777" w:rsidR="00CA0EF0" w:rsidRPr="00361E30" w:rsidRDefault="00CA0EF0" w:rsidP="003C13F4">
      <w:r w:rsidRPr="00361E30">
        <w:t>While the multivariate association between injury pattern (presence or absence of a severe traumatic brain injury) and survival was significant in the multivariate model, the direction of association was reversed (in the multivariate model, the odds of survival increased in patients with increased severity of TBI</w:t>
      </w:r>
      <w:r w:rsidR="00FD4AA2">
        <w:t>)</w:t>
      </w:r>
      <w:r w:rsidRPr="00361E30">
        <w:t xml:space="preserve">. </w:t>
      </w:r>
      <w:r w:rsidR="00EF4FF2" w:rsidRPr="00361E30">
        <w:t>This counter-intuitive result</w:t>
      </w:r>
      <w:r w:rsidRPr="00361E30">
        <w:t xml:space="preserve"> combined with the moderately high variance-covariance estimates between injury severity score (ISS) and injury pattern (vce = 0.625) suggests significant collinearity between these variables. In addition, exclusion of this variable from the model did not significantly affect the performance of the model. The AUROC for the model with and without injury pattern (as represented by the </w:t>
      </w:r>
      <w:r w:rsidR="00EF4FF2" w:rsidRPr="00361E30">
        <w:t>presence</w:t>
      </w:r>
      <w:r w:rsidRPr="00361E30">
        <w:t xml:space="preserve"> of TBI with an AIS of </w:t>
      </w:r>
      <w:r w:rsidRPr="00361E30">
        <w:rPr>
          <w:rFonts w:cstheme="minorHAnsi"/>
        </w:rPr>
        <w:t>≥</w:t>
      </w:r>
      <w:r w:rsidRPr="00361E30">
        <w:t>3) were 0.8165 (95% CI 0.80883 - 0.82420) and 0.8161 (95% CI 0.80841 - 0.82376) respectively.</w:t>
      </w:r>
    </w:p>
    <w:p w14:paraId="1820D81A" w14:textId="77777777" w:rsidR="00CA0EF0" w:rsidRPr="00361E30" w:rsidRDefault="00CA0EF0" w:rsidP="003C13F4">
      <w:pPr>
        <w:pStyle w:val="Heading3"/>
      </w:pPr>
      <w:r w:rsidRPr="00361E30">
        <w:t xml:space="preserve">5.4.5.4 </w:t>
      </w:r>
      <w:r w:rsidRPr="00361E30">
        <w:tab/>
        <w:t>Systolic blood pressure</w:t>
      </w:r>
    </w:p>
    <w:p w14:paraId="3F0F1831" w14:textId="77777777" w:rsidR="00CA0EF0" w:rsidRPr="00361E30" w:rsidRDefault="00CA0EF0" w:rsidP="003C13F4">
      <w:r w:rsidRPr="00361E30">
        <w:t xml:space="preserve">Table 5.8 shows the performance of the multivariate model with and without the inclusion of systolic blood pressure. The ‘C’ statistic (the area under the ROC curve) was 0.8266 (95% CI </w:t>
      </w:r>
      <w:r w:rsidRPr="00361E30">
        <w:lastRenderedPageBreak/>
        <w:t>.8195 - .8337) with systolic blood pressure included and 0.8266 (95% CI 0.8196 – 0.8335) when systolic blood pressure was excluded.</w:t>
      </w:r>
    </w:p>
    <w:p w14:paraId="411FD2DD" w14:textId="77777777" w:rsidR="00CA0EF0" w:rsidRPr="00361E30" w:rsidRDefault="00CA0EF0" w:rsidP="003C13F4">
      <w:pPr>
        <w:pStyle w:val="Heading3"/>
      </w:pPr>
      <w:r w:rsidRPr="00361E30">
        <w:t xml:space="preserve">5.4.5.5 </w:t>
      </w:r>
      <w:r w:rsidRPr="00361E30">
        <w:tab/>
        <w:t>Variables kept in the final predictive model</w:t>
      </w:r>
    </w:p>
    <w:p w14:paraId="7CE93190" w14:textId="77777777" w:rsidR="00CA0EF0" w:rsidRPr="00361E30" w:rsidRDefault="00CA0EF0" w:rsidP="003C13F4">
      <w:r w:rsidRPr="00361E30">
        <w:t xml:space="preserve">In keeping with the general principle of parsimony in regression modelling, the variables listed in Sections 5.4.5.1 to 5.4.5.4 were excluded from the final model, as they did not add significantly to the predictive accuracy of the model. The final model thus included only those variables used in the TARN PS14 model. </w:t>
      </w:r>
      <w:r w:rsidR="00EF4FF2" w:rsidRPr="00361E30">
        <w:t>However,</w:t>
      </w:r>
      <w:r w:rsidRPr="00361E30">
        <w:t xml:space="preserve"> in this final model, age was treated as a continuous variable (rather than as a categorical variable, as in the PS14 model), while ISS was treated as a categorical variable (rather than a transformed continuous variable, as in the PS14) (see Section 5.9 for the rationale behind these decisions).</w:t>
      </w:r>
    </w:p>
    <w:p w14:paraId="191F53E1" w14:textId="77777777" w:rsidR="00CA0EF0" w:rsidRPr="00361E30" w:rsidRDefault="00CA0EF0" w:rsidP="003C13F4"/>
    <w:p w14:paraId="61E1AE3C" w14:textId="77777777" w:rsidR="00CA0EF0" w:rsidRPr="00361E30" w:rsidRDefault="00CA0EF0" w:rsidP="003C13F4"/>
    <w:p w14:paraId="29E62949" w14:textId="77777777" w:rsidR="00CA0EF0" w:rsidRPr="00361E30" w:rsidRDefault="00CA0EF0" w:rsidP="003C13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8665"/>
        <w:gridCol w:w="591"/>
      </w:tblGrid>
      <w:tr w:rsidR="00CA0EF0" w:rsidRPr="00361E30" w14:paraId="405E34AC" w14:textId="77777777" w:rsidTr="003C13F4">
        <w:trPr>
          <w:cantSplit/>
          <w:trHeight w:val="1134"/>
        </w:trPr>
        <w:tc>
          <w:tcPr>
            <w:tcW w:w="8665" w:type="dxa"/>
          </w:tcPr>
          <w:p w14:paraId="7DCAA829" w14:textId="77777777" w:rsidR="00CA0EF0" w:rsidRPr="00361E30" w:rsidRDefault="00CA0EF0" w:rsidP="003C13F4">
            <w:pPr>
              <w:rPr>
                <w:lang w:val="en-GB"/>
              </w:rPr>
            </w:pPr>
            <w:r w:rsidRPr="00361E30">
              <w:rPr>
                <w:noProof/>
                <w:lang w:eastAsia="en-GB"/>
              </w:rPr>
              <w:lastRenderedPageBreak/>
              <w:drawing>
                <wp:inline distT="0" distB="0" distL="0" distR="0" wp14:anchorId="32DE9EEC" wp14:editId="21839DA7">
                  <wp:extent cx="8198864" cy="5217327"/>
                  <wp:effectExtent l="4763"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8209135" cy="5223863"/>
                          </a:xfrm>
                          <a:prstGeom prst="rect">
                            <a:avLst/>
                          </a:prstGeom>
                          <a:noFill/>
                          <a:ln>
                            <a:noFill/>
                          </a:ln>
                        </pic:spPr>
                      </pic:pic>
                    </a:graphicData>
                  </a:graphic>
                </wp:inline>
              </w:drawing>
            </w:r>
          </w:p>
        </w:tc>
        <w:tc>
          <w:tcPr>
            <w:tcW w:w="591" w:type="dxa"/>
            <w:textDirection w:val="btLr"/>
          </w:tcPr>
          <w:p w14:paraId="62A23A82" w14:textId="77777777" w:rsidR="00CA0EF0" w:rsidRPr="00361E30" w:rsidRDefault="00CA0EF0" w:rsidP="003C13F4">
            <w:pPr>
              <w:pStyle w:val="TableTitle"/>
              <w:rPr>
                <w:lang w:val="en-GB"/>
              </w:rPr>
            </w:pPr>
            <w:bookmarkStart w:id="141" w:name="_Toc528321052"/>
            <w:r w:rsidRPr="00361E30">
              <w:rPr>
                <w:lang w:val="en-GB"/>
              </w:rPr>
              <w:t>Table 5.8: Performance of multivariate models.</w:t>
            </w:r>
            <w:bookmarkEnd w:id="141"/>
          </w:p>
          <w:p w14:paraId="04AB72C2" w14:textId="77777777" w:rsidR="00CA0EF0" w:rsidRPr="00361E30" w:rsidRDefault="00CA0EF0" w:rsidP="003C13F4">
            <w:pPr>
              <w:ind w:left="113" w:right="113"/>
              <w:rPr>
                <w:lang w:val="en-GB"/>
              </w:rPr>
            </w:pPr>
          </w:p>
        </w:tc>
      </w:tr>
    </w:tbl>
    <w:p w14:paraId="79178D29" w14:textId="77777777" w:rsidR="00CA0EF0" w:rsidRPr="00361E30" w:rsidRDefault="00CA0EF0" w:rsidP="003C13F4">
      <w:pPr>
        <w:sectPr w:rsidR="00CA0EF0" w:rsidRPr="00361E30" w:rsidSect="003C13F4">
          <w:pgSz w:w="11906" w:h="16838"/>
          <w:pgMar w:top="1138" w:right="1138" w:bottom="1138" w:left="2275" w:header="709" w:footer="709" w:gutter="0"/>
          <w:cols w:space="708"/>
          <w:docGrid w:linePitch="360"/>
        </w:sectPr>
      </w:pPr>
    </w:p>
    <w:p w14:paraId="178F6691" w14:textId="77777777" w:rsidR="00CA0EF0" w:rsidRPr="00361E30" w:rsidRDefault="00CA0EF0" w:rsidP="003C13F4">
      <w:pPr>
        <w:pStyle w:val="Heading2"/>
      </w:pPr>
      <w:bookmarkStart w:id="142" w:name="_Toc1902308"/>
      <w:r w:rsidRPr="00361E30">
        <w:lastRenderedPageBreak/>
        <w:t>5.4.6</w:t>
      </w:r>
      <w:r w:rsidRPr="00361E30">
        <w:tab/>
        <w:t>Comparison of different forms of specific variables</w:t>
      </w:r>
      <w:bookmarkEnd w:id="142"/>
    </w:p>
    <w:p w14:paraId="735E8823" w14:textId="77777777" w:rsidR="00CA0EF0" w:rsidRPr="00361E30" w:rsidRDefault="00CA0EF0" w:rsidP="003C13F4">
      <w:r w:rsidRPr="00361E30">
        <w:t xml:space="preserve">As discussed earlier in the chapter (Sections 5.3.1.1, 5.3.3.1 and 5.3.3.3) age, injury severity score (ISS) and number of injuries were assessed in the multivariate model in both their continuous and categorical forms. For the initial multivariate model, these variables were used in their categorical forms (see Section 58.4.1). After exclusion of variables that did not show significant association with 30-day mortality on multivariate analysis, and those that did not contribute significantly to the overall model performance (Sections 5.4.4 and 5.4.5), age and injury severity were tested in the model in their categorical and continuous forms respectively, and the form which produced the ‘best fit’ model was retained (see Section 5.4.6.1 below). Table 5.8 shows the performance of different multivariate models derived using different forms of these variables. </w:t>
      </w:r>
    </w:p>
    <w:p w14:paraId="0C99A127" w14:textId="77777777" w:rsidR="00CA0EF0" w:rsidRPr="00361E30" w:rsidRDefault="00CA0EF0" w:rsidP="003C13F4">
      <w:pPr>
        <w:pStyle w:val="Heading3"/>
      </w:pPr>
      <w:r w:rsidRPr="00361E30">
        <w:t xml:space="preserve">5.4.6.1 </w:t>
      </w:r>
      <w:r w:rsidRPr="00361E30">
        <w:tab/>
        <w:t>Age</w:t>
      </w:r>
    </w:p>
    <w:p w14:paraId="7CC80126" w14:textId="77777777" w:rsidR="00CA0EF0" w:rsidRPr="00361E30" w:rsidRDefault="00CA0EF0" w:rsidP="003C13F4">
      <w:r w:rsidRPr="00361E30">
        <w:t>Age was used in the multivariate model as either a categorical variable or a continuous variable. There was very little difference in the model performance using age in either form. However, given the need for significant adjustment of age categories from the original PS14 categories (Section 5.2.1) age was retained in the final multivariate model as a continuous variable, as the use of age categories will likely need additional modification with time, as the population continues to age (with the need to add even more categories at the upper age limit). Using age as a continuous variable could avoid the need for further modification of age categories in the future. Additionally, (as described in Section 5.2.1) the relationship between age and outcome was linear, and did not require transformation, thus producing a model that combined simplicity with optimisation of predictive accuracy. The interaction between age and gender was also included in the analysis, as explained in Section 5.2.2.</w:t>
      </w:r>
    </w:p>
    <w:p w14:paraId="1FE1008C" w14:textId="77777777" w:rsidR="00CA0EF0" w:rsidRPr="00361E30" w:rsidRDefault="00CA0EF0" w:rsidP="003C13F4">
      <w:pPr>
        <w:pStyle w:val="Heading3"/>
      </w:pPr>
      <w:r w:rsidRPr="00361E30">
        <w:t xml:space="preserve">5.4.6.2 </w:t>
      </w:r>
      <w:r w:rsidRPr="00361E30">
        <w:tab/>
        <w:t>Injury Severity Score</w:t>
      </w:r>
    </w:p>
    <w:p w14:paraId="15DECA83" w14:textId="77777777" w:rsidR="00CA0EF0" w:rsidRPr="00361E30" w:rsidRDefault="00CA0EF0" w:rsidP="003C13F4">
      <w:r w:rsidRPr="00361E30">
        <w:t xml:space="preserve">Comparing categorical and continuous forms of ISS in the multivariate model, the categorical form of ISS performed marginally better in the multivariate analysis (Table 5.8).  ISS was therefore retained in the final model as a categorical variable, as this representation of injury severity has more clinical relevance than its continuous format – individual ISS scores are relatively meaningless to physicians and researchers while the descriptive categories listed in Section 5.3.3.1 above have tangible implications for the clinical course and outcomes of individual patients. Patients with ‘mild injuries’ (ISS &lt;9) would be expected to have significantly more chance of survival than those with ‘severe’ of ‘life threatening’ injuries (ISS 16-24 and ISS &gt;=25 respectively). In contrast, a unit increase in ISS has little or no practical meaning in relation to outcome, as the relation between ISS and outcome is not linear, and the </w:t>
      </w:r>
      <w:r w:rsidRPr="00361E30">
        <w:lastRenderedPageBreak/>
        <w:t xml:space="preserve">mathematical derivation of ISS means that some ISS scores are impossible to achieve </w:t>
      </w:r>
      <w:r w:rsidR="00C908AC" w:rsidRPr="00361E30">
        <w:rPr>
          <w:noProof/>
        </w:rPr>
        <w:t xml:space="preserve">(Boyd </w:t>
      </w:r>
      <w:r w:rsidRPr="00361E30">
        <w:rPr>
          <w:noProof/>
        </w:rPr>
        <w:t>et al. 1987)</w:t>
      </w:r>
      <w:r w:rsidRPr="00361E30">
        <w:t xml:space="preserve">. </w:t>
      </w:r>
    </w:p>
    <w:p w14:paraId="1F0BBA4A" w14:textId="77777777" w:rsidR="00CA0EF0" w:rsidRPr="00361E30" w:rsidRDefault="00CA0EF0" w:rsidP="003C13F4">
      <w:pPr>
        <w:pStyle w:val="Heading3"/>
      </w:pPr>
      <w:r w:rsidRPr="00361E30">
        <w:t xml:space="preserve">5.4.6.3 </w:t>
      </w:r>
      <w:r w:rsidRPr="00361E30">
        <w:tab/>
        <w:t>Number of injuries</w:t>
      </w:r>
    </w:p>
    <w:p w14:paraId="1FF6734A" w14:textId="77777777" w:rsidR="00CA0EF0" w:rsidRPr="00361E30" w:rsidRDefault="00CA0EF0" w:rsidP="003C13F4">
      <w:r w:rsidRPr="00361E30">
        <w:t>Number of injuries was not found to contribute significantly to the overall performance of the multivariate model (Section 5.4.5) and was excluded from the final multivariate analysis.</w:t>
      </w:r>
    </w:p>
    <w:tbl>
      <w:tblPr>
        <w:tblW w:w="8925" w:type="dxa"/>
        <w:tblInd w:w="93" w:type="dxa"/>
        <w:tblLook w:val="04A0" w:firstRow="1" w:lastRow="0" w:firstColumn="1" w:lastColumn="0" w:noHBand="0" w:noVBand="1"/>
      </w:tblPr>
      <w:tblGrid>
        <w:gridCol w:w="2265"/>
        <w:gridCol w:w="1530"/>
        <w:gridCol w:w="1350"/>
        <w:gridCol w:w="1170"/>
        <w:gridCol w:w="1350"/>
        <w:gridCol w:w="1260"/>
      </w:tblGrid>
      <w:tr w:rsidR="00CA0EF0" w:rsidRPr="00361E30" w14:paraId="60867C7E" w14:textId="77777777" w:rsidTr="003C13F4">
        <w:trPr>
          <w:trHeight w:val="300"/>
        </w:trPr>
        <w:tc>
          <w:tcPr>
            <w:tcW w:w="2265" w:type="dxa"/>
            <w:tcBorders>
              <w:top w:val="single" w:sz="4" w:space="0" w:color="auto"/>
              <w:left w:val="nil"/>
              <w:bottom w:val="nil"/>
              <w:right w:val="nil"/>
            </w:tcBorders>
            <w:shd w:val="clear" w:color="auto" w:fill="auto"/>
            <w:noWrap/>
            <w:hideMark/>
          </w:tcPr>
          <w:p w14:paraId="4CB19F85"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Covariates</w:t>
            </w:r>
          </w:p>
        </w:tc>
        <w:tc>
          <w:tcPr>
            <w:tcW w:w="1530" w:type="dxa"/>
            <w:tcBorders>
              <w:top w:val="single" w:sz="4" w:space="0" w:color="auto"/>
              <w:left w:val="nil"/>
              <w:bottom w:val="nil"/>
              <w:right w:val="nil"/>
            </w:tcBorders>
            <w:shd w:val="clear" w:color="auto" w:fill="auto"/>
            <w:noWrap/>
            <w:vAlign w:val="bottom"/>
            <w:hideMark/>
          </w:tcPr>
          <w:p w14:paraId="55418FA6"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 </w:t>
            </w:r>
          </w:p>
        </w:tc>
        <w:tc>
          <w:tcPr>
            <w:tcW w:w="1350" w:type="dxa"/>
            <w:tcBorders>
              <w:top w:val="single" w:sz="4" w:space="0" w:color="auto"/>
              <w:left w:val="nil"/>
              <w:bottom w:val="nil"/>
              <w:right w:val="nil"/>
            </w:tcBorders>
            <w:shd w:val="clear" w:color="auto" w:fill="auto"/>
            <w:noWrap/>
            <w:vAlign w:val="center"/>
            <w:hideMark/>
          </w:tcPr>
          <w:p w14:paraId="4F30C771" w14:textId="77777777" w:rsidR="00CA0EF0" w:rsidRPr="00361E30" w:rsidRDefault="00CA0EF0" w:rsidP="003C13F4">
            <w:pPr>
              <w:spacing w:after="0" w:line="240" w:lineRule="auto"/>
              <w:jc w:val="center"/>
              <w:rPr>
                <w:rFonts w:ascii="Calibri" w:eastAsia="Times New Roman" w:hAnsi="Calibri" w:cs="Calibri"/>
                <w:b/>
                <w:bCs/>
                <w:color w:val="000000"/>
              </w:rPr>
            </w:pPr>
            <w:r w:rsidRPr="00361E30">
              <w:rPr>
                <w:rFonts w:ascii="Calibri" w:eastAsia="Times New Roman" w:hAnsi="Calibri" w:cs="Calibri"/>
                <w:b/>
                <w:bCs/>
                <w:color w:val="000000"/>
              </w:rPr>
              <w:t>Odds Ratio</w:t>
            </w:r>
          </w:p>
        </w:tc>
        <w:tc>
          <w:tcPr>
            <w:tcW w:w="2520" w:type="dxa"/>
            <w:gridSpan w:val="2"/>
            <w:tcBorders>
              <w:top w:val="single" w:sz="4" w:space="0" w:color="auto"/>
              <w:left w:val="nil"/>
              <w:bottom w:val="nil"/>
              <w:right w:val="nil"/>
            </w:tcBorders>
            <w:shd w:val="clear" w:color="auto" w:fill="auto"/>
            <w:noWrap/>
            <w:vAlign w:val="center"/>
            <w:hideMark/>
          </w:tcPr>
          <w:p w14:paraId="1D6028B9" w14:textId="77777777" w:rsidR="00CA0EF0" w:rsidRPr="00361E30" w:rsidRDefault="00CA0EF0" w:rsidP="003C13F4">
            <w:pPr>
              <w:spacing w:after="0" w:line="240" w:lineRule="auto"/>
              <w:jc w:val="center"/>
              <w:rPr>
                <w:rFonts w:ascii="Calibri" w:eastAsia="Times New Roman" w:hAnsi="Calibri" w:cs="Calibri"/>
                <w:b/>
                <w:bCs/>
                <w:color w:val="000000"/>
              </w:rPr>
            </w:pPr>
            <w:r w:rsidRPr="00361E30">
              <w:rPr>
                <w:rFonts w:ascii="Calibri" w:eastAsia="Times New Roman" w:hAnsi="Calibri" w:cs="Calibri"/>
                <w:b/>
                <w:bCs/>
                <w:color w:val="000000"/>
              </w:rPr>
              <w:t>95% Confidence Intervals</w:t>
            </w:r>
          </w:p>
        </w:tc>
        <w:tc>
          <w:tcPr>
            <w:tcW w:w="1260" w:type="dxa"/>
            <w:tcBorders>
              <w:top w:val="single" w:sz="4" w:space="0" w:color="auto"/>
              <w:left w:val="nil"/>
              <w:bottom w:val="nil"/>
              <w:right w:val="nil"/>
            </w:tcBorders>
            <w:shd w:val="clear" w:color="auto" w:fill="auto"/>
            <w:noWrap/>
            <w:vAlign w:val="center"/>
            <w:hideMark/>
          </w:tcPr>
          <w:p w14:paraId="0D06FF8D" w14:textId="77777777" w:rsidR="00CA0EF0" w:rsidRPr="00361E30" w:rsidRDefault="00CA0EF0" w:rsidP="003C13F4">
            <w:pPr>
              <w:spacing w:after="0" w:line="240" w:lineRule="auto"/>
              <w:jc w:val="center"/>
              <w:rPr>
                <w:rFonts w:ascii="Calibri" w:eastAsia="Times New Roman" w:hAnsi="Calibri" w:cs="Calibri"/>
                <w:b/>
                <w:bCs/>
                <w:color w:val="000000"/>
              </w:rPr>
            </w:pPr>
            <w:r w:rsidRPr="00361E30">
              <w:rPr>
                <w:rFonts w:ascii="Calibri" w:eastAsia="Times New Roman" w:hAnsi="Calibri" w:cs="Calibri"/>
                <w:b/>
                <w:bCs/>
                <w:color w:val="000000"/>
              </w:rPr>
              <w:t>p value</w:t>
            </w:r>
          </w:p>
        </w:tc>
      </w:tr>
      <w:tr w:rsidR="00CA0EF0" w:rsidRPr="00361E30" w14:paraId="0C53772C" w14:textId="77777777" w:rsidTr="003C13F4">
        <w:trPr>
          <w:trHeight w:val="315"/>
        </w:trPr>
        <w:tc>
          <w:tcPr>
            <w:tcW w:w="2265" w:type="dxa"/>
            <w:tcBorders>
              <w:top w:val="nil"/>
              <w:left w:val="nil"/>
              <w:bottom w:val="double" w:sz="6" w:space="0" w:color="auto"/>
              <w:right w:val="nil"/>
            </w:tcBorders>
            <w:shd w:val="clear" w:color="auto" w:fill="auto"/>
            <w:noWrap/>
            <w:hideMark/>
          </w:tcPr>
          <w:p w14:paraId="2262D76D"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 </w:t>
            </w:r>
          </w:p>
        </w:tc>
        <w:tc>
          <w:tcPr>
            <w:tcW w:w="1530" w:type="dxa"/>
            <w:tcBorders>
              <w:top w:val="nil"/>
              <w:left w:val="nil"/>
              <w:bottom w:val="double" w:sz="6" w:space="0" w:color="auto"/>
              <w:right w:val="nil"/>
            </w:tcBorders>
            <w:shd w:val="clear" w:color="auto" w:fill="auto"/>
            <w:noWrap/>
            <w:vAlign w:val="bottom"/>
            <w:hideMark/>
          </w:tcPr>
          <w:p w14:paraId="44EF286B"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 </w:t>
            </w:r>
          </w:p>
        </w:tc>
        <w:tc>
          <w:tcPr>
            <w:tcW w:w="1350" w:type="dxa"/>
            <w:tcBorders>
              <w:top w:val="nil"/>
              <w:left w:val="nil"/>
              <w:bottom w:val="double" w:sz="6" w:space="0" w:color="auto"/>
              <w:right w:val="nil"/>
            </w:tcBorders>
            <w:shd w:val="clear" w:color="auto" w:fill="auto"/>
            <w:noWrap/>
            <w:vAlign w:val="center"/>
            <w:hideMark/>
          </w:tcPr>
          <w:p w14:paraId="25EE7713" w14:textId="77777777" w:rsidR="00CA0EF0" w:rsidRPr="00361E30" w:rsidRDefault="00CA0EF0" w:rsidP="003C13F4">
            <w:pPr>
              <w:spacing w:after="0" w:line="240" w:lineRule="auto"/>
              <w:jc w:val="center"/>
              <w:rPr>
                <w:rFonts w:ascii="Calibri" w:eastAsia="Times New Roman" w:hAnsi="Calibri" w:cs="Calibri"/>
                <w:b/>
                <w:bCs/>
                <w:color w:val="000000"/>
              </w:rPr>
            </w:pPr>
            <w:r w:rsidRPr="00361E30">
              <w:rPr>
                <w:rFonts w:ascii="Calibri" w:eastAsia="Times New Roman" w:hAnsi="Calibri" w:cs="Calibri"/>
                <w:b/>
                <w:bCs/>
                <w:color w:val="000000"/>
              </w:rPr>
              <w:t> </w:t>
            </w:r>
          </w:p>
        </w:tc>
        <w:tc>
          <w:tcPr>
            <w:tcW w:w="1170" w:type="dxa"/>
            <w:tcBorders>
              <w:top w:val="nil"/>
              <w:left w:val="nil"/>
              <w:bottom w:val="double" w:sz="6" w:space="0" w:color="auto"/>
              <w:right w:val="nil"/>
            </w:tcBorders>
            <w:shd w:val="clear" w:color="auto" w:fill="auto"/>
            <w:noWrap/>
            <w:vAlign w:val="center"/>
            <w:hideMark/>
          </w:tcPr>
          <w:p w14:paraId="485AE473" w14:textId="77777777" w:rsidR="00CA0EF0" w:rsidRPr="00361E30" w:rsidRDefault="00CA0EF0" w:rsidP="003C13F4">
            <w:pPr>
              <w:spacing w:after="0" w:line="240" w:lineRule="auto"/>
              <w:jc w:val="center"/>
              <w:rPr>
                <w:rFonts w:ascii="Calibri" w:eastAsia="Times New Roman" w:hAnsi="Calibri" w:cs="Calibri"/>
                <w:b/>
                <w:bCs/>
                <w:color w:val="000000"/>
              </w:rPr>
            </w:pPr>
            <w:r w:rsidRPr="00361E30">
              <w:rPr>
                <w:rFonts w:ascii="Calibri" w:eastAsia="Times New Roman" w:hAnsi="Calibri" w:cs="Calibri"/>
                <w:b/>
                <w:bCs/>
                <w:color w:val="000000"/>
              </w:rPr>
              <w:t xml:space="preserve">Upper </w:t>
            </w:r>
          </w:p>
        </w:tc>
        <w:tc>
          <w:tcPr>
            <w:tcW w:w="1350" w:type="dxa"/>
            <w:tcBorders>
              <w:top w:val="nil"/>
              <w:left w:val="nil"/>
              <w:bottom w:val="double" w:sz="6" w:space="0" w:color="auto"/>
              <w:right w:val="nil"/>
            </w:tcBorders>
            <w:shd w:val="clear" w:color="auto" w:fill="auto"/>
            <w:noWrap/>
            <w:vAlign w:val="center"/>
            <w:hideMark/>
          </w:tcPr>
          <w:p w14:paraId="61FAF3BB" w14:textId="77777777" w:rsidR="00CA0EF0" w:rsidRPr="00361E30" w:rsidRDefault="00CA0EF0" w:rsidP="003C13F4">
            <w:pPr>
              <w:spacing w:after="0" w:line="240" w:lineRule="auto"/>
              <w:jc w:val="center"/>
              <w:rPr>
                <w:rFonts w:ascii="Calibri" w:eastAsia="Times New Roman" w:hAnsi="Calibri" w:cs="Calibri"/>
                <w:b/>
                <w:bCs/>
                <w:color w:val="000000"/>
              </w:rPr>
            </w:pPr>
            <w:r w:rsidRPr="00361E30">
              <w:rPr>
                <w:rFonts w:ascii="Calibri" w:eastAsia="Times New Roman" w:hAnsi="Calibri" w:cs="Calibri"/>
                <w:b/>
                <w:bCs/>
                <w:color w:val="000000"/>
              </w:rPr>
              <w:t>Lower</w:t>
            </w:r>
          </w:p>
        </w:tc>
        <w:tc>
          <w:tcPr>
            <w:tcW w:w="1260" w:type="dxa"/>
            <w:tcBorders>
              <w:top w:val="nil"/>
              <w:left w:val="nil"/>
              <w:bottom w:val="double" w:sz="6" w:space="0" w:color="auto"/>
              <w:right w:val="nil"/>
            </w:tcBorders>
            <w:shd w:val="clear" w:color="auto" w:fill="auto"/>
            <w:noWrap/>
            <w:vAlign w:val="center"/>
            <w:hideMark/>
          </w:tcPr>
          <w:p w14:paraId="7365329C" w14:textId="77777777" w:rsidR="00CA0EF0" w:rsidRPr="00361E30" w:rsidRDefault="00CA0EF0" w:rsidP="003C13F4">
            <w:pPr>
              <w:spacing w:after="0" w:line="240" w:lineRule="auto"/>
              <w:jc w:val="center"/>
              <w:rPr>
                <w:rFonts w:ascii="Calibri" w:eastAsia="Times New Roman" w:hAnsi="Calibri" w:cs="Calibri"/>
                <w:b/>
                <w:bCs/>
                <w:color w:val="000000"/>
              </w:rPr>
            </w:pPr>
            <w:r w:rsidRPr="00361E30">
              <w:rPr>
                <w:rFonts w:ascii="Calibri" w:eastAsia="Times New Roman" w:hAnsi="Calibri" w:cs="Calibri"/>
                <w:b/>
                <w:bCs/>
                <w:color w:val="000000"/>
              </w:rPr>
              <w:t> </w:t>
            </w:r>
          </w:p>
        </w:tc>
      </w:tr>
      <w:tr w:rsidR="00CA0EF0" w:rsidRPr="00361E30" w14:paraId="41598D86" w14:textId="77777777" w:rsidTr="003C13F4">
        <w:trPr>
          <w:trHeight w:val="315"/>
        </w:trPr>
        <w:tc>
          <w:tcPr>
            <w:tcW w:w="2265" w:type="dxa"/>
            <w:tcBorders>
              <w:top w:val="double" w:sz="6" w:space="0" w:color="auto"/>
              <w:left w:val="nil"/>
              <w:bottom w:val="single" w:sz="4" w:space="0" w:color="auto"/>
              <w:right w:val="nil"/>
            </w:tcBorders>
            <w:shd w:val="clear" w:color="auto" w:fill="auto"/>
            <w:noWrap/>
            <w:hideMark/>
          </w:tcPr>
          <w:p w14:paraId="790F870E"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Age</w:t>
            </w:r>
          </w:p>
        </w:tc>
        <w:tc>
          <w:tcPr>
            <w:tcW w:w="1530" w:type="dxa"/>
            <w:tcBorders>
              <w:top w:val="double" w:sz="6" w:space="0" w:color="auto"/>
              <w:left w:val="nil"/>
              <w:bottom w:val="single" w:sz="4" w:space="0" w:color="auto"/>
              <w:right w:val="nil"/>
            </w:tcBorders>
            <w:shd w:val="clear" w:color="auto" w:fill="auto"/>
            <w:noWrap/>
            <w:vAlign w:val="bottom"/>
            <w:hideMark/>
          </w:tcPr>
          <w:p w14:paraId="63BD2D81" w14:textId="77777777" w:rsidR="00CA0EF0" w:rsidRPr="00361E30" w:rsidRDefault="00CA0EF0" w:rsidP="003C13F4">
            <w:pPr>
              <w:spacing w:after="0" w:line="240" w:lineRule="auto"/>
              <w:jc w:val="left"/>
              <w:rPr>
                <w:rFonts w:ascii="Calibri" w:eastAsia="Times New Roman" w:hAnsi="Calibri" w:cs="Calibri"/>
                <w:color w:val="000000"/>
              </w:rPr>
            </w:pPr>
          </w:p>
        </w:tc>
        <w:tc>
          <w:tcPr>
            <w:tcW w:w="1350" w:type="dxa"/>
            <w:tcBorders>
              <w:top w:val="double" w:sz="6" w:space="0" w:color="auto"/>
              <w:left w:val="nil"/>
              <w:bottom w:val="single" w:sz="4" w:space="0" w:color="auto"/>
              <w:right w:val="nil"/>
            </w:tcBorders>
            <w:shd w:val="clear" w:color="auto" w:fill="auto"/>
            <w:noWrap/>
            <w:vAlign w:val="center"/>
            <w:hideMark/>
          </w:tcPr>
          <w:p w14:paraId="6B878CCC"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0.930</w:t>
            </w:r>
          </w:p>
        </w:tc>
        <w:tc>
          <w:tcPr>
            <w:tcW w:w="1170" w:type="dxa"/>
            <w:tcBorders>
              <w:top w:val="double" w:sz="6" w:space="0" w:color="auto"/>
              <w:left w:val="nil"/>
              <w:bottom w:val="single" w:sz="4" w:space="0" w:color="auto"/>
              <w:right w:val="nil"/>
            </w:tcBorders>
            <w:shd w:val="clear" w:color="auto" w:fill="auto"/>
            <w:noWrap/>
            <w:vAlign w:val="center"/>
            <w:hideMark/>
          </w:tcPr>
          <w:p w14:paraId="4A314D45"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0.924</w:t>
            </w:r>
          </w:p>
        </w:tc>
        <w:tc>
          <w:tcPr>
            <w:tcW w:w="1350" w:type="dxa"/>
            <w:tcBorders>
              <w:top w:val="double" w:sz="6" w:space="0" w:color="auto"/>
              <w:left w:val="nil"/>
              <w:bottom w:val="single" w:sz="4" w:space="0" w:color="auto"/>
              <w:right w:val="nil"/>
            </w:tcBorders>
            <w:shd w:val="clear" w:color="auto" w:fill="auto"/>
            <w:noWrap/>
            <w:vAlign w:val="center"/>
            <w:hideMark/>
          </w:tcPr>
          <w:p w14:paraId="606E1DEA"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0.937</w:t>
            </w:r>
          </w:p>
        </w:tc>
        <w:tc>
          <w:tcPr>
            <w:tcW w:w="1260" w:type="dxa"/>
            <w:tcBorders>
              <w:top w:val="double" w:sz="6" w:space="0" w:color="auto"/>
              <w:left w:val="nil"/>
              <w:bottom w:val="single" w:sz="4" w:space="0" w:color="auto"/>
              <w:right w:val="nil"/>
            </w:tcBorders>
            <w:shd w:val="clear" w:color="auto" w:fill="auto"/>
            <w:noWrap/>
            <w:vAlign w:val="center"/>
            <w:hideMark/>
          </w:tcPr>
          <w:p w14:paraId="7B7E8FA4"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24C3CF53" w14:textId="77777777" w:rsidTr="003C13F4">
        <w:trPr>
          <w:trHeight w:val="300"/>
        </w:trPr>
        <w:tc>
          <w:tcPr>
            <w:tcW w:w="2265" w:type="dxa"/>
            <w:vMerge w:val="restart"/>
            <w:tcBorders>
              <w:top w:val="single" w:sz="4" w:space="0" w:color="auto"/>
              <w:left w:val="nil"/>
              <w:right w:val="nil"/>
            </w:tcBorders>
            <w:shd w:val="clear" w:color="auto" w:fill="auto"/>
            <w:noWrap/>
            <w:hideMark/>
          </w:tcPr>
          <w:p w14:paraId="23972CC4"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Gender</w:t>
            </w:r>
          </w:p>
        </w:tc>
        <w:tc>
          <w:tcPr>
            <w:tcW w:w="1530" w:type="dxa"/>
            <w:tcBorders>
              <w:top w:val="single" w:sz="4" w:space="0" w:color="auto"/>
              <w:left w:val="nil"/>
              <w:right w:val="nil"/>
            </w:tcBorders>
            <w:shd w:val="clear" w:color="auto" w:fill="auto"/>
            <w:noWrap/>
            <w:vAlign w:val="center"/>
            <w:hideMark/>
          </w:tcPr>
          <w:p w14:paraId="799D21EF"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Male</w:t>
            </w:r>
          </w:p>
        </w:tc>
        <w:tc>
          <w:tcPr>
            <w:tcW w:w="1350" w:type="dxa"/>
            <w:tcBorders>
              <w:top w:val="single" w:sz="4" w:space="0" w:color="auto"/>
              <w:left w:val="nil"/>
              <w:right w:val="nil"/>
            </w:tcBorders>
            <w:shd w:val="clear" w:color="auto" w:fill="auto"/>
            <w:noWrap/>
            <w:vAlign w:val="center"/>
            <w:hideMark/>
          </w:tcPr>
          <w:p w14:paraId="1C2BB9A6"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Reference</w:t>
            </w:r>
          </w:p>
        </w:tc>
        <w:tc>
          <w:tcPr>
            <w:tcW w:w="1170" w:type="dxa"/>
            <w:tcBorders>
              <w:top w:val="single" w:sz="4" w:space="0" w:color="auto"/>
              <w:left w:val="nil"/>
              <w:right w:val="nil"/>
            </w:tcBorders>
            <w:shd w:val="clear" w:color="auto" w:fill="auto"/>
            <w:noWrap/>
            <w:vAlign w:val="center"/>
            <w:hideMark/>
          </w:tcPr>
          <w:p w14:paraId="547DD777" w14:textId="77777777" w:rsidR="00CA0EF0" w:rsidRPr="00361E30" w:rsidRDefault="00CA0EF0" w:rsidP="003C13F4">
            <w:pPr>
              <w:spacing w:after="0" w:line="240" w:lineRule="auto"/>
              <w:jc w:val="center"/>
              <w:rPr>
                <w:rFonts w:ascii="Calibri" w:eastAsia="Times New Roman" w:hAnsi="Calibri" w:cs="Calibri"/>
                <w:color w:val="000000"/>
              </w:rPr>
            </w:pPr>
          </w:p>
        </w:tc>
        <w:tc>
          <w:tcPr>
            <w:tcW w:w="1350" w:type="dxa"/>
            <w:tcBorders>
              <w:top w:val="single" w:sz="4" w:space="0" w:color="auto"/>
              <w:left w:val="nil"/>
              <w:right w:val="nil"/>
            </w:tcBorders>
            <w:shd w:val="clear" w:color="auto" w:fill="auto"/>
            <w:noWrap/>
            <w:vAlign w:val="center"/>
            <w:hideMark/>
          </w:tcPr>
          <w:p w14:paraId="7ABFD8FA" w14:textId="77777777" w:rsidR="00CA0EF0" w:rsidRPr="00361E30" w:rsidRDefault="00CA0EF0" w:rsidP="003C13F4">
            <w:pPr>
              <w:spacing w:after="0" w:line="240" w:lineRule="auto"/>
              <w:jc w:val="center"/>
              <w:rPr>
                <w:rFonts w:ascii="Calibri" w:eastAsia="Times New Roman" w:hAnsi="Calibri" w:cs="Calibri"/>
                <w:color w:val="000000"/>
              </w:rPr>
            </w:pPr>
          </w:p>
        </w:tc>
        <w:tc>
          <w:tcPr>
            <w:tcW w:w="1260" w:type="dxa"/>
            <w:tcBorders>
              <w:top w:val="single" w:sz="4" w:space="0" w:color="auto"/>
              <w:left w:val="nil"/>
              <w:right w:val="nil"/>
            </w:tcBorders>
            <w:shd w:val="clear" w:color="auto" w:fill="auto"/>
            <w:noWrap/>
            <w:vAlign w:val="center"/>
            <w:hideMark/>
          </w:tcPr>
          <w:p w14:paraId="2CF3EC7A" w14:textId="77777777" w:rsidR="00CA0EF0" w:rsidRPr="00361E30" w:rsidRDefault="00CA0EF0" w:rsidP="003C13F4">
            <w:pPr>
              <w:spacing w:after="0" w:line="240" w:lineRule="auto"/>
              <w:jc w:val="center"/>
              <w:rPr>
                <w:rFonts w:ascii="Calibri" w:eastAsia="Times New Roman" w:hAnsi="Calibri" w:cs="Calibri"/>
                <w:color w:val="000000"/>
              </w:rPr>
            </w:pPr>
          </w:p>
        </w:tc>
      </w:tr>
      <w:tr w:rsidR="00CA0EF0" w:rsidRPr="00361E30" w14:paraId="66F04EFE" w14:textId="77777777" w:rsidTr="003C13F4">
        <w:trPr>
          <w:trHeight w:val="300"/>
        </w:trPr>
        <w:tc>
          <w:tcPr>
            <w:tcW w:w="2265" w:type="dxa"/>
            <w:vMerge/>
            <w:tcBorders>
              <w:left w:val="nil"/>
              <w:bottom w:val="single" w:sz="4" w:space="0" w:color="auto"/>
              <w:right w:val="nil"/>
            </w:tcBorders>
            <w:shd w:val="clear" w:color="auto" w:fill="auto"/>
            <w:noWrap/>
            <w:hideMark/>
          </w:tcPr>
          <w:p w14:paraId="06F5762D"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530" w:type="dxa"/>
            <w:tcBorders>
              <w:top w:val="nil"/>
              <w:left w:val="nil"/>
              <w:bottom w:val="single" w:sz="4" w:space="0" w:color="auto"/>
              <w:right w:val="nil"/>
            </w:tcBorders>
            <w:shd w:val="clear" w:color="auto" w:fill="auto"/>
            <w:noWrap/>
            <w:vAlign w:val="center"/>
            <w:hideMark/>
          </w:tcPr>
          <w:p w14:paraId="11C359B8"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Female</w:t>
            </w:r>
          </w:p>
        </w:tc>
        <w:tc>
          <w:tcPr>
            <w:tcW w:w="1350" w:type="dxa"/>
            <w:tcBorders>
              <w:top w:val="nil"/>
              <w:left w:val="nil"/>
              <w:bottom w:val="single" w:sz="4" w:space="0" w:color="auto"/>
              <w:right w:val="nil"/>
            </w:tcBorders>
            <w:shd w:val="clear" w:color="auto" w:fill="auto"/>
            <w:noWrap/>
            <w:vAlign w:val="center"/>
            <w:hideMark/>
          </w:tcPr>
          <w:p w14:paraId="0E559242"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0.253</w:t>
            </w:r>
          </w:p>
        </w:tc>
        <w:tc>
          <w:tcPr>
            <w:tcW w:w="1170" w:type="dxa"/>
            <w:tcBorders>
              <w:top w:val="nil"/>
              <w:left w:val="nil"/>
              <w:bottom w:val="single" w:sz="4" w:space="0" w:color="auto"/>
              <w:right w:val="nil"/>
            </w:tcBorders>
            <w:shd w:val="clear" w:color="auto" w:fill="auto"/>
            <w:noWrap/>
            <w:vAlign w:val="center"/>
            <w:hideMark/>
          </w:tcPr>
          <w:p w14:paraId="03D89A1D"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0.116</w:t>
            </w:r>
          </w:p>
        </w:tc>
        <w:tc>
          <w:tcPr>
            <w:tcW w:w="1350" w:type="dxa"/>
            <w:tcBorders>
              <w:top w:val="nil"/>
              <w:left w:val="nil"/>
              <w:bottom w:val="single" w:sz="4" w:space="0" w:color="auto"/>
              <w:right w:val="nil"/>
            </w:tcBorders>
            <w:shd w:val="clear" w:color="auto" w:fill="auto"/>
            <w:noWrap/>
            <w:vAlign w:val="center"/>
            <w:hideMark/>
          </w:tcPr>
          <w:p w14:paraId="279CFD7D"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0.552</w:t>
            </w:r>
          </w:p>
        </w:tc>
        <w:tc>
          <w:tcPr>
            <w:tcW w:w="1260" w:type="dxa"/>
            <w:tcBorders>
              <w:top w:val="nil"/>
              <w:left w:val="nil"/>
              <w:bottom w:val="single" w:sz="4" w:space="0" w:color="auto"/>
              <w:right w:val="nil"/>
            </w:tcBorders>
            <w:shd w:val="clear" w:color="auto" w:fill="auto"/>
            <w:noWrap/>
            <w:vAlign w:val="center"/>
            <w:hideMark/>
          </w:tcPr>
          <w:p w14:paraId="4CB56BAB"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0.001</w:t>
            </w:r>
          </w:p>
        </w:tc>
      </w:tr>
      <w:tr w:rsidR="00CA0EF0" w:rsidRPr="00361E30" w14:paraId="0C289B44" w14:textId="77777777" w:rsidTr="003C13F4">
        <w:trPr>
          <w:trHeight w:val="300"/>
        </w:trPr>
        <w:tc>
          <w:tcPr>
            <w:tcW w:w="2265" w:type="dxa"/>
            <w:vMerge w:val="restart"/>
            <w:tcBorders>
              <w:top w:val="single" w:sz="4" w:space="0" w:color="auto"/>
              <w:left w:val="nil"/>
              <w:right w:val="nil"/>
            </w:tcBorders>
            <w:shd w:val="clear" w:color="auto" w:fill="auto"/>
            <w:noWrap/>
            <w:hideMark/>
          </w:tcPr>
          <w:p w14:paraId="2C13583E"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Age/Gender Interaction</w:t>
            </w:r>
          </w:p>
          <w:p w14:paraId="7D2D0090"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color w:val="000000"/>
              </w:rPr>
              <w:t> </w:t>
            </w:r>
          </w:p>
        </w:tc>
        <w:tc>
          <w:tcPr>
            <w:tcW w:w="1530" w:type="dxa"/>
            <w:tcBorders>
              <w:top w:val="single" w:sz="4" w:space="0" w:color="auto"/>
              <w:left w:val="nil"/>
              <w:bottom w:val="nil"/>
              <w:right w:val="nil"/>
            </w:tcBorders>
            <w:shd w:val="clear" w:color="auto" w:fill="auto"/>
            <w:noWrap/>
            <w:vAlign w:val="bottom"/>
            <w:hideMark/>
          </w:tcPr>
          <w:p w14:paraId="427B7D70"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Male</w:t>
            </w:r>
          </w:p>
        </w:tc>
        <w:tc>
          <w:tcPr>
            <w:tcW w:w="1350" w:type="dxa"/>
            <w:tcBorders>
              <w:top w:val="single" w:sz="4" w:space="0" w:color="auto"/>
              <w:left w:val="nil"/>
              <w:bottom w:val="nil"/>
              <w:right w:val="nil"/>
            </w:tcBorders>
            <w:shd w:val="clear" w:color="auto" w:fill="auto"/>
            <w:noWrap/>
            <w:vAlign w:val="center"/>
            <w:hideMark/>
          </w:tcPr>
          <w:p w14:paraId="16880589"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Reference</w:t>
            </w:r>
          </w:p>
        </w:tc>
        <w:tc>
          <w:tcPr>
            <w:tcW w:w="1170" w:type="dxa"/>
            <w:tcBorders>
              <w:top w:val="single" w:sz="4" w:space="0" w:color="auto"/>
              <w:left w:val="nil"/>
              <w:bottom w:val="nil"/>
              <w:right w:val="nil"/>
            </w:tcBorders>
            <w:shd w:val="clear" w:color="auto" w:fill="auto"/>
            <w:noWrap/>
            <w:vAlign w:val="center"/>
            <w:hideMark/>
          </w:tcPr>
          <w:p w14:paraId="7B49160F" w14:textId="77777777" w:rsidR="00CA0EF0" w:rsidRPr="00361E30" w:rsidRDefault="00CA0EF0" w:rsidP="003C13F4">
            <w:pPr>
              <w:spacing w:after="0" w:line="240" w:lineRule="auto"/>
              <w:jc w:val="center"/>
              <w:rPr>
                <w:rFonts w:ascii="Calibri" w:eastAsia="Times New Roman" w:hAnsi="Calibri" w:cs="Calibri"/>
                <w:color w:val="000000"/>
              </w:rPr>
            </w:pPr>
          </w:p>
        </w:tc>
        <w:tc>
          <w:tcPr>
            <w:tcW w:w="1350" w:type="dxa"/>
            <w:tcBorders>
              <w:top w:val="single" w:sz="4" w:space="0" w:color="auto"/>
              <w:left w:val="nil"/>
              <w:bottom w:val="nil"/>
              <w:right w:val="nil"/>
            </w:tcBorders>
            <w:shd w:val="clear" w:color="auto" w:fill="auto"/>
            <w:noWrap/>
            <w:vAlign w:val="center"/>
            <w:hideMark/>
          </w:tcPr>
          <w:p w14:paraId="3DE02D9E" w14:textId="77777777" w:rsidR="00CA0EF0" w:rsidRPr="00361E30" w:rsidRDefault="00CA0EF0" w:rsidP="003C13F4">
            <w:pPr>
              <w:spacing w:after="0" w:line="240" w:lineRule="auto"/>
              <w:jc w:val="center"/>
              <w:rPr>
                <w:rFonts w:ascii="Calibri" w:eastAsia="Times New Roman" w:hAnsi="Calibri" w:cs="Calibri"/>
                <w:color w:val="000000"/>
              </w:rPr>
            </w:pPr>
          </w:p>
        </w:tc>
        <w:tc>
          <w:tcPr>
            <w:tcW w:w="1260" w:type="dxa"/>
            <w:tcBorders>
              <w:top w:val="single" w:sz="4" w:space="0" w:color="auto"/>
              <w:left w:val="nil"/>
              <w:bottom w:val="nil"/>
              <w:right w:val="nil"/>
            </w:tcBorders>
            <w:shd w:val="clear" w:color="auto" w:fill="auto"/>
            <w:noWrap/>
            <w:vAlign w:val="center"/>
            <w:hideMark/>
          </w:tcPr>
          <w:p w14:paraId="5C42DD17" w14:textId="77777777" w:rsidR="00CA0EF0" w:rsidRPr="00361E30" w:rsidRDefault="00CA0EF0" w:rsidP="003C13F4">
            <w:pPr>
              <w:spacing w:after="0" w:line="240" w:lineRule="auto"/>
              <w:jc w:val="center"/>
              <w:rPr>
                <w:rFonts w:ascii="Calibri" w:eastAsia="Times New Roman" w:hAnsi="Calibri" w:cs="Calibri"/>
                <w:color w:val="000000"/>
              </w:rPr>
            </w:pPr>
          </w:p>
        </w:tc>
      </w:tr>
      <w:tr w:rsidR="00CA0EF0" w:rsidRPr="00361E30" w14:paraId="3A448F6E" w14:textId="77777777" w:rsidTr="003C13F4">
        <w:trPr>
          <w:trHeight w:val="300"/>
        </w:trPr>
        <w:tc>
          <w:tcPr>
            <w:tcW w:w="2265" w:type="dxa"/>
            <w:vMerge/>
            <w:tcBorders>
              <w:left w:val="nil"/>
              <w:bottom w:val="single" w:sz="4" w:space="0" w:color="auto"/>
              <w:right w:val="nil"/>
            </w:tcBorders>
            <w:shd w:val="clear" w:color="auto" w:fill="auto"/>
            <w:noWrap/>
            <w:hideMark/>
          </w:tcPr>
          <w:p w14:paraId="0CD9465D" w14:textId="77777777" w:rsidR="00CA0EF0" w:rsidRPr="00361E30" w:rsidRDefault="00CA0EF0" w:rsidP="003C13F4">
            <w:pPr>
              <w:spacing w:after="0" w:line="240" w:lineRule="auto"/>
              <w:jc w:val="left"/>
              <w:rPr>
                <w:rFonts w:ascii="Calibri" w:eastAsia="Times New Roman" w:hAnsi="Calibri" w:cs="Calibri"/>
                <w:color w:val="000000"/>
              </w:rPr>
            </w:pPr>
          </w:p>
        </w:tc>
        <w:tc>
          <w:tcPr>
            <w:tcW w:w="1530" w:type="dxa"/>
            <w:tcBorders>
              <w:top w:val="nil"/>
              <w:left w:val="nil"/>
              <w:bottom w:val="single" w:sz="4" w:space="0" w:color="auto"/>
              <w:right w:val="nil"/>
            </w:tcBorders>
            <w:shd w:val="clear" w:color="auto" w:fill="auto"/>
            <w:noWrap/>
            <w:vAlign w:val="bottom"/>
            <w:hideMark/>
          </w:tcPr>
          <w:p w14:paraId="066D1C47"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Female</w:t>
            </w:r>
          </w:p>
        </w:tc>
        <w:tc>
          <w:tcPr>
            <w:tcW w:w="1350" w:type="dxa"/>
            <w:tcBorders>
              <w:top w:val="nil"/>
              <w:left w:val="nil"/>
              <w:bottom w:val="single" w:sz="4" w:space="0" w:color="auto"/>
              <w:right w:val="nil"/>
            </w:tcBorders>
            <w:shd w:val="clear" w:color="auto" w:fill="auto"/>
            <w:noWrap/>
            <w:vAlign w:val="center"/>
            <w:hideMark/>
          </w:tcPr>
          <w:p w14:paraId="22E29601"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1.020</w:t>
            </w:r>
          </w:p>
        </w:tc>
        <w:tc>
          <w:tcPr>
            <w:tcW w:w="1170" w:type="dxa"/>
            <w:tcBorders>
              <w:top w:val="nil"/>
              <w:left w:val="nil"/>
              <w:bottom w:val="single" w:sz="4" w:space="0" w:color="auto"/>
              <w:right w:val="nil"/>
            </w:tcBorders>
            <w:shd w:val="clear" w:color="auto" w:fill="auto"/>
            <w:noWrap/>
            <w:vAlign w:val="center"/>
            <w:hideMark/>
          </w:tcPr>
          <w:p w14:paraId="69A15F68"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1.011</w:t>
            </w:r>
          </w:p>
        </w:tc>
        <w:tc>
          <w:tcPr>
            <w:tcW w:w="1350" w:type="dxa"/>
            <w:tcBorders>
              <w:top w:val="nil"/>
              <w:left w:val="nil"/>
              <w:bottom w:val="single" w:sz="4" w:space="0" w:color="auto"/>
              <w:right w:val="nil"/>
            </w:tcBorders>
            <w:shd w:val="clear" w:color="auto" w:fill="auto"/>
            <w:noWrap/>
            <w:vAlign w:val="center"/>
            <w:hideMark/>
          </w:tcPr>
          <w:p w14:paraId="6ED5F7B6"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1.030</w:t>
            </w:r>
          </w:p>
        </w:tc>
        <w:tc>
          <w:tcPr>
            <w:tcW w:w="1260" w:type="dxa"/>
            <w:tcBorders>
              <w:top w:val="nil"/>
              <w:left w:val="nil"/>
              <w:bottom w:val="single" w:sz="4" w:space="0" w:color="auto"/>
              <w:right w:val="nil"/>
            </w:tcBorders>
            <w:shd w:val="clear" w:color="auto" w:fill="auto"/>
            <w:noWrap/>
            <w:vAlign w:val="center"/>
            <w:hideMark/>
          </w:tcPr>
          <w:p w14:paraId="218D06A4"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01DC6DFA" w14:textId="77777777" w:rsidTr="003C13F4">
        <w:trPr>
          <w:trHeight w:val="300"/>
        </w:trPr>
        <w:tc>
          <w:tcPr>
            <w:tcW w:w="2265" w:type="dxa"/>
            <w:vMerge w:val="restart"/>
            <w:tcBorders>
              <w:top w:val="nil"/>
              <w:left w:val="nil"/>
              <w:right w:val="nil"/>
            </w:tcBorders>
            <w:shd w:val="clear" w:color="auto" w:fill="auto"/>
            <w:noWrap/>
            <w:hideMark/>
          </w:tcPr>
          <w:p w14:paraId="733F3E3B"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Charlson Comorbidity Index</w:t>
            </w:r>
          </w:p>
          <w:p w14:paraId="5C436461"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color w:val="000000"/>
              </w:rPr>
              <w:t> </w:t>
            </w:r>
          </w:p>
        </w:tc>
        <w:tc>
          <w:tcPr>
            <w:tcW w:w="1530" w:type="dxa"/>
            <w:tcBorders>
              <w:top w:val="nil"/>
              <w:left w:val="nil"/>
              <w:bottom w:val="nil"/>
              <w:right w:val="nil"/>
            </w:tcBorders>
            <w:shd w:val="clear" w:color="auto" w:fill="auto"/>
            <w:noWrap/>
            <w:vAlign w:val="center"/>
            <w:hideMark/>
          </w:tcPr>
          <w:p w14:paraId="206EBC53"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0</w:t>
            </w:r>
          </w:p>
        </w:tc>
        <w:tc>
          <w:tcPr>
            <w:tcW w:w="1350" w:type="dxa"/>
            <w:tcBorders>
              <w:top w:val="nil"/>
              <w:left w:val="nil"/>
              <w:bottom w:val="nil"/>
              <w:right w:val="nil"/>
            </w:tcBorders>
            <w:shd w:val="clear" w:color="auto" w:fill="auto"/>
            <w:noWrap/>
            <w:vAlign w:val="center"/>
            <w:hideMark/>
          </w:tcPr>
          <w:p w14:paraId="533B82E2"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Reference</w:t>
            </w:r>
          </w:p>
        </w:tc>
        <w:tc>
          <w:tcPr>
            <w:tcW w:w="1170" w:type="dxa"/>
            <w:tcBorders>
              <w:top w:val="nil"/>
              <w:left w:val="nil"/>
              <w:bottom w:val="nil"/>
              <w:right w:val="nil"/>
            </w:tcBorders>
            <w:shd w:val="clear" w:color="auto" w:fill="auto"/>
            <w:noWrap/>
            <w:vAlign w:val="center"/>
            <w:hideMark/>
          </w:tcPr>
          <w:p w14:paraId="2D1903ED" w14:textId="77777777" w:rsidR="00CA0EF0" w:rsidRPr="00361E30" w:rsidRDefault="00CA0EF0" w:rsidP="003C13F4">
            <w:pPr>
              <w:spacing w:after="0" w:line="240" w:lineRule="auto"/>
              <w:jc w:val="center"/>
              <w:rPr>
                <w:rFonts w:ascii="Calibri" w:eastAsia="Times New Roman" w:hAnsi="Calibri" w:cs="Calibri"/>
                <w:color w:val="000000"/>
              </w:rPr>
            </w:pPr>
          </w:p>
        </w:tc>
        <w:tc>
          <w:tcPr>
            <w:tcW w:w="1350" w:type="dxa"/>
            <w:tcBorders>
              <w:top w:val="nil"/>
              <w:left w:val="nil"/>
              <w:bottom w:val="nil"/>
              <w:right w:val="nil"/>
            </w:tcBorders>
            <w:shd w:val="clear" w:color="auto" w:fill="auto"/>
            <w:noWrap/>
            <w:vAlign w:val="center"/>
            <w:hideMark/>
          </w:tcPr>
          <w:p w14:paraId="33B85D2F" w14:textId="77777777" w:rsidR="00CA0EF0" w:rsidRPr="00361E30" w:rsidRDefault="00CA0EF0" w:rsidP="003C13F4">
            <w:pPr>
              <w:spacing w:after="0" w:line="240" w:lineRule="auto"/>
              <w:jc w:val="center"/>
              <w:rPr>
                <w:rFonts w:ascii="Calibri" w:eastAsia="Times New Roman" w:hAnsi="Calibri" w:cs="Calibri"/>
                <w:color w:val="000000"/>
              </w:rPr>
            </w:pPr>
          </w:p>
        </w:tc>
        <w:tc>
          <w:tcPr>
            <w:tcW w:w="1260" w:type="dxa"/>
            <w:tcBorders>
              <w:top w:val="nil"/>
              <w:left w:val="nil"/>
              <w:bottom w:val="nil"/>
              <w:right w:val="nil"/>
            </w:tcBorders>
            <w:shd w:val="clear" w:color="auto" w:fill="auto"/>
            <w:noWrap/>
            <w:vAlign w:val="center"/>
            <w:hideMark/>
          </w:tcPr>
          <w:p w14:paraId="42DBB5DB" w14:textId="77777777" w:rsidR="00CA0EF0" w:rsidRPr="00361E30" w:rsidRDefault="00CA0EF0" w:rsidP="003C13F4">
            <w:pPr>
              <w:spacing w:after="0" w:line="240" w:lineRule="auto"/>
              <w:jc w:val="center"/>
              <w:rPr>
                <w:rFonts w:ascii="Calibri" w:eastAsia="Times New Roman" w:hAnsi="Calibri" w:cs="Calibri"/>
                <w:color w:val="000000"/>
              </w:rPr>
            </w:pPr>
          </w:p>
        </w:tc>
      </w:tr>
      <w:tr w:rsidR="00CA0EF0" w:rsidRPr="00361E30" w14:paraId="3A927003" w14:textId="77777777" w:rsidTr="003C13F4">
        <w:trPr>
          <w:trHeight w:val="300"/>
        </w:trPr>
        <w:tc>
          <w:tcPr>
            <w:tcW w:w="2265" w:type="dxa"/>
            <w:vMerge/>
            <w:tcBorders>
              <w:left w:val="nil"/>
              <w:right w:val="nil"/>
            </w:tcBorders>
            <w:shd w:val="clear" w:color="auto" w:fill="auto"/>
            <w:noWrap/>
            <w:hideMark/>
          </w:tcPr>
          <w:p w14:paraId="0073B404"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530" w:type="dxa"/>
            <w:tcBorders>
              <w:top w:val="nil"/>
              <w:left w:val="nil"/>
              <w:bottom w:val="nil"/>
              <w:right w:val="nil"/>
            </w:tcBorders>
            <w:shd w:val="clear" w:color="auto" w:fill="auto"/>
            <w:noWrap/>
            <w:vAlign w:val="center"/>
            <w:hideMark/>
          </w:tcPr>
          <w:p w14:paraId="71CDA6AA"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1 to 5</w:t>
            </w:r>
          </w:p>
        </w:tc>
        <w:tc>
          <w:tcPr>
            <w:tcW w:w="1350" w:type="dxa"/>
            <w:tcBorders>
              <w:top w:val="nil"/>
              <w:left w:val="nil"/>
              <w:bottom w:val="nil"/>
              <w:right w:val="nil"/>
            </w:tcBorders>
            <w:shd w:val="clear" w:color="auto" w:fill="auto"/>
            <w:noWrap/>
            <w:vAlign w:val="center"/>
            <w:hideMark/>
          </w:tcPr>
          <w:p w14:paraId="797FB4D8"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0.626</w:t>
            </w:r>
          </w:p>
        </w:tc>
        <w:tc>
          <w:tcPr>
            <w:tcW w:w="1170" w:type="dxa"/>
            <w:tcBorders>
              <w:top w:val="nil"/>
              <w:left w:val="nil"/>
              <w:bottom w:val="nil"/>
              <w:right w:val="nil"/>
            </w:tcBorders>
            <w:shd w:val="clear" w:color="auto" w:fill="auto"/>
            <w:noWrap/>
            <w:vAlign w:val="center"/>
            <w:hideMark/>
          </w:tcPr>
          <w:p w14:paraId="3349C1A0"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0.570</w:t>
            </w:r>
          </w:p>
        </w:tc>
        <w:tc>
          <w:tcPr>
            <w:tcW w:w="1350" w:type="dxa"/>
            <w:tcBorders>
              <w:top w:val="nil"/>
              <w:left w:val="nil"/>
              <w:bottom w:val="nil"/>
              <w:right w:val="nil"/>
            </w:tcBorders>
            <w:shd w:val="clear" w:color="auto" w:fill="auto"/>
            <w:noWrap/>
            <w:vAlign w:val="center"/>
            <w:hideMark/>
          </w:tcPr>
          <w:p w14:paraId="2F95D40B"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0.689</w:t>
            </w:r>
          </w:p>
        </w:tc>
        <w:tc>
          <w:tcPr>
            <w:tcW w:w="1260" w:type="dxa"/>
            <w:tcBorders>
              <w:top w:val="nil"/>
              <w:left w:val="nil"/>
              <w:bottom w:val="nil"/>
              <w:right w:val="nil"/>
            </w:tcBorders>
            <w:shd w:val="clear" w:color="auto" w:fill="auto"/>
            <w:noWrap/>
            <w:vAlign w:val="center"/>
            <w:hideMark/>
          </w:tcPr>
          <w:p w14:paraId="21F47753"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72DA55C5" w14:textId="77777777" w:rsidTr="003C13F4">
        <w:trPr>
          <w:trHeight w:val="300"/>
        </w:trPr>
        <w:tc>
          <w:tcPr>
            <w:tcW w:w="2265" w:type="dxa"/>
            <w:vMerge/>
            <w:tcBorders>
              <w:left w:val="nil"/>
              <w:right w:val="nil"/>
            </w:tcBorders>
            <w:shd w:val="clear" w:color="auto" w:fill="auto"/>
            <w:noWrap/>
            <w:hideMark/>
          </w:tcPr>
          <w:p w14:paraId="1EDFFA29"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530" w:type="dxa"/>
            <w:tcBorders>
              <w:top w:val="nil"/>
              <w:left w:val="nil"/>
              <w:bottom w:val="nil"/>
              <w:right w:val="nil"/>
            </w:tcBorders>
            <w:shd w:val="clear" w:color="auto" w:fill="auto"/>
            <w:noWrap/>
            <w:vAlign w:val="center"/>
            <w:hideMark/>
          </w:tcPr>
          <w:p w14:paraId="118CACEC"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6 to 10</w:t>
            </w:r>
          </w:p>
        </w:tc>
        <w:tc>
          <w:tcPr>
            <w:tcW w:w="1350" w:type="dxa"/>
            <w:tcBorders>
              <w:top w:val="nil"/>
              <w:left w:val="nil"/>
              <w:bottom w:val="nil"/>
              <w:right w:val="nil"/>
            </w:tcBorders>
            <w:shd w:val="clear" w:color="auto" w:fill="auto"/>
            <w:noWrap/>
            <w:vAlign w:val="center"/>
            <w:hideMark/>
          </w:tcPr>
          <w:p w14:paraId="5CD28BC9"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0.465</w:t>
            </w:r>
          </w:p>
        </w:tc>
        <w:tc>
          <w:tcPr>
            <w:tcW w:w="1170" w:type="dxa"/>
            <w:tcBorders>
              <w:top w:val="nil"/>
              <w:left w:val="nil"/>
              <w:bottom w:val="nil"/>
              <w:right w:val="nil"/>
            </w:tcBorders>
            <w:shd w:val="clear" w:color="auto" w:fill="auto"/>
            <w:noWrap/>
            <w:vAlign w:val="center"/>
            <w:hideMark/>
          </w:tcPr>
          <w:p w14:paraId="144984C0"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0.416</w:t>
            </w:r>
          </w:p>
        </w:tc>
        <w:tc>
          <w:tcPr>
            <w:tcW w:w="1350" w:type="dxa"/>
            <w:tcBorders>
              <w:top w:val="nil"/>
              <w:left w:val="nil"/>
              <w:bottom w:val="nil"/>
              <w:right w:val="nil"/>
            </w:tcBorders>
            <w:shd w:val="clear" w:color="auto" w:fill="auto"/>
            <w:noWrap/>
            <w:vAlign w:val="center"/>
            <w:hideMark/>
          </w:tcPr>
          <w:p w14:paraId="63766E59"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0.519</w:t>
            </w:r>
          </w:p>
        </w:tc>
        <w:tc>
          <w:tcPr>
            <w:tcW w:w="1260" w:type="dxa"/>
            <w:tcBorders>
              <w:top w:val="nil"/>
              <w:left w:val="nil"/>
              <w:bottom w:val="nil"/>
              <w:right w:val="nil"/>
            </w:tcBorders>
            <w:shd w:val="clear" w:color="auto" w:fill="auto"/>
            <w:noWrap/>
            <w:vAlign w:val="center"/>
            <w:hideMark/>
          </w:tcPr>
          <w:p w14:paraId="517439CD"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79115808" w14:textId="77777777" w:rsidTr="003C13F4">
        <w:trPr>
          <w:trHeight w:val="300"/>
        </w:trPr>
        <w:tc>
          <w:tcPr>
            <w:tcW w:w="2265" w:type="dxa"/>
            <w:vMerge/>
            <w:tcBorders>
              <w:left w:val="nil"/>
              <w:right w:val="nil"/>
            </w:tcBorders>
            <w:shd w:val="clear" w:color="auto" w:fill="auto"/>
            <w:noWrap/>
            <w:hideMark/>
          </w:tcPr>
          <w:p w14:paraId="3D1960C6"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530" w:type="dxa"/>
            <w:tcBorders>
              <w:top w:val="nil"/>
              <w:left w:val="nil"/>
              <w:bottom w:val="nil"/>
              <w:right w:val="nil"/>
            </w:tcBorders>
            <w:shd w:val="clear" w:color="auto" w:fill="auto"/>
            <w:noWrap/>
            <w:vAlign w:val="center"/>
            <w:hideMark/>
          </w:tcPr>
          <w:p w14:paraId="11A26FAA"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&gt;10</w:t>
            </w:r>
          </w:p>
        </w:tc>
        <w:tc>
          <w:tcPr>
            <w:tcW w:w="1350" w:type="dxa"/>
            <w:tcBorders>
              <w:top w:val="nil"/>
              <w:left w:val="nil"/>
              <w:bottom w:val="nil"/>
              <w:right w:val="nil"/>
            </w:tcBorders>
            <w:shd w:val="clear" w:color="auto" w:fill="auto"/>
            <w:noWrap/>
            <w:vAlign w:val="center"/>
            <w:hideMark/>
          </w:tcPr>
          <w:p w14:paraId="1FA2772B"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0.322</w:t>
            </w:r>
          </w:p>
        </w:tc>
        <w:tc>
          <w:tcPr>
            <w:tcW w:w="1170" w:type="dxa"/>
            <w:tcBorders>
              <w:top w:val="nil"/>
              <w:left w:val="nil"/>
              <w:bottom w:val="nil"/>
              <w:right w:val="nil"/>
            </w:tcBorders>
            <w:shd w:val="clear" w:color="auto" w:fill="auto"/>
            <w:noWrap/>
            <w:vAlign w:val="center"/>
            <w:hideMark/>
          </w:tcPr>
          <w:p w14:paraId="36C27F1E"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0.279</w:t>
            </w:r>
          </w:p>
        </w:tc>
        <w:tc>
          <w:tcPr>
            <w:tcW w:w="1350" w:type="dxa"/>
            <w:tcBorders>
              <w:top w:val="nil"/>
              <w:left w:val="nil"/>
              <w:bottom w:val="nil"/>
              <w:right w:val="nil"/>
            </w:tcBorders>
            <w:shd w:val="clear" w:color="auto" w:fill="auto"/>
            <w:noWrap/>
            <w:vAlign w:val="center"/>
            <w:hideMark/>
          </w:tcPr>
          <w:p w14:paraId="5E937B36"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0.372</w:t>
            </w:r>
          </w:p>
        </w:tc>
        <w:tc>
          <w:tcPr>
            <w:tcW w:w="1260" w:type="dxa"/>
            <w:tcBorders>
              <w:top w:val="nil"/>
              <w:left w:val="nil"/>
              <w:bottom w:val="nil"/>
              <w:right w:val="nil"/>
            </w:tcBorders>
            <w:shd w:val="clear" w:color="auto" w:fill="auto"/>
            <w:noWrap/>
            <w:vAlign w:val="center"/>
            <w:hideMark/>
          </w:tcPr>
          <w:p w14:paraId="5AEAB43C"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6EDCA389" w14:textId="77777777" w:rsidTr="003C13F4">
        <w:trPr>
          <w:trHeight w:val="300"/>
        </w:trPr>
        <w:tc>
          <w:tcPr>
            <w:tcW w:w="2265" w:type="dxa"/>
            <w:vMerge/>
            <w:tcBorders>
              <w:left w:val="nil"/>
              <w:bottom w:val="single" w:sz="4" w:space="0" w:color="auto"/>
              <w:right w:val="nil"/>
            </w:tcBorders>
            <w:shd w:val="clear" w:color="auto" w:fill="auto"/>
            <w:noWrap/>
            <w:hideMark/>
          </w:tcPr>
          <w:p w14:paraId="296B1CE0" w14:textId="77777777" w:rsidR="00CA0EF0" w:rsidRPr="00361E30" w:rsidRDefault="00CA0EF0" w:rsidP="003C13F4">
            <w:pPr>
              <w:spacing w:after="0" w:line="240" w:lineRule="auto"/>
              <w:jc w:val="left"/>
              <w:rPr>
                <w:rFonts w:ascii="Calibri" w:eastAsia="Times New Roman" w:hAnsi="Calibri" w:cs="Calibri"/>
                <w:color w:val="000000"/>
              </w:rPr>
            </w:pPr>
          </w:p>
        </w:tc>
        <w:tc>
          <w:tcPr>
            <w:tcW w:w="1530" w:type="dxa"/>
            <w:tcBorders>
              <w:top w:val="nil"/>
              <w:left w:val="nil"/>
              <w:bottom w:val="single" w:sz="4" w:space="0" w:color="auto"/>
              <w:right w:val="nil"/>
            </w:tcBorders>
            <w:shd w:val="clear" w:color="auto" w:fill="auto"/>
            <w:noWrap/>
            <w:vAlign w:val="center"/>
            <w:hideMark/>
          </w:tcPr>
          <w:p w14:paraId="0D3F7B7E"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Not recorded</w:t>
            </w:r>
          </w:p>
        </w:tc>
        <w:tc>
          <w:tcPr>
            <w:tcW w:w="1350" w:type="dxa"/>
            <w:tcBorders>
              <w:top w:val="nil"/>
              <w:left w:val="nil"/>
              <w:bottom w:val="single" w:sz="4" w:space="0" w:color="auto"/>
              <w:right w:val="nil"/>
            </w:tcBorders>
            <w:shd w:val="clear" w:color="auto" w:fill="auto"/>
            <w:noWrap/>
            <w:vAlign w:val="center"/>
            <w:hideMark/>
          </w:tcPr>
          <w:p w14:paraId="57715A80"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0.557</w:t>
            </w:r>
          </w:p>
        </w:tc>
        <w:tc>
          <w:tcPr>
            <w:tcW w:w="1170" w:type="dxa"/>
            <w:tcBorders>
              <w:top w:val="nil"/>
              <w:left w:val="nil"/>
              <w:bottom w:val="single" w:sz="4" w:space="0" w:color="auto"/>
              <w:right w:val="nil"/>
            </w:tcBorders>
            <w:shd w:val="clear" w:color="auto" w:fill="auto"/>
            <w:noWrap/>
            <w:vAlign w:val="center"/>
            <w:hideMark/>
          </w:tcPr>
          <w:p w14:paraId="32A9D683"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0.475</w:t>
            </w:r>
          </w:p>
        </w:tc>
        <w:tc>
          <w:tcPr>
            <w:tcW w:w="1350" w:type="dxa"/>
            <w:tcBorders>
              <w:top w:val="nil"/>
              <w:left w:val="nil"/>
              <w:bottom w:val="single" w:sz="4" w:space="0" w:color="auto"/>
              <w:right w:val="nil"/>
            </w:tcBorders>
            <w:shd w:val="clear" w:color="auto" w:fill="auto"/>
            <w:noWrap/>
            <w:vAlign w:val="center"/>
            <w:hideMark/>
          </w:tcPr>
          <w:p w14:paraId="38973CA7"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0.652</w:t>
            </w:r>
          </w:p>
        </w:tc>
        <w:tc>
          <w:tcPr>
            <w:tcW w:w="1260" w:type="dxa"/>
            <w:tcBorders>
              <w:top w:val="nil"/>
              <w:left w:val="nil"/>
              <w:bottom w:val="single" w:sz="4" w:space="0" w:color="auto"/>
              <w:right w:val="nil"/>
            </w:tcBorders>
            <w:shd w:val="clear" w:color="auto" w:fill="auto"/>
            <w:noWrap/>
            <w:vAlign w:val="center"/>
            <w:hideMark/>
          </w:tcPr>
          <w:p w14:paraId="1CFE9D13"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7ABFF54F" w14:textId="77777777" w:rsidTr="003C13F4">
        <w:trPr>
          <w:trHeight w:val="300"/>
        </w:trPr>
        <w:tc>
          <w:tcPr>
            <w:tcW w:w="2265" w:type="dxa"/>
            <w:vMerge w:val="restart"/>
            <w:tcBorders>
              <w:top w:val="nil"/>
              <w:left w:val="nil"/>
              <w:right w:val="nil"/>
            </w:tcBorders>
            <w:shd w:val="clear" w:color="auto" w:fill="auto"/>
            <w:noWrap/>
            <w:hideMark/>
          </w:tcPr>
          <w:p w14:paraId="217AC378"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Injury Severity Score</w:t>
            </w:r>
          </w:p>
          <w:p w14:paraId="7DA9A071"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color w:val="000000"/>
              </w:rPr>
              <w:t> </w:t>
            </w:r>
          </w:p>
        </w:tc>
        <w:tc>
          <w:tcPr>
            <w:tcW w:w="1530" w:type="dxa"/>
            <w:tcBorders>
              <w:top w:val="nil"/>
              <w:left w:val="nil"/>
              <w:bottom w:val="nil"/>
              <w:right w:val="nil"/>
            </w:tcBorders>
            <w:shd w:val="clear" w:color="auto" w:fill="auto"/>
            <w:noWrap/>
            <w:vAlign w:val="center"/>
            <w:hideMark/>
          </w:tcPr>
          <w:p w14:paraId="6F7D04B0"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9 to 15</w:t>
            </w:r>
          </w:p>
        </w:tc>
        <w:tc>
          <w:tcPr>
            <w:tcW w:w="1350" w:type="dxa"/>
            <w:tcBorders>
              <w:top w:val="nil"/>
              <w:left w:val="nil"/>
              <w:bottom w:val="nil"/>
              <w:right w:val="nil"/>
            </w:tcBorders>
            <w:shd w:val="clear" w:color="auto" w:fill="auto"/>
            <w:noWrap/>
            <w:vAlign w:val="center"/>
            <w:hideMark/>
          </w:tcPr>
          <w:p w14:paraId="2A29B4AC" w14:textId="77777777" w:rsidR="00CA0EF0" w:rsidRPr="00361E30" w:rsidRDefault="00CA0EF0" w:rsidP="003C13F4">
            <w:pPr>
              <w:spacing w:after="0" w:line="240" w:lineRule="auto"/>
              <w:jc w:val="center"/>
              <w:rPr>
                <w:rFonts w:ascii="Calibri" w:eastAsia="Times New Roman" w:hAnsi="Calibri" w:cs="Calibri"/>
                <w:color w:val="000000"/>
              </w:rPr>
            </w:pPr>
          </w:p>
        </w:tc>
        <w:tc>
          <w:tcPr>
            <w:tcW w:w="1170" w:type="dxa"/>
            <w:tcBorders>
              <w:top w:val="nil"/>
              <w:left w:val="nil"/>
              <w:bottom w:val="nil"/>
              <w:right w:val="nil"/>
            </w:tcBorders>
            <w:shd w:val="clear" w:color="auto" w:fill="auto"/>
            <w:noWrap/>
            <w:vAlign w:val="center"/>
            <w:hideMark/>
          </w:tcPr>
          <w:p w14:paraId="1D04F125" w14:textId="77777777" w:rsidR="00CA0EF0" w:rsidRPr="00361E30" w:rsidRDefault="00CA0EF0" w:rsidP="003C13F4">
            <w:pPr>
              <w:spacing w:after="0" w:line="240" w:lineRule="auto"/>
              <w:jc w:val="center"/>
              <w:rPr>
                <w:rFonts w:ascii="Calibri" w:eastAsia="Times New Roman" w:hAnsi="Calibri" w:cs="Calibri"/>
                <w:color w:val="000000"/>
              </w:rPr>
            </w:pPr>
          </w:p>
        </w:tc>
        <w:tc>
          <w:tcPr>
            <w:tcW w:w="1350" w:type="dxa"/>
            <w:tcBorders>
              <w:top w:val="nil"/>
              <w:left w:val="nil"/>
              <w:bottom w:val="nil"/>
              <w:right w:val="nil"/>
            </w:tcBorders>
            <w:shd w:val="clear" w:color="auto" w:fill="auto"/>
            <w:noWrap/>
            <w:vAlign w:val="center"/>
            <w:hideMark/>
          </w:tcPr>
          <w:p w14:paraId="61A3D6EE" w14:textId="77777777" w:rsidR="00CA0EF0" w:rsidRPr="00361E30" w:rsidRDefault="00CA0EF0" w:rsidP="003C13F4">
            <w:pPr>
              <w:spacing w:after="0" w:line="240" w:lineRule="auto"/>
              <w:jc w:val="center"/>
              <w:rPr>
                <w:rFonts w:ascii="Calibri" w:eastAsia="Times New Roman" w:hAnsi="Calibri" w:cs="Calibri"/>
                <w:color w:val="000000"/>
              </w:rPr>
            </w:pPr>
          </w:p>
        </w:tc>
        <w:tc>
          <w:tcPr>
            <w:tcW w:w="1260" w:type="dxa"/>
            <w:tcBorders>
              <w:top w:val="nil"/>
              <w:left w:val="nil"/>
              <w:bottom w:val="nil"/>
              <w:right w:val="nil"/>
            </w:tcBorders>
            <w:shd w:val="clear" w:color="auto" w:fill="auto"/>
            <w:noWrap/>
            <w:vAlign w:val="center"/>
            <w:hideMark/>
          </w:tcPr>
          <w:p w14:paraId="65795508" w14:textId="77777777" w:rsidR="00CA0EF0" w:rsidRPr="00361E30" w:rsidRDefault="00CA0EF0" w:rsidP="003C13F4">
            <w:pPr>
              <w:spacing w:after="0" w:line="240" w:lineRule="auto"/>
              <w:jc w:val="center"/>
              <w:rPr>
                <w:rFonts w:ascii="Calibri" w:eastAsia="Times New Roman" w:hAnsi="Calibri" w:cs="Calibri"/>
                <w:color w:val="000000"/>
              </w:rPr>
            </w:pPr>
          </w:p>
        </w:tc>
      </w:tr>
      <w:tr w:rsidR="00CA0EF0" w:rsidRPr="00361E30" w14:paraId="02221B38" w14:textId="77777777" w:rsidTr="003C13F4">
        <w:trPr>
          <w:trHeight w:val="300"/>
        </w:trPr>
        <w:tc>
          <w:tcPr>
            <w:tcW w:w="2265" w:type="dxa"/>
            <w:vMerge/>
            <w:tcBorders>
              <w:left w:val="nil"/>
              <w:right w:val="nil"/>
            </w:tcBorders>
            <w:shd w:val="clear" w:color="auto" w:fill="auto"/>
            <w:noWrap/>
            <w:hideMark/>
          </w:tcPr>
          <w:p w14:paraId="3132DCFF"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530" w:type="dxa"/>
            <w:tcBorders>
              <w:top w:val="nil"/>
              <w:left w:val="nil"/>
              <w:bottom w:val="nil"/>
              <w:right w:val="nil"/>
            </w:tcBorders>
            <w:shd w:val="clear" w:color="auto" w:fill="auto"/>
            <w:noWrap/>
            <w:vAlign w:val="center"/>
            <w:hideMark/>
          </w:tcPr>
          <w:p w14:paraId="075501E0"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&lt;9</w:t>
            </w:r>
          </w:p>
        </w:tc>
        <w:tc>
          <w:tcPr>
            <w:tcW w:w="1350" w:type="dxa"/>
            <w:tcBorders>
              <w:top w:val="nil"/>
              <w:left w:val="nil"/>
              <w:bottom w:val="nil"/>
              <w:right w:val="nil"/>
            </w:tcBorders>
            <w:shd w:val="clear" w:color="auto" w:fill="auto"/>
            <w:noWrap/>
            <w:vAlign w:val="center"/>
            <w:hideMark/>
          </w:tcPr>
          <w:p w14:paraId="63359CAE"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1.734</w:t>
            </w:r>
          </w:p>
        </w:tc>
        <w:tc>
          <w:tcPr>
            <w:tcW w:w="1170" w:type="dxa"/>
            <w:tcBorders>
              <w:top w:val="nil"/>
              <w:left w:val="nil"/>
              <w:bottom w:val="nil"/>
              <w:right w:val="nil"/>
            </w:tcBorders>
            <w:shd w:val="clear" w:color="auto" w:fill="auto"/>
            <w:noWrap/>
            <w:vAlign w:val="center"/>
            <w:hideMark/>
          </w:tcPr>
          <w:p w14:paraId="1AC8A2CB"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1.539</w:t>
            </w:r>
          </w:p>
        </w:tc>
        <w:tc>
          <w:tcPr>
            <w:tcW w:w="1350" w:type="dxa"/>
            <w:tcBorders>
              <w:top w:val="nil"/>
              <w:left w:val="nil"/>
              <w:bottom w:val="nil"/>
              <w:right w:val="nil"/>
            </w:tcBorders>
            <w:shd w:val="clear" w:color="auto" w:fill="auto"/>
            <w:noWrap/>
            <w:vAlign w:val="center"/>
            <w:hideMark/>
          </w:tcPr>
          <w:p w14:paraId="1E1A0896"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1.953</w:t>
            </w:r>
          </w:p>
        </w:tc>
        <w:tc>
          <w:tcPr>
            <w:tcW w:w="1260" w:type="dxa"/>
            <w:tcBorders>
              <w:top w:val="nil"/>
              <w:left w:val="nil"/>
              <w:bottom w:val="nil"/>
              <w:right w:val="nil"/>
            </w:tcBorders>
            <w:shd w:val="clear" w:color="auto" w:fill="auto"/>
            <w:noWrap/>
            <w:vAlign w:val="center"/>
            <w:hideMark/>
          </w:tcPr>
          <w:p w14:paraId="67C816DD"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4E7FB89E" w14:textId="77777777" w:rsidTr="003C13F4">
        <w:trPr>
          <w:trHeight w:val="300"/>
        </w:trPr>
        <w:tc>
          <w:tcPr>
            <w:tcW w:w="2265" w:type="dxa"/>
            <w:vMerge/>
            <w:tcBorders>
              <w:left w:val="nil"/>
              <w:right w:val="nil"/>
            </w:tcBorders>
            <w:shd w:val="clear" w:color="auto" w:fill="auto"/>
            <w:noWrap/>
            <w:hideMark/>
          </w:tcPr>
          <w:p w14:paraId="717ADB47"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530" w:type="dxa"/>
            <w:tcBorders>
              <w:top w:val="nil"/>
              <w:left w:val="nil"/>
              <w:bottom w:val="nil"/>
              <w:right w:val="nil"/>
            </w:tcBorders>
            <w:shd w:val="clear" w:color="auto" w:fill="auto"/>
            <w:noWrap/>
            <w:vAlign w:val="center"/>
            <w:hideMark/>
          </w:tcPr>
          <w:p w14:paraId="113B2BE2"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16 to 24</w:t>
            </w:r>
          </w:p>
        </w:tc>
        <w:tc>
          <w:tcPr>
            <w:tcW w:w="1350" w:type="dxa"/>
            <w:tcBorders>
              <w:top w:val="nil"/>
              <w:left w:val="nil"/>
              <w:bottom w:val="nil"/>
              <w:right w:val="nil"/>
            </w:tcBorders>
            <w:shd w:val="clear" w:color="auto" w:fill="auto"/>
            <w:noWrap/>
            <w:vAlign w:val="center"/>
            <w:hideMark/>
          </w:tcPr>
          <w:p w14:paraId="260F35AD"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0.794</w:t>
            </w:r>
          </w:p>
        </w:tc>
        <w:tc>
          <w:tcPr>
            <w:tcW w:w="1170" w:type="dxa"/>
            <w:tcBorders>
              <w:top w:val="nil"/>
              <w:left w:val="nil"/>
              <w:bottom w:val="nil"/>
              <w:right w:val="nil"/>
            </w:tcBorders>
            <w:shd w:val="clear" w:color="auto" w:fill="auto"/>
            <w:noWrap/>
            <w:vAlign w:val="center"/>
            <w:hideMark/>
          </w:tcPr>
          <w:p w14:paraId="308AE6A5"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0.713</w:t>
            </w:r>
          </w:p>
        </w:tc>
        <w:tc>
          <w:tcPr>
            <w:tcW w:w="1350" w:type="dxa"/>
            <w:tcBorders>
              <w:top w:val="nil"/>
              <w:left w:val="nil"/>
              <w:bottom w:val="nil"/>
              <w:right w:val="nil"/>
            </w:tcBorders>
            <w:shd w:val="clear" w:color="auto" w:fill="auto"/>
            <w:noWrap/>
            <w:vAlign w:val="center"/>
            <w:hideMark/>
          </w:tcPr>
          <w:p w14:paraId="5BBF15A4"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0.883</w:t>
            </w:r>
          </w:p>
        </w:tc>
        <w:tc>
          <w:tcPr>
            <w:tcW w:w="1260" w:type="dxa"/>
            <w:tcBorders>
              <w:top w:val="nil"/>
              <w:left w:val="nil"/>
              <w:bottom w:val="nil"/>
              <w:right w:val="nil"/>
            </w:tcBorders>
            <w:shd w:val="clear" w:color="auto" w:fill="auto"/>
            <w:noWrap/>
            <w:vAlign w:val="center"/>
            <w:hideMark/>
          </w:tcPr>
          <w:p w14:paraId="4CAE1C47"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1706EE0F" w14:textId="77777777" w:rsidTr="003C13F4">
        <w:trPr>
          <w:trHeight w:val="300"/>
        </w:trPr>
        <w:tc>
          <w:tcPr>
            <w:tcW w:w="2265" w:type="dxa"/>
            <w:vMerge/>
            <w:tcBorders>
              <w:left w:val="nil"/>
              <w:bottom w:val="single" w:sz="4" w:space="0" w:color="auto"/>
              <w:right w:val="nil"/>
            </w:tcBorders>
            <w:shd w:val="clear" w:color="auto" w:fill="auto"/>
            <w:noWrap/>
            <w:hideMark/>
          </w:tcPr>
          <w:p w14:paraId="14DA63A9" w14:textId="77777777" w:rsidR="00CA0EF0" w:rsidRPr="00361E30" w:rsidRDefault="00CA0EF0" w:rsidP="003C13F4">
            <w:pPr>
              <w:spacing w:after="0" w:line="240" w:lineRule="auto"/>
              <w:jc w:val="left"/>
              <w:rPr>
                <w:rFonts w:ascii="Calibri" w:eastAsia="Times New Roman" w:hAnsi="Calibri" w:cs="Calibri"/>
                <w:color w:val="000000"/>
              </w:rPr>
            </w:pPr>
          </w:p>
        </w:tc>
        <w:tc>
          <w:tcPr>
            <w:tcW w:w="1530" w:type="dxa"/>
            <w:tcBorders>
              <w:top w:val="nil"/>
              <w:left w:val="nil"/>
              <w:bottom w:val="single" w:sz="4" w:space="0" w:color="auto"/>
              <w:right w:val="nil"/>
            </w:tcBorders>
            <w:shd w:val="clear" w:color="auto" w:fill="auto"/>
            <w:noWrap/>
            <w:vAlign w:val="center"/>
            <w:hideMark/>
          </w:tcPr>
          <w:p w14:paraId="192E1134"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&gt;=25</w:t>
            </w:r>
          </w:p>
        </w:tc>
        <w:tc>
          <w:tcPr>
            <w:tcW w:w="1350" w:type="dxa"/>
            <w:tcBorders>
              <w:top w:val="nil"/>
              <w:left w:val="nil"/>
              <w:bottom w:val="single" w:sz="4" w:space="0" w:color="auto"/>
              <w:right w:val="nil"/>
            </w:tcBorders>
            <w:shd w:val="clear" w:color="auto" w:fill="auto"/>
            <w:noWrap/>
            <w:vAlign w:val="center"/>
            <w:hideMark/>
          </w:tcPr>
          <w:p w14:paraId="1756C452"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0.279</w:t>
            </w:r>
          </w:p>
        </w:tc>
        <w:tc>
          <w:tcPr>
            <w:tcW w:w="1170" w:type="dxa"/>
            <w:tcBorders>
              <w:top w:val="nil"/>
              <w:left w:val="nil"/>
              <w:bottom w:val="single" w:sz="4" w:space="0" w:color="auto"/>
              <w:right w:val="nil"/>
            </w:tcBorders>
            <w:shd w:val="clear" w:color="auto" w:fill="auto"/>
            <w:noWrap/>
            <w:vAlign w:val="center"/>
            <w:hideMark/>
          </w:tcPr>
          <w:p w14:paraId="76B63BC0"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0.253</w:t>
            </w:r>
          </w:p>
        </w:tc>
        <w:tc>
          <w:tcPr>
            <w:tcW w:w="1350" w:type="dxa"/>
            <w:tcBorders>
              <w:top w:val="nil"/>
              <w:left w:val="nil"/>
              <w:bottom w:val="single" w:sz="4" w:space="0" w:color="auto"/>
              <w:right w:val="nil"/>
            </w:tcBorders>
            <w:shd w:val="clear" w:color="auto" w:fill="auto"/>
            <w:noWrap/>
            <w:vAlign w:val="center"/>
            <w:hideMark/>
          </w:tcPr>
          <w:p w14:paraId="481F3D45"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0.308</w:t>
            </w:r>
          </w:p>
        </w:tc>
        <w:tc>
          <w:tcPr>
            <w:tcW w:w="1260" w:type="dxa"/>
            <w:tcBorders>
              <w:top w:val="nil"/>
              <w:left w:val="nil"/>
              <w:bottom w:val="single" w:sz="4" w:space="0" w:color="auto"/>
              <w:right w:val="nil"/>
            </w:tcBorders>
            <w:shd w:val="clear" w:color="auto" w:fill="auto"/>
            <w:noWrap/>
            <w:vAlign w:val="center"/>
            <w:hideMark/>
          </w:tcPr>
          <w:p w14:paraId="717E581B"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3EA85A5B" w14:textId="77777777" w:rsidTr="003C13F4">
        <w:trPr>
          <w:trHeight w:val="300"/>
        </w:trPr>
        <w:tc>
          <w:tcPr>
            <w:tcW w:w="2265" w:type="dxa"/>
            <w:vMerge w:val="restart"/>
            <w:tcBorders>
              <w:top w:val="nil"/>
              <w:left w:val="nil"/>
              <w:right w:val="nil"/>
            </w:tcBorders>
            <w:shd w:val="clear" w:color="auto" w:fill="auto"/>
            <w:noWrap/>
            <w:hideMark/>
          </w:tcPr>
          <w:p w14:paraId="7FE77ECD" w14:textId="77777777" w:rsidR="00CA0EF0" w:rsidRPr="00361E30" w:rsidRDefault="00261115"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Gla</w:t>
            </w:r>
            <w:r w:rsidR="00CA0EF0" w:rsidRPr="00361E30">
              <w:rPr>
                <w:rFonts w:ascii="Calibri" w:eastAsia="Times New Roman" w:hAnsi="Calibri" w:cs="Calibri"/>
                <w:b/>
                <w:bCs/>
                <w:color w:val="000000"/>
              </w:rPr>
              <w:t>sgow Coma Score (GCS)</w:t>
            </w:r>
          </w:p>
          <w:p w14:paraId="6EF87801"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color w:val="000000"/>
              </w:rPr>
              <w:t> </w:t>
            </w:r>
          </w:p>
        </w:tc>
        <w:tc>
          <w:tcPr>
            <w:tcW w:w="1530" w:type="dxa"/>
            <w:tcBorders>
              <w:top w:val="nil"/>
              <w:left w:val="nil"/>
              <w:bottom w:val="nil"/>
              <w:right w:val="nil"/>
            </w:tcBorders>
            <w:shd w:val="clear" w:color="auto" w:fill="auto"/>
            <w:noWrap/>
            <w:vAlign w:val="center"/>
            <w:hideMark/>
          </w:tcPr>
          <w:p w14:paraId="4D20B02E"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15</w:t>
            </w:r>
          </w:p>
        </w:tc>
        <w:tc>
          <w:tcPr>
            <w:tcW w:w="1350" w:type="dxa"/>
            <w:tcBorders>
              <w:top w:val="nil"/>
              <w:left w:val="nil"/>
              <w:bottom w:val="nil"/>
              <w:right w:val="nil"/>
            </w:tcBorders>
            <w:shd w:val="clear" w:color="auto" w:fill="auto"/>
            <w:noWrap/>
            <w:vAlign w:val="center"/>
            <w:hideMark/>
          </w:tcPr>
          <w:p w14:paraId="7A13AB40" w14:textId="77777777" w:rsidR="00CA0EF0" w:rsidRPr="00361E30" w:rsidRDefault="00CA0EF0" w:rsidP="003C13F4">
            <w:pPr>
              <w:spacing w:after="0" w:line="240" w:lineRule="auto"/>
              <w:jc w:val="center"/>
              <w:rPr>
                <w:rFonts w:ascii="Calibri" w:eastAsia="Times New Roman" w:hAnsi="Calibri" w:cs="Calibri"/>
                <w:color w:val="000000"/>
              </w:rPr>
            </w:pPr>
          </w:p>
        </w:tc>
        <w:tc>
          <w:tcPr>
            <w:tcW w:w="1170" w:type="dxa"/>
            <w:tcBorders>
              <w:top w:val="nil"/>
              <w:left w:val="nil"/>
              <w:bottom w:val="nil"/>
              <w:right w:val="nil"/>
            </w:tcBorders>
            <w:shd w:val="clear" w:color="auto" w:fill="auto"/>
            <w:noWrap/>
            <w:vAlign w:val="center"/>
            <w:hideMark/>
          </w:tcPr>
          <w:p w14:paraId="5F9DAE95" w14:textId="77777777" w:rsidR="00CA0EF0" w:rsidRPr="00361E30" w:rsidRDefault="00CA0EF0" w:rsidP="003C13F4">
            <w:pPr>
              <w:spacing w:after="0" w:line="240" w:lineRule="auto"/>
              <w:jc w:val="center"/>
              <w:rPr>
                <w:rFonts w:ascii="Calibri" w:eastAsia="Times New Roman" w:hAnsi="Calibri" w:cs="Calibri"/>
                <w:color w:val="000000"/>
              </w:rPr>
            </w:pPr>
          </w:p>
        </w:tc>
        <w:tc>
          <w:tcPr>
            <w:tcW w:w="1350" w:type="dxa"/>
            <w:tcBorders>
              <w:top w:val="nil"/>
              <w:left w:val="nil"/>
              <w:bottom w:val="nil"/>
              <w:right w:val="nil"/>
            </w:tcBorders>
            <w:shd w:val="clear" w:color="auto" w:fill="auto"/>
            <w:noWrap/>
            <w:vAlign w:val="center"/>
            <w:hideMark/>
          </w:tcPr>
          <w:p w14:paraId="3F3F7F8B" w14:textId="77777777" w:rsidR="00CA0EF0" w:rsidRPr="00361E30" w:rsidRDefault="00CA0EF0" w:rsidP="003C13F4">
            <w:pPr>
              <w:spacing w:after="0" w:line="240" w:lineRule="auto"/>
              <w:jc w:val="center"/>
              <w:rPr>
                <w:rFonts w:ascii="Calibri" w:eastAsia="Times New Roman" w:hAnsi="Calibri" w:cs="Calibri"/>
                <w:color w:val="000000"/>
              </w:rPr>
            </w:pPr>
          </w:p>
        </w:tc>
        <w:tc>
          <w:tcPr>
            <w:tcW w:w="1260" w:type="dxa"/>
            <w:tcBorders>
              <w:top w:val="nil"/>
              <w:left w:val="nil"/>
              <w:bottom w:val="nil"/>
              <w:right w:val="nil"/>
            </w:tcBorders>
            <w:shd w:val="clear" w:color="auto" w:fill="auto"/>
            <w:noWrap/>
            <w:vAlign w:val="center"/>
            <w:hideMark/>
          </w:tcPr>
          <w:p w14:paraId="020CC32E" w14:textId="77777777" w:rsidR="00CA0EF0" w:rsidRPr="00361E30" w:rsidRDefault="00CA0EF0" w:rsidP="003C13F4">
            <w:pPr>
              <w:spacing w:after="0" w:line="240" w:lineRule="auto"/>
              <w:jc w:val="center"/>
              <w:rPr>
                <w:rFonts w:ascii="Calibri" w:eastAsia="Times New Roman" w:hAnsi="Calibri" w:cs="Calibri"/>
                <w:color w:val="000000"/>
              </w:rPr>
            </w:pPr>
          </w:p>
        </w:tc>
      </w:tr>
      <w:tr w:rsidR="00CA0EF0" w:rsidRPr="00361E30" w14:paraId="0FAD9000" w14:textId="77777777" w:rsidTr="003C13F4">
        <w:trPr>
          <w:trHeight w:val="300"/>
        </w:trPr>
        <w:tc>
          <w:tcPr>
            <w:tcW w:w="2265" w:type="dxa"/>
            <w:vMerge/>
            <w:tcBorders>
              <w:left w:val="nil"/>
              <w:right w:val="nil"/>
            </w:tcBorders>
            <w:shd w:val="clear" w:color="auto" w:fill="auto"/>
            <w:noWrap/>
            <w:hideMark/>
          </w:tcPr>
          <w:p w14:paraId="5B9F3A10"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530" w:type="dxa"/>
            <w:tcBorders>
              <w:top w:val="nil"/>
              <w:left w:val="nil"/>
              <w:bottom w:val="nil"/>
              <w:right w:val="nil"/>
            </w:tcBorders>
            <w:shd w:val="clear" w:color="auto" w:fill="auto"/>
            <w:noWrap/>
            <w:vAlign w:val="center"/>
            <w:hideMark/>
          </w:tcPr>
          <w:p w14:paraId="068362F7"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13 to 14</w:t>
            </w:r>
          </w:p>
        </w:tc>
        <w:tc>
          <w:tcPr>
            <w:tcW w:w="1350" w:type="dxa"/>
            <w:tcBorders>
              <w:top w:val="nil"/>
              <w:left w:val="nil"/>
              <w:bottom w:val="nil"/>
              <w:right w:val="nil"/>
            </w:tcBorders>
            <w:shd w:val="clear" w:color="auto" w:fill="auto"/>
            <w:noWrap/>
            <w:vAlign w:val="center"/>
            <w:hideMark/>
          </w:tcPr>
          <w:p w14:paraId="79784776"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0.606</w:t>
            </w:r>
          </w:p>
        </w:tc>
        <w:tc>
          <w:tcPr>
            <w:tcW w:w="1170" w:type="dxa"/>
            <w:tcBorders>
              <w:top w:val="nil"/>
              <w:left w:val="nil"/>
              <w:bottom w:val="nil"/>
              <w:right w:val="nil"/>
            </w:tcBorders>
            <w:shd w:val="clear" w:color="auto" w:fill="auto"/>
            <w:noWrap/>
            <w:vAlign w:val="center"/>
            <w:hideMark/>
          </w:tcPr>
          <w:p w14:paraId="165A80BE"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0.553</w:t>
            </w:r>
          </w:p>
        </w:tc>
        <w:tc>
          <w:tcPr>
            <w:tcW w:w="1350" w:type="dxa"/>
            <w:tcBorders>
              <w:top w:val="nil"/>
              <w:left w:val="nil"/>
              <w:bottom w:val="nil"/>
              <w:right w:val="nil"/>
            </w:tcBorders>
            <w:shd w:val="clear" w:color="auto" w:fill="auto"/>
            <w:noWrap/>
            <w:vAlign w:val="center"/>
            <w:hideMark/>
          </w:tcPr>
          <w:p w14:paraId="2909AAB4"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0.665</w:t>
            </w:r>
          </w:p>
        </w:tc>
        <w:tc>
          <w:tcPr>
            <w:tcW w:w="1260" w:type="dxa"/>
            <w:tcBorders>
              <w:top w:val="nil"/>
              <w:left w:val="nil"/>
              <w:bottom w:val="nil"/>
              <w:right w:val="nil"/>
            </w:tcBorders>
            <w:shd w:val="clear" w:color="auto" w:fill="auto"/>
            <w:noWrap/>
            <w:vAlign w:val="center"/>
            <w:hideMark/>
          </w:tcPr>
          <w:p w14:paraId="72E67F46"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5E3D23EB" w14:textId="77777777" w:rsidTr="003C13F4">
        <w:trPr>
          <w:trHeight w:val="300"/>
        </w:trPr>
        <w:tc>
          <w:tcPr>
            <w:tcW w:w="2265" w:type="dxa"/>
            <w:vMerge/>
            <w:tcBorders>
              <w:left w:val="nil"/>
              <w:right w:val="nil"/>
            </w:tcBorders>
            <w:shd w:val="clear" w:color="auto" w:fill="auto"/>
            <w:noWrap/>
            <w:hideMark/>
          </w:tcPr>
          <w:p w14:paraId="107A1550"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530" w:type="dxa"/>
            <w:tcBorders>
              <w:top w:val="nil"/>
              <w:left w:val="nil"/>
              <w:bottom w:val="nil"/>
              <w:right w:val="nil"/>
            </w:tcBorders>
            <w:shd w:val="clear" w:color="auto" w:fill="auto"/>
            <w:noWrap/>
            <w:vAlign w:val="center"/>
            <w:hideMark/>
          </w:tcPr>
          <w:p w14:paraId="36905237"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9 to 12</w:t>
            </w:r>
          </w:p>
        </w:tc>
        <w:tc>
          <w:tcPr>
            <w:tcW w:w="1350" w:type="dxa"/>
            <w:tcBorders>
              <w:top w:val="nil"/>
              <w:left w:val="nil"/>
              <w:bottom w:val="nil"/>
              <w:right w:val="nil"/>
            </w:tcBorders>
            <w:shd w:val="clear" w:color="auto" w:fill="auto"/>
            <w:noWrap/>
            <w:vAlign w:val="center"/>
            <w:hideMark/>
          </w:tcPr>
          <w:p w14:paraId="59AECBA4"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0.214</w:t>
            </w:r>
          </w:p>
        </w:tc>
        <w:tc>
          <w:tcPr>
            <w:tcW w:w="1170" w:type="dxa"/>
            <w:tcBorders>
              <w:top w:val="nil"/>
              <w:left w:val="nil"/>
              <w:bottom w:val="nil"/>
              <w:right w:val="nil"/>
            </w:tcBorders>
            <w:shd w:val="clear" w:color="auto" w:fill="auto"/>
            <w:noWrap/>
            <w:vAlign w:val="center"/>
            <w:hideMark/>
          </w:tcPr>
          <w:p w14:paraId="21C72D3E"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0.185</w:t>
            </w:r>
          </w:p>
        </w:tc>
        <w:tc>
          <w:tcPr>
            <w:tcW w:w="1350" w:type="dxa"/>
            <w:tcBorders>
              <w:top w:val="nil"/>
              <w:left w:val="nil"/>
              <w:bottom w:val="nil"/>
              <w:right w:val="nil"/>
            </w:tcBorders>
            <w:shd w:val="clear" w:color="auto" w:fill="auto"/>
            <w:noWrap/>
            <w:vAlign w:val="center"/>
            <w:hideMark/>
          </w:tcPr>
          <w:p w14:paraId="711F751E"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0.248</w:t>
            </w:r>
          </w:p>
        </w:tc>
        <w:tc>
          <w:tcPr>
            <w:tcW w:w="1260" w:type="dxa"/>
            <w:tcBorders>
              <w:top w:val="nil"/>
              <w:left w:val="nil"/>
              <w:bottom w:val="nil"/>
              <w:right w:val="nil"/>
            </w:tcBorders>
            <w:shd w:val="clear" w:color="auto" w:fill="auto"/>
            <w:noWrap/>
            <w:vAlign w:val="center"/>
            <w:hideMark/>
          </w:tcPr>
          <w:p w14:paraId="5EDCF8AE"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408150AF" w14:textId="77777777" w:rsidTr="003C13F4">
        <w:trPr>
          <w:trHeight w:val="300"/>
        </w:trPr>
        <w:tc>
          <w:tcPr>
            <w:tcW w:w="2265" w:type="dxa"/>
            <w:vMerge/>
            <w:tcBorders>
              <w:left w:val="nil"/>
              <w:right w:val="nil"/>
            </w:tcBorders>
            <w:shd w:val="clear" w:color="auto" w:fill="auto"/>
            <w:noWrap/>
            <w:hideMark/>
          </w:tcPr>
          <w:p w14:paraId="6A97E01C"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530" w:type="dxa"/>
            <w:tcBorders>
              <w:top w:val="nil"/>
              <w:left w:val="nil"/>
              <w:bottom w:val="nil"/>
              <w:right w:val="nil"/>
            </w:tcBorders>
            <w:shd w:val="clear" w:color="auto" w:fill="auto"/>
            <w:noWrap/>
            <w:vAlign w:val="center"/>
            <w:hideMark/>
          </w:tcPr>
          <w:p w14:paraId="5F7D8808"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6 to 8</w:t>
            </w:r>
          </w:p>
        </w:tc>
        <w:tc>
          <w:tcPr>
            <w:tcW w:w="1350" w:type="dxa"/>
            <w:tcBorders>
              <w:top w:val="nil"/>
              <w:left w:val="nil"/>
              <w:bottom w:val="nil"/>
              <w:right w:val="nil"/>
            </w:tcBorders>
            <w:shd w:val="clear" w:color="auto" w:fill="auto"/>
            <w:noWrap/>
            <w:vAlign w:val="center"/>
            <w:hideMark/>
          </w:tcPr>
          <w:p w14:paraId="6DD89064"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0.076</w:t>
            </w:r>
          </w:p>
        </w:tc>
        <w:tc>
          <w:tcPr>
            <w:tcW w:w="1170" w:type="dxa"/>
            <w:tcBorders>
              <w:top w:val="nil"/>
              <w:left w:val="nil"/>
              <w:bottom w:val="nil"/>
              <w:right w:val="nil"/>
            </w:tcBorders>
            <w:shd w:val="clear" w:color="auto" w:fill="auto"/>
            <w:noWrap/>
            <w:vAlign w:val="center"/>
            <w:hideMark/>
          </w:tcPr>
          <w:p w14:paraId="28284557"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0.061</w:t>
            </w:r>
          </w:p>
        </w:tc>
        <w:tc>
          <w:tcPr>
            <w:tcW w:w="1350" w:type="dxa"/>
            <w:tcBorders>
              <w:top w:val="nil"/>
              <w:left w:val="nil"/>
              <w:bottom w:val="nil"/>
              <w:right w:val="nil"/>
            </w:tcBorders>
            <w:shd w:val="clear" w:color="auto" w:fill="auto"/>
            <w:noWrap/>
            <w:vAlign w:val="center"/>
            <w:hideMark/>
          </w:tcPr>
          <w:p w14:paraId="2BF8DB92"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0.095</w:t>
            </w:r>
          </w:p>
        </w:tc>
        <w:tc>
          <w:tcPr>
            <w:tcW w:w="1260" w:type="dxa"/>
            <w:tcBorders>
              <w:top w:val="nil"/>
              <w:left w:val="nil"/>
              <w:bottom w:val="nil"/>
              <w:right w:val="nil"/>
            </w:tcBorders>
            <w:shd w:val="clear" w:color="auto" w:fill="auto"/>
            <w:noWrap/>
            <w:vAlign w:val="center"/>
            <w:hideMark/>
          </w:tcPr>
          <w:p w14:paraId="050C3607"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2F2A3294" w14:textId="77777777" w:rsidTr="003C13F4">
        <w:trPr>
          <w:trHeight w:val="300"/>
        </w:trPr>
        <w:tc>
          <w:tcPr>
            <w:tcW w:w="2265" w:type="dxa"/>
            <w:vMerge/>
            <w:tcBorders>
              <w:left w:val="nil"/>
              <w:right w:val="nil"/>
            </w:tcBorders>
            <w:shd w:val="clear" w:color="auto" w:fill="auto"/>
            <w:noWrap/>
            <w:hideMark/>
          </w:tcPr>
          <w:p w14:paraId="3C010E82"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530" w:type="dxa"/>
            <w:tcBorders>
              <w:top w:val="nil"/>
              <w:left w:val="nil"/>
              <w:bottom w:val="nil"/>
              <w:right w:val="nil"/>
            </w:tcBorders>
            <w:shd w:val="clear" w:color="auto" w:fill="auto"/>
            <w:noWrap/>
            <w:vAlign w:val="center"/>
            <w:hideMark/>
          </w:tcPr>
          <w:p w14:paraId="0F966F44"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4 to 5</w:t>
            </w:r>
          </w:p>
        </w:tc>
        <w:tc>
          <w:tcPr>
            <w:tcW w:w="1350" w:type="dxa"/>
            <w:tcBorders>
              <w:top w:val="nil"/>
              <w:left w:val="nil"/>
              <w:bottom w:val="nil"/>
              <w:right w:val="nil"/>
            </w:tcBorders>
            <w:shd w:val="clear" w:color="auto" w:fill="auto"/>
            <w:noWrap/>
            <w:vAlign w:val="center"/>
            <w:hideMark/>
          </w:tcPr>
          <w:p w14:paraId="1937359C"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0.029</w:t>
            </w:r>
          </w:p>
        </w:tc>
        <w:tc>
          <w:tcPr>
            <w:tcW w:w="1170" w:type="dxa"/>
            <w:tcBorders>
              <w:top w:val="nil"/>
              <w:left w:val="nil"/>
              <w:bottom w:val="nil"/>
              <w:right w:val="nil"/>
            </w:tcBorders>
            <w:shd w:val="clear" w:color="auto" w:fill="auto"/>
            <w:noWrap/>
            <w:vAlign w:val="center"/>
            <w:hideMark/>
          </w:tcPr>
          <w:p w14:paraId="76105418"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0.020</w:t>
            </w:r>
          </w:p>
        </w:tc>
        <w:tc>
          <w:tcPr>
            <w:tcW w:w="1350" w:type="dxa"/>
            <w:tcBorders>
              <w:top w:val="nil"/>
              <w:left w:val="nil"/>
              <w:bottom w:val="nil"/>
              <w:right w:val="nil"/>
            </w:tcBorders>
            <w:shd w:val="clear" w:color="auto" w:fill="auto"/>
            <w:noWrap/>
            <w:vAlign w:val="center"/>
            <w:hideMark/>
          </w:tcPr>
          <w:p w14:paraId="6B772649"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0.042</w:t>
            </w:r>
          </w:p>
        </w:tc>
        <w:tc>
          <w:tcPr>
            <w:tcW w:w="1260" w:type="dxa"/>
            <w:tcBorders>
              <w:top w:val="nil"/>
              <w:left w:val="nil"/>
              <w:bottom w:val="nil"/>
              <w:right w:val="nil"/>
            </w:tcBorders>
            <w:shd w:val="clear" w:color="auto" w:fill="auto"/>
            <w:noWrap/>
            <w:vAlign w:val="center"/>
            <w:hideMark/>
          </w:tcPr>
          <w:p w14:paraId="5504AB3D"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1A5F6455" w14:textId="77777777" w:rsidTr="003C13F4">
        <w:trPr>
          <w:trHeight w:val="300"/>
        </w:trPr>
        <w:tc>
          <w:tcPr>
            <w:tcW w:w="2265" w:type="dxa"/>
            <w:vMerge/>
            <w:tcBorders>
              <w:left w:val="nil"/>
              <w:right w:val="nil"/>
            </w:tcBorders>
            <w:shd w:val="clear" w:color="auto" w:fill="auto"/>
            <w:noWrap/>
            <w:hideMark/>
          </w:tcPr>
          <w:p w14:paraId="00E3356E"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530" w:type="dxa"/>
            <w:tcBorders>
              <w:top w:val="nil"/>
              <w:left w:val="nil"/>
              <w:bottom w:val="nil"/>
              <w:right w:val="nil"/>
            </w:tcBorders>
            <w:shd w:val="clear" w:color="auto" w:fill="auto"/>
            <w:noWrap/>
            <w:vAlign w:val="center"/>
            <w:hideMark/>
          </w:tcPr>
          <w:p w14:paraId="27857263"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3</w:t>
            </w:r>
          </w:p>
        </w:tc>
        <w:tc>
          <w:tcPr>
            <w:tcW w:w="1350" w:type="dxa"/>
            <w:tcBorders>
              <w:top w:val="nil"/>
              <w:left w:val="nil"/>
              <w:bottom w:val="nil"/>
              <w:right w:val="nil"/>
            </w:tcBorders>
            <w:shd w:val="clear" w:color="auto" w:fill="auto"/>
            <w:noWrap/>
            <w:vAlign w:val="center"/>
            <w:hideMark/>
          </w:tcPr>
          <w:p w14:paraId="458206FF"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0.025</w:t>
            </w:r>
          </w:p>
        </w:tc>
        <w:tc>
          <w:tcPr>
            <w:tcW w:w="1170" w:type="dxa"/>
            <w:tcBorders>
              <w:top w:val="nil"/>
              <w:left w:val="nil"/>
              <w:bottom w:val="nil"/>
              <w:right w:val="nil"/>
            </w:tcBorders>
            <w:shd w:val="clear" w:color="auto" w:fill="auto"/>
            <w:noWrap/>
            <w:vAlign w:val="center"/>
            <w:hideMark/>
          </w:tcPr>
          <w:p w14:paraId="28535179"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0.018</w:t>
            </w:r>
          </w:p>
        </w:tc>
        <w:tc>
          <w:tcPr>
            <w:tcW w:w="1350" w:type="dxa"/>
            <w:tcBorders>
              <w:top w:val="nil"/>
              <w:left w:val="nil"/>
              <w:bottom w:val="nil"/>
              <w:right w:val="nil"/>
            </w:tcBorders>
            <w:shd w:val="clear" w:color="auto" w:fill="auto"/>
            <w:noWrap/>
            <w:vAlign w:val="center"/>
            <w:hideMark/>
          </w:tcPr>
          <w:p w14:paraId="1F694F3F"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0.033</w:t>
            </w:r>
          </w:p>
        </w:tc>
        <w:tc>
          <w:tcPr>
            <w:tcW w:w="1260" w:type="dxa"/>
            <w:tcBorders>
              <w:top w:val="nil"/>
              <w:left w:val="nil"/>
              <w:bottom w:val="nil"/>
              <w:right w:val="nil"/>
            </w:tcBorders>
            <w:shd w:val="clear" w:color="auto" w:fill="auto"/>
            <w:noWrap/>
            <w:vAlign w:val="center"/>
            <w:hideMark/>
          </w:tcPr>
          <w:p w14:paraId="2611F7E2"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4E61DC22" w14:textId="77777777" w:rsidTr="003C13F4">
        <w:trPr>
          <w:trHeight w:val="300"/>
        </w:trPr>
        <w:tc>
          <w:tcPr>
            <w:tcW w:w="2265" w:type="dxa"/>
            <w:vMerge/>
            <w:tcBorders>
              <w:left w:val="nil"/>
              <w:bottom w:val="single" w:sz="4" w:space="0" w:color="auto"/>
              <w:right w:val="nil"/>
            </w:tcBorders>
            <w:shd w:val="clear" w:color="auto" w:fill="auto"/>
            <w:noWrap/>
            <w:hideMark/>
          </w:tcPr>
          <w:p w14:paraId="5898D271" w14:textId="77777777" w:rsidR="00CA0EF0" w:rsidRPr="00361E30" w:rsidRDefault="00CA0EF0" w:rsidP="003C13F4">
            <w:pPr>
              <w:spacing w:after="0" w:line="240" w:lineRule="auto"/>
              <w:jc w:val="left"/>
              <w:rPr>
                <w:rFonts w:ascii="Calibri" w:eastAsia="Times New Roman" w:hAnsi="Calibri" w:cs="Calibri"/>
                <w:color w:val="000000"/>
              </w:rPr>
            </w:pPr>
          </w:p>
        </w:tc>
        <w:tc>
          <w:tcPr>
            <w:tcW w:w="1530" w:type="dxa"/>
            <w:tcBorders>
              <w:top w:val="nil"/>
              <w:left w:val="nil"/>
              <w:bottom w:val="single" w:sz="4" w:space="0" w:color="auto"/>
              <w:right w:val="nil"/>
            </w:tcBorders>
            <w:shd w:val="clear" w:color="auto" w:fill="auto"/>
            <w:noWrap/>
            <w:vAlign w:val="center"/>
            <w:hideMark/>
          </w:tcPr>
          <w:p w14:paraId="79CE106A"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Intubated</w:t>
            </w:r>
          </w:p>
        </w:tc>
        <w:tc>
          <w:tcPr>
            <w:tcW w:w="1350" w:type="dxa"/>
            <w:tcBorders>
              <w:top w:val="nil"/>
              <w:left w:val="nil"/>
              <w:bottom w:val="single" w:sz="4" w:space="0" w:color="auto"/>
              <w:right w:val="nil"/>
            </w:tcBorders>
            <w:shd w:val="clear" w:color="auto" w:fill="auto"/>
            <w:noWrap/>
            <w:vAlign w:val="center"/>
            <w:hideMark/>
          </w:tcPr>
          <w:p w14:paraId="7158AAC4"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0.043</w:t>
            </w:r>
          </w:p>
        </w:tc>
        <w:tc>
          <w:tcPr>
            <w:tcW w:w="1170" w:type="dxa"/>
            <w:tcBorders>
              <w:top w:val="nil"/>
              <w:left w:val="nil"/>
              <w:bottom w:val="single" w:sz="4" w:space="0" w:color="auto"/>
              <w:right w:val="nil"/>
            </w:tcBorders>
            <w:shd w:val="clear" w:color="auto" w:fill="auto"/>
            <w:noWrap/>
            <w:vAlign w:val="center"/>
            <w:hideMark/>
          </w:tcPr>
          <w:p w14:paraId="719C0F92"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0.036</w:t>
            </w:r>
          </w:p>
        </w:tc>
        <w:tc>
          <w:tcPr>
            <w:tcW w:w="1350" w:type="dxa"/>
            <w:tcBorders>
              <w:top w:val="nil"/>
              <w:left w:val="nil"/>
              <w:bottom w:val="single" w:sz="4" w:space="0" w:color="auto"/>
              <w:right w:val="nil"/>
            </w:tcBorders>
            <w:shd w:val="clear" w:color="auto" w:fill="auto"/>
            <w:noWrap/>
            <w:vAlign w:val="center"/>
            <w:hideMark/>
          </w:tcPr>
          <w:p w14:paraId="0B0E4350"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0.052</w:t>
            </w:r>
          </w:p>
        </w:tc>
        <w:tc>
          <w:tcPr>
            <w:tcW w:w="1260" w:type="dxa"/>
            <w:tcBorders>
              <w:top w:val="nil"/>
              <w:left w:val="nil"/>
              <w:bottom w:val="single" w:sz="4" w:space="0" w:color="auto"/>
              <w:right w:val="nil"/>
            </w:tcBorders>
            <w:shd w:val="clear" w:color="auto" w:fill="auto"/>
            <w:noWrap/>
            <w:vAlign w:val="center"/>
            <w:hideMark/>
          </w:tcPr>
          <w:p w14:paraId="3D38FD80"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219EA975" w14:textId="77777777" w:rsidTr="003C13F4">
        <w:trPr>
          <w:trHeight w:val="315"/>
        </w:trPr>
        <w:tc>
          <w:tcPr>
            <w:tcW w:w="2265" w:type="dxa"/>
            <w:tcBorders>
              <w:top w:val="nil"/>
              <w:left w:val="nil"/>
              <w:bottom w:val="double" w:sz="6" w:space="0" w:color="auto"/>
              <w:right w:val="nil"/>
            </w:tcBorders>
            <w:shd w:val="clear" w:color="auto" w:fill="auto"/>
            <w:noWrap/>
            <w:hideMark/>
          </w:tcPr>
          <w:p w14:paraId="1B46ECE1"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Constant</w:t>
            </w:r>
          </w:p>
        </w:tc>
        <w:tc>
          <w:tcPr>
            <w:tcW w:w="1530" w:type="dxa"/>
            <w:tcBorders>
              <w:top w:val="nil"/>
              <w:left w:val="nil"/>
              <w:bottom w:val="double" w:sz="6" w:space="0" w:color="auto"/>
              <w:right w:val="nil"/>
            </w:tcBorders>
            <w:shd w:val="clear" w:color="auto" w:fill="auto"/>
            <w:noWrap/>
            <w:vAlign w:val="bottom"/>
            <w:hideMark/>
          </w:tcPr>
          <w:p w14:paraId="0AFA3621"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 </w:t>
            </w:r>
          </w:p>
        </w:tc>
        <w:tc>
          <w:tcPr>
            <w:tcW w:w="1350" w:type="dxa"/>
            <w:tcBorders>
              <w:top w:val="nil"/>
              <w:left w:val="nil"/>
              <w:bottom w:val="double" w:sz="6" w:space="0" w:color="auto"/>
              <w:right w:val="nil"/>
            </w:tcBorders>
            <w:shd w:val="clear" w:color="auto" w:fill="auto"/>
            <w:noWrap/>
            <w:vAlign w:val="center"/>
            <w:hideMark/>
          </w:tcPr>
          <w:p w14:paraId="3BFB40EB"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8705.654</w:t>
            </w:r>
          </w:p>
        </w:tc>
        <w:tc>
          <w:tcPr>
            <w:tcW w:w="1170" w:type="dxa"/>
            <w:tcBorders>
              <w:top w:val="nil"/>
              <w:left w:val="nil"/>
              <w:bottom w:val="double" w:sz="6" w:space="0" w:color="auto"/>
              <w:right w:val="nil"/>
            </w:tcBorders>
            <w:shd w:val="clear" w:color="auto" w:fill="auto"/>
            <w:noWrap/>
            <w:vAlign w:val="center"/>
            <w:hideMark/>
          </w:tcPr>
          <w:p w14:paraId="30F6424D"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4868.494</w:t>
            </w:r>
          </w:p>
        </w:tc>
        <w:tc>
          <w:tcPr>
            <w:tcW w:w="1350" w:type="dxa"/>
            <w:tcBorders>
              <w:top w:val="nil"/>
              <w:left w:val="nil"/>
              <w:bottom w:val="double" w:sz="6" w:space="0" w:color="auto"/>
              <w:right w:val="nil"/>
            </w:tcBorders>
            <w:shd w:val="clear" w:color="auto" w:fill="auto"/>
            <w:noWrap/>
            <w:vAlign w:val="center"/>
            <w:hideMark/>
          </w:tcPr>
          <w:p w14:paraId="725A5006"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15567.12</w:t>
            </w:r>
          </w:p>
        </w:tc>
        <w:tc>
          <w:tcPr>
            <w:tcW w:w="1260" w:type="dxa"/>
            <w:tcBorders>
              <w:top w:val="nil"/>
              <w:left w:val="nil"/>
              <w:bottom w:val="double" w:sz="6" w:space="0" w:color="auto"/>
              <w:right w:val="nil"/>
            </w:tcBorders>
            <w:shd w:val="clear" w:color="auto" w:fill="auto"/>
            <w:noWrap/>
            <w:vAlign w:val="center"/>
            <w:hideMark/>
          </w:tcPr>
          <w:p w14:paraId="0DBCDE09"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bl>
    <w:p w14:paraId="5ED7AB18" w14:textId="77777777" w:rsidR="00CA0EF0" w:rsidRPr="00361E30" w:rsidRDefault="00CA0EF0" w:rsidP="003C13F4">
      <w:pPr>
        <w:pStyle w:val="TableTitle"/>
      </w:pPr>
      <w:bookmarkStart w:id="143" w:name="_Toc528321053"/>
      <w:r w:rsidRPr="00361E30">
        <w:t>Table 5.9: The final derived multivariate model</w:t>
      </w:r>
      <w:bookmarkEnd w:id="143"/>
    </w:p>
    <w:p w14:paraId="12CB9D66" w14:textId="77777777" w:rsidR="00CA0EF0" w:rsidRPr="00361E30" w:rsidRDefault="00CA0EF0" w:rsidP="003C13F4">
      <w:pPr>
        <w:pStyle w:val="Heading2"/>
      </w:pPr>
      <w:bookmarkStart w:id="144" w:name="_Toc1902309"/>
      <w:r w:rsidRPr="00361E30">
        <w:t>5.4.7</w:t>
      </w:r>
      <w:r w:rsidRPr="00361E30">
        <w:tab/>
        <w:t>The final multivariate model</w:t>
      </w:r>
      <w:bookmarkEnd w:id="144"/>
    </w:p>
    <w:p w14:paraId="28621830" w14:textId="77777777" w:rsidR="00CA0EF0" w:rsidRPr="00361E30" w:rsidRDefault="00CA0EF0" w:rsidP="003C13F4">
      <w:r w:rsidRPr="00361E30">
        <w:t>The final model included the following variables, having excluded variables that did not demonstrate a significant association with survival on multivariate analysis, those that showed a high degree of multicollinearity and those that did not contribute significantly to the overall performance of the model:</w:t>
      </w:r>
    </w:p>
    <w:p w14:paraId="5646C3E0" w14:textId="77777777" w:rsidR="00CA0EF0" w:rsidRPr="00361E30" w:rsidRDefault="00CA0EF0" w:rsidP="003C13F4">
      <w:pPr>
        <w:ind w:firstLine="720"/>
      </w:pPr>
      <w:r w:rsidRPr="00361E30">
        <w:t>Demographic variables:</w:t>
      </w:r>
    </w:p>
    <w:p w14:paraId="73D54B6D" w14:textId="77777777" w:rsidR="00CA0EF0" w:rsidRPr="00361E30" w:rsidRDefault="00CA0EF0" w:rsidP="003C13F4">
      <w:pPr>
        <w:pStyle w:val="ListParagraph"/>
        <w:numPr>
          <w:ilvl w:val="0"/>
          <w:numId w:val="29"/>
        </w:numPr>
      </w:pPr>
      <w:r w:rsidRPr="00361E30">
        <w:t>Age (continuous)</w:t>
      </w:r>
    </w:p>
    <w:p w14:paraId="58BB99BE" w14:textId="77777777" w:rsidR="00CA0EF0" w:rsidRPr="00361E30" w:rsidRDefault="00CA0EF0" w:rsidP="003C13F4">
      <w:pPr>
        <w:pStyle w:val="ListParagraph"/>
        <w:numPr>
          <w:ilvl w:val="0"/>
          <w:numId w:val="29"/>
        </w:numPr>
      </w:pPr>
      <w:r w:rsidRPr="00361E30">
        <w:lastRenderedPageBreak/>
        <w:t>Gender</w:t>
      </w:r>
    </w:p>
    <w:p w14:paraId="300605AF" w14:textId="77777777" w:rsidR="00CA0EF0" w:rsidRPr="00361E30" w:rsidRDefault="00CA0EF0" w:rsidP="003C13F4">
      <w:pPr>
        <w:pStyle w:val="ListParagraph"/>
        <w:numPr>
          <w:ilvl w:val="0"/>
          <w:numId w:val="29"/>
        </w:numPr>
      </w:pPr>
      <w:r w:rsidRPr="00361E30">
        <w:t>Age/Gender interaction</w:t>
      </w:r>
    </w:p>
    <w:p w14:paraId="7214E77C" w14:textId="77777777" w:rsidR="00CA0EF0" w:rsidRPr="00361E30" w:rsidRDefault="00CA0EF0" w:rsidP="003C13F4">
      <w:pPr>
        <w:ind w:firstLine="720"/>
      </w:pPr>
      <w:r w:rsidRPr="00361E30">
        <w:t>Pre-injury clinical characteristics:</w:t>
      </w:r>
    </w:p>
    <w:p w14:paraId="270162E1" w14:textId="77777777" w:rsidR="00CA0EF0" w:rsidRPr="00361E30" w:rsidRDefault="00CA0EF0" w:rsidP="003C13F4">
      <w:pPr>
        <w:pStyle w:val="ListParagraph"/>
        <w:numPr>
          <w:ilvl w:val="0"/>
          <w:numId w:val="29"/>
        </w:numPr>
      </w:pPr>
      <w:r w:rsidRPr="00361E30">
        <w:t>Charlson comorbidity index</w:t>
      </w:r>
    </w:p>
    <w:p w14:paraId="7B3B1BB0" w14:textId="77777777" w:rsidR="00CA0EF0" w:rsidRPr="00361E30" w:rsidRDefault="00CA0EF0" w:rsidP="003C13F4">
      <w:pPr>
        <w:ind w:firstLine="720"/>
      </w:pPr>
      <w:r w:rsidRPr="00361E30">
        <w:t>Injury characteristics:</w:t>
      </w:r>
    </w:p>
    <w:p w14:paraId="25A239DB" w14:textId="77777777" w:rsidR="00CA0EF0" w:rsidRPr="00361E30" w:rsidRDefault="00CA0EF0" w:rsidP="003C13F4">
      <w:pPr>
        <w:pStyle w:val="ListParagraph"/>
        <w:numPr>
          <w:ilvl w:val="0"/>
          <w:numId w:val="30"/>
        </w:numPr>
      </w:pPr>
      <w:r w:rsidRPr="00361E30">
        <w:t>Injury severity score (categorical)</w:t>
      </w:r>
    </w:p>
    <w:p w14:paraId="5B925768" w14:textId="77777777" w:rsidR="00CA0EF0" w:rsidRPr="00361E30" w:rsidRDefault="00CA0EF0" w:rsidP="003C13F4">
      <w:pPr>
        <w:ind w:firstLine="720"/>
      </w:pPr>
      <w:r w:rsidRPr="00361E30">
        <w:t>Physiological status (on arrival to the ED):</w:t>
      </w:r>
    </w:p>
    <w:p w14:paraId="18300A40" w14:textId="77777777" w:rsidR="00CA0EF0" w:rsidRPr="00361E30" w:rsidRDefault="00CA0EF0" w:rsidP="003C13F4">
      <w:pPr>
        <w:pStyle w:val="ListParagraph"/>
        <w:numPr>
          <w:ilvl w:val="0"/>
          <w:numId w:val="31"/>
        </w:numPr>
      </w:pPr>
      <w:r w:rsidRPr="00361E30">
        <w:t>Glasgow coma score</w:t>
      </w:r>
    </w:p>
    <w:tbl>
      <w:tblPr>
        <w:tblW w:w="8298" w:type="dxa"/>
        <w:tblLook w:val="04A0" w:firstRow="1" w:lastRow="0" w:firstColumn="1" w:lastColumn="0" w:noHBand="0" w:noVBand="1"/>
      </w:tblPr>
      <w:tblGrid>
        <w:gridCol w:w="1818"/>
        <w:gridCol w:w="1890"/>
        <w:gridCol w:w="1350"/>
        <w:gridCol w:w="1053"/>
        <w:gridCol w:w="1053"/>
        <w:gridCol w:w="1134"/>
      </w:tblGrid>
      <w:tr w:rsidR="00CA0EF0" w:rsidRPr="00361E30" w14:paraId="625E40BD" w14:textId="77777777" w:rsidTr="003C13F4">
        <w:trPr>
          <w:trHeight w:val="300"/>
        </w:trPr>
        <w:tc>
          <w:tcPr>
            <w:tcW w:w="1818" w:type="dxa"/>
            <w:tcBorders>
              <w:top w:val="single" w:sz="4" w:space="0" w:color="auto"/>
              <w:left w:val="nil"/>
              <w:bottom w:val="nil"/>
              <w:right w:val="nil"/>
            </w:tcBorders>
            <w:shd w:val="clear" w:color="auto" w:fill="auto"/>
            <w:noWrap/>
            <w:hideMark/>
          </w:tcPr>
          <w:p w14:paraId="0605E816"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Covariates</w:t>
            </w:r>
          </w:p>
        </w:tc>
        <w:tc>
          <w:tcPr>
            <w:tcW w:w="1890" w:type="dxa"/>
            <w:tcBorders>
              <w:top w:val="single" w:sz="4" w:space="0" w:color="auto"/>
              <w:left w:val="nil"/>
              <w:bottom w:val="nil"/>
              <w:right w:val="nil"/>
            </w:tcBorders>
            <w:shd w:val="clear" w:color="auto" w:fill="auto"/>
            <w:noWrap/>
            <w:vAlign w:val="bottom"/>
            <w:hideMark/>
          </w:tcPr>
          <w:p w14:paraId="2BA53543"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 </w:t>
            </w:r>
          </w:p>
        </w:tc>
        <w:tc>
          <w:tcPr>
            <w:tcW w:w="1350" w:type="dxa"/>
            <w:tcBorders>
              <w:top w:val="single" w:sz="4" w:space="0" w:color="auto"/>
              <w:left w:val="nil"/>
              <w:bottom w:val="nil"/>
              <w:right w:val="nil"/>
            </w:tcBorders>
            <w:shd w:val="clear" w:color="auto" w:fill="auto"/>
            <w:noWrap/>
            <w:vAlign w:val="center"/>
            <w:hideMark/>
          </w:tcPr>
          <w:p w14:paraId="7BF917B0" w14:textId="77777777" w:rsidR="00CA0EF0" w:rsidRPr="00361E30" w:rsidRDefault="00CA0EF0" w:rsidP="003C13F4">
            <w:pPr>
              <w:spacing w:after="0" w:line="240" w:lineRule="auto"/>
              <w:jc w:val="center"/>
              <w:rPr>
                <w:rFonts w:ascii="Calibri" w:eastAsia="Times New Roman" w:hAnsi="Calibri" w:cs="Calibri"/>
                <w:b/>
                <w:bCs/>
                <w:color w:val="000000"/>
              </w:rPr>
            </w:pPr>
            <w:r w:rsidRPr="00361E30">
              <w:rPr>
                <w:rFonts w:ascii="Calibri" w:eastAsia="Times New Roman" w:hAnsi="Calibri" w:cs="Calibri"/>
                <w:b/>
                <w:bCs/>
                <w:color w:val="000000"/>
              </w:rPr>
              <w:t>Odds Ratio</w:t>
            </w:r>
          </w:p>
        </w:tc>
        <w:tc>
          <w:tcPr>
            <w:tcW w:w="2106" w:type="dxa"/>
            <w:gridSpan w:val="2"/>
            <w:tcBorders>
              <w:top w:val="single" w:sz="4" w:space="0" w:color="auto"/>
              <w:left w:val="nil"/>
              <w:bottom w:val="nil"/>
              <w:right w:val="nil"/>
            </w:tcBorders>
            <w:shd w:val="clear" w:color="auto" w:fill="auto"/>
            <w:noWrap/>
            <w:vAlign w:val="center"/>
            <w:hideMark/>
          </w:tcPr>
          <w:p w14:paraId="1E0EBEAA" w14:textId="77777777" w:rsidR="00CA0EF0" w:rsidRPr="00361E30" w:rsidRDefault="00CA0EF0" w:rsidP="003C13F4">
            <w:pPr>
              <w:spacing w:after="0" w:line="240" w:lineRule="auto"/>
              <w:jc w:val="center"/>
              <w:rPr>
                <w:rFonts w:ascii="Calibri" w:eastAsia="Times New Roman" w:hAnsi="Calibri" w:cs="Calibri"/>
                <w:b/>
                <w:bCs/>
                <w:color w:val="000000"/>
              </w:rPr>
            </w:pPr>
            <w:r w:rsidRPr="00361E30">
              <w:rPr>
                <w:rFonts w:ascii="Calibri" w:eastAsia="Times New Roman" w:hAnsi="Calibri" w:cs="Calibri"/>
                <w:b/>
                <w:bCs/>
                <w:color w:val="000000"/>
              </w:rPr>
              <w:t>95% Confidence Intervals</w:t>
            </w:r>
          </w:p>
        </w:tc>
        <w:tc>
          <w:tcPr>
            <w:tcW w:w="1134" w:type="dxa"/>
            <w:tcBorders>
              <w:top w:val="single" w:sz="4" w:space="0" w:color="auto"/>
              <w:left w:val="nil"/>
              <w:bottom w:val="nil"/>
              <w:right w:val="nil"/>
            </w:tcBorders>
            <w:shd w:val="clear" w:color="auto" w:fill="auto"/>
            <w:noWrap/>
            <w:vAlign w:val="center"/>
            <w:hideMark/>
          </w:tcPr>
          <w:p w14:paraId="36B53FD3" w14:textId="77777777" w:rsidR="00CA0EF0" w:rsidRPr="00361E30" w:rsidRDefault="00CA0EF0" w:rsidP="003C13F4">
            <w:pPr>
              <w:spacing w:after="0" w:line="240" w:lineRule="auto"/>
              <w:jc w:val="center"/>
              <w:rPr>
                <w:rFonts w:ascii="Calibri" w:eastAsia="Times New Roman" w:hAnsi="Calibri" w:cs="Calibri"/>
                <w:b/>
                <w:bCs/>
                <w:color w:val="000000"/>
              </w:rPr>
            </w:pPr>
            <w:r w:rsidRPr="00361E30">
              <w:rPr>
                <w:rFonts w:ascii="Calibri" w:eastAsia="Times New Roman" w:hAnsi="Calibri" w:cs="Calibri"/>
                <w:b/>
                <w:bCs/>
                <w:color w:val="000000"/>
              </w:rPr>
              <w:t>p value</w:t>
            </w:r>
          </w:p>
        </w:tc>
      </w:tr>
      <w:tr w:rsidR="00CA0EF0" w:rsidRPr="00361E30" w14:paraId="4A0D6B32" w14:textId="77777777" w:rsidTr="003C13F4">
        <w:trPr>
          <w:trHeight w:val="315"/>
        </w:trPr>
        <w:tc>
          <w:tcPr>
            <w:tcW w:w="1818" w:type="dxa"/>
            <w:tcBorders>
              <w:top w:val="nil"/>
              <w:left w:val="nil"/>
              <w:bottom w:val="double" w:sz="6" w:space="0" w:color="auto"/>
              <w:right w:val="nil"/>
            </w:tcBorders>
            <w:shd w:val="clear" w:color="auto" w:fill="auto"/>
            <w:noWrap/>
            <w:hideMark/>
          </w:tcPr>
          <w:p w14:paraId="54E6909D"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 </w:t>
            </w:r>
          </w:p>
        </w:tc>
        <w:tc>
          <w:tcPr>
            <w:tcW w:w="1890" w:type="dxa"/>
            <w:tcBorders>
              <w:top w:val="nil"/>
              <w:left w:val="nil"/>
              <w:bottom w:val="double" w:sz="6" w:space="0" w:color="auto"/>
              <w:right w:val="nil"/>
            </w:tcBorders>
            <w:shd w:val="clear" w:color="auto" w:fill="auto"/>
            <w:noWrap/>
            <w:vAlign w:val="bottom"/>
            <w:hideMark/>
          </w:tcPr>
          <w:p w14:paraId="2C46BDD7"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 </w:t>
            </w:r>
          </w:p>
        </w:tc>
        <w:tc>
          <w:tcPr>
            <w:tcW w:w="1350" w:type="dxa"/>
            <w:tcBorders>
              <w:top w:val="nil"/>
              <w:left w:val="nil"/>
              <w:bottom w:val="double" w:sz="6" w:space="0" w:color="auto"/>
              <w:right w:val="nil"/>
            </w:tcBorders>
            <w:shd w:val="clear" w:color="auto" w:fill="auto"/>
            <w:noWrap/>
            <w:vAlign w:val="center"/>
            <w:hideMark/>
          </w:tcPr>
          <w:p w14:paraId="30ED9CAD" w14:textId="77777777" w:rsidR="00CA0EF0" w:rsidRPr="00361E30" w:rsidRDefault="00CA0EF0" w:rsidP="003C13F4">
            <w:pPr>
              <w:spacing w:after="0" w:line="240" w:lineRule="auto"/>
              <w:jc w:val="center"/>
              <w:rPr>
                <w:rFonts w:ascii="Calibri" w:eastAsia="Times New Roman" w:hAnsi="Calibri" w:cs="Calibri"/>
                <w:b/>
                <w:bCs/>
                <w:color w:val="000000"/>
              </w:rPr>
            </w:pPr>
            <w:r w:rsidRPr="00361E30">
              <w:rPr>
                <w:rFonts w:ascii="Calibri" w:eastAsia="Times New Roman" w:hAnsi="Calibri" w:cs="Calibri"/>
                <w:b/>
                <w:bCs/>
                <w:color w:val="000000"/>
              </w:rPr>
              <w:t> </w:t>
            </w:r>
          </w:p>
        </w:tc>
        <w:tc>
          <w:tcPr>
            <w:tcW w:w="1053" w:type="dxa"/>
            <w:tcBorders>
              <w:top w:val="nil"/>
              <w:left w:val="nil"/>
              <w:bottom w:val="double" w:sz="6" w:space="0" w:color="auto"/>
              <w:right w:val="nil"/>
            </w:tcBorders>
            <w:shd w:val="clear" w:color="auto" w:fill="auto"/>
            <w:noWrap/>
            <w:vAlign w:val="center"/>
            <w:hideMark/>
          </w:tcPr>
          <w:p w14:paraId="26A05BD6" w14:textId="77777777" w:rsidR="00CA0EF0" w:rsidRPr="00361E30" w:rsidRDefault="00CA0EF0" w:rsidP="003C13F4">
            <w:pPr>
              <w:spacing w:after="0" w:line="240" w:lineRule="auto"/>
              <w:jc w:val="center"/>
              <w:rPr>
                <w:rFonts w:ascii="Calibri" w:eastAsia="Times New Roman" w:hAnsi="Calibri" w:cs="Calibri"/>
                <w:b/>
                <w:bCs/>
                <w:color w:val="000000"/>
              </w:rPr>
            </w:pPr>
            <w:r w:rsidRPr="00361E30">
              <w:rPr>
                <w:rFonts w:ascii="Calibri" w:eastAsia="Times New Roman" w:hAnsi="Calibri" w:cs="Calibri"/>
                <w:b/>
                <w:bCs/>
                <w:color w:val="000000"/>
              </w:rPr>
              <w:t xml:space="preserve">Upper </w:t>
            </w:r>
          </w:p>
        </w:tc>
        <w:tc>
          <w:tcPr>
            <w:tcW w:w="1053" w:type="dxa"/>
            <w:tcBorders>
              <w:top w:val="nil"/>
              <w:left w:val="nil"/>
              <w:bottom w:val="double" w:sz="6" w:space="0" w:color="auto"/>
              <w:right w:val="nil"/>
            </w:tcBorders>
            <w:shd w:val="clear" w:color="auto" w:fill="auto"/>
            <w:noWrap/>
            <w:vAlign w:val="center"/>
            <w:hideMark/>
          </w:tcPr>
          <w:p w14:paraId="70EFE30D" w14:textId="77777777" w:rsidR="00CA0EF0" w:rsidRPr="00361E30" w:rsidRDefault="00CA0EF0" w:rsidP="003C13F4">
            <w:pPr>
              <w:spacing w:after="0" w:line="240" w:lineRule="auto"/>
              <w:jc w:val="center"/>
              <w:rPr>
                <w:rFonts w:ascii="Calibri" w:eastAsia="Times New Roman" w:hAnsi="Calibri" w:cs="Calibri"/>
                <w:b/>
                <w:bCs/>
                <w:color w:val="000000"/>
              </w:rPr>
            </w:pPr>
            <w:r w:rsidRPr="00361E30">
              <w:rPr>
                <w:rFonts w:ascii="Calibri" w:eastAsia="Times New Roman" w:hAnsi="Calibri" w:cs="Calibri"/>
                <w:b/>
                <w:bCs/>
                <w:color w:val="000000"/>
              </w:rPr>
              <w:t>Lower</w:t>
            </w:r>
          </w:p>
        </w:tc>
        <w:tc>
          <w:tcPr>
            <w:tcW w:w="1134" w:type="dxa"/>
            <w:tcBorders>
              <w:top w:val="nil"/>
              <w:left w:val="nil"/>
              <w:bottom w:val="double" w:sz="6" w:space="0" w:color="auto"/>
              <w:right w:val="nil"/>
            </w:tcBorders>
            <w:shd w:val="clear" w:color="auto" w:fill="auto"/>
            <w:noWrap/>
            <w:vAlign w:val="center"/>
            <w:hideMark/>
          </w:tcPr>
          <w:p w14:paraId="3DE66069" w14:textId="77777777" w:rsidR="00CA0EF0" w:rsidRPr="00361E30" w:rsidRDefault="00CA0EF0" w:rsidP="003C13F4">
            <w:pPr>
              <w:spacing w:after="0" w:line="240" w:lineRule="auto"/>
              <w:jc w:val="center"/>
              <w:rPr>
                <w:rFonts w:ascii="Calibri" w:eastAsia="Times New Roman" w:hAnsi="Calibri" w:cs="Calibri"/>
                <w:b/>
                <w:bCs/>
                <w:color w:val="000000"/>
              </w:rPr>
            </w:pPr>
            <w:r w:rsidRPr="00361E30">
              <w:rPr>
                <w:rFonts w:ascii="Calibri" w:eastAsia="Times New Roman" w:hAnsi="Calibri" w:cs="Calibri"/>
                <w:b/>
                <w:bCs/>
                <w:color w:val="000000"/>
              </w:rPr>
              <w:t> </w:t>
            </w:r>
          </w:p>
        </w:tc>
      </w:tr>
      <w:tr w:rsidR="00CA0EF0" w:rsidRPr="00361E30" w14:paraId="2D9F02F0" w14:textId="77777777" w:rsidTr="003C13F4">
        <w:trPr>
          <w:trHeight w:val="315"/>
        </w:trPr>
        <w:tc>
          <w:tcPr>
            <w:tcW w:w="1818" w:type="dxa"/>
            <w:vMerge w:val="restart"/>
            <w:tcBorders>
              <w:top w:val="nil"/>
              <w:left w:val="nil"/>
              <w:right w:val="nil"/>
            </w:tcBorders>
            <w:shd w:val="clear" w:color="auto" w:fill="auto"/>
            <w:noWrap/>
            <w:hideMark/>
          </w:tcPr>
          <w:p w14:paraId="7FD628D7"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Age</w:t>
            </w:r>
          </w:p>
          <w:p w14:paraId="55E9AB7A"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 </w:t>
            </w:r>
          </w:p>
        </w:tc>
        <w:tc>
          <w:tcPr>
            <w:tcW w:w="1890" w:type="dxa"/>
            <w:tcBorders>
              <w:top w:val="nil"/>
              <w:left w:val="nil"/>
              <w:bottom w:val="nil"/>
              <w:right w:val="nil"/>
            </w:tcBorders>
            <w:shd w:val="clear" w:color="auto" w:fill="auto"/>
            <w:noWrap/>
            <w:vAlign w:val="bottom"/>
            <w:hideMark/>
          </w:tcPr>
          <w:p w14:paraId="00644C67"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65 - 74 years</w:t>
            </w:r>
          </w:p>
        </w:tc>
        <w:tc>
          <w:tcPr>
            <w:tcW w:w="1350" w:type="dxa"/>
            <w:tcBorders>
              <w:top w:val="nil"/>
              <w:left w:val="nil"/>
              <w:bottom w:val="nil"/>
              <w:right w:val="nil"/>
            </w:tcBorders>
            <w:shd w:val="clear" w:color="auto" w:fill="auto"/>
            <w:noWrap/>
            <w:vAlign w:val="center"/>
            <w:hideMark/>
          </w:tcPr>
          <w:p w14:paraId="22D3C02B"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Reference</w:t>
            </w:r>
          </w:p>
        </w:tc>
        <w:tc>
          <w:tcPr>
            <w:tcW w:w="1053" w:type="dxa"/>
            <w:tcBorders>
              <w:top w:val="nil"/>
              <w:left w:val="nil"/>
              <w:bottom w:val="nil"/>
              <w:right w:val="nil"/>
            </w:tcBorders>
            <w:shd w:val="clear" w:color="auto" w:fill="auto"/>
            <w:noWrap/>
            <w:vAlign w:val="center"/>
            <w:hideMark/>
          </w:tcPr>
          <w:p w14:paraId="308006AB" w14:textId="77777777" w:rsidR="00CA0EF0" w:rsidRPr="00361E30" w:rsidRDefault="00CA0EF0" w:rsidP="003C13F4">
            <w:pPr>
              <w:spacing w:after="0" w:line="240" w:lineRule="auto"/>
              <w:jc w:val="center"/>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center"/>
            <w:hideMark/>
          </w:tcPr>
          <w:p w14:paraId="3A8C9634" w14:textId="77777777" w:rsidR="00CA0EF0" w:rsidRPr="00361E30" w:rsidRDefault="00CA0EF0" w:rsidP="003C13F4">
            <w:pPr>
              <w:spacing w:after="0" w:line="240" w:lineRule="auto"/>
              <w:jc w:val="center"/>
              <w:rPr>
                <w:rFonts w:ascii="Calibri" w:eastAsia="Times New Roman" w:hAnsi="Calibri" w:cs="Calibri"/>
                <w:color w:val="000000"/>
              </w:rPr>
            </w:pPr>
          </w:p>
        </w:tc>
        <w:tc>
          <w:tcPr>
            <w:tcW w:w="1134" w:type="dxa"/>
            <w:tcBorders>
              <w:top w:val="nil"/>
              <w:left w:val="nil"/>
              <w:bottom w:val="nil"/>
              <w:right w:val="nil"/>
            </w:tcBorders>
            <w:shd w:val="clear" w:color="auto" w:fill="auto"/>
            <w:noWrap/>
            <w:vAlign w:val="center"/>
            <w:hideMark/>
          </w:tcPr>
          <w:p w14:paraId="3E6B18B1" w14:textId="77777777" w:rsidR="00CA0EF0" w:rsidRPr="00361E30" w:rsidRDefault="00CA0EF0" w:rsidP="003C13F4">
            <w:pPr>
              <w:spacing w:after="0" w:line="240" w:lineRule="auto"/>
              <w:jc w:val="center"/>
              <w:rPr>
                <w:rFonts w:ascii="Calibri" w:eastAsia="Times New Roman" w:hAnsi="Calibri" w:cs="Calibri"/>
                <w:color w:val="000000"/>
              </w:rPr>
            </w:pPr>
          </w:p>
        </w:tc>
      </w:tr>
      <w:tr w:rsidR="00CA0EF0" w:rsidRPr="00361E30" w14:paraId="7DAED536" w14:textId="77777777" w:rsidTr="003C13F4">
        <w:trPr>
          <w:trHeight w:val="300"/>
        </w:trPr>
        <w:tc>
          <w:tcPr>
            <w:tcW w:w="1818" w:type="dxa"/>
            <w:vMerge/>
            <w:tcBorders>
              <w:left w:val="nil"/>
              <w:right w:val="nil"/>
            </w:tcBorders>
            <w:shd w:val="clear" w:color="auto" w:fill="auto"/>
            <w:noWrap/>
            <w:hideMark/>
          </w:tcPr>
          <w:p w14:paraId="48407359"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890" w:type="dxa"/>
            <w:tcBorders>
              <w:top w:val="nil"/>
              <w:left w:val="nil"/>
              <w:bottom w:val="nil"/>
              <w:right w:val="nil"/>
            </w:tcBorders>
            <w:shd w:val="clear" w:color="auto" w:fill="auto"/>
            <w:noWrap/>
            <w:vAlign w:val="bottom"/>
            <w:hideMark/>
          </w:tcPr>
          <w:p w14:paraId="6B960614"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&gt;75 years</w:t>
            </w:r>
          </w:p>
        </w:tc>
        <w:tc>
          <w:tcPr>
            <w:tcW w:w="1350" w:type="dxa"/>
            <w:tcBorders>
              <w:top w:val="nil"/>
              <w:left w:val="nil"/>
              <w:bottom w:val="nil"/>
              <w:right w:val="nil"/>
            </w:tcBorders>
            <w:shd w:val="clear" w:color="auto" w:fill="auto"/>
            <w:noWrap/>
            <w:vAlign w:val="center"/>
            <w:hideMark/>
          </w:tcPr>
          <w:p w14:paraId="75742AEB"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0.303</w:t>
            </w:r>
          </w:p>
        </w:tc>
        <w:tc>
          <w:tcPr>
            <w:tcW w:w="1053" w:type="dxa"/>
            <w:tcBorders>
              <w:top w:val="nil"/>
              <w:left w:val="nil"/>
              <w:bottom w:val="nil"/>
              <w:right w:val="nil"/>
            </w:tcBorders>
            <w:shd w:val="clear" w:color="auto" w:fill="auto"/>
            <w:noWrap/>
            <w:vAlign w:val="center"/>
            <w:hideMark/>
          </w:tcPr>
          <w:p w14:paraId="049F6ABE"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0.265</w:t>
            </w:r>
          </w:p>
        </w:tc>
        <w:tc>
          <w:tcPr>
            <w:tcW w:w="1053" w:type="dxa"/>
            <w:tcBorders>
              <w:top w:val="nil"/>
              <w:left w:val="nil"/>
              <w:bottom w:val="nil"/>
              <w:right w:val="nil"/>
            </w:tcBorders>
            <w:shd w:val="clear" w:color="auto" w:fill="auto"/>
            <w:noWrap/>
            <w:vAlign w:val="center"/>
            <w:hideMark/>
          </w:tcPr>
          <w:p w14:paraId="72CEA7C1"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0.347</w:t>
            </w:r>
          </w:p>
        </w:tc>
        <w:tc>
          <w:tcPr>
            <w:tcW w:w="1134" w:type="dxa"/>
            <w:tcBorders>
              <w:top w:val="nil"/>
              <w:left w:val="nil"/>
              <w:bottom w:val="nil"/>
              <w:right w:val="nil"/>
            </w:tcBorders>
            <w:shd w:val="clear" w:color="auto" w:fill="auto"/>
            <w:noWrap/>
            <w:vAlign w:val="center"/>
            <w:hideMark/>
          </w:tcPr>
          <w:p w14:paraId="7D0681CF"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7C5AA985" w14:textId="77777777" w:rsidTr="003C13F4">
        <w:trPr>
          <w:trHeight w:val="300"/>
        </w:trPr>
        <w:tc>
          <w:tcPr>
            <w:tcW w:w="1818" w:type="dxa"/>
            <w:vMerge/>
            <w:tcBorders>
              <w:left w:val="nil"/>
              <w:bottom w:val="single" w:sz="4" w:space="0" w:color="auto"/>
              <w:right w:val="nil"/>
            </w:tcBorders>
            <w:shd w:val="clear" w:color="auto" w:fill="auto"/>
            <w:noWrap/>
            <w:hideMark/>
          </w:tcPr>
          <w:p w14:paraId="373671ED"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890" w:type="dxa"/>
            <w:tcBorders>
              <w:top w:val="nil"/>
              <w:left w:val="nil"/>
              <w:bottom w:val="single" w:sz="4" w:space="0" w:color="auto"/>
              <w:right w:val="nil"/>
            </w:tcBorders>
            <w:shd w:val="clear" w:color="auto" w:fill="auto"/>
            <w:noWrap/>
            <w:vAlign w:val="bottom"/>
            <w:hideMark/>
          </w:tcPr>
          <w:p w14:paraId="3EBD6DEF"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 </w:t>
            </w:r>
          </w:p>
        </w:tc>
        <w:tc>
          <w:tcPr>
            <w:tcW w:w="1350" w:type="dxa"/>
            <w:tcBorders>
              <w:top w:val="nil"/>
              <w:left w:val="nil"/>
              <w:bottom w:val="single" w:sz="4" w:space="0" w:color="auto"/>
              <w:right w:val="nil"/>
            </w:tcBorders>
            <w:shd w:val="clear" w:color="auto" w:fill="auto"/>
            <w:noWrap/>
            <w:vAlign w:val="center"/>
            <w:hideMark/>
          </w:tcPr>
          <w:p w14:paraId="042F45B1"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c>
          <w:tcPr>
            <w:tcW w:w="1053" w:type="dxa"/>
            <w:tcBorders>
              <w:top w:val="nil"/>
              <w:left w:val="nil"/>
              <w:bottom w:val="single" w:sz="4" w:space="0" w:color="auto"/>
              <w:right w:val="nil"/>
            </w:tcBorders>
            <w:shd w:val="clear" w:color="auto" w:fill="auto"/>
            <w:noWrap/>
            <w:vAlign w:val="center"/>
            <w:hideMark/>
          </w:tcPr>
          <w:p w14:paraId="24913EF1"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c>
          <w:tcPr>
            <w:tcW w:w="1053" w:type="dxa"/>
            <w:tcBorders>
              <w:top w:val="nil"/>
              <w:left w:val="nil"/>
              <w:bottom w:val="single" w:sz="4" w:space="0" w:color="auto"/>
              <w:right w:val="nil"/>
            </w:tcBorders>
            <w:shd w:val="clear" w:color="auto" w:fill="auto"/>
            <w:noWrap/>
            <w:vAlign w:val="center"/>
            <w:hideMark/>
          </w:tcPr>
          <w:p w14:paraId="73285A65"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c>
          <w:tcPr>
            <w:tcW w:w="1134" w:type="dxa"/>
            <w:tcBorders>
              <w:top w:val="nil"/>
              <w:left w:val="nil"/>
              <w:bottom w:val="single" w:sz="4" w:space="0" w:color="auto"/>
              <w:right w:val="nil"/>
            </w:tcBorders>
            <w:shd w:val="clear" w:color="auto" w:fill="auto"/>
            <w:noWrap/>
            <w:vAlign w:val="center"/>
            <w:hideMark/>
          </w:tcPr>
          <w:p w14:paraId="6E20D365"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r>
      <w:tr w:rsidR="00CA0EF0" w:rsidRPr="00361E30" w14:paraId="527A99DC" w14:textId="77777777" w:rsidTr="003C13F4">
        <w:trPr>
          <w:trHeight w:val="300"/>
        </w:trPr>
        <w:tc>
          <w:tcPr>
            <w:tcW w:w="1818" w:type="dxa"/>
            <w:vMerge w:val="restart"/>
            <w:tcBorders>
              <w:top w:val="nil"/>
              <w:left w:val="nil"/>
              <w:right w:val="nil"/>
            </w:tcBorders>
            <w:shd w:val="clear" w:color="auto" w:fill="auto"/>
            <w:noWrap/>
            <w:hideMark/>
          </w:tcPr>
          <w:p w14:paraId="3D265FCF"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Gender</w:t>
            </w:r>
          </w:p>
          <w:p w14:paraId="043651DC"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 </w:t>
            </w:r>
          </w:p>
        </w:tc>
        <w:tc>
          <w:tcPr>
            <w:tcW w:w="1890" w:type="dxa"/>
            <w:tcBorders>
              <w:top w:val="nil"/>
              <w:left w:val="nil"/>
              <w:bottom w:val="nil"/>
              <w:right w:val="nil"/>
            </w:tcBorders>
            <w:shd w:val="clear" w:color="auto" w:fill="auto"/>
            <w:noWrap/>
            <w:vAlign w:val="bottom"/>
            <w:hideMark/>
          </w:tcPr>
          <w:p w14:paraId="32EF073D"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Male</w:t>
            </w:r>
          </w:p>
        </w:tc>
        <w:tc>
          <w:tcPr>
            <w:tcW w:w="1350" w:type="dxa"/>
            <w:tcBorders>
              <w:top w:val="nil"/>
              <w:left w:val="nil"/>
              <w:bottom w:val="nil"/>
              <w:right w:val="nil"/>
            </w:tcBorders>
            <w:shd w:val="clear" w:color="auto" w:fill="auto"/>
            <w:noWrap/>
            <w:vAlign w:val="center"/>
            <w:hideMark/>
          </w:tcPr>
          <w:p w14:paraId="16F59058"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Reference</w:t>
            </w:r>
          </w:p>
        </w:tc>
        <w:tc>
          <w:tcPr>
            <w:tcW w:w="1053" w:type="dxa"/>
            <w:tcBorders>
              <w:top w:val="nil"/>
              <w:left w:val="nil"/>
              <w:bottom w:val="nil"/>
              <w:right w:val="nil"/>
            </w:tcBorders>
            <w:shd w:val="clear" w:color="auto" w:fill="auto"/>
            <w:noWrap/>
            <w:vAlign w:val="center"/>
            <w:hideMark/>
          </w:tcPr>
          <w:p w14:paraId="65AF49FF" w14:textId="77777777" w:rsidR="00CA0EF0" w:rsidRPr="00361E30" w:rsidRDefault="00CA0EF0" w:rsidP="003C13F4">
            <w:pPr>
              <w:spacing w:after="0" w:line="240" w:lineRule="auto"/>
              <w:jc w:val="center"/>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center"/>
            <w:hideMark/>
          </w:tcPr>
          <w:p w14:paraId="10B6A729" w14:textId="77777777" w:rsidR="00CA0EF0" w:rsidRPr="00361E30" w:rsidRDefault="00CA0EF0" w:rsidP="003C13F4">
            <w:pPr>
              <w:spacing w:after="0" w:line="240" w:lineRule="auto"/>
              <w:jc w:val="center"/>
              <w:rPr>
                <w:rFonts w:ascii="Calibri" w:eastAsia="Times New Roman" w:hAnsi="Calibri" w:cs="Calibri"/>
                <w:color w:val="000000"/>
              </w:rPr>
            </w:pPr>
          </w:p>
        </w:tc>
        <w:tc>
          <w:tcPr>
            <w:tcW w:w="1134" w:type="dxa"/>
            <w:tcBorders>
              <w:top w:val="nil"/>
              <w:left w:val="nil"/>
              <w:bottom w:val="nil"/>
              <w:right w:val="nil"/>
            </w:tcBorders>
            <w:shd w:val="clear" w:color="auto" w:fill="auto"/>
            <w:noWrap/>
            <w:vAlign w:val="center"/>
            <w:hideMark/>
          </w:tcPr>
          <w:p w14:paraId="4A379C79" w14:textId="77777777" w:rsidR="00CA0EF0" w:rsidRPr="00361E30" w:rsidRDefault="00CA0EF0" w:rsidP="003C13F4">
            <w:pPr>
              <w:spacing w:after="0" w:line="240" w:lineRule="auto"/>
              <w:jc w:val="center"/>
              <w:rPr>
                <w:rFonts w:ascii="Calibri" w:eastAsia="Times New Roman" w:hAnsi="Calibri" w:cs="Calibri"/>
                <w:color w:val="000000"/>
              </w:rPr>
            </w:pPr>
          </w:p>
        </w:tc>
      </w:tr>
      <w:tr w:rsidR="00CA0EF0" w:rsidRPr="00361E30" w14:paraId="00644172" w14:textId="77777777" w:rsidTr="003C13F4">
        <w:trPr>
          <w:trHeight w:val="300"/>
        </w:trPr>
        <w:tc>
          <w:tcPr>
            <w:tcW w:w="1818" w:type="dxa"/>
            <w:vMerge/>
            <w:tcBorders>
              <w:left w:val="nil"/>
              <w:right w:val="nil"/>
            </w:tcBorders>
            <w:shd w:val="clear" w:color="auto" w:fill="auto"/>
            <w:noWrap/>
            <w:hideMark/>
          </w:tcPr>
          <w:p w14:paraId="446D66D6"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890" w:type="dxa"/>
            <w:tcBorders>
              <w:top w:val="nil"/>
              <w:left w:val="nil"/>
              <w:bottom w:val="nil"/>
              <w:right w:val="nil"/>
            </w:tcBorders>
            <w:shd w:val="clear" w:color="auto" w:fill="auto"/>
            <w:noWrap/>
            <w:vAlign w:val="bottom"/>
            <w:hideMark/>
          </w:tcPr>
          <w:p w14:paraId="340EF862"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Female</w:t>
            </w:r>
          </w:p>
        </w:tc>
        <w:tc>
          <w:tcPr>
            <w:tcW w:w="1350" w:type="dxa"/>
            <w:tcBorders>
              <w:top w:val="nil"/>
              <w:left w:val="nil"/>
              <w:bottom w:val="nil"/>
              <w:right w:val="nil"/>
            </w:tcBorders>
            <w:shd w:val="clear" w:color="auto" w:fill="auto"/>
            <w:noWrap/>
            <w:vAlign w:val="center"/>
            <w:hideMark/>
          </w:tcPr>
          <w:p w14:paraId="3D5B9CDF"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0.985</w:t>
            </w:r>
          </w:p>
        </w:tc>
        <w:tc>
          <w:tcPr>
            <w:tcW w:w="1053" w:type="dxa"/>
            <w:tcBorders>
              <w:top w:val="nil"/>
              <w:left w:val="nil"/>
              <w:bottom w:val="nil"/>
              <w:right w:val="nil"/>
            </w:tcBorders>
            <w:shd w:val="clear" w:color="auto" w:fill="auto"/>
            <w:noWrap/>
            <w:vAlign w:val="center"/>
            <w:hideMark/>
          </w:tcPr>
          <w:p w14:paraId="7E9DE59C"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0.822</w:t>
            </w:r>
          </w:p>
        </w:tc>
        <w:tc>
          <w:tcPr>
            <w:tcW w:w="1053" w:type="dxa"/>
            <w:tcBorders>
              <w:top w:val="nil"/>
              <w:left w:val="nil"/>
              <w:bottom w:val="nil"/>
              <w:right w:val="nil"/>
            </w:tcBorders>
            <w:shd w:val="clear" w:color="auto" w:fill="auto"/>
            <w:noWrap/>
            <w:vAlign w:val="center"/>
            <w:hideMark/>
          </w:tcPr>
          <w:p w14:paraId="0A7E8045"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1.180</w:t>
            </w:r>
          </w:p>
        </w:tc>
        <w:tc>
          <w:tcPr>
            <w:tcW w:w="1134" w:type="dxa"/>
            <w:tcBorders>
              <w:top w:val="nil"/>
              <w:left w:val="nil"/>
              <w:bottom w:val="nil"/>
              <w:right w:val="nil"/>
            </w:tcBorders>
            <w:shd w:val="clear" w:color="auto" w:fill="auto"/>
            <w:noWrap/>
            <w:vAlign w:val="center"/>
            <w:hideMark/>
          </w:tcPr>
          <w:p w14:paraId="320B8E71"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0.870</w:t>
            </w:r>
          </w:p>
        </w:tc>
      </w:tr>
      <w:tr w:rsidR="00CA0EF0" w:rsidRPr="00361E30" w14:paraId="0F05622E" w14:textId="77777777" w:rsidTr="003C13F4">
        <w:trPr>
          <w:trHeight w:val="300"/>
        </w:trPr>
        <w:tc>
          <w:tcPr>
            <w:tcW w:w="1818" w:type="dxa"/>
            <w:vMerge/>
            <w:tcBorders>
              <w:left w:val="nil"/>
              <w:bottom w:val="single" w:sz="4" w:space="0" w:color="auto"/>
              <w:right w:val="nil"/>
            </w:tcBorders>
            <w:shd w:val="clear" w:color="auto" w:fill="auto"/>
            <w:noWrap/>
            <w:hideMark/>
          </w:tcPr>
          <w:p w14:paraId="212F7554"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890" w:type="dxa"/>
            <w:tcBorders>
              <w:top w:val="nil"/>
              <w:left w:val="nil"/>
              <w:bottom w:val="single" w:sz="4" w:space="0" w:color="auto"/>
              <w:right w:val="nil"/>
            </w:tcBorders>
            <w:shd w:val="clear" w:color="auto" w:fill="auto"/>
            <w:noWrap/>
            <w:vAlign w:val="bottom"/>
            <w:hideMark/>
          </w:tcPr>
          <w:p w14:paraId="34B4D2DC"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 </w:t>
            </w:r>
          </w:p>
        </w:tc>
        <w:tc>
          <w:tcPr>
            <w:tcW w:w="1350" w:type="dxa"/>
            <w:tcBorders>
              <w:top w:val="nil"/>
              <w:left w:val="nil"/>
              <w:bottom w:val="single" w:sz="4" w:space="0" w:color="auto"/>
              <w:right w:val="nil"/>
            </w:tcBorders>
            <w:shd w:val="clear" w:color="auto" w:fill="auto"/>
            <w:noWrap/>
            <w:vAlign w:val="center"/>
            <w:hideMark/>
          </w:tcPr>
          <w:p w14:paraId="180A24C1"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c>
          <w:tcPr>
            <w:tcW w:w="1053" w:type="dxa"/>
            <w:tcBorders>
              <w:top w:val="nil"/>
              <w:left w:val="nil"/>
              <w:bottom w:val="single" w:sz="4" w:space="0" w:color="auto"/>
              <w:right w:val="nil"/>
            </w:tcBorders>
            <w:shd w:val="clear" w:color="auto" w:fill="auto"/>
            <w:noWrap/>
            <w:vAlign w:val="center"/>
            <w:hideMark/>
          </w:tcPr>
          <w:p w14:paraId="5830C9FE"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c>
          <w:tcPr>
            <w:tcW w:w="1053" w:type="dxa"/>
            <w:tcBorders>
              <w:top w:val="nil"/>
              <w:left w:val="nil"/>
              <w:bottom w:val="single" w:sz="4" w:space="0" w:color="auto"/>
              <w:right w:val="nil"/>
            </w:tcBorders>
            <w:shd w:val="clear" w:color="auto" w:fill="auto"/>
            <w:noWrap/>
            <w:vAlign w:val="center"/>
            <w:hideMark/>
          </w:tcPr>
          <w:p w14:paraId="62C1F2DB"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c>
          <w:tcPr>
            <w:tcW w:w="1134" w:type="dxa"/>
            <w:tcBorders>
              <w:top w:val="nil"/>
              <w:left w:val="nil"/>
              <w:bottom w:val="single" w:sz="4" w:space="0" w:color="auto"/>
              <w:right w:val="nil"/>
            </w:tcBorders>
            <w:shd w:val="clear" w:color="auto" w:fill="auto"/>
            <w:noWrap/>
            <w:vAlign w:val="center"/>
            <w:hideMark/>
          </w:tcPr>
          <w:p w14:paraId="458EB6BE"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r>
      <w:tr w:rsidR="00CA0EF0" w:rsidRPr="00361E30" w14:paraId="5066470A" w14:textId="77777777" w:rsidTr="003C13F4">
        <w:trPr>
          <w:trHeight w:val="300"/>
        </w:trPr>
        <w:tc>
          <w:tcPr>
            <w:tcW w:w="1818" w:type="dxa"/>
            <w:vMerge w:val="restart"/>
            <w:tcBorders>
              <w:top w:val="nil"/>
              <w:left w:val="nil"/>
              <w:right w:val="nil"/>
            </w:tcBorders>
            <w:shd w:val="clear" w:color="auto" w:fill="auto"/>
            <w:noWrap/>
            <w:hideMark/>
          </w:tcPr>
          <w:p w14:paraId="5C94394E"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Age/Gender Interaction</w:t>
            </w:r>
          </w:p>
          <w:p w14:paraId="3D6740D3"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 </w:t>
            </w:r>
          </w:p>
        </w:tc>
        <w:tc>
          <w:tcPr>
            <w:tcW w:w="1890" w:type="dxa"/>
            <w:tcBorders>
              <w:top w:val="nil"/>
              <w:left w:val="nil"/>
              <w:bottom w:val="nil"/>
              <w:right w:val="nil"/>
            </w:tcBorders>
            <w:shd w:val="clear" w:color="auto" w:fill="auto"/>
            <w:noWrap/>
            <w:vAlign w:val="bottom"/>
            <w:hideMark/>
          </w:tcPr>
          <w:p w14:paraId="3D2EB02D"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65-74 years#Male</w:t>
            </w:r>
          </w:p>
        </w:tc>
        <w:tc>
          <w:tcPr>
            <w:tcW w:w="1350" w:type="dxa"/>
            <w:tcBorders>
              <w:top w:val="nil"/>
              <w:left w:val="nil"/>
              <w:bottom w:val="nil"/>
              <w:right w:val="nil"/>
            </w:tcBorders>
            <w:shd w:val="clear" w:color="auto" w:fill="auto"/>
            <w:noWrap/>
            <w:vAlign w:val="center"/>
            <w:hideMark/>
          </w:tcPr>
          <w:p w14:paraId="432979CD"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Reference</w:t>
            </w:r>
          </w:p>
        </w:tc>
        <w:tc>
          <w:tcPr>
            <w:tcW w:w="1053" w:type="dxa"/>
            <w:tcBorders>
              <w:top w:val="nil"/>
              <w:left w:val="nil"/>
              <w:bottom w:val="nil"/>
              <w:right w:val="nil"/>
            </w:tcBorders>
            <w:shd w:val="clear" w:color="auto" w:fill="auto"/>
            <w:noWrap/>
            <w:vAlign w:val="center"/>
            <w:hideMark/>
          </w:tcPr>
          <w:p w14:paraId="293283F1" w14:textId="77777777" w:rsidR="00CA0EF0" w:rsidRPr="00361E30" w:rsidRDefault="00CA0EF0" w:rsidP="003C13F4">
            <w:pPr>
              <w:spacing w:after="0" w:line="240" w:lineRule="auto"/>
              <w:jc w:val="center"/>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center"/>
            <w:hideMark/>
          </w:tcPr>
          <w:p w14:paraId="11FC7F8F" w14:textId="77777777" w:rsidR="00CA0EF0" w:rsidRPr="00361E30" w:rsidRDefault="00CA0EF0" w:rsidP="003C13F4">
            <w:pPr>
              <w:spacing w:after="0" w:line="240" w:lineRule="auto"/>
              <w:jc w:val="center"/>
              <w:rPr>
                <w:rFonts w:ascii="Calibri" w:eastAsia="Times New Roman" w:hAnsi="Calibri" w:cs="Calibri"/>
                <w:color w:val="000000"/>
              </w:rPr>
            </w:pPr>
          </w:p>
        </w:tc>
        <w:tc>
          <w:tcPr>
            <w:tcW w:w="1134" w:type="dxa"/>
            <w:tcBorders>
              <w:top w:val="nil"/>
              <w:left w:val="nil"/>
              <w:bottom w:val="nil"/>
              <w:right w:val="nil"/>
            </w:tcBorders>
            <w:shd w:val="clear" w:color="auto" w:fill="auto"/>
            <w:noWrap/>
            <w:vAlign w:val="center"/>
            <w:hideMark/>
          </w:tcPr>
          <w:p w14:paraId="1EB63D9C" w14:textId="77777777" w:rsidR="00CA0EF0" w:rsidRPr="00361E30" w:rsidRDefault="00CA0EF0" w:rsidP="003C13F4">
            <w:pPr>
              <w:spacing w:after="0" w:line="240" w:lineRule="auto"/>
              <w:jc w:val="center"/>
              <w:rPr>
                <w:rFonts w:ascii="Calibri" w:eastAsia="Times New Roman" w:hAnsi="Calibri" w:cs="Calibri"/>
                <w:color w:val="000000"/>
              </w:rPr>
            </w:pPr>
          </w:p>
        </w:tc>
      </w:tr>
      <w:tr w:rsidR="00CA0EF0" w:rsidRPr="00361E30" w14:paraId="62E7ECBD" w14:textId="77777777" w:rsidTr="003C13F4">
        <w:trPr>
          <w:trHeight w:val="300"/>
        </w:trPr>
        <w:tc>
          <w:tcPr>
            <w:tcW w:w="1818" w:type="dxa"/>
            <w:vMerge/>
            <w:tcBorders>
              <w:left w:val="nil"/>
              <w:right w:val="nil"/>
            </w:tcBorders>
            <w:shd w:val="clear" w:color="auto" w:fill="auto"/>
            <w:noWrap/>
            <w:hideMark/>
          </w:tcPr>
          <w:p w14:paraId="7EC01B67"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890" w:type="dxa"/>
            <w:tcBorders>
              <w:top w:val="nil"/>
              <w:left w:val="nil"/>
              <w:bottom w:val="nil"/>
              <w:right w:val="nil"/>
            </w:tcBorders>
            <w:shd w:val="clear" w:color="auto" w:fill="auto"/>
            <w:noWrap/>
            <w:vAlign w:val="bottom"/>
            <w:hideMark/>
          </w:tcPr>
          <w:p w14:paraId="2AE83747"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&gt;75 years#Female</w:t>
            </w:r>
          </w:p>
        </w:tc>
        <w:tc>
          <w:tcPr>
            <w:tcW w:w="1350" w:type="dxa"/>
            <w:tcBorders>
              <w:top w:val="nil"/>
              <w:left w:val="nil"/>
              <w:bottom w:val="nil"/>
              <w:right w:val="nil"/>
            </w:tcBorders>
            <w:shd w:val="clear" w:color="auto" w:fill="auto"/>
            <w:noWrap/>
            <w:vAlign w:val="center"/>
            <w:hideMark/>
          </w:tcPr>
          <w:p w14:paraId="299D782F"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1.311</w:t>
            </w:r>
          </w:p>
        </w:tc>
        <w:tc>
          <w:tcPr>
            <w:tcW w:w="1053" w:type="dxa"/>
            <w:tcBorders>
              <w:top w:val="nil"/>
              <w:left w:val="nil"/>
              <w:bottom w:val="nil"/>
              <w:right w:val="nil"/>
            </w:tcBorders>
            <w:shd w:val="clear" w:color="auto" w:fill="auto"/>
            <w:noWrap/>
            <w:vAlign w:val="center"/>
            <w:hideMark/>
          </w:tcPr>
          <w:p w14:paraId="1918714D"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1.076</w:t>
            </w:r>
          </w:p>
        </w:tc>
        <w:tc>
          <w:tcPr>
            <w:tcW w:w="1053" w:type="dxa"/>
            <w:tcBorders>
              <w:top w:val="nil"/>
              <w:left w:val="nil"/>
              <w:bottom w:val="nil"/>
              <w:right w:val="nil"/>
            </w:tcBorders>
            <w:shd w:val="clear" w:color="auto" w:fill="auto"/>
            <w:noWrap/>
            <w:vAlign w:val="center"/>
            <w:hideMark/>
          </w:tcPr>
          <w:p w14:paraId="59BF62B9"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1.597</w:t>
            </w:r>
          </w:p>
        </w:tc>
        <w:tc>
          <w:tcPr>
            <w:tcW w:w="1134" w:type="dxa"/>
            <w:tcBorders>
              <w:top w:val="nil"/>
              <w:left w:val="nil"/>
              <w:bottom w:val="nil"/>
              <w:right w:val="nil"/>
            </w:tcBorders>
            <w:shd w:val="clear" w:color="auto" w:fill="auto"/>
            <w:noWrap/>
            <w:vAlign w:val="center"/>
            <w:hideMark/>
          </w:tcPr>
          <w:p w14:paraId="1E3B458D"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0.007</w:t>
            </w:r>
          </w:p>
        </w:tc>
      </w:tr>
      <w:tr w:rsidR="00CA0EF0" w:rsidRPr="00361E30" w14:paraId="21BD781A" w14:textId="77777777" w:rsidTr="003C13F4">
        <w:trPr>
          <w:trHeight w:val="300"/>
        </w:trPr>
        <w:tc>
          <w:tcPr>
            <w:tcW w:w="1818" w:type="dxa"/>
            <w:vMerge/>
            <w:tcBorders>
              <w:left w:val="nil"/>
              <w:bottom w:val="single" w:sz="4" w:space="0" w:color="auto"/>
              <w:right w:val="nil"/>
            </w:tcBorders>
            <w:shd w:val="clear" w:color="auto" w:fill="auto"/>
            <w:noWrap/>
            <w:hideMark/>
          </w:tcPr>
          <w:p w14:paraId="7672098A"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890" w:type="dxa"/>
            <w:tcBorders>
              <w:top w:val="nil"/>
              <w:left w:val="nil"/>
              <w:bottom w:val="single" w:sz="4" w:space="0" w:color="auto"/>
              <w:right w:val="nil"/>
            </w:tcBorders>
            <w:shd w:val="clear" w:color="auto" w:fill="auto"/>
            <w:noWrap/>
            <w:vAlign w:val="bottom"/>
            <w:hideMark/>
          </w:tcPr>
          <w:p w14:paraId="0FE4EF24"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 </w:t>
            </w:r>
          </w:p>
        </w:tc>
        <w:tc>
          <w:tcPr>
            <w:tcW w:w="1350" w:type="dxa"/>
            <w:tcBorders>
              <w:top w:val="nil"/>
              <w:left w:val="nil"/>
              <w:bottom w:val="single" w:sz="4" w:space="0" w:color="auto"/>
              <w:right w:val="nil"/>
            </w:tcBorders>
            <w:shd w:val="clear" w:color="auto" w:fill="auto"/>
            <w:noWrap/>
            <w:vAlign w:val="center"/>
            <w:hideMark/>
          </w:tcPr>
          <w:p w14:paraId="5CB7033B"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c>
          <w:tcPr>
            <w:tcW w:w="1053" w:type="dxa"/>
            <w:tcBorders>
              <w:top w:val="nil"/>
              <w:left w:val="nil"/>
              <w:bottom w:val="single" w:sz="4" w:space="0" w:color="auto"/>
              <w:right w:val="nil"/>
            </w:tcBorders>
            <w:shd w:val="clear" w:color="auto" w:fill="auto"/>
            <w:noWrap/>
            <w:vAlign w:val="center"/>
            <w:hideMark/>
          </w:tcPr>
          <w:p w14:paraId="7403CF63"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c>
          <w:tcPr>
            <w:tcW w:w="1053" w:type="dxa"/>
            <w:tcBorders>
              <w:top w:val="nil"/>
              <w:left w:val="nil"/>
              <w:bottom w:val="single" w:sz="4" w:space="0" w:color="auto"/>
              <w:right w:val="nil"/>
            </w:tcBorders>
            <w:shd w:val="clear" w:color="auto" w:fill="auto"/>
            <w:noWrap/>
            <w:vAlign w:val="center"/>
            <w:hideMark/>
          </w:tcPr>
          <w:p w14:paraId="51380AD1"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c>
          <w:tcPr>
            <w:tcW w:w="1134" w:type="dxa"/>
            <w:tcBorders>
              <w:top w:val="nil"/>
              <w:left w:val="nil"/>
              <w:bottom w:val="single" w:sz="4" w:space="0" w:color="auto"/>
              <w:right w:val="nil"/>
            </w:tcBorders>
            <w:shd w:val="clear" w:color="auto" w:fill="auto"/>
            <w:noWrap/>
            <w:vAlign w:val="center"/>
            <w:hideMark/>
          </w:tcPr>
          <w:p w14:paraId="6E03C585"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r>
      <w:tr w:rsidR="00CA0EF0" w:rsidRPr="00361E30" w14:paraId="2E877DAB" w14:textId="77777777" w:rsidTr="003C13F4">
        <w:trPr>
          <w:trHeight w:val="300"/>
        </w:trPr>
        <w:tc>
          <w:tcPr>
            <w:tcW w:w="1818" w:type="dxa"/>
            <w:vMerge w:val="restart"/>
            <w:tcBorders>
              <w:top w:val="nil"/>
              <w:left w:val="nil"/>
              <w:right w:val="nil"/>
            </w:tcBorders>
            <w:shd w:val="clear" w:color="auto" w:fill="auto"/>
            <w:noWrap/>
            <w:hideMark/>
          </w:tcPr>
          <w:p w14:paraId="7CB54FCA"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Charlson Comorbidity Index</w:t>
            </w:r>
          </w:p>
        </w:tc>
        <w:tc>
          <w:tcPr>
            <w:tcW w:w="1890" w:type="dxa"/>
            <w:tcBorders>
              <w:top w:val="nil"/>
              <w:left w:val="nil"/>
              <w:bottom w:val="nil"/>
              <w:right w:val="nil"/>
            </w:tcBorders>
            <w:shd w:val="clear" w:color="auto" w:fill="auto"/>
            <w:noWrap/>
            <w:vAlign w:val="center"/>
            <w:hideMark/>
          </w:tcPr>
          <w:p w14:paraId="52C2EA20"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0</w:t>
            </w:r>
          </w:p>
        </w:tc>
        <w:tc>
          <w:tcPr>
            <w:tcW w:w="1350" w:type="dxa"/>
            <w:tcBorders>
              <w:top w:val="nil"/>
              <w:left w:val="nil"/>
              <w:bottom w:val="nil"/>
              <w:right w:val="nil"/>
            </w:tcBorders>
            <w:shd w:val="clear" w:color="auto" w:fill="auto"/>
            <w:noWrap/>
            <w:vAlign w:val="center"/>
            <w:hideMark/>
          </w:tcPr>
          <w:p w14:paraId="1A9C9D47" w14:textId="77777777" w:rsidR="00CA0EF0" w:rsidRPr="00361E30" w:rsidRDefault="00CA0EF0" w:rsidP="003C13F4">
            <w:pPr>
              <w:spacing w:after="0" w:line="240" w:lineRule="auto"/>
              <w:jc w:val="center"/>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center"/>
            <w:hideMark/>
          </w:tcPr>
          <w:p w14:paraId="054A637F" w14:textId="77777777" w:rsidR="00CA0EF0" w:rsidRPr="00361E30" w:rsidRDefault="00CA0EF0" w:rsidP="003C13F4">
            <w:pPr>
              <w:spacing w:after="0" w:line="240" w:lineRule="auto"/>
              <w:jc w:val="center"/>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center"/>
            <w:hideMark/>
          </w:tcPr>
          <w:p w14:paraId="11D7A32E" w14:textId="77777777" w:rsidR="00CA0EF0" w:rsidRPr="00361E30" w:rsidRDefault="00CA0EF0" w:rsidP="003C13F4">
            <w:pPr>
              <w:spacing w:after="0" w:line="240" w:lineRule="auto"/>
              <w:jc w:val="center"/>
              <w:rPr>
                <w:rFonts w:ascii="Calibri" w:eastAsia="Times New Roman" w:hAnsi="Calibri" w:cs="Calibri"/>
                <w:color w:val="000000"/>
              </w:rPr>
            </w:pPr>
          </w:p>
        </w:tc>
        <w:tc>
          <w:tcPr>
            <w:tcW w:w="1134" w:type="dxa"/>
            <w:tcBorders>
              <w:top w:val="nil"/>
              <w:left w:val="nil"/>
              <w:bottom w:val="nil"/>
              <w:right w:val="nil"/>
            </w:tcBorders>
            <w:shd w:val="clear" w:color="auto" w:fill="auto"/>
            <w:noWrap/>
            <w:vAlign w:val="center"/>
            <w:hideMark/>
          </w:tcPr>
          <w:p w14:paraId="189BDD5A" w14:textId="77777777" w:rsidR="00CA0EF0" w:rsidRPr="00361E30" w:rsidRDefault="00CA0EF0" w:rsidP="003C13F4">
            <w:pPr>
              <w:spacing w:after="0" w:line="240" w:lineRule="auto"/>
              <w:jc w:val="center"/>
              <w:rPr>
                <w:rFonts w:ascii="Calibri" w:eastAsia="Times New Roman" w:hAnsi="Calibri" w:cs="Calibri"/>
                <w:color w:val="000000"/>
              </w:rPr>
            </w:pPr>
          </w:p>
        </w:tc>
      </w:tr>
      <w:tr w:rsidR="00CA0EF0" w:rsidRPr="00361E30" w14:paraId="331E397A" w14:textId="77777777" w:rsidTr="003C13F4">
        <w:trPr>
          <w:trHeight w:val="300"/>
        </w:trPr>
        <w:tc>
          <w:tcPr>
            <w:tcW w:w="1818" w:type="dxa"/>
            <w:vMerge/>
            <w:tcBorders>
              <w:left w:val="nil"/>
              <w:right w:val="nil"/>
            </w:tcBorders>
            <w:shd w:val="clear" w:color="auto" w:fill="auto"/>
            <w:noWrap/>
            <w:hideMark/>
          </w:tcPr>
          <w:p w14:paraId="1EECD6E6"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890" w:type="dxa"/>
            <w:tcBorders>
              <w:top w:val="nil"/>
              <w:left w:val="nil"/>
              <w:bottom w:val="nil"/>
              <w:right w:val="nil"/>
            </w:tcBorders>
            <w:shd w:val="clear" w:color="auto" w:fill="auto"/>
            <w:noWrap/>
            <w:vAlign w:val="center"/>
            <w:hideMark/>
          </w:tcPr>
          <w:p w14:paraId="7EFCFDDB"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1 to 5</w:t>
            </w:r>
          </w:p>
        </w:tc>
        <w:tc>
          <w:tcPr>
            <w:tcW w:w="1350" w:type="dxa"/>
            <w:tcBorders>
              <w:top w:val="nil"/>
              <w:left w:val="nil"/>
              <w:bottom w:val="nil"/>
              <w:right w:val="nil"/>
            </w:tcBorders>
            <w:shd w:val="clear" w:color="auto" w:fill="auto"/>
            <w:noWrap/>
            <w:vAlign w:val="center"/>
            <w:hideMark/>
          </w:tcPr>
          <w:p w14:paraId="4AA3C5A0"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0.594</w:t>
            </w:r>
          </w:p>
        </w:tc>
        <w:tc>
          <w:tcPr>
            <w:tcW w:w="1053" w:type="dxa"/>
            <w:tcBorders>
              <w:top w:val="nil"/>
              <w:left w:val="nil"/>
              <w:bottom w:val="nil"/>
              <w:right w:val="nil"/>
            </w:tcBorders>
            <w:shd w:val="clear" w:color="auto" w:fill="auto"/>
            <w:noWrap/>
            <w:vAlign w:val="center"/>
            <w:hideMark/>
          </w:tcPr>
          <w:p w14:paraId="07E169C3"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0.540</w:t>
            </w:r>
          </w:p>
        </w:tc>
        <w:tc>
          <w:tcPr>
            <w:tcW w:w="1053" w:type="dxa"/>
            <w:tcBorders>
              <w:top w:val="nil"/>
              <w:left w:val="nil"/>
              <w:bottom w:val="nil"/>
              <w:right w:val="nil"/>
            </w:tcBorders>
            <w:shd w:val="clear" w:color="auto" w:fill="auto"/>
            <w:noWrap/>
            <w:vAlign w:val="center"/>
            <w:hideMark/>
          </w:tcPr>
          <w:p w14:paraId="6DA3211F"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0.653</w:t>
            </w:r>
          </w:p>
        </w:tc>
        <w:tc>
          <w:tcPr>
            <w:tcW w:w="1134" w:type="dxa"/>
            <w:tcBorders>
              <w:top w:val="nil"/>
              <w:left w:val="nil"/>
              <w:bottom w:val="nil"/>
              <w:right w:val="nil"/>
            </w:tcBorders>
            <w:shd w:val="clear" w:color="auto" w:fill="auto"/>
            <w:noWrap/>
            <w:vAlign w:val="center"/>
            <w:hideMark/>
          </w:tcPr>
          <w:p w14:paraId="263AA6D0"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267A168A" w14:textId="77777777" w:rsidTr="003C13F4">
        <w:trPr>
          <w:trHeight w:val="300"/>
        </w:trPr>
        <w:tc>
          <w:tcPr>
            <w:tcW w:w="1818" w:type="dxa"/>
            <w:vMerge/>
            <w:tcBorders>
              <w:left w:val="nil"/>
              <w:right w:val="nil"/>
            </w:tcBorders>
            <w:shd w:val="clear" w:color="auto" w:fill="auto"/>
            <w:noWrap/>
            <w:hideMark/>
          </w:tcPr>
          <w:p w14:paraId="298FD4D7"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890" w:type="dxa"/>
            <w:tcBorders>
              <w:top w:val="nil"/>
              <w:left w:val="nil"/>
              <w:bottom w:val="nil"/>
              <w:right w:val="nil"/>
            </w:tcBorders>
            <w:shd w:val="clear" w:color="auto" w:fill="auto"/>
            <w:noWrap/>
            <w:vAlign w:val="center"/>
            <w:hideMark/>
          </w:tcPr>
          <w:p w14:paraId="0DE4F594"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6 to 10</w:t>
            </w:r>
          </w:p>
        </w:tc>
        <w:tc>
          <w:tcPr>
            <w:tcW w:w="1350" w:type="dxa"/>
            <w:tcBorders>
              <w:top w:val="nil"/>
              <w:left w:val="nil"/>
              <w:bottom w:val="nil"/>
              <w:right w:val="nil"/>
            </w:tcBorders>
            <w:shd w:val="clear" w:color="auto" w:fill="auto"/>
            <w:noWrap/>
            <w:vAlign w:val="center"/>
            <w:hideMark/>
          </w:tcPr>
          <w:p w14:paraId="23ADEE75"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0.437</w:t>
            </w:r>
          </w:p>
        </w:tc>
        <w:tc>
          <w:tcPr>
            <w:tcW w:w="1053" w:type="dxa"/>
            <w:tcBorders>
              <w:top w:val="nil"/>
              <w:left w:val="nil"/>
              <w:bottom w:val="nil"/>
              <w:right w:val="nil"/>
            </w:tcBorders>
            <w:shd w:val="clear" w:color="auto" w:fill="auto"/>
            <w:noWrap/>
            <w:vAlign w:val="center"/>
            <w:hideMark/>
          </w:tcPr>
          <w:p w14:paraId="62A1C11D"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0.392</w:t>
            </w:r>
          </w:p>
        </w:tc>
        <w:tc>
          <w:tcPr>
            <w:tcW w:w="1053" w:type="dxa"/>
            <w:tcBorders>
              <w:top w:val="nil"/>
              <w:left w:val="nil"/>
              <w:bottom w:val="nil"/>
              <w:right w:val="nil"/>
            </w:tcBorders>
            <w:shd w:val="clear" w:color="auto" w:fill="auto"/>
            <w:noWrap/>
            <w:vAlign w:val="center"/>
            <w:hideMark/>
          </w:tcPr>
          <w:p w14:paraId="727A61BB"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0.489</w:t>
            </w:r>
          </w:p>
        </w:tc>
        <w:tc>
          <w:tcPr>
            <w:tcW w:w="1134" w:type="dxa"/>
            <w:tcBorders>
              <w:top w:val="nil"/>
              <w:left w:val="nil"/>
              <w:bottom w:val="nil"/>
              <w:right w:val="nil"/>
            </w:tcBorders>
            <w:shd w:val="clear" w:color="auto" w:fill="auto"/>
            <w:noWrap/>
            <w:vAlign w:val="center"/>
            <w:hideMark/>
          </w:tcPr>
          <w:p w14:paraId="5C0427DC"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208273F4" w14:textId="77777777" w:rsidTr="003C13F4">
        <w:trPr>
          <w:trHeight w:val="300"/>
        </w:trPr>
        <w:tc>
          <w:tcPr>
            <w:tcW w:w="1818" w:type="dxa"/>
            <w:vMerge/>
            <w:tcBorders>
              <w:left w:val="nil"/>
              <w:right w:val="nil"/>
            </w:tcBorders>
            <w:shd w:val="clear" w:color="auto" w:fill="auto"/>
            <w:noWrap/>
            <w:hideMark/>
          </w:tcPr>
          <w:p w14:paraId="34BF6A06"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890" w:type="dxa"/>
            <w:tcBorders>
              <w:top w:val="nil"/>
              <w:left w:val="nil"/>
              <w:bottom w:val="nil"/>
              <w:right w:val="nil"/>
            </w:tcBorders>
            <w:shd w:val="clear" w:color="auto" w:fill="auto"/>
            <w:noWrap/>
            <w:vAlign w:val="center"/>
            <w:hideMark/>
          </w:tcPr>
          <w:p w14:paraId="2E53435E"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&gt;10</w:t>
            </w:r>
          </w:p>
        </w:tc>
        <w:tc>
          <w:tcPr>
            <w:tcW w:w="1350" w:type="dxa"/>
            <w:tcBorders>
              <w:top w:val="nil"/>
              <w:left w:val="nil"/>
              <w:bottom w:val="nil"/>
              <w:right w:val="nil"/>
            </w:tcBorders>
            <w:shd w:val="clear" w:color="auto" w:fill="auto"/>
            <w:noWrap/>
            <w:vAlign w:val="center"/>
            <w:hideMark/>
          </w:tcPr>
          <w:p w14:paraId="4B4C4929"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0.300</w:t>
            </w:r>
          </w:p>
        </w:tc>
        <w:tc>
          <w:tcPr>
            <w:tcW w:w="1053" w:type="dxa"/>
            <w:tcBorders>
              <w:top w:val="nil"/>
              <w:left w:val="nil"/>
              <w:bottom w:val="nil"/>
              <w:right w:val="nil"/>
            </w:tcBorders>
            <w:shd w:val="clear" w:color="auto" w:fill="auto"/>
            <w:noWrap/>
            <w:vAlign w:val="center"/>
            <w:hideMark/>
          </w:tcPr>
          <w:p w14:paraId="489F85D5"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0.260</w:t>
            </w:r>
          </w:p>
        </w:tc>
        <w:tc>
          <w:tcPr>
            <w:tcW w:w="1053" w:type="dxa"/>
            <w:tcBorders>
              <w:top w:val="nil"/>
              <w:left w:val="nil"/>
              <w:bottom w:val="nil"/>
              <w:right w:val="nil"/>
            </w:tcBorders>
            <w:shd w:val="clear" w:color="auto" w:fill="auto"/>
            <w:noWrap/>
            <w:vAlign w:val="center"/>
            <w:hideMark/>
          </w:tcPr>
          <w:p w14:paraId="2ADE1159"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0.346</w:t>
            </w:r>
          </w:p>
        </w:tc>
        <w:tc>
          <w:tcPr>
            <w:tcW w:w="1134" w:type="dxa"/>
            <w:tcBorders>
              <w:top w:val="nil"/>
              <w:left w:val="nil"/>
              <w:bottom w:val="nil"/>
              <w:right w:val="nil"/>
            </w:tcBorders>
            <w:shd w:val="clear" w:color="auto" w:fill="auto"/>
            <w:noWrap/>
            <w:vAlign w:val="center"/>
            <w:hideMark/>
          </w:tcPr>
          <w:p w14:paraId="244C5C6C"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78A5D364" w14:textId="77777777" w:rsidTr="003C13F4">
        <w:trPr>
          <w:trHeight w:val="300"/>
        </w:trPr>
        <w:tc>
          <w:tcPr>
            <w:tcW w:w="1818" w:type="dxa"/>
            <w:vMerge/>
            <w:tcBorders>
              <w:left w:val="nil"/>
              <w:bottom w:val="nil"/>
              <w:right w:val="nil"/>
            </w:tcBorders>
            <w:shd w:val="clear" w:color="auto" w:fill="auto"/>
            <w:noWrap/>
            <w:hideMark/>
          </w:tcPr>
          <w:p w14:paraId="47A70D84"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890" w:type="dxa"/>
            <w:tcBorders>
              <w:top w:val="nil"/>
              <w:left w:val="nil"/>
              <w:bottom w:val="nil"/>
              <w:right w:val="nil"/>
            </w:tcBorders>
            <w:shd w:val="clear" w:color="auto" w:fill="auto"/>
            <w:noWrap/>
            <w:vAlign w:val="center"/>
            <w:hideMark/>
          </w:tcPr>
          <w:p w14:paraId="6EBE4B6E"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Not recorded</w:t>
            </w:r>
          </w:p>
        </w:tc>
        <w:tc>
          <w:tcPr>
            <w:tcW w:w="1350" w:type="dxa"/>
            <w:tcBorders>
              <w:top w:val="nil"/>
              <w:left w:val="nil"/>
              <w:bottom w:val="nil"/>
              <w:right w:val="nil"/>
            </w:tcBorders>
            <w:shd w:val="clear" w:color="auto" w:fill="auto"/>
            <w:noWrap/>
            <w:vAlign w:val="center"/>
            <w:hideMark/>
          </w:tcPr>
          <w:p w14:paraId="1560A9EF"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0.548</w:t>
            </w:r>
          </w:p>
        </w:tc>
        <w:tc>
          <w:tcPr>
            <w:tcW w:w="1053" w:type="dxa"/>
            <w:tcBorders>
              <w:top w:val="nil"/>
              <w:left w:val="nil"/>
              <w:bottom w:val="nil"/>
              <w:right w:val="nil"/>
            </w:tcBorders>
            <w:shd w:val="clear" w:color="auto" w:fill="auto"/>
            <w:noWrap/>
            <w:vAlign w:val="center"/>
            <w:hideMark/>
          </w:tcPr>
          <w:p w14:paraId="3863E9C0"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0.468</w:t>
            </w:r>
          </w:p>
        </w:tc>
        <w:tc>
          <w:tcPr>
            <w:tcW w:w="1053" w:type="dxa"/>
            <w:tcBorders>
              <w:top w:val="nil"/>
              <w:left w:val="nil"/>
              <w:bottom w:val="nil"/>
              <w:right w:val="nil"/>
            </w:tcBorders>
            <w:shd w:val="clear" w:color="auto" w:fill="auto"/>
            <w:noWrap/>
            <w:vAlign w:val="center"/>
            <w:hideMark/>
          </w:tcPr>
          <w:p w14:paraId="6C0B3FDE"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0.641</w:t>
            </w:r>
          </w:p>
        </w:tc>
        <w:tc>
          <w:tcPr>
            <w:tcW w:w="1134" w:type="dxa"/>
            <w:tcBorders>
              <w:top w:val="nil"/>
              <w:left w:val="nil"/>
              <w:bottom w:val="nil"/>
              <w:right w:val="nil"/>
            </w:tcBorders>
            <w:shd w:val="clear" w:color="auto" w:fill="auto"/>
            <w:noWrap/>
            <w:vAlign w:val="center"/>
            <w:hideMark/>
          </w:tcPr>
          <w:p w14:paraId="069E0EAE"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2BDA5B32" w14:textId="77777777" w:rsidTr="003C13F4">
        <w:trPr>
          <w:trHeight w:val="300"/>
        </w:trPr>
        <w:tc>
          <w:tcPr>
            <w:tcW w:w="1818" w:type="dxa"/>
            <w:tcBorders>
              <w:top w:val="nil"/>
              <w:left w:val="nil"/>
              <w:bottom w:val="single" w:sz="4" w:space="0" w:color="auto"/>
              <w:right w:val="nil"/>
            </w:tcBorders>
            <w:shd w:val="clear" w:color="auto" w:fill="auto"/>
            <w:noWrap/>
            <w:hideMark/>
          </w:tcPr>
          <w:p w14:paraId="0CABADA6"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 </w:t>
            </w:r>
          </w:p>
        </w:tc>
        <w:tc>
          <w:tcPr>
            <w:tcW w:w="1890" w:type="dxa"/>
            <w:tcBorders>
              <w:top w:val="nil"/>
              <w:left w:val="nil"/>
              <w:bottom w:val="single" w:sz="4" w:space="0" w:color="auto"/>
              <w:right w:val="nil"/>
            </w:tcBorders>
            <w:shd w:val="clear" w:color="auto" w:fill="auto"/>
            <w:noWrap/>
            <w:vAlign w:val="bottom"/>
            <w:hideMark/>
          </w:tcPr>
          <w:p w14:paraId="313178C5"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 </w:t>
            </w:r>
          </w:p>
        </w:tc>
        <w:tc>
          <w:tcPr>
            <w:tcW w:w="1350" w:type="dxa"/>
            <w:tcBorders>
              <w:top w:val="nil"/>
              <w:left w:val="nil"/>
              <w:bottom w:val="single" w:sz="4" w:space="0" w:color="auto"/>
              <w:right w:val="nil"/>
            </w:tcBorders>
            <w:shd w:val="clear" w:color="auto" w:fill="auto"/>
            <w:noWrap/>
            <w:vAlign w:val="center"/>
            <w:hideMark/>
          </w:tcPr>
          <w:p w14:paraId="51F2F1A3"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c>
          <w:tcPr>
            <w:tcW w:w="1053" w:type="dxa"/>
            <w:tcBorders>
              <w:top w:val="nil"/>
              <w:left w:val="nil"/>
              <w:bottom w:val="single" w:sz="4" w:space="0" w:color="auto"/>
              <w:right w:val="nil"/>
            </w:tcBorders>
            <w:shd w:val="clear" w:color="auto" w:fill="auto"/>
            <w:noWrap/>
            <w:vAlign w:val="center"/>
            <w:hideMark/>
          </w:tcPr>
          <w:p w14:paraId="702CCC69"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c>
          <w:tcPr>
            <w:tcW w:w="1053" w:type="dxa"/>
            <w:tcBorders>
              <w:top w:val="nil"/>
              <w:left w:val="nil"/>
              <w:bottom w:val="single" w:sz="4" w:space="0" w:color="auto"/>
              <w:right w:val="nil"/>
            </w:tcBorders>
            <w:shd w:val="clear" w:color="auto" w:fill="auto"/>
            <w:noWrap/>
            <w:vAlign w:val="center"/>
            <w:hideMark/>
          </w:tcPr>
          <w:p w14:paraId="01AABBF4"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c>
          <w:tcPr>
            <w:tcW w:w="1134" w:type="dxa"/>
            <w:tcBorders>
              <w:top w:val="nil"/>
              <w:left w:val="nil"/>
              <w:bottom w:val="single" w:sz="4" w:space="0" w:color="auto"/>
              <w:right w:val="nil"/>
            </w:tcBorders>
            <w:shd w:val="clear" w:color="auto" w:fill="auto"/>
            <w:noWrap/>
            <w:vAlign w:val="center"/>
            <w:hideMark/>
          </w:tcPr>
          <w:p w14:paraId="0DF93106"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r>
      <w:tr w:rsidR="00CA0EF0" w:rsidRPr="00361E30" w14:paraId="14B936AF" w14:textId="77777777" w:rsidTr="003C13F4">
        <w:trPr>
          <w:trHeight w:val="300"/>
        </w:trPr>
        <w:tc>
          <w:tcPr>
            <w:tcW w:w="1818" w:type="dxa"/>
            <w:vMerge w:val="restart"/>
            <w:tcBorders>
              <w:top w:val="nil"/>
              <w:left w:val="nil"/>
              <w:right w:val="nil"/>
            </w:tcBorders>
            <w:shd w:val="clear" w:color="auto" w:fill="auto"/>
            <w:noWrap/>
            <w:hideMark/>
          </w:tcPr>
          <w:p w14:paraId="72E9577D"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Injury Severity Score</w:t>
            </w:r>
          </w:p>
          <w:p w14:paraId="7CCE5DCD"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 </w:t>
            </w:r>
          </w:p>
        </w:tc>
        <w:tc>
          <w:tcPr>
            <w:tcW w:w="1890" w:type="dxa"/>
            <w:tcBorders>
              <w:top w:val="nil"/>
              <w:left w:val="nil"/>
              <w:bottom w:val="nil"/>
              <w:right w:val="nil"/>
            </w:tcBorders>
            <w:shd w:val="clear" w:color="auto" w:fill="auto"/>
            <w:noWrap/>
            <w:vAlign w:val="bottom"/>
            <w:hideMark/>
          </w:tcPr>
          <w:p w14:paraId="13F18A5F"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IISS__1</w:t>
            </w:r>
          </w:p>
        </w:tc>
        <w:tc>
          <w:tcPr>
            <w:tcW w:w="1350" w:type="dxa"/>
            <w:tcBorders>
              <w:top w:val="nil"/>
              <w:left w:val="nil"/>
              <w:bottom w:val="nil"/>
              <w:right w:val="nil"/>
            </w:tcBorders>
            <w:shd w:val="clear" w:color="auto" w:fill="auto"/>
            <w:noWrap/>
            <w:vAlign w:val="center"/>
            <w:hideMark/>
          </w:tcPr>
          <w:p w14:paraId="34560C98"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0.482</w:t>
            </w:r>
          </w:p>
        </w:tc>
        <w:tc>
          <w:tcPr>
            <w:tcW w:w="1053" w:type="dxa"/>
            <w:tcBorders>
              <w:top w:val="nil"/>
              <w:left w:val="nil"/>
              <w:bottom w:val="nil"/>
              <w:right w:val="nil"/>
            </w:tcBorders>
            <w:shd w:val="clear" w:color="auto" w:fill="auto"/>
            <w:noWrap/>
            <w:vAlign w:val="center"/>
            <w:hideMark/>
          </w:tcPr>
          <w:p w14:paraId="642DF1E4"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0.453</w:t>
            </w:r>
          </w:p>
        </w:tc>
        <w:tc>
          <w:tcPr>
            <w:tcW w:w="1053" w:type="dxa"/>
            <w:tcBorders>
              <w:top w:val="nil"/>
              <w:left w:val="nil"/>
              <w:bottom w:val="nil"/>
              <w:right w:val="nil"/>
            </w:tcBorders>
            <w:shd w:val="clear" w:color="auto" w:fill="auto"/>
            <w:noWrap/>
            <w:vAlign w:val="center"/>
            <w:hideMark/>
          </w:tcPr>
          <w:p w14:paraId="51A5AD64"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0.512</w:t>
            </w:r>
          </w:p>
        </w:tc>
        <w:tc>
          <w:tcPr>
            <w:tcW w:w="1134" w:type="dxa"/>
            <w:tcBorders>
              <w:top w:val="nil"/>
              <w:left w:val="nil"/>
              <w:bottom w:val="nil"/>
              <w:right w:val="nil"/>
            </w:tcBorders>
            <w:shd w:val="clear" w:color="auto" w:fill="auto"/>
            <w:noWrap/>
            <w:vAlign w:val="center"/>
            <w:hideMark/>
          </w:tcPr>
          <w:p w14:paraId="5BF9AEF1"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43BA908A" w14:textId="77777777" w:rsidTr="003C13F4">
        <w:trPr>
          <w:trHeight w:val="300"/>
        </w:trPr>
        <w:tc>
          <w:tcPr>
            <w:tcW w:w="1818" w:type="dxa"/>
            <w:vMerge/>
            <w:tcBorders>
              <w:left w:val="nil"/>
              <w:right w:val="nil"/>
            </w:tcBorders>
            <w:shd w:val="clear" w:color="auto" w:fill="auto"/>
            <w:noWrap/>
            <w:hideMark/>
          </w:tcPr>
          <w:p w14:paraId="207396F7"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890" w:type="dxa"/>
            <w:tcBorders>
              <w:top w:val="nil"/>
              <w:left w:val="nil"/>
              <w:bottom w:val="nil"/>
              <w:right w:val="nil"/>
            </w:tcBorders>
            <w:shd w:val="clear" w:color="auto" w:fill="auto"/>
            <w:noWrap/>
            <w:vAlign w:val="bottom"/>
            <w:hideMark/>
          </w:tcPr>
          <w:p w14:paraId="0D734ED6"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IISS__2</w:t>
            </w:r>
          </w:p>
        </w:tc>
        <w:tc>
          <w:tcPr>
            <w:tcW w:w="1350" w:type="dxa"/>
            <w:tcBorders>
              <w:top w:val="nil"/>
              <w:left w:val="nil"/>
              <w:bottom w:val="nil"/>
              <w:right w:val="nil"/>
            </w:tcBorders>
            <w:shd w:val="clear" w:color="auto" w:fill="auto"/>
            <w:noWrap/>
            <w:vAlign w:val="center"/>
            <w:hideMark/>
          </w:tcPr>
          <w:p w14:paraId="1BA417B3"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1.006</w:t>
            </w:r>
          </w:p>
        </w:tc>
        <w:tc>
          <w:tcPr>
            <w:tcW w:w="1053" w:type="dxa"/>
            <w:tcBorders>
              <w:top w:val="nil"/>
              <w:left w:val="nil"/>
              <w:bottom w:val="nil"/>
              <w:right w:val="nil"/>
            </w:tcBorders>
            <w:shd w:val="clear" w:color="auto" w:fill="auto"/>
            <w:noWrap/>
            <w:vAlign w:val="center"/>
            <w:hideMark/>
          </w:tcPr>
          <w:p w14:paraId="012DEB19"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1.004</w:t>
            </w:r>
          </w:p>
        </w:tc>
        <w:tc>
          <w:tcPr>
            <w:tcW w:w="1053" w:type="dxa"/>
            <w:tcBorders>
              <w:top w:val="nil"/>
              <w:left w:val="nil"/>
              <w:bottom w:val="nil"/>
              <w:right w:val="nil"/>
            </w:tcBorders>
            <w:shd w:val="clear" w:color="auto" w:fill="auto"/>
            <w:noWrap/>
            <w:vAlign w:val="center"/>
            <w:hideMark/>
          </w:tcPr>
          <w:p w14:paraId="59A0D2FB"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1.009</w:t>
            </w:r>
          </w:p>
        </w:tc>
        <w:tc>
          <w:tcPr>
            <w:tcW w:w="1134" w:type="dxa"/>
            <w:tcBorders>
              <w:top w:val="nil"/>
              <w:left w:val="nil"/>
              <w:bottom w:val="nil"/>
              <w:right w:val="nil"/>
            </w:tcBorders>
            <w:shd w:val="clear" w:color="auto" w:fill="auto"/>
            <w:noWrap/>
            <w:vAlign w:val="center"/>
            <w:hideMark/>
          </w:tcPr>
          <w:p w14:paraId="09CACA2B"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77252CC4" w14:textId="77777777" w:rsidTr="003C13F4">
        <w:trPr>
          <w:trHeight w:val="300"/>
        </w:trPr>
        <w:tc>
          <w:tcPr>
            <w:tcW w:w="1818" w:type="dxa"/>
            <w:vMerge/>
            <w:tcBorders>
              <w:left w:val="nil"/>
              <w:bottom w:val="single" w:sz="4" w:space="0" w:color="auto"/>
              <w:right w:val="nil"/>
            </w:tcBorders>
            <w:shd w:val="clear" w:color="auto" w:fill="auto"/>
            <w:noWrap/>
            <w:hideMark/>
          </w:tcPr>
          <w:p w14:paraId="6747CB75"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890" w:type="dxa"/>
            <w:tcBorders>
              <w:top w:val="nil"/>
              <w:left w:val="nil"/>
              <w:bottom w:val="single" w:sz="4" w:space="0" w:color="auto"/>
              <w:right w:val="nil"/>
            </w:tcBorders>
            <w:shd w:val="clear" w:color="auto" w:fill="auto"/>
            <w:noWrap/>
            <w:vAlign w:val="bottom"/>
            <w:hideMark/>
          </w:tcPr>
          <w:p w14:paraId="485532BA"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 </w:t>
            </w:r>
          </w:p>
        </w:tc>
        <w:tc>
          <w:tcPr>
            <w:tcW w:w="1350" w:type="dxa"/>
            <w:tcBorders>
              <w:top w:val="nil"/>
              <w:left w:val="nil"/>
              <w:bottom w:val="single" w:sz="4" w:space="0" w:color="auto"/>
              <w:right w:val="nil"/>
            </w:tcBorders>
            <w:shd w:val="clear" w:color="auto" w:fill="auto"/>
            <w:noWrap/>
            <w:vAlign w:val="center"/>
            <w:hideMark/>
          </w:tcPr>
          <w:p w14:paraId="0787E0A4"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c>
          <w:tcPr>
            <w:tcW w:w="1053" w:type="dxa"/>
            <w:tcBorders>
              <w:top w:val="nil"/>
              <w:left w:val="nil"/>
              <w:bottom w:val="single" w:sz="4" w:space="0" w:color="auto"/>
              <w:right w:val="nil"/>
            </w:tcBorders>
            <w:shd w:val="clear" w:color="auto" w:fill="auto"/>
            <w:noWrap/>
            <w:vAlign w:val="center"/>
            <w:hideMark/>
          </w:tcPr>
          <w:p w14:paraId="02C1A99B"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c>
          <w:tcPr>
            <w:tcW w:w="1053" w:type="dxa"/>
            <w:tcBorders>
              <w:top w:val="nil"/>
              <w:left w:val="nil"/>
              <w:bottom w:val="single" w:sz="4" w:space="0" w:color="auto"/>
              <w:right w:val="nil"/>
            </w:tcBorders>
            <w:shd w:val="clear" w:color="auto" w:fill="auto"/>
            <w:noWrap/>
            <w:vAlign w:val="center"/>
            <w:hideMark/>
          </w:tcPr>
          <w:p w14:paraId="5A94515C"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c>
          <w:tcPr>
            <w:tcW w:w="1134" w:type="dxa"/>
            <w:tcBorders>
              <w:top w:val="nil"/>
              <w:left w:val="nil"/>
              <w:bottom w:val="single" w:sz="4" w:space="0" w:color="auto"/>
              <w:right w:val="nil"/>
            </w:tcBorders>
            <w:shd w:val="clear" w:color="auto" w:fill="auto"/>
            <w:noWrap/>
            <w:vAlign w:val="center"/>
            <w:hideMark/>
          </w:tcPr>
          <w:p w14:paraId="07021D28"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r>
      <w:tr w:rsidR="00CA0EF0" w:rsidRPr="00361E30" w14:paraId="3A914B2E" w14:textId="77777777" w:rsidTr="003C13F4">
        <w:trPr>
          <w:trHeight w:val="300"/>
        </w:trPr>
        <w:tc>
          <w:tcPr>
            <w:tcW w:w="1818" w:type="dxa"/>
            <w:vMerge w:val="restart"/>
            <w:tcBorders>
              <w:top w:val="nil"/>
              <w:left w:val="nil"/>
              <w:right w:val="nil"/>
            </w:tcBorders>
            <w:shd w:val="clear" w:color="auto" w:fill="auto"/>
            <w:noWrap/>
            <w:hideMark/>
          </w:tcPr>
          <w:p w14:paraId="683365F8" w14:textId="77777777" w:rsidR="00CA0EF0" w:rsidRPr="00361E30" w:rsidRDefault="00261115"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Gla</w:t>
            </w:r>
            <w:r w:rsidR="00CA0EF0" w:rsidRPr="00361E30">
              <w:rPr>
                <w:rFonts w:ascii="Calibri" w:eastAsia="Times New Roman" w:hAnsi="Calibri" w:cs="Calibri"/>
                <w:b/>
                <w:bCs/>
                <w:color w:val="000000"/>
              </w:rPr>
              <w:t>sgow Coma Score (GCS)</w:t>
            </w:r>
          </w:p>
        </w:tc>
        <w:tc>
          <w:tcPr>
            <w:tcW w:w="1890" w:type="dxa"/>
            <w:tcBorders>
              <w:top w:val="nil"/>
              <w:left w:val="nil"/>
              <w:bottom w:val="nil"/>
              <w:right w:val="nil"/>
            </w:tcBorders>
            <w:shd w:val="clear" w:color="auto" w:fill="auto"/>
            <w:noWrap/>
            <w:vAlign w:val="center"/>
            <w:hideMark/>
          </w:tcPr>
          <w:p w14:paraId="16DBC439"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15</w:t>
            </w:r>
          </w:p>
        </w:tc>
        <w:tc>
          <w:tcPr>
            <w:tcW w:w="1350" w:type="dxa"/>
            <w:tcBorders>
              <w:top w:val="nil"/>
              <w:left w:val="nil"/>
              <w:bottom w:val="nil"/>
              <w:right w:val="nil"/>
            </w:tcBorders>
            <w:shd w:val="clear" w:color="auto" w:fill="auto"/>
            <w:noWrap/>
            <w:vAlign w:val="center"/>
            <w:hideMark/>
          </w:tcPr>
          <w:p w14:paraId="08036C1E" w14:textId="77777777" w:rsidR="00CA0EF0" w:rsidRPr="00361E30" w:rsidRDefault="00CA0EF0" w:rsidP="003C13F4">
            <w:pPr>
              <w:spacing w:after="0" w:line="240" w:lineRule="auto"/>
              <w:jc w:val="center"/>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center"/>
            <w:hideMark/>
          </w:tcPr>
          <w:p w14:paraId="0657713A" w14:textId="77777777" w:rsidR="00CA0EF0" w:rsidRPr="00361E30" w:rsidRDefault="00CA0EF0" w:rsidP="003C13F4">
            <w:pPr>
              <w:spacing w:after="0" w:line="240" w:lineRule="auto"/>
              <w:jc w:val="center"/>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center"/>
            <w:hideMark/>
          </w:tcPr>
          <w:p w14:paraId="639F65A1" w14:textId="77777777" w:rsidR="00CA0EF0" w:rsidRPr="00361E30" w:rsidRDefault="00CA0EF0" w:rsidP="003C13F4">
            <w:pPr>
              <w:spacing w:after="0" w:line="240" w:lineRule="auto"/>
              <w:jc w:val="center"/>
              <w:rPr>
                <w:rFonts w:ascii="Calibri" w:eastAsia="Times New Roman" w:hAnsi="Calibri" w:cs="Calibri"/>
                <w:color w:val="000000"/>
              </w:rPr>
            </w:pPr>
          </w:p>
        </w:tc>
        <w:tc>
          <w:tcPr>
            <w:tcW w:w="1134" w:type="dxa"/>
            <w:tcBorders>
              <w:top w:val="nil"/>
              <w:left w:val="nil"/>
              <w:bottom w:val="nil"/>
              <w:right w:val="nil"/>
            </w:tcBorders>
            <w:shd w:val="clear" w:color="auto" w:fill="auto"/>
            <w:noWrap/>
            <w:vAlign w:val="center"/>
            <w:hideMark/>
          </w:tcPr>
          <w:p w14:paraId="750ACE17" w14:textId="77777777" w:rsidR="00CA0EF0" w:rsidRPr="00361E30" w:rsidRDefault="00CA0EF0" w:rsidP="003C13F4">
            <w:pPr>
              <w:spacing w:after="0" w:line="240" w:lineRule="auto"/>
              <w:jc w:val="center"/>
              <w:rPr>
                <w:rFonts w:ascii="Calibri" w:eastAsia="Times New Roman" w:hAnsi="Calibri" w:cs="Calibri"/>
                <w:color w:val="000000"/>
              </w:rPr>
            </w:pPr>
          </w:p>
        </w:tc>
      </w:tr>
      <w:tr w:rsidR="00CA0EF0" w:rsidRPr="00361E30" w14:paraId="724F157D" w14:textId="77777777" w:rsidTr="003C13F4">
        <w:trPr>
          <w:trHeight w:val="300"/>
        </w:trPr>
        <w:tc>
          <w:tcPr>
            <w:tcW w:w="1818" w:type="dxa"/>
            <w:vMerge/>
            <w:tcBorders>
              <w:left w:val="nil"/>
              <w:right w:val="nil"/>
            </w:tcBorders>
            <w:shd w:val="clear" w:color="auto" w:fill="auto"/>
            <w:noWrap/>
            <w:hideMark/>
          </w:tcPr>
          <w:p w14:paraId="72FE033E"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890" w:type="dxa"/>
            <w:tcBorders>
              <w:top w:val="nil"/>
              <w:left w:val="nil"/>
              <w:bottom w:val="nil"/>
              <w:right w:val="nil"/>
            </w:tcBorders>
            <w:shd w:val="clear" w:color="auto" w:fill="auto"/>
            <w:noWrap/>
            <w:vAlign w:val="center"/>
            <w:hideMark/>
          </w:tcPr>
          <w:p w14:paraId="15CF5212"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13 to 14</w:t>
            </w:r>
          </w:p>
        </w:tc>
        <w:tc>
          <w:tcPr>
            <w:tcW w:w="1350" w:type="dxa"/>
            <w:tcBorders>
              <w:top w:val="nil"/>
              <w:left w:val="nil"/>
              <w:bottom w:val="nil"/>
              <w:right w:val="nil"/>
            </w:tcBorders>
            <w:shd w:val="clear" w:color="auto" w:fill="auto"/>
            <w:noWrap/>
            <w:vAlign w:val="center"/>
            <w:hideMark/>
          </w:tcPr>
          <w:p w14:paraId="4D8C296C"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0.595</w:t>
            </w:r>
          </w:p>
        </w:tc>
        <w:tc>
          <w:tcPr>
            <w:tcW w:w="1053" w:type="dxa"/>
            <w:tcBorders>
              <w:top w:val="nil"/>
              <w:left w:val="nil"/>
              <w:bottom w:val="nil"/>
              <w:right w:val="nil"/>
            </w:tcBorders>
            <w:shd w:val="clear" w:color="auto" w:fill="auto"/>
            <w:noWrap/>
            <w:vAlign w:val="center"/>
            <w:hideMark/>
          </w:tcPr>
          <w:p w14:paraId="151DE682"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0.543</w:t>
            </w:r>
          </w:p>
        </w:tc>
        <w:tc>
          <w:tcPr>
            <w:tcW w:w="1053" w:type="dxa"/>
            <w:tcBorders>
              <w:top w:val="nil"/>
              <w:left w:val="nil"/>
              <w:bottom w:val="nil"/>
              <w:right w:val="nil"/>
            </w:tcBorders>
            <w:shd w:val="clear" w:color="auto" w:fill="auto"/>
            <w:noWrap/>
            <w:vAlign w:val="center"/>
            <w:hideMark/>
          </w:tcPr>
          <w:p w14:paraId="3720CDA3"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0.652</w:t>
            </w:r>
          </w:p>
        </w:tc>
        <w:tc>
          <w:tcPr>
            <w:tcW w:w="1134" w:type="dxa"/>
            <w:tcBorders>
              <w:top w:val="nil"/>
              <w:left w:val="nil"/>
              <w:bottom w:val="nil"/>
              <w:right w:val="nil"/>
            </w:tcBorders>
            <w:shd w:val="clear" w:color="auto" w:fill="auto"/>
            <w:noWrap/>
            <w:vAlign w:val="center"/>
            <w:hideMark/>
          </w:tcPr>
          <w:p w14:paraId="007DB9D7"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7C08BC01" w14:textId="77777777" w:rsidTr="003C13F4">
        <w:trPr>
          <w:trHeight w:val="300"/>
        </w:trPr>
        <w:tc>
          <w:tcPr>
            <w:tcW w:w="1818" w:type="dxa"/>
            <w:vMerge/>
            <w:tcBorders>
              <w:left w:val="nil"/>
              <w:right w:val="nil"/>
            </w:tcBorders>
            <w:shd w:val="clear" w:color="auto" w:fill="auto"/>
            <w:noWrap/>
            <w:hideMark/>
          </w:tcPr>
          <w:p w14:paraId="5EF858F1"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890" w:type="dxa"/>
            <w:tcBorders>
              <w:top w:val="nil"/>
              <w:left w:val="nil"/>
              <w:bottom w:val="nil"/>
              <w:right w:val="nil"/>
            </w:tcBorders>
            <w:shd w:val="clear" w:color="auto" w:fill="auto"/>
            <w:noWrap/>
            <w:vAlign w:val="center"/>
            <w:hideMark/>
          </w:tcPr>
          <w:p w14:paraId="7878F694"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9 to 12</w:t>
            </w:r>
          </w:p>
        </w:tc>
        <w:tc>
          <w:tcPr>
            <w:tcW w:w="1350" w:type="dxa"/>
            <w:tcBorders>
              <w:top w:val="nil"/>
              <w:left w:val="nil"/>
              <w:bottom w:val="nil"/>
              <w:right w:val="nil"/>
            </w:tcBorders>
            <w:shd w:val="clear" w:color="auto" w:fill="auto"/>
            <w:noWrap/>
            <w:vAlign w:val="center"/>
            <w:hideMark/>
          </w:tcPr>
          <w:p w14:paraId="53989495"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0.204</w:t>
            </w:r>
          </w:p>
        </w:tc>
        <w:tc>
          <w:tcPr>
            <w:tcW w:w="1053" w:type="dxa"/>
            <w:tcBorders>
              <w:top w:val="nil"/>
              <w:left w:val="nil"/>
              <w:bottom w:val="nil"/>
              <w:right w:val="nil"/>
            </w:tcBorders>
            <w:shd w:val="clear" w:color="auto" w:fill="auto"/>
            <w:noWrap/>
            <w:vAlign w:val="center"/>
            <w:hideMark/>
          </w:tcPr>
          <w:p w14:paraId="1F890C0C"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0.177</w:t>
            </w:r>
          </w:p>
        </w:tc>
        <w:tc>
          <w:tcPr>
            <w:tcW w:w="1053" w:type="dxa"/>
            <w:tcBorders>
              <w:top w:val="nil"/>
              <w:left w:val="nil"/>
              <w:bottom w:val="nil"/>
              <w:right w:val="nil"/>
            </w:tcBorders>
            <w:shd w:val="clear" w:color="auto" w:fill="auto"/>
            <w:noWrap/>
            <w:vAlign w:val="center"/>
            <w:hideMark/>
          </w:tcPr>
          <w:p w14:paraId="679FDBC2"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0.235</w:t>
            </w:r>
          </w:p>
        </w:tc>
        <w:tc>
          <w:tcPr>
            <w:tcW w:w="1134" w:type="dxa"/>
            <w:tcBorders>
              <w:top w:val="nil"/>
              <w:left w:val="nil"/>
              <w:bottom w:val="nil"/>
              <w:right w:val="nil"/>
            </w:tcBorders>
            <w:shd w:val="clear" w:color="auto" w:fill="auto"/>
            <w:noWrap/>
            <w:vAlign w:val="center"/>
            <w:hideMark/>
          </w:tcPr>
          <w:p w14:paraId="7ABE928A"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58DD5A2B" w14:textId="77777777" w:rsidTr="003C13F4">
        <w:trPr>
          <w:trHeight w:val="300"/>
        </w:trPr>
        <w:tc>
          <w:tcPr>
            <w:tcW w:w="1818" w:type="dxa"/>
            <w:vMerge/>
            <w:tcBorders>
              <w:left w:val="nil"/>
              <w:right w:val="nil"/>
            </w:tcBorders>
            <w:shd w:val="clear" w:color="auto" w:fill="auto"/>
            <w:noWrap/>
            <w:hideMark/>
          </w:tcPr>
          <w:p w14:paraId="76216693"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890" w:type="dxa"/>
            <w:tcBorders>
              <w:top w:val="nil"/>
              <w:left w:val="nil"/>
              <w:bottom w:val="nil"/>
              <w:right w:val="nil"/>
            </w:tcBorders>
            <w:shd w:val="clear" w:color="auto" w:fill="auto"/>
            <w:noWrap/>
            <w:vAlign w:val="center"/>
            <w:hideMark/>
          </w:tcPr>
          <w:p w14:paraId="7A690B1D"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6 to 8</w:t>
            </w:r>
          </w:p>
        </w:tc>
        <w:tc>
          <w:tcPr>
            <w:tcW w:w="1350" w:type="dxa"/>
            <w:tcBorders>
              <w:top w:val="nil"/>
              <w:left w:val="nil"/>
              <w:bottom w:val="nil"/>
              <w:right w:val="nil"/>
            </w:tcBorders>
            <w:shd w:val="clear" w:color="auto" w:fill="auto"/>
            <w:noWrap/>
            <w:vAlign w:val="center"/>
            <w:hideMark/>
          </w:tcPr>
          <w:p w14:paraId="2ADC3F2A"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0.073</w:t>
            </w:r>
          </w:p>
        </w:tc>
        <w:tc>
          <w:tcPr>
            <w:tcW w:w="1053" w:type="dxa"/>
            <w:tcBorders>
              <w:top w:val="nil"/>
              <w:left w:val="nil"/>
              <w:bottom w:val="nil"/>
              <w:right w:val="nil"/>
            </w:tcBorders>
            <w:shd w:val="clear" w:color="auto" w:fill="auto"/>
            <w:noWrap/>
            <w:vAlign w:val="center"/>
            <w:hideMark/>
          </w:tcPr>
          <w:p w14:paraId="5E6FE9D3"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0.059</w:t>
            </w:r>
          </w:p>
        </w:tc>
        <w:tc>
          <w:tcPr>
            <w:tcW w:w="1053" w:type="dxa"/>
            <w:tcBorders>
              <w:top w:val="nil"/>
              <w:left w:val="nil"/>
              <w:bottom w:val="nil"/>
              <w:right w:val="nil"/>
            </w:tcBorders>
            <w:shd w:val="clear" w:color="auto" w:fill="auto"/>
            <w:noWrap/>
            <w:vAlign w:val="center"/>
            <w:hideMark/>
          </w:tcPr>
          <w:p w14:paraId="066A2D01"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0.091</w:t>
            </w:r>
          </w:p>
        </w:tc>
        <w:tc>
          <w:tcPr>
            <w:tcW w:w="1134" w:type="dxa"/>
            <w:tcBorders>
              <w:top w:val="nil"/>
              <w:left w:val="nil"/>
              <w:bottom w:val="nil"/>
              <w:right w:val="nil"/>
            </w:tcBorders>
            <w:shd w:val="clear" w:color="auto" w:fill="auto"/>
            <w:noWrap/>
            <w:vAlign w:val="center"/>
            <w:hideMark/>
          </w:tcPr>
          <w:p w14:paraId="324D41AD"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4115E19C" w14:textId="77777777" w:rsidTr="003C13F4">
        <w:trPr>
          <w:trHeight w:val="300"/>
        </w:trPr>
        <w:tc>
          <w:tcPr>
            <w:tcW w:w="1818" w:type="dxa"/>
            <w:vMerge/>
            <w:tcBorders>
              <w:left w:val="nil"/>
              <w:right w:val="nil"/>
            </w:tcBorders>
            <w:shd w:val="clear" w:color="auto" w:fill="auto"/>
            <w:noWrap/>
            <w:hideMark/>
          </w:tcPr>
          <w:p w14:paraId="3ED91909"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890" w:type="dxa"/>
            <w:tcBorders>
              <w:top w:val="nil"/>
              <w:left w:val="nil"/>
              <w:bottom w:val="nil"/>
              <w:right w:val="nil"/>
            </w:tcBorders>
            <w:shd w:val="clear" w:color="auto" w:fill="auto"/>
            <w:noWrap/>
            <w:vAlign w:val="center"/>
            <w:hideMark/>
          </w:tcPr>
          <w:p w14:paraId="29A239F3"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4 to 5</w:t>
            </w:r>
          </w:p>
        </w:tc>
        <w:tc>
          <w:tcPr>
            <w:tcW w:w="1350" w:type="dxa"/>
            <w:tcBorders>
              <w:top w:val="nil"/>
              <w:left w:val="nil"/>
              <w:bottom w:val="nil"/>
              <w:right w:val="nil"/>
            </w:tcBorders>
            <w:shd w:val="clear" w:color="auto" w:fill="auto"/>
            <w:noWrap/>
            <w:vAlign w:val="center"/>
            <w:hideMark/>
          </w:tcPr>
          <w:p w14:paraId="4F95E449"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0.026</w:t>
            </w:r>
          </w:p>
        </w:tc>
        <w:tc>
          <w:tcPr>
            <w:tcW w:w="1053" w:type="dxa"/>
            <w:tcBorders>
              <w:top w:val="nil"/>
              <w:left w:val="nil"/>
              <w:bottom w:val="nil"/>
              <w:right w:val="nil"/>
            </w:tcBorders>
            <w:shd w:val="clear" w:color="auto" w:fill="auto"/>
            <w:noWrap/>
            <w:vAlign w:val="center"/>
            <w:hideMark/>
          </w:tcPr>
          <w:p w14:paraId="4463A986"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0.018</w:t>
            </w:r>
          </w:p>
        </w:tc>
        <w:tc>
          <w:tcPr>
            <w:tcW w:w="1053" w:type="dxa"/>
            <w:tcBorders>
              <w:top w:val="nil"/>
              <w:left w:val="nil"/>
              <w:bottom w:val="nil"/>
              <w:right w:val="nil"/>
            </w:tcBorders>
            <w:shd w:val="clear" w:color="auto" w:fill="auto"/>
            <w:noWrap/>
            <w:vAlign w:val="center"/>
            <w:hideMark/>
          </w:tcPr>
          <w:p w14:paraId="3E6B4DD3"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0.038</w:t>
            </w:r>
          </w:p>
        </w:tc>
        <w:tc>
          <w:tcPr>
            <w:tcW w:w="1134" w:type="dxa"/>
            <w:tcBorders>
              <w:top w:val="nil"/>
              <w:left w:val="nil"/>
              <w:bottom w:val="nil"/>
              <w:right w:val="nil"/>
            </w:tcBorders>
            <w:shd w:val="clear" w:color="auto" w:fill="auto"/>
            <w:noWrap/>
            <w:vAlign w:val="center"/>
            <w:hideMark/>
          </w:tcPr>
          <w:p w14:paraId="359570D1"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21B3005B" w14:textId="77777777" w:rsidTr="003C13F4">
        <w:trPr>
          <w:trHeight w:val="300"/>
        </w:trPr>
        <w:tc>
          <w:tcPr>
            <w:tcW w:w="1818" w:type="dxa"/>
            <w:vMerge/>
            <w:tcBorders>
              <w:left w:val="nil"/>
              <w:right w:val="nil"/>
            </w:tcBorders>
            <w:shd w:val="clear" w:color="auto" w:fill="auto"/>
            <w:noWrap/>
            <w:hideMark/>
          </w:tcPr>
          <w:p w14:paraId="7F7CF5C9"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890" w:type="dxa"/>
            <w:tcBorders>
              <w:top w:val="nil"/>
              <w:left w:val="nil"/>
              <w:bottom w:val="nil"/>
              <w:right w:val="nil"/>
            </w:tcBorders>
            <w:shd w:val="clear" w:color="auto" w:fill="auto"/>
            <w:noWrap/>
            <w:vAlign w:val="center"/>
            <w:hideMark/>
          </w:tcPr>
          <w:p w14:paraId="77EE113C"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3</w:t>
            </w:r>
          </w:p>
        </w:tc>
        <w:tc>
          <w:tcPr>
            <w:tcW w:w="1350" w:type="dxa"/>
            <w:tcBorders>
              <w:top w:val="nil"/>
              <w:left w:val="nil"/>
              <w:bottom w:val="nil"/>
              <w:right w:val="nil"/>
            </w:tcBorders>
            <w:shd w:val="clear" w:color="auto" w:fill="auto"/>
            <w:noWrap/>
            <w:vAlign w:val="center"/>
            <w:hideMark/>
          </w:tcPr>
          <w:p w14:paraId="03181653"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0.027</w:t>
            </w:r>
          </w:p>
        </w:tc>
        <w:tc>
          <w:tcPr>
            <w:tcW w:w="1053" w:type="dxa"/>
            <w:tcBorders>
              <w:top w:val="nil"/>
              <w:left w:val="nil"/>
              <w:bottom w:val="nil"/>
              <w:right w:val="nil"/>
            </w:tcBorders>
            <w:shd w:val="clear" w:color="auto" w:fill="auto"/>
            <w:noWrap/>
            <w:vAlign w:val="center"/>
            <w:hideMark/>
          </w:tcPr>
          <w:p w14:paraId="4E1D1471"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0.020</w:t>
            </w:r>
          </w:p>
        </w:tc>
        <w:tc>
          <w:tcPr>
            <w:tcW w:w="1053" w:type="dxa"/>
            <w:tcBorders>
              <w:top w:val="nil"/>
              <w:left w:val="nil"/>
              <w:bottom w:val="nil"/>
              <w:right w:val="nil"/>
            </w:tcBorders>
            <w:shd w:val="clear" w:color="auto" w:fill="auto"/>
            <w:noWrap/>
            <w:vAlign w:val="center"/>
            <w:hideMark/>
          </w:tcPr>
          <w:p w14:paraId="4CA605EC"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0.035</w:t>
            </w:r>
          </w:p>
        </w:tc>
        <w:tc>
          <w:tcPr>
            <w:tcW w:w="1134" w:type="dxa"/>
            <w:tcBorders>
              <w:top w:val="nil"/>
              <w:left w:val="nil"/>
              <w:bottom w:val="nil"/>
              <w:right w:val="nil"/>
            </w:tcBorders>
            <w:shd w:val="clear" w:color="auto" w:fill="auto"/>
            <w:noWrap/>
            <w:vAlign w:val="center"/>
            <w:hideMark/>
          </w:tcPr>
          <w:p w14:paraId="183E1B88"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6A21734B" w14:textId="77777777" w:rsidTr="003C13F4">
        <w:trPr>
          <w:trHeight w:val="300"/>
        </w:trPr>
        <w:tc>
          <w:tcPr>
            <w:tcW w:w="1818" w:type="dxa"/>
            <w:vMerge/>
            <w:tcBorders>
              <w:left w:val="nil"/>
              <w:bottom w:val="nil"/>
              <w:right w:val="nil"/>
            </w:tcBorders>
            <w:shd w:val="clear" w:color="auto" w:fill="auto"/>
            <w:noWrap/>
            <w:hideMark/>
          </w:tcPr>
          <w:p w14:paraId="6B2175A1" w14:textId="77777777" w:rsidR="00CA0EF0" w:rsidRPr="00361E30" w:rsidRDefault="00CA0EF0" w:rsidP="003C13F4">
            <w:pPr>
              <w:spacing w:after="0" w:line="240" w:lineRule="auto"/>
              <w:jc w:val="left"/>
              <w:rPr>
                <w:rFonts w:ascii="Calibri" w:eastAsia="Times New Roman" w:hAnsi="Calibri" w:cs="Calibri"/>
                <w:b/>
                <w:bCs/>
                <w:color w:val="000000"/>
              </w:rPr>
            </w:pPr>
          </w:p>
        </w:tc>
        <w:tc>
          <w:tcPr>
            <w:tcW w:w="1890" w:type="dxa"/>
            <w:tcBorders>
              <w:top w:val="nil"/>
              <w:left w:val="nil"/>
              <w:bottom w:val="nil"/>
              <w:right w:val="nil"/>
            </w:tcBorders>
            <w:shd w:val="clear" w:color="auto" w:fill="auto"/>
            <w:noWrap/>
            <w:vAlign w:val="center"/>
            <w:hideMark/>
          </w:tcPr>
          <w:p w14:paraId="7DAA81C5"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Intubated</w:t>
            </w:r>
          </w:p>
        </w:tc>
        <w:tc>
          <w:tcPr>
            <w:tcW w:w="1350" w:type="dxa"/>
            <w:tcBorders>
              <w:top w:val="nil"/>
              <w:left w:val="nil"/>
              <w:bottom w:val="nil"/>
              <w:right w:val="nil"/>
            </w:tcBorders>
            <w:shd w:val="clear" w:color="auto" w:fill="auto"/>
            <w:noWrap/>
            <w:vAlign w:val="center"/>
            <w:hideMark/>
          </w:tcPr>
          <w:p w14:paraId="11414C25"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0.049</w:t>
            </w:r>
          </w:p>
        </w:tc>
        <w:tc>
          <w:tcPr>
            <w:tcW w:w="1053" w:type="dxa"/>
            <w:tcBorders>
              <w:top w:val="nil"/>
              <w:left w:val="nil"/>
              <w:bottom w:val="nil"/>
              <w:right w:val="nil"/>
            </w:tcBorders>
            <w:shd w:val="clear" w:color="auto" w:fill="auto"/>
            <w:noWrap/>
            <w:vAlign w:val="center"/>
            <w:hideMark/>
          </w:tcPr>
          <w:p w14:paraId="1112D85F"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0.041</w:t>
            </w:r>
          </w:p>
        </w:tc>
        <w:tc>
          <w:tcPr>
            <w:tcW w:w="1053" w:type="dxa"/>
            <w:tcBorders>
              <w:top w:val="nil"/>
              <w:left w:val="nil"/>
              <w:bottom w:val="nil"/>
              <w:right w:val="nil"/>
            </w:tcBorders>
            <w:shd w:val="clear" w:color="auto" w:fill="auto"/>
            <w:noWrap/>
            <w:vAlign w:val="center"/>
            <w:hideMark/>
          </w:tcPr>
          <w:p w14:paraId="1B037F71"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0.059</w:t>
            </w:r>
          </w:p>
        </w:tc>
        <w:tc>
          <w:tcPr>
            <w:tcW w:w="1134" w:type="dxa"/>
            <w:tcBorders>
              <w:top w:val="nil"/>
              <w:left w:val="nil"/>
              <w:bottom w:val="nil"/>
              <w:right w:val="nil"/>
            </w:tcBorders>
            <w:shd w:val="clear" w:color="auto" w:fill="auto"/>
            <w:noWrap/>
            <w:vAlign w:val="center"/>
            <w:hideMark/>
          </w:tcPr>
          <w:p w14:paraId="703CDE1A"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r w:rsidR="00CA0EF0" w:rsidRPr="00361E30" w14:paraId="7D0BD478" w14:textId="77777777" w:rsidTr="003C13F4">
        <w:trPr>
          <w:trHeight w:val="300"/>
        </w:trPr>
        <w:tc>
          <w:tcPr>
            <w:tcW w:w="1818" w:type="dxa"/>
            <w:tcBorders>
              <w:top w:val="nil"/>
              <w:left w:val="nil"/>
              <w:bottom w:val="single" w:sz="4" w:space="0" w:color="auto"/>
              <w:right w:val="nil"/>
            </w:tcBorders>
            <w:shd w:val="clear" w:color="auto" w:fill="auto"/>
            <w:noWrap/>
            <w:hideMark/>
          </w:tcPr>
          <w:p w14:paraId="2050FB29"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 </w:t>
            </w:r>
          </w:p>
        </w:tc>
        <w:tc>
          <w:tcPr>
            <w:tcW w:w="1890" w:type="dxa"/>
            <w:tcBorders>
              <w:top w:val="nil"/>
              <w:left w:val="nil"/>
              <w:bottom w:val="single" w:sz="4" w:space="0" w:color="auto"/>
              <w:right w:val="nil"/>
            </w:tcBorders>
            <w:shd w:val="clear" w:color="auto" w:fill="auto"/>
            <w:noWrap/>
            <w:vAlign w:val="bottom"/>
            <w:hideMark/>
          </w:tcPr>
          <w:p w14:paraId="5DC0117C"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 </w:t>
            </w:r>
          </w:p>
        </w:tc>
        <w:tc>
          <w:tcPr>
            <w:tcW w:w="1350" w:type="dxa"/>
            <w:tcBorders>
              <w:top w:val="nil"/>
              <w:left w:val="nil"/>
              <w:bottom w:val="single" w:sz="4" w:space="0" w:color="auto"/>
              <w:right w:val="nil"/>
            </w:tcBorders>
            <w:shd w:val="clear" w:color="auto" w:fill="auto"/>
            <w:noWrap/>
            <w:vAlign w:val="center"/>
            <w:hideMark/>
          </w:tcPr>
          <w:p w14:paraId="2C6BA7BA"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c>
          <w:tcPr>
            <w:tcW w:w="1053" w:type="dxa"/>
            <w:tcBorders>
              <w:top w:val="nil"/>
              <w:left w:val="nil"/>
              <w:bottom w:val="single" w:sz="4" w:space="0" w:color="auto"/>
              <w:right w:val="nil"/>
            </w:tcBorders>
            <w:shd w:val="clear" w:color="auto" w:fill="auto"/>
            <w:noWrap/>
            <w:vAlign w:val="center"/>
            <w:hideMark/>
          </w:tcPr>
          <w:p w14:paraId="390E50B4"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c>
          <w:tcPr>
            <w:tcW w:w="1053" w:type="dxa"/>
            <w:tcBorders>
              <w:top w:val="nil"/>
              <w:left w:val="nil"/>
              <w:bottom w:val="single" w:sz="4" w:space="0" w:color="auto"/>
              <w:right w:val="nil"/>
            </w:tcBorders>
            <w:shd w:val="clear" w:color="auto" w:fill="auto"/>
            <w:noWrap/>
            <w:vAlign w:val="center"/>
            <w:hideMark/>
          </w:tcPr>
          <w:p w14:paraId="753AE3D3"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c>
          <w:tcPr>
            <w:tcW w:w="1134" w:type="dxa"/>
            <w:tcBorders>
              <w:top w:val="nil"/>
              <w:left w:val="nil"/>
              <w:bottom w:val="single" w:sz="4" w:space="0" w:color="auto"/>
              <w:right w:val="nil"/>
            </w:tcBorders>
            <w:shd w:val="clear" w:color="auto" w:fill="auto"/>
            <w:noWrap/>
            <w:vAlign w:val="center"/>
            <w:hideMark/>
          </w:tcPr>
          <w:p w14:paraId="6F431F11"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 </w:t>
            </w:r>
          </w:p>
        </w:tc>
      </w:tr>
      <w:tr w:rsidR="00CA0EF0" w:rsidRPr="00361E30" w14:paraId="2E0C1132" w14:textId="77777777" w:rsidTr="003C13F4">
        <w:trPr>
          <w:trHeight w:val="315"/>
        </w:trPr>
        <w:tc>
          <w:tcPr>
            <w:tcW w:w="1818" w:type="dxa"/>
            <w:tcBorders>
              <w:top w:val="nil"/>
              <w:left w:val="nil"/>
              <w:bottom w:val="double" w:sz="6" w:space="0" w:color="auto"/>
              <w:right w:val="nil"/>
            </w:tcBorders>
            <w:shd w:val="clear" w:color="auto" w:fill="auto"/>
            <w:noWrap/>
            <w:hideMark/>
          </w:tcPr>
          <w:p w14:paraId="49E30531" w14:textId="77777777" w:rsidR="00CA0EF0" w:rsidRPr="00361E30" w:rsidRDefault="00CA0EF0" w:rsidP="003C13F4">
            <w:pPr>
              <w:spacing w:after="0" w:line="240" w:lineRule="auto"/>
              <w:jc w:val="left"/>
              <w:rPr>
                <w:rFonts w:ascii="Calibri" w:eastAsia="Times New Roman" w:hAnsi="Calibri" w:cs="Calibri"/>
                <w:b/>
                <w:bCs/>
                <w:color w:val="000000"/>
              </w:rPr>
            </w:pPr>
            <w:r w:rsidRPr="00361E30">
              <w:rPr>
                <w:rFonts w:ascii="Calibri" w:eastAsia="Times New Roman" w:hAnsi="Calibri" w:cs="Calibri"/>
                <w:b/>
                <w:bCs/>
                <w:color w:val="000000"/>
              </w:rPr>
              <w:t>Constant</w:t>
            </w:r>
          </w:p>
        </w:tc>
        <w:tc>
          <w:tcPr>
            <w:tcW w:w="1890" w:type="dxa"/>
            <w:tcBorders>
              <w:top w:val="nil"/>
              <w:left w:val="nil"/>
              <w:bottom w:val="double" w:sz="6" w:space="0" w:color="auto"/>
              <w:right w:val="nil"/>
            </w:tcBorders>
            <w:shd w:val="clear" w:color="auto" w:fill="auto"/>
            <w:noWrap/>
            <w:vAlign w:val="bottom"/>
            <w:hideMark/>
          </w:tcPr>
          <w:p w14:paraId="254AFD8C" w14:textId="77777777" w:rsidR="00CA0EF0" w:rsidRPr="00361E30" w:rsidRDefault="00CA0EF0" w:rsidP="003C13F4">
            <w:pPr>
              <w:spacing w:after="0" w:line="240" w:lineRule="auto"/>
              <w:jc w:val="left"/>
              <w:rPr>
                <w:rFonts w:ascii="Calibri" w:eastAsia="Times New Roman" w:hAnsi="Calibri" w:cs="Calibri"/>
                <w:color w:val="000000"/>
              </w:rPr>
            </w:pPr>
            <w:r w:rsidRPr="00361E30">
              <w:rPr>
                <w:rFonts w:ascii="Calibri" w:eastAsia="Times New Roman" w:hAnsi="Calibri" w:cs="Calibri"/>
                <w:color w:val="000000"/>
              </w:rPr>
              <w:t> </w:t>
            </w:r>
          </w:p>
        </w:tc>
        <w:tc>
          <w:tcPr>
            <w:tcW w:w="1350" w:type="dxa"/>
            <w:tcBorders>
              <w:top w:val="nil"/>
              <w:left w:val="nil"/>
              <w:bottom w:val="double" w:sz="6" w:space="0" w:color="auto"/>
              <w:right w:val="nil"/>
            </w:tcBorders>
            <w:shd w:val="clear" w:color="auto" w:fill="auto"/>
            <w:noWrap/>
            <w:vAlign w:val="center"/>
            <w:hideMark/>
          </w:tcPr>
          <w:p w14:paraId="48EDA80B"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53.58923</w:t>
            </w:r>
          </w:p>
        </w:tc>
        <w:tc>
          <w:tcPr>
            <w:tcW w:w="1053" w:type="dxa"/>
            <w:tcBorders>
              <w:top w:val="nil"/>
              <w:left w:val="nil"/>
              <w:bottom w:val="double" w:sz="6" w:space="0" w:color="auto"/>
              <w:right w:val="nil"/>
            </w:tcBorders>
            <w:shd w:val="clear" w:color="auto" w:fill="auto"/>
            <w:noWrap/>
            <w:vAlign w:val="center"/>
            <w:hideMark/>
          </w:tcPr>
          <w:p w14:paraId="60549313"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46.57442</w:t>
            </w:r>
          </w:p>
        </w:tc>
        <w:tc>
          <w:tcPr>
            <w:tcW w:w="1053" w:type="dxa"/>
            <w:tcBorders>
              <w:top w:val="nil"/>
              <w:left w:val="nil"/>
              <w:bottom w:val="double" w:sz="6" w:space="0" w:color="auto"/>
              <w:right w:val="nil"/>
            </w:tcBorders>
            <w:shd w:val="clear" w:color="auto" w:fill="auto"/>
            <w:noWrap/>
            <w:vAlign w:val="center"/>
            <w:hideMark/>
          </w:tcPr>
          <w:p w14:paraId="279B1B04"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61.66057</w:t>
            </w:r>
          </w:p>
        </w:tc>
        <w:tc>
          <w:tcPr>
            <w:tcW w:w="1134" w:type="dxa"/>
            <w:tcBorders>
              <w:top w:val="nil"/>
              <w:left w:val="nil"/>
              <w:bottom w:val="double" w:sz="6" w:space="0" w:color="auto"/>
              <w:right w:val="nil"/>
            </w:tcBorders>
            <w:shd w:val="clear" w:color="auto" w:fill="auto"/>
            <w:noWrap/>
            <w:vAlign w:val="center"/>
            <w:hideMark/>
          </w:tcPr>
          <w:p w14:paraId="04683D80" w14:textId="77777777" w:rsidR="00CA0EF0" w:rsidRPr="00361E30" w:rsidRDefault="00CA0EF0" w:rsidP="003C13F4">
            <w:pPr>
              <w:spacing w:after="0" w:line="240" w:lineRule="auto"/>
              <w:jc w:val="center"/>
              <w:rPr>
                <w:rFonts w:ascii="Calibri" w:eastAsia="Times New Roman" w:hAnsi="Calibri" w:cs="Calibri"/>
                <w:color w:val="000000"/>
              </w:rPr>
            </w:pPr>
            <w:r w:rsidRPr="00361E30">
              <w:rPr>
                <w:rFonts w:ascii="Calibri" w:eastAsia="Times New Roman" w:hAnsi="Calibri" w:cs="Calibri"/>
                <w:color w:val="000000"/>
              </w:rPr>
              <w:t>0.000</w:t>
            </w:r>
          </w:p>
        </w:tc>
      </w:tr>
    </w:tbl>
    <w:p w14:paraId="1FFC7FC3" w14:textId="77777777" w:rsidR="00CA0EF0" w:rsidRPr="00361E30" w:rsidRDefault="00CA0EF0" w:rsidP="003C13F4">
      <w:pPr>
        <w:pStyle w:val="TableTitle"/>
      </w:pPr>
      <w:bookmarkStart w:id="145" w:name="_Toc528321054"/>
      <w:r w:rsidRPr="00361E30">
        <w:t>Table 5.10: The PS14 model, using coefficients derived from the dataset</w:t>
      </w:r>
      <w:bookmarkEnd w:id="145"/>
      <w:r w:rsidR="00F84EF5">
        <w:t xml:space="preserve"> of older patients</w:t>
      </w:r>
    </w:p>
    <w:p w14:paraId="34BE1217" w14:textId="77777777" w:rsidR="00CA0EF0" w:rsidRPr="00361E30" w:rsidRDefault="00CA0EF0" w:rsidP="003C13F4">
      <w:r w:rsidRPr="00361E30">
        <w:lastRenderedPageBreak/>
        <w:t>Table 5.9 shows the multivariate model using the variables listed above, while Table 5.10 shows the multivariate model using the TARN PS14 variables, for comparison.</w:t>
      </w:r>
    </w:p>
    <w:p w14:paraId="7AC8C34F" w14:textId="77777777" w:rsidR="00CA0EF0" w:rsidRPr="00361E30" w:rsidRDefault="00CA0EF0" w:rsidP="003C13F4">
      <w:pPr>
        <w:pStyle w:val="Heading2"/>
      </w:pPr>
      <w:bookmarkStart w:id="146" w:name="_Toc1902310"/>
      <w:r w:rsidRPr="00361E30">
        <w:t>5.4.8</w:t>
      </w:r>
      <w:r w:rsidRPr="00361E30">
        <w:tab/>
        <w:t>Validation of the models, using the imputed dataset</w:t>
      </w:r>
      <w:bookmarkEnd w:id="146"/>
    </w:p>
    <w:p w14:paraId="02F9AE6E" w14:textId="77777777" w:rsidR="00CA0EF0" w:rsidRPr="00361E30" w:rsidRDefault="00CA0EF0" w:rsidP="003C13F4">
      <w:r w:rsidRPr="00361E30">
        <w:t xml:space="preserve">The final model derived from the dataset was compared with the PS14 model (using coefficients derived from the dataset used in this thesis) and the PS14 model (using the original coefficients derived by TARN). Validation was performed on the same dataset used for calibration, using bootstrapping, and imputing missing data for Glasgow coma score. The AUROC for the validation analysis for the new multivariate model was 0.8187, while the AUROC for the TARN PS14 model (using newly derived coefficients for the dataset used in this study) was 0.8151. </w:t>
      </w:r>
    </w:p>
    <w:p w14:paraId="3FA567D6" w14:textId="77777777" w:rsidR="00CA0EF0" w:rsidRPr="00361E30" w:rsidRDefault="00CA0EF0" w:rsidP="003C13F4">
      <w:pPr>
        <w:pStyle w:val="Heading1"/>
      </w:pPr>
      <w:bookmarkStart w:id="147" w:name="_Toc1902311"/>
      <w:r w:rsidRPr="00361E30">
        <w:t>5.5</w:t>
      </w:r>
      <w:r w:rsidRPr="00361E30">
        <w:tab/>
        <w:t>Sensitivity Analysis</w:t>
      </w:r>
      <w:bookmarkEnd w:id="147"/>
    </w:p>
    <w:p w14:paraId="478D4739" w14:textId="77777777" w:rsidR="00CA0EF0" w:rsidRPr="00361E30" w:rsidRDefault="00CA0EF0" w:rsidP="003C13F4">
      <w:r w:rsidRPr="00361E30">
        <w:t xml:space="preserve">A sensitivity analysis of the findings of this chapter was performed, by excluding hospitals in which the quality of data submission was considered as ‘poor’ or ‘inadequate’. The assessment of the quality of submissions to TARN is based on the ratio of the number of submissions made by individual hospitals to TARN compared to the number of major trauma cases fitting the TARN criteria entered into HES (hospital episode statistics) for that hospital. Hospitals in which there is a discrepancy of &gt;20% in the above ratio when comparing submission of deaths to survivors are considered to have inadequate data submission, which could lead to significant under- or over-estimation of survival. These hospitals are thus excluded from the analysis. </w:t>
      </w:r>
    </w:p>
    <w:p w14:paraId="11F23552" w14:textId="77777777" w:rsidR="00CA0EF0" w:rsidRPr="00361E30" w:rsidRDefault="00CA0EF0" w:rsidP="003C13F4">
      <w:r w:rsidRPr="00361E30">
        <w:t xml:space="preserve">The analyses described in this chapter were performed using data from all TARN patients, regardless of hospital. This is the standard approach taken by TARN: individual patients are not excluded from analysis on the basis of their hospitals’ submission quality, as hospital data quality refers to the completeness and accuracy of data submitted at an institutional level (that is, whether they included all eligible patients in their submissions – see below) rather than the quality of individual patients’ data (whether the data submitted for an individual patient was complete). To assess whether the inclusion of patients from hospitals </w:t>
      </w:r>
      <w:r w:rsidR="00470A2F">
        <w:t>which provided poor quality data to TARN</w:t>
      </w:r>
      <w:r w:rsidRPr="00361E30">
        <w:t xml:space="preserve"> had any impact on the analysis, the multivariate model was re-run including only patients from </w:t>
      </w:r>
      <w:r w:rsidR="00470A2F">
        <w:t>h</w:t>
      </w:r>
      <w:r w:rsidRPr="00361E30">
        <w:t>ospitals</w:t>
      </w:r>
      <w:r w:rsidR="00470A2F">
        <w:t xml:space="preserve"> that provided good quality data to TARN (see Section </w:t>
      </w:r>
      <w:r w:rsidR="008D0569">
        <w:t>3.3.3.6)</w:t>
      </w:r>
      <w:r w:rsidRPr="00361E30">
        <w:t>.</w:t>
      </w:r>
    </w:p>
    <w:p w14:paraId="13F43593" w14:textId="77777777" w:rsidR="00CA0EF0" w:rsidRPr="00361E30" w:rsidRDefault="00CA0EF0" w:rsidP="003C13F4">
      <w:r w:rsidRPr="00361E30">
        <w:t>Table 5.10 shows the adjusted odds ratios derived from the final multivariate model, using only data from hospitals</w:t>
      </w:r>
      <w:r w:rsidR="008D0569">
        <w:t xml:space="preserve"> with good quality submissions</w:t>
      </w:r>
      <w:r w:rsidRPr="00361E30">
        <w:t xml:space="preserve"> (this model included age, gender, age/gender interaction, ISS and Glasgow coma score). The AUROC for this model was not significantly different to the original model using the same variables.  For the original model </w:t>
      </w:r>
      <w:r w:rsidRPr="00361E30">
        <w:lastRenderedPageBreak/>
        <w:t xml:space="preserve">(derived from all patients in the dataset) this was 0.8252 (95% CI 0.8217 – 0.8353), while for the model derived from </w:t>
      </w:r>
      <w:r w:rsidR="008D0569">
        <w:t>data</w:t>
      </w:r>
      <w:r w:rsidRPr="00361E30">
        <w:t xml:space="preserve"> </w:t>
      </w:r>
      <w:r w:rsidR="008D0569" w:rsidRPr="00361E30">
        <w:t xml:space="preserve">only </w:t>
      </w:r>
      <w:r w:rsidRPr="00361E30">
        <w:t>from hospitals</w:t>
      </w:r>
      <w:r w:rsidR="008D0569">
        <w:t xml:space="preserve"> with good quality submissions to TARN</w:t>
      </w:r>
      <w:r w:rsidRPr="00361E30">
        <w:t xml:space="preserve">, the AUROC was 0.8182 (95% CI 0.8102 – 0.8266). In addition, there was no significant difference between the adjusted odds ratios for any of the variables in the model when the original model and the model derived </w:t>
      </w:r>
      <w:r w:rsidR="008D0569">
        <w:t xml:space="preserve">only </w:t>
      </w:r>
      <w:r w:rsidRPr="00361E30">
        <w:t>from data from hospitals</w:t>
      </w:r>
      <w:r w:rsidR="008D0569">
        <w:t xml:space="preserve"> with good quality submissions</w:t>
      </w:r>
      <w:r w:rsidRPr="00361E30">
        <w:t xml:space="preserve"> were compared (Tables 5.8 and 5.11, respectively).</w:t>
      </w:r>
    </w:p>
    <w:tbl>
      <w:tblPr>
        <w:tblW w:w="9108" w:type="dxa"/>
        <w:tblLayout w:type="fixed"/>
        <w:tblLook w:val="04A0" w:firstRow="1" w:lastRow="0" w:firstColumn="1" w:lastColumn="0" w:noHBand="0" w:noVBand="1"/>
      </w:tblPr>
      <w:tblGrid>
        <w:gridCol w:w="2898"/>
        <w:gridCol w:w="1497"/>
        <w:gridCol w:w="1417"/>
        <w:gridCol w:w="1134"/>
        <w:gridCol w:w="1134"/>
        <w:gridCol w:w="1028"/>
      </w:tblGrid>
      <w:tr w:rsidR="00CA0EF0" w:rsidRPr="00361E30" w14:paraId="55314B1E" w14:textId="77777777" w:rsidTr="003C13F4">
        <w:trPr>
          <w:trHeight w:val="300"/>
        </w:trPr>
        <w:tc>
          <w:tcPr>
            <w:tcW w:w="2898" w:type="dxa"/>
            <w:tcBorders>
              <w:top w:val="single" w:sz="4" w:space="0" w:color="auto"/>
            </w:tcBorders>
            <w:shd w:val="clear" w:color="auto" w:fill="auto"/>
            <w:noWrap/>
            <w:vAlign w:val="bottom"/>
            <w:hideMark/>
          </w:tcPr>
          <w:p w14:paraId="1AB81761" w14:textId="77777777" w:rsidR="00CA0EF0" w:rsidRPr="00361E30" w:rsidRDefault="00CA0EF0" w:rsidP="003C13F4">
            <w:pPr>
              <w:spacing w:after="0" w:line="240" w:lineRule="auto"/>
              <w:rPr>
                <w:rFonts w:ascii="Calibri" w:eastAsia="Times New Roman" w:hAnsi="Calibri" w:cs="Times New Roman"/>
                <w:b/>
                <w:bCs/>
                <w:color w:val="000000"/>
                <w:lang w:eastAsia="en-GB"/>
              </w:rPr>
            </w:pPr>
            <w:r w:rsidRPr="00361E30">
              <w:rPr>
                <w:rFonts w:ascii="Calibri" w:eastAsia="Times New Roman" w:hAnsi="Calibri" w:cs="Times New Roman"/>
                <w:b/>
                <w:bCs/>
                <w:color w:val="000000"/>
                <w:lang w:eastAsia="en-GB"/>
              </w:rPr>
              <w:t>Variables</w:t>
            </w:r>
          </w:p>
        </w:tc>
        <w:tc>
          <w:tcPr>
            <w:tcW w:w="1497" w:type="dxa"/>
            <w:tcBorders>
              <w:top w:val="single" w:sz="4" w:space="0" w:color="auto"/>
            </w:tcBorders>
            <w:shd w:val="clear" w:color="auto" w:fill="auto"/>
            <w:noWrap/>
            <w:vAlign w:val="bottom"/>
            <w:hideMark/>
          </w:tcPr>
          <w:p w14:paraId="2365A8F3" w14:textId="77777777" w:rsidR="00CA0EF0" w:rsidRPr="00361E30" w:rsidRDefault="00CA0EF0" w:rsidP="003C13F4">
            <w:pPr>
              <w:spacing w:after="0" w:line="240" w:lineRule="auto"/>
              <w:rPr>
                <w:rFonts w:ascii="Calibri" w:eastAsia="Times New Roman" w:hAnsi="Calibri" w:cs="Times New Roman"/>
                <w:color w:val="000000"/>
                <w:lang w:eastAsia="en-GB"/>
              </w:rPr>
            </w:pPr>
          </w:p>
        </w:tc>
        <w:tc>
          <w:tcPr>
            <w:tcW w:w="1417" w:type="dxa"/>
            <w:tcBorders>
              <w:top w:val="single" w:sz="4" w:space="0" w:color="auto"/>
            </w:tcBorders>
            <w:shd w:val="clear" w:color="auto" w:fill="auto"/>
            <w:noWrap/>
            <w:vAlign w:val="center"/>
            <w:hideMark/>
          </w:tcPr>
          <w:p w14:paraId="0E0F3B69" w14:textId="77777777" w:rsidR="00CA0EF0" w:rsidRPr="00361E30" w:rsidRDefault="00CA0EF0" w:rsidP="003C13F4">
            <w:pPr>
              <w:spacing w:after="0" w:line="240" w:lineRule="auto"/>
              <w:jc w:val="center"/>
              <w:rPr>
                <w:rFonts w:ascii="Calibri" w:eastAsia="Times New Roman" w:hAnsi="Calibri" w:cs="Times New Roman"/>
                <w:b/>
                <w:bCs/>
                <w:color w:val="000000"/>
                <w:lang w:eastAsia="en-GB"/>
              </w:rPr>
            </w:pPr>
            <w:r w:rsidRPr="00361E30">
              <w:rPr>
                <w:rFonts w:ascii="Calibri" w:eastAsia="Times New Roman" w:hAnsi="Calibri" w:cs="Times New Roman"/>
                <w:b/>
                <w:bCs/>
                <w:color w:val="000000"/>
                <w:lang w:eastAsia="en-GB"/>
              </w:rPr>
              <w:t>Odds Ratio</w:t>
            </w:r>
          </w:p>
        </w:tc>
        <w:tc>
          <w:tcPr>
            <w:tcW w:w="2268" w:type="dxa"/>
            <w:gridSpan w:val="2"/>
            <w:tcBorders>
              <w:top w:val="single" w:sz="4" w:space="0" w:color="auto"/>
            </w:tcBorders>
            <w:shd w:val="clear" w:color="auto" w:fill="auto"/>
            <w:noWrap/>
            <w:vAlign w:val="center"/>
            <w:hideMark/>
          </w:tcPr>
          <w:p w14:paraId="7966E968" w14:textId="77777777" w:rsidR="00CA0EF0" w:rsidRPr="00361E30" w:rsidRDefault="00CA0EF0" w:rsidP="003C13F4">
            <w:pPr>
              <w:spacing w:after="0" w:line="240" w:lineRule="auto"/>
              <w:jc w:val="center"/>
              <w:rPr>
                <w:rFonts w:ascii="Calibri" w:eastAsia="Times New Roman" w:hAnsi="Calibri" w:cs="Times New Roman"/>
                <w:b/>
                <w:bCs/>
                <w:color w:val="000000"/>
                <w:lang w:eastAsia="en-GB"/>
              </w:rPr>
            </w:pPr>
            <w:r w:rsidRPr="00361E30">
              <w:rPr>
                <w:rFonts w:ascii="Calibri" w:eastAsia="Times New Roman" w:hAnsi="Calibri" w:cs="Times New Roman"/>
                <w:b/>
                <w:bCs/>
                <w:color w:val="000000"/>
                <w:lang w:eastAsia="en-GB"/>
              </w:rPr>
              <w:t>95% Confidence Intervals</w:t>
            </w:r>
          </w:p>
        </w:tc>
        <w:tc>
          <w:tcPr>
            <w:tcW w:w="1028" w:type="dxa"/>
            <w:tcBorders>
              <w:top w:val="single" w:sz="4" w:space="0" w:color="auto"/>
            </w:tcBorders>
            <w:shd w:val="clear" w:color="auto" w:fill="auto"/>
            <w:noWrap/>
            <w:vAlign w:val="center"/>
            <w:hideMark/>
          </w:tcPr>
          <w:p w14:paraId="7C1538CF" w14:textId="77777777" w:rsidR="00CA0EF0" w:rsidRPr="00361E30" w:rsidRDefault="00CA0EF0" w:rsidP="003C13F4">
            <w:pPr>
              <w:spacing w:after="0" w:line="240" w:lineRule="auto"/>
              <w:jc w:val="center"/>
              <w:rPr>
                <w:rFonts w:ascii="Calibri" w:eastAsia="Times New Roman" w:hAnsi="Calibri" w:cs="Times New Roman"/>
                <w:b/>
                <w:bCs/>
                <w:color w:val="000000"/>
                <w:lang w:eastAsia="en-GB"/>
              </w:rPr>
            </w:pPr>
            <w:r w:rsidRPr="00361E30">
              <w:rPr>
                <w:rFonts w:ascii="Calibri" w:eastAsia="Times New Roman" w:hAnsi="Calibri" w:cs="Times New Roman"/>
                <w:b/>
                <w:bCs/>
                <w:color w:val="000000"/>
                <w:lang w:eastAsia="en-GB"/>
              </w:rPr>
              <w:t>p values</w:t>
            </w:r>
          </w:p>
        </w:tc>
      </w:tr>
      <w:tr w:rsidR="00CA0EF0" w:rsidRPr="00361E30" w14:paraId="35738EC6" w14:textId="77777777" w:rsidTr="003C13F4">
        <w:trPr>
          <w:trHeight w:val="315"/>
        </w:trPr>
        <w:tc>
          <w:tcPr>
            <w:tcW w:w="2898" w:type="dxa"/>
            <w:tcBorders>
              <w:bottom w:val="double" w:sz="4" w:space="0" w:color="auto"/>
            </w:tcBorders>
            <w:shd w:val="clear" w:color="auto" w:fill="auto"/>
            <w:noWrap/>
            <w:vAlign w:val="bottom"/>
            <w:hideMark/>
          </w:tcPr>
          <w:p w14:paraId="5F1BA9B8" w14:textId="77777777" w:rsidR="00CA0EF0" w:rsidRPr="00361E30" w:rsidRDefault="00CA0EF0" w:rsidP="003C13F4">
            <w:pPr>
              <w:spacing w:after="0" w:line="240" w:lineRule="auto"/>
              <w:rPr>
                <w:rFonts w:ascii="Calibri" w:eastAsia="Times New Roman" w:hAnsi="Calibri" w:cs="Times New Roman"/>
                <w:b/>
                <w:bCs/>
                <w:color w:val="000000"/>
                <w:lang w:eastAsia="en-GB"/>
              </w:rPr>
            </w:pPr>
            <w:r w:rsidRPr="00361E30">
              <w:rPr>
                <w:rFonts w:ascii="Calibri" w:eastAsia="Times New Roman" w:hAnsi="Calibri" w:cs="Times New Roman"/>
                <w:b/>
                <w:bCs/>
                <w:color w:val="000000"/>
                <w:lang w:eastAsia="en-GB"/>
              </w:rPr>
              <w:t> </w:t>
            </w:r>
          </w:p>
        </w:tc>
        <w:tc>
          <w:tcPr>
            <w:tcW w:w="1497" w:type="dxa"/>
            <w:tcBorders>
              <w:bottom w:val="double" w:sz="4" w:space="0" w:color="auto"/>
            </w:tcBorders>
            <w:shd w:val="clear" w:color="auto" w:fill="auto"/>
            <w:noWrap/>
            <w:vAlign w:val="bottom"/>
            <w:hideMark/>
          </w:tcPr>
          <w:p w14:paraId="434AE04B" w14:textId="77777777" w:rsidR="00CA0EF0" w:rsidRPr="00361E30" w:rsidRDefault="00CA0EF0" w:rsidP="003C13F4">
            <w:pPr>
              <w:spacing w:after="0" w:line="240" w:lineRule="auto"/>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 </w:t>
            </w:r>
          </w:p>
        </w:tc>
        <w:tc>
          <w:tcPr>
            <w:tcW w:w="1417" w:type="dxa"/>
            <w:tcBorders>
              <w:bottom w:val="double" w:sz="4" w:space="0" w:color="auto"/>
            </w:tcBorders>
            <w:shd w:val="clear" w:color="auto" w:fill="auto"/>
            <w:noWrap/>
            <w:vAlign w:val="center"/>
            <w:hideMark/>
          </w:tcPr>
          <w:p w14:paraId="2A8B7F07" w14:textId="77777777" w:rsidR="00CA0EF0" w:rsidRPr="00361E30" w:rsidRDefault="00CA0EF0" w:rsidP="003C13F4">
            <w:pPr>
              <w:spacing w:after="0" w:line="240" w:lineRule="auto"/>
              <w:jc w:val="center"/>
              <w:rPr>
                <w:rFonts w:ascii="Calibri" w:eastAsia="Times New Roman" w:hAnsi="Calibri" w:cs="Times New Roman"/>
                <w:b/>
                <w:bCs/>
                <w:color w:val="000000"/>
                <w:lang w:eastAsia="en-GB"/>
              </w:rPr>
            </w:pPr>
          </w:p>
        </w:tc>
        <w:tc>
          <w:tcPr>
            <w:tcW w:w="1134" w:type="dxa"/>
            <w:tcBorders>
              <w:bottom w:val="double" w:sz="4" w:space="0" w:color="auto"/>
            </w:tcBorders>
            <w:shd w:val="clear" w:color="auto" w:fill="auto"/>
            <w:noWrap/>
            <w:vAlign w:val="center"/>
            <w:hideMark/>
          </w:tcPr>
          <w:p w14:paraId="44950AF5" w14:textId="77777777" w:rsidR="00CA0EF0" w:rsidRPr="00361E30" w:rsidRDefault="00CA0EF0" w:rsidP="003C13F4">
            <w:pPr>
              <w:spacing w:after="0" w:line="240" w:lineRule="auto"/>
              <w:jc w:val="center"/>
              <w:rPr>
                <w:rFonts w:ascii="Calibri" w:eastAsia="Times New Roman" w:hAnsi="Calibri" w:cs="Times New Roman"/>
                <w:b/>
                <w:bCs/>
                <w:color w:val="000000"/>
                <w:lang w:eastAsia="en-GB"/>
              </w:rPr>
            </w:pPr>
            <w:r w:rsidRPr="00361E30">
              <w:rPr>
                <w:rFonts w:ascii="Calibri" w:eastAsia="Times New Roman" w:hAnsi="Calibri" w:cs="Times New Roman"/>
                <w:b/>
                <w:bCs/>
                <w:color w:val="000000"/>
                <w:lang w:eastAsia="en-GB"/>
              </w:rPr>
              <w:t>Lower</w:t>
            </w:r>
          </w:p>
        </w:tc>
        <w:tc>
          <w:tcPr>
            <w:tcW w:w="1134" w:type="dxa"/>
            <w:tcBorders>
              <w:bottom w:val="double" w:sz="4" w:space="0" w:color="auto"/>
            </w:tcBorders>
            <w:shd w:val="clear" w:color="auto" w:fill="auto"/>
            <w:noWrap/>
            <w:vAlign w:val="center"/>
            <w:hideMark/>
          </w:tcPr>
          <w:p w14:paraId="24D2238F" w14:textId="77777777" w:rsidR="00CA0EF0" w:rsidRPr="00361E30" w:rsidRDefault="00CA0EF0" w:rsidP="003C13F4">
            <w:pPr>
              <w:spacing w:after="0" w:line="240" w:lineRule="auto"/>
              <w:jc w:val="center"/>
              <w:rPr>
                <w:rFonts w:ascii="Calibri" w:eastAsia="Times New Roman" w:hAnsi="Calibri" w:cs="Times New Roman"/>
                <w:b/>
                <w:bCs/>
                <w:color w:val="000000"/>
                <w:lang w:eastAsia="en-GB"/>
              </w:rPr>
            </w:pPr>
            <w:r w:rsidRPr="00361E30">
              <w:rPr>
                <w:rFonts w:ascii="Calibri" w:eastAsia="Times New Roman" w:hAnsi="Calibri" w:cs="Times New Roman"/>
                <w:b/>
                <w:bCs/>
                <w:color w:val="000000"/>
                <w:lang w:eastAsia="en-GB"/>
              </w:rPr>
              <w:t>Upper</w:t>
            </w:r>
          </w:p>
        </w:tc>
        <w:tc>
          <w:tcPr>
            <w:tcW w:w="1028" w:type="dxa"/>
            <w:tcBorders>
              <w:bottom w:val="double" w:sz="4" w:space="0" w:color="auto"/>
            </w:tcBorders>
            <w:shd w:val="clear" w:color="auto" w:fill="auto"/>
            <w:noWrap/>
            <w:vAlign w:val="center"/>
            <w:hideMark/>
          </w:tcPr>
          <w:p w14:paraId="2CAAF486" w14:textId="77777777" w:rsidR="00CA0EF0" w:rsidRPr="00361E30" w:rsidRDefault="00CA0EF0" w:rsidP="003C13F4">
            <w:pPr>
              <w:spacing w:after="0" w:line="240" w:lineRule="auto"/>
              <w:jc w:val="center"/>
              <w:rPr>
                <w:rFonts w:ascii="Calibri" w:eastAsia="Times New Roman" w:hAnsi="Calibri" w:cs="Times New Roman"/>
                <w:b/>
                <w:bCs/>
                <w:color w:val="000000"/>
                <w:lang w:eastAsia="en-GB"/>
              </w:rPr>
            </w:pPr>
          </w:p>
        </w:tc>
      </w:tr>
      <w:tr w:rsidR="00CA0EF0" w:rsidRPr="00361E30" w14:paraId="65668EC3" w14:textId="77777777" w:rsidTr="003C13F4">
        <w:trPr>
          <w:trHeight w:val="315"/>
        </w:trPr>
        <w:tc>
          <w:tcPr>
            <w:tcW w:w="2898" w:type="dxa"/>
            <w:tcBorders>
              <w:top w:val="double" w:sz="4" w:space="0" w:color="auto"/>
              <w:bottom w:val="single" w:sz="4" w:space="0" w:color="auto"/>
            </w:tcBorders>
            <w:shd w:val="clear" w:color="auto" w:fill="auto"/>
            <w:noWrap/>
            <w:vAlign w:val="bottom"/>
            <w:hideMark/>
          </w:tcPr>
          <w:p w14:paraId="2D391075" w14:textId="77777777" w:rsidR="00CA0EF0" w:rsidRPr="00361E30" w:rsidRDefault="00CA0EF0" w:rsidP="003C13F4">
            <w:pPr>
              <w:spacing w:after="0" w:line="240" w:lineRule="auto"/>
              <w:rPr>
                <w:rFonts w:ascii="Calibri" w:eastAsia="Times New Roman" w:hAnsi="Calibri" w:cs="Times New Roman"/>
                <w:b/>
                <w:bCs/>
                <w:color w:val="000000"/>
                <w:lang w:eastAsia="en-GB"/>
              </w:rPr>
            </w:pPr>
            <w:r w:rsidRPr="00361E30">
              <w:rPr>
                <w:rFonts w:ascii="Calibri" w:eastAsia="Times New Roman" w:hAnsi="Calibri" w:cs="Times New Roman"/>
                <w:b/>
                <w:bCs/>
                <w:color w:val="000000"/>
                <w:lang w:eastAsia="en-GB"/>
              </w:rPr>
              <w:t>Age (Continuous)</w:t>
            </w:r>
          </w:p>
        </w:tc>
        <w:tc>
          <w:tcPr>
            <w:tcW w:w="1497" w:type="dxa"/>
            <w:tcBorders>
              <w:top w:val="double" w:sz="4" w:space="0" w:color="auto"/>
              <w:bottom w:val="single" w:sz="4" w:space="0" w:color="auto"/>
            </w:tcBorders>
            <w:shd w:val="clear" w:color="auto" w:fill="auto"/>
            <w:noWrap/>
            <w:vAlign w:val="bottom"/>
            <w:hideMark/>
          </w:tcPr>
          <w:p w14:paraId="013919C5" w14:textId="77777777" w:rsidR="00CA0EF0" w:rsidRPr="00361E30" w:rsidRDefault="00CA0EF0" w:rsidP="003C13F4">
            <w:pPr>
              <w:spacing w:after="0" w:line="240" w:lineRule="auto"/>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 </w:t>
            </w:r>
          </w:p>
        </w:tc>
        <w:tc>
          <w:tcPr>
            <w:tcW w:w="1417" w:type="dxa"/>
            <w:tcBorders>
              <w:top w:val="double" w:sz="4" w:space="0" w:color="auto"/>
              <w:bottom w:val="single" w:sz="4" w:space="0" w:color="auto"/>
            </w:tcBorders>
            <w:shd w:val="clear" w:color="auto" w:fill="auto"/>
            <w:noWrap/>
            <w:vAlign w:val="center"/>
            <w:hideMark/>
          </w:tcPr>
          <w:p w14:paraId="069E5610"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0.932</w:t>
            </w:r>
          </w:p>
        </w:tc>
        <w:tc>
          <w:tcPr>
            <w:tcW w:w="1134" w:type="dxa"/>
            <w:tcBorders>
              <w:top w:val="double" w:sz="4" w:space="0" w:color="auto"/>
              <w:bottom w:val="single" w:sz="4" w:space="0" w:color="auto"/>
            </w:tcBorders>
            <w:shd w:val="clear" w:color="auto" w:fill="auto"/>
            <w:noWrap/>
            <w:vAlign w:val="center"/>
            <w:hideMark/>
          </w:tcPr>
          <w:p w14:paraId="03585FD6"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0.000</w:t>
            </w:r>
          </w:p>
        </w:tc>
        <w:tc>
          <w:tcPr>
            <w:tcW w:w="1134" w:type="dxa"/>
            <w:tcBorders>
              <w:top w:val="double" w:sz="4" w:space="0" w:color="auto"/>
              <w:bottom w:val="single" w:sz="4" w:space="0" w:color="auto"/>
            </w:tcBorders>
            <w:shd w:val="clear" w:color="auto" w:fill="auto"/>
            <w:noWrap/>
            <w:vAlign w:val="center"/>
            <w:hideMark/>
          </w:tcPr>
          <w:p w14:paraId="7061404E"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0.925</w:t>
            </w:r>
          </w:p>
        </w:tc>
        <w:tc>
          <w:tcPr>
            <w:tcW w:w="1028" w:type="dxa"/>
            <w:tcBorders>
              <w:top w:val="double" w:sz="4" w:space="0" w:color="auto"/>
              <w:bottom w:val="single" w:sz="4" w:space="0" w:color="auto"/>
            </w:tcBorders>
            <w:shd w:val="clear" w:color="auto" w:fill="auto"/>
            <w:noWrap/>
            <w:vAlign w:val="center"/>
            <w:hideMark/>
          </w:tcPr>
          <w:p w14:paraId="5DECEDAB"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0.940</w:t>
            </w:r>
          </w:p>
        </w:tc>
      </w:tr>
      <w:tr w:rsidR="00CA0EF0" w:rsidRPr="00361E30" w14:paraId="06B74E54" w14:textId="77777777" w:rsidTr="003C13F4">
        <w:trPr>
          <w:trHeight w:val="300"/>
        </w:trPr>
        <w:tc>
          <w:tcPr>
            <w:tcW w:w="2898" w:type="dxa"/>
            <w:tcBorders>
              <w:top w:val="single" w:sz="4" w:space="0" w:color="auto"/>
            </w:tcBorders>
            <w:shd w:val="clear" w:color="auto" w:fill="auto"/>
            <w:noWrap/>
            <w:vAlign w:val="bottom"/>
            <w:hideMark/>
          </w:tcPr>
          <w:p w14:paraId="2A7FC048" w14:textId="77777777" w:rsidR="00CA0EF0" w:rsidRPr="00361E30" w:rsidRDefault="00CA0EF0" w:rsidP="003C13F4">
            <w:pPr>
              <w:spacing w:after="0" w:line="240" w:lineRule="auto"/>
              <w:rPr>
                <w:rFonts w:ascii="Calibri" w:eastAsia="Times New Roman" w:hAnsi="Calibri" w:cs="Times New Roman"/>
                <w:b/>
                <w:bCs/>
                <w:color w:val="000000"/>
                <w:lang w:eastAsia="en-GB"/>
              </w:rPr>
            </w:pPr>
            <w:r w:rsidRPr="00361E30">
              <w:rPr>
                <w:rFonts w:ascii="Calibri" w:eastAsia="Times New Roman" w:hAnsi="Calibri" w:cs="Times New Roman"/>
                <w:b/>
                <w:bCs/>
                <w:color w:val="000000"/>
                <w:lang w:eastAsia="en-GB"/>
              </w:rPr>
              <w:t xml:space="preserve">Gender </w:t>
            </w:r>
          </w:p>
        </w:tc>
        <w:tc>
          <w:tcPr>
            <w:tcW w:w="1497" w:type="dxa"/>
            <w:tcBorders>
              <w:top w:val="single" w:sz="4" w:space="0" w:color="auto"/>
            </w:tcBorders>
            <w:shd w:val="clear" w:color="auto" w:fill="auto"/>
            <w:noWrap/>
            <w:vAlign w:val="bottom"/>
            <w:hideMark/>
          </w:tcPr>
          <w:p w14:paraId="02006426" w14:textId="77777777" w:rsidR="00CA0EF0" w:rsidRPr="00361E30" w:rsidRDefault="00CA0EF0" w:rsidP="003C13F4">
            <w:pPr>
              <w:spacing w:after="0" w:line="240" w:lineRule="auto"/>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Male</w:t>
            </w:r>
          </w:p>
        </w:tc>
        <w:tc>
          <w:tcPr>
            <w:tcW w:w="1417" w:type="dxa"/>
            <w:tcBorders>
              <w:top w:val="single" w:sz="4" w:space="0" w:color="auto"/>
            </w:tcBorders>
            <w:shd w:val="clear" w:color="auto" w:fill="auto"/>
            <w:noWrap/>
            <w:vAlign w:val="center"/>
            <w:hideMark/>
          </w:tcPr>
          <w:p w14:paraId="640EBF0C"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Reference</w:t>
            </w:r>
          </w:p>
        </w:tc>
        <w:tc>
          <w:tcPr>
            <w:tcW w:w="1134" w:type="dxa"/>
            <w:tcBorders>
              <w:top w:val="single" w:sz="4" w:space="0" w:color="auto"/>
            </w:tcBorders>
            <w:shd w:val="clear" w:color="auto" w:fill="auto"/>
            <w:noWrap/>
            <w:vAlign w:val="center"/>
            <w:hideMark/>
          </w:tcPr>
          <w:p w14:paraId="24C426E0"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p>
        </w:tc>
        <w:tc>
          <w:tcPr>
            <w:tcW w:w="1134" w:type="dxa"/>
            <w:tcBorders>
              <w:top w:val="single" w:sz="4" w:space="0" w:color="auto"/>
            </w:tcBorders>
            <w:shd w:val="clear" w:color="auto" w:fill="auto"/>
            <w:noWrap/>
            <w:vAlign w:val="center"/>
            <w:hideMark/>
          </w:tcPr>
          <w:p w14:paraId="14141EFE"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p>
        </w:tc>
        <w:tc>
          <w:tcPr>
            <w:tcW w:w="1028" w:type="dxa"/>
            <w:tcBorders>
              <w:top w:val="single" w:sz="4" w:space="0" w:color="auto"/>
            </w:tcBorders>
            <w:shd w:val="clear" w:color="auto" w:fill="auto"/>
            <w:noWrap/>
            <w:vAlign w:val="center"/>
            <w:hideMark/>
          </w:tcPr>
          <w:p w14:paraId="62F5B1EA"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p>
        </w:tc>
      </w:tr>
      <w:tr w:rsidR="00CA0EF0" w:rsidRPr="00361E30" w14:paraId="53835A92" w14:textId="77777777" w:rsidTr="003C13F4">
        <w:trPr>
          <w:trHeight w:val="300"/>
        </w:trPr>
        <w:tc>
          <w:tcPr>
            <w:tcW w:w="2898" w:type="dxa"/>
            <w:tcBorders>
              <w:bottom w:val="single" w:sz="4" w:space="0" w:color="auto"/>
            </w:tcBorders>
            <w:shd w:val="clear" w:color="auto" w:fill="auto"/>
            <w:noWrap/>
            <w:vAlign w:val="bottom"/>
            <w:hideMark/>
          </w:tcPr>
          <w:p w14:paraId="4144AAB5" w14:textId="77777777" w:rsidR="00CA0EF0" w:rsidRPr="00361E30" w:rsidRDefault="00CA0EF0" w:rsidP="003C13F4">
            <w:pPr>
              <w:spacing w:after="0" w:line="240" w:lineRule="auto"/>
              <w:rPr>
                <w:rFonts w:ascii="Calibri" w:eastAsia="Times New Roman" w:hAnsi="Calibri" w:cs="Times New Roman"/>
                <w:b/>
                <w:bCs/>
                <w:color w:val="000000"/>
                <w:lang w:eastAsia="en-GB"/>
              </w:rPr>
            </w:pPr>
            <w:r w:rsidRPr="00361E30">
              <w:rPr>
                <w:rFonts w:ascii="Calibri" w:eastAsia="Times New Roman" w:hAnsi="Calibri" w:cs="Times New Roman"/>
                <w:b/>
                <w:bCs/>
                <w:color w:val="000000"/>
                <w:lang w:eastAsia="en-GB"/>
              </w:rPr>
              <w:t> </w:t>
            </w:r>
          </w:p>
        </w:tc>
        <w:tc>
          <w:tcPr>
            <w:tcW w:w="1497" w:type="dxa"/>
            <w:tcBorders>
              <w:bottom w:val="single" w:sz="4" w:space="0" w:color="auto"/>
            </w:tcBorders>
            <w:shd w:val="clear" w:color="auto" w:fill="auto"/>
            <w:noWrap/>
            <w:vAlign w:val="bottom"/>
            <w:hideMark/>
          </w:tcPr>
          <w:p w14:paraId="0255B275" w14:textId="77777777" w:rsidR="00CA0EF0" w:rsidRPr="00361E30" w:rsidRDefault="00CA0EF0" w:rsidP="003C13F4">
            <w:pPr>
              <w:spacing w:after="0" w:line="240" w:lineRule="auto"/>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Female</w:t>
            </w:r>
          </w:p>
        </w:tc>
        <w:tc>
          <w:tcPr>
            <w:tcW w:w="1417" w:type="dxa"/>
            <w:tcBorders>
              <w:bottom w:val="single" w:sz="4" w:space="0" w:color="auto"/>
            </w:tcBorders>
            <w:shd w:val="clear" w:color="auto" w:fill="auto"/>
            <w:noWrap/>
            <w:vAlign w:val="center"/>
            <w:hideMark/>
          </w:tcPr>
          <w:p w14:paraId="2CABD7AB"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0.227</w:t>
            </w:r>
          </w:p>
        </w:tc>
        <w:tc>
          <w:tcPr>
            <w:tcW w:w="1134" w:type="dxa"/>
            <w:tcBorders>
              <w:bottom w:val="single" w:sz="4" w:space="0" w:color="auto"/>
            </w:tcBorders>
            <w:shd w:val="clear" w:color="auto" w:fill="auto"/>
            <w:noWrap/>
            <w:vAlign w:val="center"/>
            <w:hideMark/>
          </w:tcPr>
          <w:p w14:paraId="577D988F"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0.002</w:t>
            </w:r>
          </w:p>
        </w:tc>
        <w:tc>
          <w:tcPr>
            <w:tcW w:w="1134" w:type="dxa"/>
            <w:tcBorders>
              <w:bottom w:val="single" w:sz="4" w:space="0" w:color="auto"/>
            </w:tcBorders>
            <w:shd w:val="clear" w:color="auto" w:fill="auto"/>
            <w:noWrap/>
            <w:vAlign w:val="center"/>
            <w:hideMark/>
          </w:tcPr>
          <w:p w14:paraId="085283D7"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0.091</w:t>
            </w:r>
          </w:p>
        </w:tc>
        <w:tc>
          <w:tcPr>
            <w:tcW w:w="1028" w:type="dxa"/>
            <w:tcBorders>
              <w:bottom w:val="single" w:sz="4" w:space="0" w:color="auto"/>
            </w:tcBorders>
            <w:shd w:val="clear" w:color="auto" w:fill="auto"/>
            <w:noWrap/>
            <w:vAlign w:val="center"/>
            <w:hideMark/>
          </w:tcPr>
          <w:p w14:paraId="60987312"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0.570</w:t>
            </w:r>
          </w:p>
        </w:tc>
      </w:tr>
      <w:tr w:rsidR="00CA0EF0" w:rsidRPr="00361E30" w14:paraId="2072A35A" w14:textId="77777777" w:rsidTr="003C13F4">
        <w:trPr>
          <w:trHeight w:val="300"/>
        </w:trPr>
        <w:tc>
          <w:tcPr>
            <w:tcW w:w="2898" w:type="dxa"/>
            <w:tcBorders>
              <w:top w:val="single" w:sz="4" w:space="0" w:color="auto"/>
            </w:tcBorders>
            <w:shd w:val="clear" w:color="auto" w:fill="auto"/>
            <w:noWrap/>
            <w:vAlign w:val="bottom"/>
            <w:hideMark/>
          </w:tcPr>
          <w:p w14:paraId="7136757E" w14:textId="77777777" w:rsidR="00CA0EF0" w:rsidRPr="00361E30" w:rsidRDefault="00CA0EF0" w:rsidP="003C13F4">
            <w:pPr>
              <w:spacing w:after="0" w:line="240" w:lineRule="auto"/>
              <w:rPr>
                <w:rFonts w:ascii="Calibri" w:eastAsia="Times New Roman" w:hAnsi="Calibri" w:cs="Times New Roman"/>
                <w:b/>
                <w:bCs/>
                <w:color w:val="000000"/>
                <w:lang w:eastAsia="en-GB"/>
              </w:rPr>
            </w:pPr>
            <w:r w:rsidRPr="00361E30">
              <w:rPr>
                <w:rFonts w:ascii="Calibri" w:eastAsia="Times New Roman" w:hAnsi="Calibri" w:cs="Times New Roman"/>
                <w:b/>
                <w:bCs/>
                <w:color w:val="000000"/>
                <w:lang w:eastAsia="en-GB"/>
              </w:rPr>
              <w:t>Age/Gender Interaction</w:t>
            </w:r>
          </w:p>
        </w:tc>
        <w:tc>
          <w:tcPr>
            <w:tcW w:w="1497" w:type="dxa"/>
            <w:tcBorders>
              <w:top w:val="single" w:sz="4" w:space="0" w:color="auto"/>
            </w:tcBorders>
            <w:shd w:val="clear" w:color="auto" w:fill="auto"/>
            <w:noWrap/>
            <w:vAlign w:val="bottom"/>
            <w:hideMark/>
          </w:tcPr>
          <w:p w14:paraId="51465689" w14:textId="77777777" w:rsidR="00CA0EF0" w:rsidRPr="00361E30" w:rsidRDefault="00CA0EF0" w:rsidP="003C13F4">
            <w:pPr>
              <w:spacing w:after="0" w:line="240" w:lineRule="auto"/>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Male#Age</w:t>
            </w:r>
          </w:p>
        </w:tc>
        <w:tc>
          <w:tcPr>
            <w:tcW w:w="1417" w:type="dxa"/>
            <w:tcBorders>
              <w:top w:val="single" w:sz="4" w:space="0" w:color="auto"/>
            </w:tcBorders>
            <w:shd w:val="clear" w:color="auto" w:fill="auto"/>
            <w:noWrap/>
            <w:vAlign w:val="center"/>
            <w:hideMark/>
          </w:tcPr>
          <w:p w14:paraId="1272B80A"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Reference</w:t>
            </w:r>
          </w:p>
        </w:tc>
        <w:tc>
          <w:tcPr>
            <w:tcW w:w="1134" w:type="dxa"/>
            <w:tcBorders>
              <w:top w:val="single" w:sz="4" w:space="0" w:color="auto"/>
            </w:tcBorders>
            <w:shd w:val="clear" w:color="auto" w:fill="auto"/>
            <w:noWrap/>
            <w:vAlign w:val="center"/>
            <w:hideMark/>
          </w:tcPr>
          <w:p w14:paraId="560B0B2F"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p>
        </w:tc>
        <w:tc>
          <w:tcPr>
            <w:tcW w:w="1134" w:type="dxa"/>
            <w:tcBorders>
              <w:top w:val="single" w:sz="4" w:space="0" w:color="auto"/>
            </w:tcBorders>
            <w:shd w:val="clear" w:color="auto" w:fill="auto"/>
            <w:noWrap/>
            <w:vAlign w:val="center"/>
            <w:hideMark/>
          </w:tcPr>
          <w:p w14:paraId="00B8E2B8"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p>
        </w:tc>
        <w:tc>
          <w:tcPr>
            <w:tcW w:w="1028" w:type="dxa"/>
            <w:tcBorders>
              <w:top w:val="single" w:sz="4" w:space="0" w:color="auto"/>
            </w:tcBorders>
            <w:shd w:val="clear" w:color="auto" w:fill="auto"/>
            <w:noWrap/>
            <w:vAlign w:val="center"/>
            <w:hideMark/>
          </w:tcPr>
          <w:p w14:paraId="4FDE5BC0"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p>
        </w:tc>
      </w:tr>
      <w:tr w:rsidR="00CA0EF0" w:rsidRPr="00361E30" w14:paraId="75F09DF5" w14:textId="77777777" w:rsidTr="003C13F4">
        <w:trPr>
          <w:trHeight w:val="300"/>
        </w:trPr>
        <w:tc>
          <w:tcPr>
            <w:tcW w:w="2898" w:type="dxa"/>
            <w:tcBorders>
              <w:bottom w:val="single" w:sz="4" w:space="0" w:color="auto"/>
            </w:tcBorders>
            <w:shd w:val="clear" w:color="auto" w:fill="auto"/>
            <w:noWrap/>
            <w:vAlign w:val="bottom"/>
            <w:hideMark/>
          </w:tcPr>
          <w:p w14:paraId="68F18763" w14:textId="77777777" w:rsidR="00CA0EF0" w:rsidRPr="00361E30" w:rsidRDefault="00CA0EF0" w:rsidP="003C13F4">
            <w:pPr>
              <w:spacing w:after="0" w:line="240" w:lineRule="auto"/>
              <w:rPr>
                <w:rFonts w:ascii="Calibri" w:eastAsia="Times New Roman" w:hAnsi="Calibri" w:cs="Times New Roman"/>
                <w:b/>
                <w:bCs/>
                <w:color w:val="000000"/>
                <w:lang w:eastAsia="en-GB"/>
              </w:rPr>
            </w:pPr>
            <w:r w:rsidRPr="00361E30">
              <w:rPr>
                <w:rFonts w:ascii="Calibri" w:eastAsia="Times New Roman" w:hAnsi="Calibri" w:cs="Times New Roman"/>
                <w:b/>
                <w:bCs/>
                <w:color w:val="000000"/>
                <w:lang w:eastAsia="en-GB"/>
              </w:rPr>
              <w:t> </w:t>
            </w:r>
          </w:p>
        </w:tc>
        <w:tc>
          <w:tcPr>
            <w:tcW w:w="1497" w:type="dxa"/>
            <w:tcBorders>
              <w:bottom w:val="single" w:sz="4" w:space="0" w:color="auto"/>
            </w:tcBorders>
            <w:shd w:val="clear" w:color="auto" w:fill="auto"/>
            <w:noWrap/>
            <w:vAlign w:val="bottom"/>
            <w:hideMark/>
          </w:tcPr>
          <w:p w14:paraId="14E3DD0D" w14:textId="77777777" w:rsidR="00CA0EF0" w:rsidRPr="00361E30" w:rsidRDefault="00CA0EF0" w:rsidP="003C13F4">
            <w:pPr>
              <w:spacing w:after="0" w:line="240" w:lineRule="auto"/>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Female#Age</w:t>
            </w:r>
          </w:p>
        </w:tc>
        <w:tc>
          <w:tcPr>
            <w:tcW w:w="1417" w:type="dxa"/>
            <w:tcBorders>
              <w:bottom w:val="single" w:sz="4" w:space="0" w:color="auto"/>
            </w:tcBorders>
            <w:shd w:val="clear" w:color="auto" w:fill="auto"/>
            <w:noWrap/>
            <w:vAlign w:val="center"/>
            <w:hideMark/>
          </w:tcPr>
          <w:p w14:paraId="04A3E769"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1.021</w:t>
            </w:r>
          </w:p>
        </w:tc>
        <w:tc>
          <w:tcPr>
            <w:tcW w:w="1134" w:type="dxa"/>
            <w:tcBorders>
              <w:bottom w:val="single" w:sz="4" w:space="0" w:color="auto"/>
            </w:tcBorders>
            <w:shd w:val="clear" w:color="auto" w:fill="auto"/>
            <w:noWrap/>
            <w:vAlign w:val="center"/>
            <w:hideMark/>
          </w:tcPr>
          <w:p w14:paraId="1EF156A7"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0.000</w:t>
            </w:r>
          </w:p>
        </w:tc>
        <w:tc>
          <w:tcPr>
            <w:tcW w:w="1134" w:type="dxa"/>
            <w:tcBorders>
              <w:bottom w:val="single" w:sz="4" w:space="0" w:color="auto"/>
            </w:tcBorders>
            <w:shd w:val="clear" w:color="auto" w:fill="auto"/>
            <w:noWrap/>
            <w:vAlign w:val="center"/>
            <w:hideMark/>
          </w:tcPr>
          <w:p w14:paraId="2B95FE4A"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1.010</w:t>
            </w:r>
          </w:p>
        </w:tc>
        <w:tc>
          <w:tcPr>
            <w:tcW w:w="1028" w:type="dxa"/>
            <w:tcBorders>
              <w:bottom w:val="single" w:sz="4" w:space="0" w:color="auto"/>
            </w:tcBorders>
            <w:shd w:val="clear" w:color="auto" w:fill="auto"/>
            <w:noWrap/>
            <w:vAlign w:val="center"/>
            <w:hideMark/>
          </w:tcPr>
          <w:p w14:paraId="34492A82"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1.032</w:t>
            </w:r>
          </w:p>
        </w:tc>
      </w:tr>
      <w:tr w:rsidR="00CA0EF0" w:rsidRPr="00361E30" w14:paraId="11397B8B" w14:textId="77777777" w:rsidTr="003C13F4">
        <w:trPr>
          <w:trHeight w:val="300"/>
        </w:trPr>
        <w:tc>
          <w:tcPr>
            <w:tcW w:w="2898" w:type="dxa"/>
            <w:tcBorders>
              <w:top w:val="single" w:sz="4" w:space="0" w:color="auto"/>
            </w:tcBorders>
            <w:shd w:val="clear" w:color="auto" w:fill="auto"/>
            <w:noWrap/>
            <w:vAlign w:val="bottom"/>
            <w:hideMark/>
          </w:tcPr>
          <w:p w14:paraId="2AE8ACF4" w14:textId="77777777" w:rsidR="00CA0EF0" w:rsidRPr="00361E30" w:rsidRDefault="00CA0EF0" w:rsidP="003C13F4">
            <w:pPr>
              <w:spacing w:after="0" w:line="240" w:lineRule="auto"/>
              <w:rPr>
                <w:rFonts w:ascii="Calibri" w:eastAsia="Times New Roman" w:hAnsi="Calibri" w:cs="Times New Roman"/>
                <w:b/>
                <w:bCs/>
                <w:color w:val="000000"/>
                <w:lang w:eastAsia="en-GB"/>
              </w:rPr>
            </w:pPr>
            <w:r w:rsidRPr="00361E30">
              <w:rPr>
                <w:rFonts w:ascii="Calibri" w:eastAsia="Times New Roman" w:hAnsi="Calibri" w:cs="Times New Roman"/>
                <w:b/>
                <w:bCs/>
                <w:color w:val="000000"/>
                <w:lang w:eastAsia="en-GB"/>
              </w:rPr>
              <w:t>Charlson Comorbidity Index</w:t>
            </w:r>
          </w:p>
        </w:tc>
        <w:tc>
          <w:tcPr>
            <w:tcW w:w="1497" w:type="dxa"/>
            <w:tcBorders>
              <w:top w:val="single" w:sz="4" w:space="0" w:color="auto"/>
            </w:tcBorders>
            <w:shd w:val="clear" w:color="auto" w:fill="auto"/>
            <w:noWrap/>
            <w:vAlign w:val="bottom"/>
            <w:hideMark/>
          </w:tcPr>
          <w:p w14:paraId="3B3FC450" w14:textId="77777777" w:rsidR="00CA0EF0" w:rsidRPr="00361E30" w:rsidRDefault="00CA0EF0" w:rsidP="003C13F4">
            <w:pPr>
              <w:spacing w:after="0" w:line="240" w:lineRule="auto"/>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CCI = 0</w:t>
            </w:r>
          </w:p>
        </w:tc>
        <w:tc>
          <w:tcPr>
            <w:tcW w:w="1417" w:type="dxa"/>
            <w:tcBorders>
              <w:top w:val="single" w:sz="4" w:space="0" w:color="auto"/>
            </w:tcBorders>
            <w:shd w:val="clear" w:color="auto" w:fill="auto"/>
            <w:noWrap/>
            <w:vAlign w:val="center"/>
            <w:hideMark/>
          </w:tcPr>
          <w:p w14:paraId="185B0955"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Reference</w:t>
            </w:r>
          </w:p>
        </w:tc>
        <w:tc>
          <w:tcPr>
            <w:tcW w:w="1134" w:type="dxa"/>
            <w:tcBorders>
              <w:top w:val="single" w:sz="4" w:space="0" w:color="auto"/>
            </w:tcBorders>
            <w:shd w:val="clear" w:color="auto" w:fill="auto"/>
            <w:noWrap/>
            <w:vAlign w:val="center"/>
            <w:hideMark/>
          </w:tcPr>
          <w:p w14:paraId="7781B44D"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p>
        </w:tc>
        <w:tc>
          <w:tcPr>
            <w:tcW w:w="1134" w:type="dxa"/>
            <w:tcBorders>
              <w:top w:val="single" w:sz="4" w:space="0" w:color="auto"/>
            </w:tcBorders>
            <w:shd w:val="clear" w:color="auto" w:fill="auto"/>
            <w:noWrap/>
            <w:vAlign w:val="center"/>
            <w:hideMark/>
          </w:tcPr>
          <w:p w14:paraId="45EEF78A"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p>
        </w:tc>
        <w:tc>
          <w:tcPr>
            <w:tcW w:w="1028" w:type="dxa"/>
            <w:tcBorders>
              <w:top w:val="single" w:sz="4" w:space="0" w:color="auto"/>
            </w:tcBorders>
            <w:shd w:val="clear" w:color="auto" w:fill="auto"/>
            <w:noWrap/>
            <w:vAlign w:val="center"/>
            <w:hideMark/>
          </w:tcPr>
          <w:p w14:paraId="7B9B55DA"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p>
        </w:tc>
      </w:tr>
      <w:tr w:rsidR="00CA0EF0" w:rsidRPr="00361E30" w14:paraId="0C5EB063" w14:textId="77777777" w:rsidTr="003C13F4">
        <w:trPr>
          <w:trHeight w:val="300"/>
        </w:trPr>
        <w:tc>
          <w:tcPr>
            <w:tcW w:w="2898" w:type="dxa"/>
            <w:shd w:val="clear" w:color="auto" w:fill="auto"/>
            <w:noWrap/>
            <w:vAlign w:val="bottom"/>
            <w:hideMark/>
          </w:tcPr>
          <w:p w14:paraId="654533F9" w14:textId="77777777" w:rsidR="00CA0EF0" w:rsidRPr="00361E30" w:rsidRDefault="00CA0EF0" w:rsidP="003C13F4">
            <w:pPr>
              <w:spacing w:after="0" w:line="240" w:lineRule="auto"/>
              <w:rPr>
                <w:rFonts w:ascii="Calibri" w:eastAsia="Times New Roman" w:hAnsi="Calibri" w:cs="Times New Roman"/>
                <w:b/>
                <w:bCs/>
                <w:color w:val="000000"/>
                <w:lang w:eastAsia="en-GB"/>
              </w:rPr>
            </w:pPr>
          </w:p>
        </w:tc>
        <w:tc>
          <w:tcPr>
            <w:tcW w:w="1497" w:type="dxa"/>
            <w:shd w:val="clear" w:color="auto" w:fill="auto"/>
            <w:noWrap/>
            <w:vAlign w:val="bottom"/>
            <w:hideMark/>
          </w:tcPr>
          <w:p w14:paraId="2AE7C54E" w14:textId="77777777" w:rsidR="00CA0EF0" w:rsidRPr="00361E30" w:rsidRDefault="00CA0EF0" w:rsidP="003C13F4">
            <w:pPr>
              <w:spacing w:after="0" w:line="240" w:lineRule="auto"/>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CCI 1 - 5</w:t>
            </w:r>
          </w:p>
        </w:tc>
        <w:tc>
          <w:tcPr>
            <w:tcW w:w="1417" w:type="dxa"/>
            <w:shd w:val="clear" w:color="auto" w:fill="auto"/>
            <w:noWrap/>
            <w:vAlign w:val="center"/>
            <w:hideMark/>
          </w:tcPr>
          <w:p w14:paraId="1888FFC1"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0.631</w:t>
            </w:r>
          </w:p>
        </w:tc>
        <w:tc>
          <w:tcPr>
            <w:tcW w:w="1134" w:type="dxa"/>
            <w:shd w:val="clear" w:color="auto" w:fill="auto"/>
            <w:noWrap/>
            <w:vAlign w:val="center"/>
            <w:hideMark/>
          </w:tcPr>
          <w:p w14:paraId="5AC84E5A"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0.000</w:t>
            </w:r>
          </w:p>
        </w:tc>
        <w:tc>
          <w:tcPr>
            <w:tcW w:w="1134" w:type="dxa"/>
            <w:shd w:val="clear" w:color="auto" w:fill="auto"/>
            <w:noWrap/>
            <w:vAlign w:val="center"/>
            <w:hideMark/>
          </w:tcPr>
          <w:p w14:paraId="5172B839"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0.564</w:t>
            </w:r>
          </w:p>
        </w:tc>
        <w:tc>
          <w:tcPr>
            <w:tcW w:w="1028" w:type="dxa"/>
            <w:shd w:val="clear" w:color="auto" w:fill="auto"/>
            <w:noWrap/>
            <w:vAlign w:val="center"/>
            <w:hideMark/>
          </w:tcPr>
          <w:p w14:paraId="39124144"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0.706</w:t>
            </w:r>
          </w:p>
        </w:tc>
      </w:tr>
      <w:tr w:rsidR="00CA0EF0" w:rsidRPr="00361E30" w14:paraId="3BBA2624" w14:textId="77777777" w:rsidTr="003C13F4">
        <w:trPr>
          <w:trHeight w:val="300"/>
        </w:trPr>
        <w:tc>
          <w:tcPr>
            <w:tcW w:w="2898" w:type="dxa"/>
            <w:shd w:val="clear" w:color="auto" w:fill="auto"/>
            <w:noWrap/>
            <w:vAlign w:val="bottom"/>
            <w:hideMark/>
          </w:tcPr>
          <w:p w14:paraId="27A181E9" w14:textId="77777777" w:rsidR="00CA0EF0" w:rsidRPr="00361E30" w:rsidRDefault="00CA0EF0" w:rsidP="003C13F4">
            <w:pPr>
              <w:spacing w:after="0" w:line="240" w:lineRule="auto"/>
              <w:rPr>
                <w:rFonts w:ascii="Calibri" w:eastAsia="Times New Roman" w:hAnsi="Calibri" w:cs="Times New Roman"/>
                <w:b/>
                <w:bCs/>
                <w:color w:val="000000"/>
                <w:lang w:eastAsia="en-GB"/>
              </w:rPr>
            </w:pPr>
          </w:p>
        </w:tc>
        <w:tc>
          <w:tcPr>
            <w:tcW w:w="1497" w:type="dxa"/>
            <w:shd w:val="clear" w:color="auto" w:fill="auto"/>
            <w:noWrap/>
            <w:vAlign w:val="bottom"/>
            <w:hideMark/>
          </w:tcPr>
          <w:p w14:paraId="7A01871B" w14:textId="77777777" w:rsidR="00CA0EF0" w:rsidRPr="00361E30" w:rsidRDefault="00CA0EF0" w:rsidP="003C13F4">
            <w:pPr>
              <w:spacing w:after="0" w:line="240" w:lineRule="auto"/>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CCI 6 - 10</w:t>
            </w:r>
          </w:p>
        </w:tc>
        <w:tc>
          <w:tcPr>
            <w:tcW w:w="1417" w:type="dxa"/>
            <w:shd w:val="clear" w:color="auto" w:fill="auto"/>
            <w:noWrap/>
            <w:vAlign w:val="center"/>
            <w:hideMark/>
          </w:tcPr>
          <w:p w14:paraId="27A9113E"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0.451</w:t>
            </w:r>
          </w:p>
        </w:tc>
        <w:tc>
          <w:tcPr>
            <w:tcW w:w="1134" w:type="dxa"/>
            <w:shd w:val="clear" w:color="auto" w:fill="auto"/>
            <w:noWrap/>
            <w:vAlign w:val="center"/>
            <w:hideMark/>
          </w:tcPr>
          <w:p w14:paraId="1C0749DF"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0.000</w:t>
            </w:r>
          </w:p>
        </w:tc>
        <w:tc>
          <w:tcPr>
            <w:tcW w:w="1134" w:type="dxa"/>
            <w:shd w:val="clear" w:color="auto" w:fill="auto"/>
            <w:noWrap/>
            <w:vAlign w:val="center"/>
            <w:hideMark/>
          </w:tcPr>
          <w:p w14:paraId="5EA9BB63"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0.395</w:t>
            </w:r>
          </w:p>
        </w:tc>
        <w:tc>
          <w:tcPr>
            <w:tcW w:w="1028" w:type="dxa"/>
            <w:shd w:val="clear" w:color="auto" w:fill="auto"/>
            <w:noWrap/>
            <w:vAlign w:val="center"/>
            <w:hideMark/>
          </w:tcPr>
          <w:p w14:paraId="3086BAD4"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0.514</w:t>
            </w:r>
          </w:p>
        </w:tc>
      </w:tr>
      <w:tr w:rsidR="00CA0EF0" w:rsidRPr="00361E30" w14:paraId="5549DB1B" w14:textId="77777777" w:rsidTr="003C13F4">
        <w:trPr>
          <w:trHeight w:val="300"/>
        </w:trPr>
        <w:tc>
          <w:tcPr>
            <w:tcW w:w="2898" w:type="dxa"/>
            <w:shd w:val="clear" w:color="auto" w:fill="auto"/>
            <w:noWrap/>
            <w:vAlign w:val="bottom"/>
            <w:hideMark/>
          </w:tcPr>
          <w:p w14:paraId="6F5605B9" w14:textId="77777777" w:rsidR="00CA0EF0" w:rsidRPr="00361E30" w:rsidRDefault="00CA0EF0" w:rsidP="003C13F4">
            <w:pPr>
              <w:spacing w:after="0" w:line="240" w:lineRule="auto"/>
              <w:rPr>
                <w:rFonts w:ascii="Calibri" w:eastAsia="Times New Roman" w:hAnsi="Calibri" w:cs="Times New Roman"/>
                <w:b/>
                <w:bCs/>
                <w:color w:val="000000"/>
                <w:lang w:eastAsia="en-GB"/>
              </w:rPr>
            </w:pPr>
          </w:p>
        </w:tc>
        <w:tc>
          <w:tcPr>
            <w:tcW w:w="1497" w:type="dxa"/>
            <w:shd w:val="clear" w:color="auto" w:fill="auto"/>
            <w:noWrap/>
            <w:vAlign w:val="bottom"/>
            <w:hideMark/>
          </w:tcPr>
          <w:p w14:paraId="52267175" w14:textId="77777777" w:rsidR="00CA0EF0" w:rsidRPr="00361E30" w:rsidRDefault="00CA0EF0" w:rsidP="003C13F4">
            <w:pPr>
              <w:spacing w:after="0" w:line="240" w:lineRule="auto"/>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CCI &gt;10</w:t>
            </w:r>
          </w:p>
        </w:tc>
        <w:tc>
          <w:tcPr>
            <w:tcW w:w="1417" w:type="dxa"/>
            <w:shd w:val="clear" w:color="auto" w:fill="auto"/>
            <w:noWrap/>
            <w:vAlign w:val="center"/>
            <w:hideMark/>
          </w:tcPr>
          <w:p w14:paraId="27DB7B09"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0.334</w:t>
            </w:r>
          </w:p>
        </w:tc>
        <w:tc>
          <w:tcPr>
            <w:tcW w:w="1134" w:type="dxa"/>
            <w:shd w:val="clear" w:color="auto" w:fill="auto"/>
            <w:noWrap/>
            <w:vAlign w:val="center"/>
            <w:hideMark/>
          </w:tcPr>
          <w:p w14:paraId="2A0BC078"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0.000</w:t>
            </w:r>
          </w:p>
        </w:tc>
        <w:tc>
          <w:tcPr>
            <w:tcW w:w="1134" w:type="dxa"/>
            <w:shd w:val="clear" w:color="auto" w:fill="auto"/>
            <w:noWrap/>
            <w:vAlign w:val="center"/>
            <w:hideMark/>
          </w:tcPr>
          <w:p w14:paraId="1FE377EA"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0.283</w:t>
            </w:r>
          </w:p>
        </w:tc>
        <w:tc>
          <w:tcPr>
            <w:tcW w:w="1028" w:type="dxa"/>
            <w:shd w:val="clear" w:color="auto" w:fill="auto"/>
            <w:noWrap/>
            <w:vAlign w:val="center"/>
            <w:hideMark/>
          </w:tcPr>
          <w:p w14:paraId="747C07F3"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0.395</w:t>
            </w:r>
          </w:p>
        </w:tc>
      </w:tr>
      <w:tr w:rsidR="00CA0EF0" w:rsidRPr="00361E30" w14:paraId="61C940B7" w14:textId="77777777" w:rsidTr="003C13F4">
        <w:trPr>
          <w:trHeight w:val="378"/>
        </w:trPr>
        <w:tc>
          <w:tcPr>
            <w:tcW w:w="2898" w:type="dxa"/>
            <w:tcBorders>
              <w:bottom w:val="single" w:sz="4" w:space="0" w:color="auto"/>
            </w:tcBorders>
            <w:shd w:val="clear" w:color="auto" w:fill="auto"/>
            <w:noWrap/>
            <w:vAlign w:val="center"/>
          </w:tcPr>
          <w:p w14:paraId="0D676EF5" w14:textId="77777777" w:rsidR="00CA0EF0" w:rsidRPr="00361E30" w:rsidRDefault="00CA0EF0" w:rsidP="003C13F4">
            <w:pPr>
              <w:spacing w:after="0" w:line="240" w:lineRule="auto"/>
              <w:jc w:val="right"/>
              <w:rPr>
                <w:rFonts w:ascii="Calibri" w:eastAsia="Times New Roman" w:hAnsi="Calibri" w:cs="Times New Roman"/>
                <w:b/>
                <w:bCs/>
                <w:color w:val="000000"/>
                <w:lang w:eastAsia="en-GB"/>
              </w:rPr>
            </w:pPr>
          </w:p>
        </w:tc>
        <w:tc>
          <w:tcPr>
            <w:tcW w:w="1497" w:type="dxa"/>
            <w:tcBorders>
              <w:bottom w:val="single" w:sz="4" w:space="0" w:color="auto"/>
            </w:tcBorders>
            <w:shd w:val="clear" w:color="auto" w:fill="auto"/>
            <w:vAlign w:val="center"/>
          </w:tcPr>
          <w:p w14:paraId="54185FCE" w14:textId="77777777" w:rsidR="00CA0EF0" w:rsidRPr="00361E30" w:rsidRDefault="00CA0EF0" w:rsidP="003C13F4">
            <w:pPr>
              <w:spacing w:after="0" w:line="240" w:lineRule="auto"/>
              <w:jc w:val="left"/>
              <w:rPr>
                <w:rFonts w:ascii="Calibri" w:eastAsia="Times New Roman" w:hAnsi="Calibri" w:cs="Times New Roman"/>
                <w:b/>
                <w:bCs/>
                <w:color w:val="000000"/>
                <w:lang w:eastAsia="en-GB"/>
              </w:rPr>
            </w:pPr>
            <w:r w:rsidRPr="00361E30">
              <w:rPr>
                <w:rFonts w:ascii="Calibri" w:eastAsia="Times New Roman" w:hAnsi="Calibri" w:cs="Times New Roman"/>
                <w:b/>
                <w:bCs/>
                <w:color w:val="000000"/>
                <w:lang w:eastAsia="en-GB"/>
              </w:rPr>
              <w:t> </w:t>
            </w:r>
            <w:r w:rsidRPr="00361E30">
              <w:rPr>
                <w:rFonts w:ascii="Calibri" w:eastAsia="Times New Roman" w:hAnsi="Calibri" w:cs="Times New Roman"/>
                <w:color w:val="000000"/>
                <w:lang w:eastAsia="en-GB"/>
              </w:rPr>
              <w:t>Not recorded</w:t>
            </w:r>
          </w:p>
        </w:tc>
        <w:tc>
          <w:tcPr>
            <w:tcW w:w="1417" w:type="dxa"/>
            <w:tcBorders>
              <w:bottom w:val="single" w:sz="4" w:space="0" w:color="auto"/>
            </w:tcBorders>
            <w:shd w:val="clear" w:color="auto" w:fill="auto"/>
            <w:noWrap/>
            <w:vAlign w:val="center"/>
            <w:hideMark/>
          </w:tcPr>
          <w:p w14:paraId="46204185"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0.569</w:t>
            </w:r>
          </w:p>
        </w:tc>
        <w:tc>
          <w:tcPr>
            <w:tcW w:w="1134" w:type="dxa"/>
            <w:tcBorders>
              <w:bottom w:val="single" w:sz="4" w:space="0" w:color="auto"/>
            </w:tcBorders>
            <w:shd w:val="clear" w:color="auto" w:fill="auto"/>
            <w:noWrap/>
            <w:vAlign w:val="center"/>
            <w:hideMark/>
          </w:tcPr>
          <w:p w14:paraId="5E7E636E"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0.000</w:t>
            </w:r>
          </w:p>
        </w:tc>
        <w:tc>
          <w:tcPr>
            <w:tcW w:w="1134" w:type="dxa"/>
            <w:tcBorders>
              <w:bottom w:val="single" w:sz="4" w:space="0" w:color="auto"/>
            </w:tcBorders>
            <w:shd w:val="clear" w:color="auto" w:fill="auto"/>
            <w:noWrap/>
            <w:vAlign w:val="center"/>
            <w:hideMark/>
          </w:tcPr>
          <w:p w14:paraId="31B9642E"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0.474</w:t>
            </w:r>
          </w:p>
        </w:tc>
        <w:tc>
          <w:tcPr>
            <w:tcW w:w="1028" w:type="dxa"/>
            <w:tcBorders>
              <w:bottom w:val="single" w:sz="4" w:space="0" w:color="auto"/>
            </w:tcBorders>
            <w:shd w:val="clear" w:color="auto" w:fill="auto"/>
            <w:noWrap/>
            <w:vAlign w:val="center"/>
            <w:hideMark/>
          </w:tcPr>
          <w:p w14:paraId="3044FDCC"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0.683</w:t>
            </w:r>
          </w:p>
        </w:tc>
      </w:tr>
      <w:tr w:rsidR="00CA0EF0" w:rsidRPr="00361E30" w14:paraId="1A4E7711" w14:textId="77777777" w:rsidTr="003C13F4">
        <w:trPr>
          <w:trHeight w:val="300"/>
        </w:trPr>
        <w:tc>
          <w:tcPr>
            <w:tcW w:w="2898" w:type="dxa"/>
            <w:tcBorders>
              <w:top w:val="single" w:sz="4" w:space="0" w:color="auto"/>
            </w:tcBorders>
            <w:shd w:val="clear" w:color="auto" w:fill="auto"/>
            <w:noWrap/>
            <w:vAlign w:val="bottom"/>
            <w:hideMark/>
          </w:tcPr>
          <w:p w14:paraId="00C4A2DF" w14:textId="77777777" w:rsidR="00CA0EF0" w:rsidRPr="00361E30" w:rsidRDefault="00CA0EF0" w:rsidP="003C13F4">
            <w:pPr>
              <w:spacing w:after="0" w:line="240" w:lineRule="auto"/>
              <w:rPr>
                <w:rFonts w:ascii="Calibri" w:eastAsia="Times New Roman" w:hAnsi="Calibri" w:cs="Times New Roman"/>
                <w:b/>
                <w:bCs/>
                <w:color w:val="000000"/>
                <w:lang w:eastAsia="en-GB"/>
              </w:rPr>
            </w:pPr>
            <w:r w:rsidRPr="00361E30">
              <w:rPr>
                <w:rFonts w:ascii="Calibri" w:eastAsia="Times New Roman" w:hAnsi="Calibri" w:cs="Times New Roman"/>
                <w:b/>
                <w:bCs/>
                <w:color w:val="000000"/>
                <w:lang w:eastAsia="en-GB"/>
              </w:rPr>
              <w:t>Injury Severity Score</w:t>
            </w:r>
          </w:p>
        </w:tc>
        <w:tc>
          <w:tcPr>
            <w:tcW w:w="1497" w:type="dxa"/>
            <w:tcBorders>
              <w:top w:val="single" w:sz="4" w:space="0" w:color="auto"/>
            </w:tcBorders>
            <w:shd w:val="clear" w:color="auto" w:fill="auto"/>
            <w:noWrap/>
            <w:vAlign w:val="bottom"/>
            <w:hideMark/>
          </w:tcPr>
          <w:p w14:paraId="12A8F831" w14:textId="77777777" w:rsidR="00CA0EF0" w:rsidRPr="00361E30" w:rsidRDefault="00CA0EF0" w:rsidP="003C13F4">
            <w:pPr>
              <w:spacing w:after="0" w:line="240" w:lineRule="auto"/>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ISS &lt;9</w:t>
            </w:r>
          </w:p>
        </w:tc>
        <w:tc>
          <w:tcPr>
            <w:tcW w:w="1417" w:type="dxa"/>
            <w:tcBorders>
              <w:top w:val="single" w:sz="4" w:space="0" w:color="auto"/>
            </w:tcBorders>
            <w:shd w:val="clear" w:color="auto" w:fill="auto"/>
            <w:noWrap/>
            <w:vAlign w:val="center"/>
            <w:hideMark/>
          </w:tcPr>
          <w:p w14:paraId="77462599"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1.575</w:t>
            </w:r>
          </w:p>
        </w:tc>
        <w:tc>
          <w:tcPr>
            <w:tcW w:w="1134" w:type="dxa"/>
            <w:tcBorders>
              <w:top w:val="single" w:sz="4" w:space="0" w:color="auto"/>
            </w:tcBorders>
            <w:shd w:val="clear" w:color="auto" w:fill="auto"/>
            <w:noWrap/>
            <w:vAlign w:val="center"/>
            <w:hideMark/>
          </w:tcPr>
          <w:p w14:paraId="591D53F5"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0.000</w:t>
            </w:r>
          </w:p>
        </w:tc>
        <w:tc>
          <w:tcPr>
            <w:tcW w:w="1134" w:type="dxa"/>
            <w:tcBorders>
              <w:top w:val="single" w:sz="4" w:space="0" w:color="auto"/>
            </w:tcBorders>
            <w:shd w:val="clear" w:color="auto" w:fill="auto"/>
            <w:noWrap/>
            <w:vAlign w:val="center"/>
            <w:hideMark/>
          </w:tcPr>
          <w:p w14:paraId="552AB97E"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1.367</w:t>
            </w:r>
          </w:p>
        </w:tc>
        <w:tc>
          <w:tcPr>
            <w:tcW w:w="1028" w:type="dxa"/>
            <w:tcBorders>
              <w:top w:val="single" w:sz="4" w:space="0" w:color="auto"/>
            </w:tcBorders>
            <w:shd w:val="clear" w:color="auto" w:fill="auto"/>
            <w:noWrap/>
            <w:vAlign w:val="center"/>
            <w:hideMark/>
          </w:tcPr>
          <w:p w14:paraId="631AE84B"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1.815</w:t>
            </w:r>
          </w:p>
        </w:tc>
      </w:tr>
      <w:tr w:rsidR="00CA0EF0" w:rsidRPr="00361E30" w14:paraId="164DEBAE" w14:textId="77777777" w:rsidTr="003C13F4">
        <w:trPr>
          <w:trHeight w:val="300"/>
        </w:trPr>
        <w:tc>
          <w:tcPr>
            <w:tcW w:w="2898" w:type="dxa"/>
            <w:shd w:val="clear" w:color="auto" w:fill="auto"/>
            <w:noWrap/>
            <w:vAlign w:val="bottom"/>
            <w:hideMark/>
          </w:tcPr>
          <w:p w14:paraId="4F3A7747" w14:textId="77777777" w:rsidR="00CA0EF0" w:rsidRPr="00361E30" w:rsidRDefault="00CA0EF0" w:rsidP="003C13F4">
            <w:pPr>
              <w:spacing w:after="0" w:line="240" w:lineRule="auto"/>
              <w:rPr>
                <w:rFonts w:ascii="Calibri" w:eastAsia="Times New Roman" w:hAnsi="Calibri" w:cs="Times New Roman"/>
                <w:b/>
                <w:bCs/>
                <w:color w:val="000000"/>
                <w:lang w:eastAsia="en-GB"/>
              </w:rPr>
            </w:pPr>
          </w:p>
        </w:tc>
        <w:tc>
          <w:tcPr>
            <w:tcW w:w="1497" w:type="dxa"/>
            <w:shd w:val="clear" w:color="auto" w:fill="auto"/>
            <w:noWrap/>
            <w:vAlign w:val="bottom"/>
            <w:hideMark/>
          </w:tcPr>
          <w:p w14:paraId="10FED02A" w14:textId="77777777" w:rsidR="00CA0EF0" w:rsidRPr="00361E30" w:rsidRDefault="00CA0EF0" w:rsidP="003C13F4">
            <w:pPr>
              <w:spacing w:after="0" w:line="240" w:lineRule="auto"/>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ISS 9 - 15</w:t>
            </w:r>
          </w:p>
        </w:tc>
        <w:tc>
          <w:tcPr>
            <w:tcW w:w="1417" w:type="dxa"/>
            <w:shd w:val="clear" w:color="auto" w:fill="auto"/>
            <w:noWrap/>
            <w:vAlign w:val="center"/>
            <w:hideMark/>
          </w:tcPr>
          <w:p w14:paraId="1A8487EB"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Reference</w:t>
            </w:r>
          </w:p>
        </w:tc>
        <w:tc>
          <w:tcPr>
            <w:tcW w:w="1134" w:type="dxa"/>
            <w:shd w:val="clear" w:color="auto" w:fill="auto"/>
            <w:noWrap/>
            <w:vAlign w:val="center"/>
            <w:hideMark/>
          </w:tcPr>
          <w:p w14:paraId="695EFFBC"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p>
        </w:tc>
        <w:tc>
          <w:tcPr>
            <w:tcW w:w="1134" w:type="dxa"/>
            <w:shd w:val="clear" w:color="auto" w:fill="auto"/>
            <w:noWrap/>
            <w:vAlign w:val="center"/>
            <w:hideMark/>
          </w:tcPr>
          <w:p w14:paraId="7C85C66E"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p>
        </w:tc>
        <w:tc>
          <w:tcPr>
            <w:tcW w:w="1028" w:type="dxa"/>
            <w:shd w:val="clear" w:color="auto" w:fill="auto"/>
            <w:noWrap/>
            <w:vAlign w:val="center"/>
            <w:hideMark/>
          </w:tcPr>
          <w:p w14:paraId="331A62D2"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p>
        </w:tc>
      </w:tr>
      <w:tr w:rsidR="00CA0EF0" w:rsidRPr="00361E30" w14:paraId="5154AD93" w14:textId="77777777" w:rsidTr="003C13F4">
        <w:trPr>
          <w:trHeight w:val="300"/>
        </w:trPr>
        <w:tc>
          <w:tcPr>
            <w:tcW w:w="2898" w:type="dxa"/>
            <w:shd w:val="clear" w:color="auto" w:fill="auto"/>
            <w:noWrap/>
            <w:vAlign w:val="bottom"/>
            <w:hideMark/>
          </w:tcPr>
          <w:p w14:paraId="46574070" w14:textId="77777777" w:rsidR="00CA0EF0" w:rsidRPr="00361E30" w:rsidRDefault="00CA0EF0" w:rsidP="003C13F4">
            <w:pPr>
              <w:spacing w:after="0" w:line="240" w:lineRule="auto"/>
              <w:rPr>
                <w:rFonts w:ascii="Calibri" w:eastAsia="Times New Roman" w:hAnsi="Calibri" w:cs="Times New Roman"/>
                <w:b/>
                <w:bCs/>
                <w:color w:val="000000"/>
                <w:lang w:eastAsia="en-GB"/>
              </w:rPr>
            </w:pPr>
          </w:p>
        </w:tc>
        <w:tc>
          <w:tcPr>
            <w:tcW w:w="1497" w:type="dxa"/>
            <w:shd w:val="clear" w:color="auto" w:fill="auto"/>
            <w:noWrap/>
            <w:vAlign w:val="bottom"/>
            <w:hideMark/>
          </w:tcPr>
          <w:p w14:paraId="1C4FD471" w14:textId="77777777" w:rsidR="00CA0EF0" w:rsidRPr="00361E30" w:rsidRDefault="00CA0EF0" w:rsidP="003C13F4">
            <w:pPr>
              <w:spacing w:after="0" w:line="240" w:lineRule="auto"/>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ISS 16 - 25</w:t>
            </w:r>
          </w:p>
        </w:tc>
        <w:tc>
          <w:tcPr>
            <w:tcW w:w="1417" w:type="dxa"/>
            <w:shd w:val="clear" w:color="auto" w:fill="auto"/>
            <w:noWrap/>
            <w:vAlign w:val="center"/>
            <w:hideMark/>
          </w:tcPr>
          <w:p w14:paraId="3D95BF07"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0.743</w:t>
            </w:r>
          </w:p>
        </w:tc>
        <w:tc>
          <w:tcPr>
            <w:tcW w:w="1134" w:type="dxa"/>
            <w:shd w:val="clear" w:color="auto" w:fill="auto"/>
            <w:noWrap/>
            <w:vAlign w:val="center"/>
            <w:hideMark/>
          </w:tcPr>
          <w:p w14:paraId="34CE506D"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0.000</w:t>
            </w:r>
          </w:p>
        </w:tc>
        <w:tc>
          <w:tcPr>
            <w:tcW w:w="1134" w:type="dxa"/>
            <w:shd w:val="clear" w:color="auto" w:fill="auto"/>
            <w:noWrap/>
            <w:vAlign w:val="center"/>
            <w:hideMark/>
          </w:tcPr>
          <w:p w14:paraId="69F03A1D"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0.655</w:t>
            </w:r>
          </w:p>
        </w:tc>
        <w:tc>
          <w:tcPr>
            <w:tcW w:w="1028" w:type="dxa"/>
            <w:shd w:val="clear" w:color="auto" w:fill="auto"/>
            <w:noWrap/>
            <w:vAlign w:val="center"/>
            <w:hideMark/>
          </w:tcPr>
          <w:p w14:paraId="3FF2668B"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0.844</w:t>
            </w:r>
          </w:p>
        </w:tc>
      </w:tr>
      <w:tr w:rsidR="00CA0EF0" w:rsidRPr="00361E30" w14:paraId="59F2189C" w14:textId="77777777" w:rsidTr="003C13F4">
        <w:trPr>
          <w:trHeight w:val="300"/>
        </w:trPr>
        <w:tc>
          <w:tcPr>
            <w:tcW w:w="2898" w:type="dxa"/>
            <w:shd w:val="clear" w:color="auto" w:fill="auto"/>
            <w:noWrap/>
            <w:vAlign w:val="bottom"/>
            <w:hideMark/>
          </w:tcPr>
          <w:p w14:paraId="3893BA64" w14:textId="77777777" w:rsidR="00CA0EF0" w:rsidRPr="00361E30" w:rsidRDefault="00CA0EF0" w:rsidP="003C13F4">
            <w:pPr>
              <w:spacing w:after="0" w:line="240" w:lineRule="auto"/>
              <w:rPr>
                <w:rFonts w:ascii="Calibri" w:eastAsia="Times New Roman" w:hAnsi="Calibri" w:cs="Times New Roman"/>
                <w:b/>
                <w:bCs/>
                <w:color w:val="000000"/>
                <w:lang w:eastAsia="en-GB"/>
              </w:rPr>
            </w:pPr>
            <w:r w:rsidRPr="00361E30">
              <w:rPr>
                <w:rFonts w:ascii="Calibri" w:eastAsia="Times New Roman" w:hAnsi="Calibri" w:cs="Times New Roman"/>
                <w:b/>
                <w:bCs/>
                <w:color w:val="000000"/>
                <w:lang w:eastAsia="en-GB"/>
              </w:rPr>
              <w:t> </w:t>
            </w:r>
          </w:p>
        </w:tc>
        <w:tc>
          <w:tcPr>
            <w:tcW w:w="1497" w:type="dxa"/>
            <w:shd w:val="clear" w:color="auto" w:fill="auto"/>
            <w:noWrap/>
            <w:vAlign w:val="bottom"/>
            <w:hideMark/>
          </w:tcPr>
          <w:p w14:paraId="16626DF1" w14:textId="77777777" w:rsidR="00CA0EF0" w:rsidRPr="00361E30" w:rsidRDefault="00CA0EF0" w:rsidP="003C13F4">
            <w:pPr>
              <w:spacing w:after="0" w:line="240" w:lineRule="auto"/>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ISS &gt;=25</w:t>
            </w:r>
          </w:p>
        </w:tc>
        <w:tc>
          <w:tcPr>
            <w:tcW w:w="1417" w:type="dxa"/>
            <w:shd w:val="clear" w:color="auto" w:fill="auto"/>
            <w:noWrap/>
            <w:vAlign w:val="center"/>
            <w:hideMark/>
          </w:tcPr>
          <w:p w14:paraId="59206155"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0.292</w:t>
            </w:r>
          </w:p>
        </w:tc>
        <w:tc>
          <w:tcPr>
            <w:tcW w:w="1134" w:type="dxa"/>
            <w:shd w:val="clear" w:color="auto" w:fill="auto"/>
            <w:noWrap/>
            <w:vAlign w:val="center"/>
            <w:hideMark/>
          </w:tcPr>
          <w:p w14:paraId="4A42EF37"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0.000</w:t>
            </w:r>
          </w:p>
        </w:tc>
        <w:tc>
          <w:tcPr>
            <w:tcW w:w="1134" w:type="dxa"/>
            <w:shd w:val="clear" w:color="auto" w:fill="auto"/>
            <w:noWrap/>
            <w:vAlign w:val="center"/>
            <w:hideMark/>
          </w:tcPr>
          <w:p w14:paraId="04DFFC0F"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0.260</w:t>
            </w:r>
          </w:p>
        </w:tc>
        <w:tc>
          <w:tcPr>
            <w:tcW w:w="1028" w:type="dxa"/>
            <w:shd w:val="clear" w:color="auto" w:fill="auto"/>
            <w:noWrap/>
            <w:vAlign w:val="center"/>
            <w:hideMark/>
          </w:tcPr>
          <w:p w14:paraId="1FD56E38"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0.328</w:t>
            </w:r>
          </w:p>
        </w:tc>
      </w:tr>
      <w:tr w:rsidR="00CA0EF0" w:rsidRPr="00361E30" w14:paraId="30E070F2" w14:textId="77777777" w:rsidTr="003C13F4">
        <w:trPr>
          <w:trHeight w:val="300"/>
        </w:trPr>
        <w:tc>
          <w:tcPr>
            <w:tcW w:w="2898" w:type="dxa"/>
            <w:shd w:val="clear" w:color="auto" w:fill="auto"/>
            <w:noWrap/>
            <w:vAlign w:val="bottom"/>
            <w:hideMark/>
          </w:tcPr>
          <w:p w14:paraId="37A6F057" w14:textId="77777777" w:rsidR="00CA0EF0" w:rsidRPr="00361E30" w:rsidRDefault="00CA0EF0" w:rsidP="003C13F4">
            <w:pPr>
              <w:spacing w:after="0" w:line="240" w:lineRule="auto"/>
              <w:rPr>
                <w:rFonts w:ascii="Calibri" w:eastAsia="Times New Roman" w:hAnsi="Calibri" w:cs="Times New Roman"/>
                <w:b/>
                <w:bCs/>
                <w:color w:val="000000"/>
                <w:lang w:eastAsia="en-GB"/>
              </w:rPr>
            </w:pPr>
            <w:r w:rsidRPr="00361E30">
              <w:rPr>
                <w:rFonts w:ascii="Calibri" w:eastAsia="Times New Roman" w:hAnsi="Calibri" w:cs="Times New Roman"/>
                <w:b/>
                <w:bCs/>
                <w:color w:val="000000"/>
                <w:lang w:eastAsia="en-GB"/>
              </w:rPr>
              <w:t>Glasgow Coma Score</w:t>
            </w:r>
          </w:p>
        </w:tc>
        <w:tc>
          <w:tcPr>
            <w:tcW w:w="1497" w:type="dxa"/>
            <w:shd w:val="clear" w:color="auto" w:fill="auto"/>
            <w:noWrap/>
            <w:vAlign w:val="bottom"/>
            <w:hideMark/>
          </w:tcPr>
          <w:p w14:paraId="1A5F0104" w14:textId="77777777" w:rsidR="00CA0EF0" w:rsidRPr="00361E30" w:rsidRDefault="00CA0EF0" w:rsidP="003C13F4">
            <w:pPr>
              <w:spacing w:after="0" w:line="240" w:lineRule="auto"/>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GCS = 15</w:t>
            </w:r>
          </w:p>
        </w:tc>
        <w:tc>
          <w:tcPr>
            <w:tcW w:w="1417" w:type="dxa"/>
            <w:shd w:val="clear" w:color="auto" w:fill="auto"/>
            <w:noWrap/>
            <w:vAlign w:val="center"/>
            <w:hideMark/>
          </w:tcPr>
          <w:p w14:paraId="49B6ADE6"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Reference</w:t>
            </w:r>
          </w:p>
        </w:tc>
        <w:tc>
          <w:tcPr>
            <w:tcW w:w="1134" w:type="dxa"/>
            <w:shd w:val="clear" w:color="auto" w:fill="auto"/>
            <w:noWrap/>
            <w:vAlign w:val="center"/>
            <w:hideMark/>
          </w:tcPr>
          <w:p w14:paraId="003A3A48"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p>
        </w:tc>
        <w:tc>
          <w:tcPr>
            <w:tcW w:w="1134" w:type="dxa"/>
            <w:shd w:val="clear" w:color="auto" w:fill="auto"/>
            <w:noWrap/>
            <w:vAlign w:val="center"/>
            <w:hideMark/>
          </w:tcPr>
          <w:p w14:paraId="54DA9AF2"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p>
        </w:tc>
        <w:tc>
          <w:tcPr>
            <w:tcW w:w="1028" w:type="dxa"/>
            <w:shd w:val="clear" w:color="auto" w:fill="auto"/>
            <w:noWrap/>
            <w:vAlign w:val="center"/>
            <w:hideMark/>
          </w:tcPr>
          <w:p w14:paraId="617717FF"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p>
        </w:tc>
      </w:tr>
      <w:tr w:rsidR="00CA0EF0" w:rsidRPr="00361E30" w14:paraId="4BFBF3CD" w14:textId="77777777" w:rsidTr="003C13F4">
        <w:trPr>
          <w:trHeight w:val="300"/>
        </w:trPr>
        <w:tc>
          <w:tcPr>
            <w:tcW w:w="2898" w:type="dxa"/>
            <w:shd w:val="clear" w:color="auto" w:fill="auto"/>
            <w:noWrap/>
            <w:vAlign w:val="bottom"/>
            <w:hideMark/>
          </w:tcPr>
          <w:p w14:paraId="2D59CF8E" w14:textId="77777777" w:rsidR="00CA0EF0" w:rsidRPr="00361E30" w:rsidRDefault="00CA0EF0" w:rsidP="003C13F4">
            <w:pPr>
              <w:spacing w:after="0" w:line="240" w:lineRule="auto"/>
              <w:rPr>
                <w:rFonts w:ascii="Calibri" w:eastAsia="Times New Roman" w:hAnsi="Calibri" w:cs="Times New Roman"/>
                <w:b/>
                <w:bCs/>
                <w:color w:val="000000"/>
                <w:lang w:eastAsia="en-GB"/>
              </w:rPr>
            </w:pPr>
          </w:p>
        </w:tc>
        <w:tc>
          <w:tcPr>
            <w:tcW w:w="1497" w:type="dxa"/>
            <w:shd w:val="clear" w:color="auto" w:fill="auto"/>
            <w:noWrap/>
            <w:vAlign w:val="bottom"/>
            <w:hideMark/>
          </w:tcPr>
          <w:p w14:paraId="697C33AE" w14:textId="77777777" w:rsidR="00CA0EF0" w:rsidRPr="00361E30" w:rsidRDefault="00CA0EF0" w:rsidP="003C13F4">
            <w:pPr>
              <w:spacing w:after="0" w:line="240" w:lineRule="auto"/>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GCS 13 - 14</w:t>
            </w:r>
          </w:p>
        </w:tc>
        <w:tc>
          <w:tcPr>
            <w:tcW w:w="1417" w:type="dxa"/>
            <w:shd w:val="clear" w:color="auto" w:fill="auto"/>
            <w:noWrap/>
            <w:vAlign w:val="center"/>
            <w:hideMark/>
          </w:tcPr>
          <w:p w14:paraId="5CD783C9"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0.580</w:t>
            </w:r>
          </w:p>
        </w:tc>
        <w:tc>
          <w:tcPr>
            <w:tcW w:w="1134" w:type="dxa"/>
            <w:shd w:val="clear" w:color="auto" w:fill="auto"/>
            <w:noWrap/>
            <w:vAlign w:val="center"/>
            <w:hideMark/>
          </w:tcPr>
          <w:p w14:paraId="52E78D3C"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0.000</w:t>
            </w:r>
          </w:p>
        </w:tc>
        <w:tc>
          <w:tcPr>
            <w:tcW w:w="1134" w:type="dxa"/>
            <w:shd w:val="clear" w:color="auto" w:fill="auto"/>
            <w:noWrap/>
            <w:vAlign w:val="center"/>
            <w:hideMark/>
          </w:tcPr>
          <w:p w14:paraId="1822211F"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0.516</w:t>
            </w:r>
          </w:p>
        </w:tc>
        <w:tc>
          <w:tcPr>
            <w:tcW w:w="1028" w:type="dxa"/>
            <w:shd w:val="clear" w:color="auto" w:fill="auto"/>
            <w:noWrap/>
            <w:vAlign w:val="center"/>
            <w:hideMark/>
          </w:tcPr>
          <w:p w14:paraId="705D726F"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0.653</w:t>
            </w:r>
          </w:p>
        </w:tc>
      </w:tr>
      <w:tr w:rsidR="00CA0EF0" w:rsidRPr="00361E30" w14:paraId="78DAB502" w14:textId="77777777" w:rsidTr="003C13F4">
        <w:trPr>
          <w:trHeight w:val="300"/>
        </w:trPr>
        <w:tc>
          <w:tcPr>
            <w:tcW w:w="2898" w:type="dxa"/>
            <w:shd w:val="clear" w:color="auto" w:fill="auto"/>
            <w:noWrap/>
            <w:vAlign w:val="bottom"/>
            <w:hideMark/>
          </w:tcPr>
          <w:p w14:paraId="1BC4D378" w14:textId="77777777" w:rsidR="00CA0EF0" w:rsidRPr="00361E30" w:rsidRDefault="00CA0EF0" w:rsidP="003C13F4">
            <w:pPr>
              <w:spacing w:after="0" w:line="240" w:lineRule="auto"/>
              <w:rPr>
                <w:rFonts w:ascii="Calibri" w:eastAsia="Times New Roman" w:hAnsi="Calibri" w:cs="Times New Roman"/>
                <w:b/>
                <w:bCs/>
                <w:color w:val="000000"/>
                <w:lang w:eastAsia="en-GB"/>
              </w:rPr>
            </w:pPr>
          </w:p>
        </w:tc>
        <w:tc>
          <w:tcPr>
            <w:tcW w:w="1497" w:type="dxa"/>
            <w:shd w:val="clear" w:color="auto" w:fill="auto"/>
            <w:noWrap/>
            <w:vAlign w:val="bottom"/>
            <w:hideMark/>
          </w:tcPr>
          <w:p w14:paraId="68F16DD2" w14:textId="77777777" w:rsidR="00CA0EF0" w:rsidRPr="00361E30" w:rsidRDefault="00CA0EF0" w:rsidP="003C13F4">
            <w:pPr>
              <w:spacing w:after="0" w:line="240" w:lineRule="auto"/>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GCS 9 - 12</w:t>
            </w:r>
          </w:p>
        </w:tc>
        <w:tc>
          <w:tcPr>
            <w:tcW w:w="1417" w:type="dxa"/>
            <w:shd w:val="clear" w:color="auto" w:fill="auto"/>
            <w:noWrap/>
            <w:vAlign w:val="center"/>
            <w:hideMark/>
          </w:tcPr>
          <w:p w14:paraId="110EF938"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0.218</w:t>
            </w:r>
          </w:p>
        </w:tc>
        <w:tc>
          <w:tcPr>
            <w:tcW w:w="1134" w:type="dxa"/>
            <w:shd w:val="clear" w:color="auto" w:fill="auto"/>
            <w:noWrap/>
            <w:vAlign w:val="center"/>
            <w:hideMark/>
          </w:tcPr>
          <w:p w14:paraId="067B8A5A"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0.000</w:t>
            </w:r>
          </w:p>
        </w:tc>
        <w:tc>
          <w:tcPr>
            <w:tcW w:w="1134" w:type="dxa"/>
            <w:shd w:val="clear" w:color="auto" w:fill="auto"/>
            <w:noWrap/>
            <w:vAlign w:val="center"/>
            <w:hideMark/>
          </w:tcPr>
          <w:p w14:paraId="4C774A3A"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0.182</w:t>
            </w:r>
          </w:p>
        </w:tc>
        <w:tc>
          <w:tcPr>
            <w:tcW w:w="1028" w:type="dxa"/>
            <w:shd w:val="clear" w:color="auto" w:fill="auto"/>
            <w:noWrap/>
            <w:vAlign w:val="center"/>
            <w:hideMark/>
          </w:tcPr>
          <w:p w14:paraId="1767815E"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0.261</w:t>
            </w:r>
          </w:p>
        </w:tc>
      </w:tr>
      <w:tr w:rsidR="00CA0EF0" w:rsidRPr="00361E30" w14:paraId="107A46F4" w14:textId="77777777" w:rsidTr="003C13F4">
        <w:trPr>
          <w:trHeight w:val="300"/>
        </w:trPr>
        <w:tc>
          <w:tcPr>
            <w:tcW w:w="2898" w:type="dxa"/>
            <w:shd w:val="clear" w:color="auto" w:fill="auto"/>
            <w:noWrap/>
            <w:vAlign w:val="bottom"/>
            <w:hideMark/>
          </w:tcPr>
          <w:p w14:paraId="795F00F7" w14:textId="77777777" w:rsidR="00CA0EF0" w:rsidRPr="00361E30" w:rsidRDefault="00CA0EF0" w:rsidP="003C13F4">
            <w:pPr>
              <w:spacing w:after="0" w:line="240" w:lineRule="auto"/>
              <w:rPr>
                <w:rFonts w:ascii="Calibri" w:eastAsia="Times New Roman" w:hAnsi="Calibri" w:cs="Times New Roman"/>
                <w:b/>
                <w:bCs/>
                <w:color w:val="000000"/>
                <w:lang w:eastAsia="en-GB"/>
              </w:rPr>
            </w:pPr>
          </w:p>
        </w:tc>
        <w:tc>
          <w:tcPr>
            <w:tcW w:w="1497" w:type="dxa"/>
            <w:shd w:val="clear" w:color="auto" w:fill="auto"/>
            <w:noWrap/>
            <w:vAlign w:val="bottom"/>
            <w:hideMark/>
          </w:tcPr>
          <w:p w14:paraId="4CB4EBA8" w14:textId="77777777" w:rsidR="00CA0EF0" w:rsidRPr="00361E30" w:rsidRDefault="00CA0EF0" w:rsidP="003C13F4">
            <w:pPr>
              <w:spacing w:after="0" w:line="240" w:lineRule="auto"/>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GCS 6 - 8</w:t>
            </w:r>
          </w:p>
        </w:tc>
        <w:tc>
          <w:tcPr>
            <w:tcW w:w="1417" w:type="dxa"/>
            <w:shd w:val="clear" w:color="auto" w:fill="auto"/>
            <w:noWrap/>
            <w:vAlign w:val="center"/>
            <w:hideMark/>
          </w:tcPr>
          <w:p w14:paraId="53C16379"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0.100</w:t>
            </w:r>
          </w:p>
        </w:tc>
        <w:tc>
          <w:tcPr>
            <w:tcW w:w="1134" w:type="dxa"/>
            <w:shd w:val="clear" w:color="auto" w:fill="auto"/>
            <w:noWrap/>
            <w:vAlign w:val="center"/>
            <w:hideMark/>
          </w:tcPr>
          <w:p w14:paraId="3D11F1D3"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0.000</w:t>
            </w:r>
          </w:p>
        </w:tc>
        <w:tc>
          <w:tcPr>
            <w:tcW w:w="1134" w:type="dxa"/>
            <w:shd w:val="clear" w:color="auto" w:fill="auto"/>
            <w:noWrap/>
            <w:vAlign w:val="center"/>
            <w:hideMark/>
          </w:tcPr>
          <w:p w14:paraId="7476EF76"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0.073</w:t>
            </w:r>
          </w:p>
        </w:tc>
        <w:tc>
          <w:tcPr>
            <w:tcW w:w="1028" w:type="dxa"/>
            <w:shd w:val="clear" w:color="auto" w:fill="auto"/>
            <w:noWrap/>
            <w:vAlign w:val="center"/>
            <w:hideMark/>
          </w:tcPr>
          <w:p w14:paraId="11CD6A78"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0.136</w:t>
            </w:r>
          </w:p>
        </w:tc>
      </w:tr>
      <w:tr w:rsidR="00CA0EF0" w:rsidRPr="00361E30" w14:paraId="71FBFF6D" w14:textId="77777777" w:rsidTr="003C13F4">
        <w:trPr>
          <w:trHeight w:val="300"/>
        </w:trPr>
        <w:tc>
          <w:tcPr>
            <w:tcW w:w="2898" w:type="dxa"/>
            <w:shd w:val="clear" w:color="auto" w:fill="auto"/>
            <w:noWrap/>
            <w:vAlign w:val="bottom"/>
            <w:hideMark/>
          </w:tcPr>
          <w:p w14:paraId="3E00AB73" w14:textId="77777777" w:rsidR="00CA0EF0" w:rsidRPr="00361E30" w:rsidRDefault="00CA0EF0" w:rsidP="003C13F4">
            <w:pPr>
              <w:spacing w:after="0" w:line="240" w:lineRule="auto"/>
              <w:rPr>
                <w:rFonts w:ascii="Calibri" w:eastAsia="Times New Roman" w:hAnsi="Calibri" w:cs="Times New Roman"/>
                <w:b/>
                <w:bCs/>
                <w:color w:val="000000"/>
                <w:lang w:eastAsia="en-GB"/>
              </w:rPr>
            </w:pPr>
          </w:p>
        </w:tc>
        <w:tc>
          <w:tcPr>
            <w:tcW w:w="1497" w:type="dxa"/>
            <w:shd w:val="clear" w:color="auto" w:fill="auto"/>
            <w:noWrap/>
            <w:vAlign w:val="bottom"/>
            <w:hideMark/>
          </w:tcPr>
          <w:p w14:paraId="3ABE2615" w14:textId="77777777" w:rsidR="00CA0EF0" w:rsidRPr="00361E30" w:rsidRDefault="00CA0EF0" w:rsidP="003C13F4">
            <w:pPr>
              <w:spacing w:after="0" w:line="240" w:lineRule="auto"/>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GCS 4 - 5</w:t>
            </w:r>
          </w:p>
        </w:tc>
        <w:tc>
          <w:tcPr>
            <w:tcW w:w="1417" w:type="dxa"/>
            <w:shd w:val="clear" w:color="auto" w:fill="auto"/>
            <w:noWrap/>
            <w:vAlign w:val="center"/>
            <w:hideMark/>
          </w:tcPr>
          <w:p w14:paraId="2BC7BC29"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0.033</w:t>
            </w:r>
          </w:p>
        </w:tc>
        <w:tc>
          <w:tcPr>
            <w:tcW w:w="1134" w:type="dxa"/>
            <w:shd w:val="clear" w:color="auto" w:fill="auto"/>
            <w:noWrap/>
            <w:vAlign w:val="center"/>
            <w:hideMark/>
          </w:tcPr>
          <w:p w14:paraId="288A4424"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0.000</w:t>
            </w:r>
          </w:p>
        </w:tc>
        <w:tc>
          <w:tcPr>
            <w:tcW w:w="1134" w:type="dxa"/>
            <w:shd w:val="clear" w:color="auto" w:fill="auto"/>
            <w:noWrap/>
            <w:vAlign w:val="center"/>
            <w:hideMark/>
          </w:tcPr>
          <w:p w14:paraId="5B64EB59"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0.019</w:t>
            </w:r>
          </w:p>
        </w:tc>
        <w:tc>
          <w:tcPr>
            <w:tcW w:w="1028" w:type="dxa"/>
            <w:shd w:val="clear" w:color="auto" w:fill="auto"/>
            <w:noWrap/>
            <w:vAlign w:val="center"/>
            <w:hideMark/>
          </w:tcPr>
          <w:p w14:paraId="49A5A01B"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0.056</w:t>
            </w:r>
          </w:p>
        </w:tc>
      </w:tr>
      <w:tr w:rsidR="00CA0EF0" w:rsidRPr="00361E30" w14:paraId="5B4FC7A0" w14:textId="77777777" w:rsidTr="003C13F4">
        <w:trPr>
          <w:trHeight w:val="300"/>
        </w:trPr>
        <w:tc>
          <w:tcPr>
            <w:tcW w:w="2898" w:type="dxa"/>
            <w:shd w:val="clear" w:color="auto" w:fill="auto"/>
            <w:noWrap/>
            <w:vAlign w:val="bottom"/>
            <w:hideMark/>
          </w:tcPr>
          <w:p w14:paraId="6B82EDB5" w14:textId="77777777" w:rsidR="00CA0EF0" w:rsidRPr="00361E30" w:rsidRDefault="00CA0EF0" w:rsidP="003C13F4">
            <w:pPr>
              <w:spacing w:after="0" w:line="240" w:lineRule="auto"/>
              <w:rPr>
                <w:rFonts w:ascii="Calibri" w:eastAsia="Times New Roman" w:hAnsi="Calibri" w:cs="Times New Roman"/>
                <w:b/>
                <w:bCs/>
                <w:color w:val="000000"/>
                <w:lang w:eastAsia="en-GB"/>
              </w:rPr>
            </w:pPr>
          </w:p>
        </w:tc>
        <w:tc>
          <w:tcPr>
            <w:tcW w:w="1497" w:type="dxa"/>
            <w:shd w:val="clear" w:color="auto" w:fill="auto"/>
            <w:noWrap/>
            <w:vAlign w:val="bottom"/>
            <w:hideMark/>
          </w:tcPr>
          <w:p w14:paraId="18E6355D" w14:textId="77777777" w:rsidR="00CA0EF0" w:rsidRPr="00361E30" w:rsidRDefault="00CA0EF0" w:rsidP="003C13F4">
            <w:pPr>
              <w:spacing w:after="0" w:line="240" w:lineRule="auto"/>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GCS 3</w:t>
            </w:r>
          </w:p>
        </w:tc>
        <w:tc>
          <w:tcPr>
            <w:tcW w:w="1417" w:type="dxa"/>
            <w:shd w:val="clear" w:color="auto" w:fill="auto"/>
            <w:noWrap/>
            <w:vAlign w:val="center"/>
            <w:hideMark/>
          </w:tcPr>
          <w:p w14:paraId="5299E6F5"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0.032</w:t>
            </w:r>
          </w:p>
        </w:tc>
        <w:tc>
          <w:tcPr>
            <w:tcW w:w="1134" w:type="dxa"/>
            <w:shd w:val="clear" w:color="auto" w:fill="auto"/>
            <w:noWrap/>
            <w:vAlign w:val="center"/>
            <w:hideMark/>
          </w:tcPr>
          <w:p w14:paraId="753E2B5A"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0.000</w:t>
            </w:r>
          </w:p>
        </w:tc>
        <w:tc>
          <w:tcPr>
            <w:tcW w:w="1134" w:type="dxa"/>
            <w:shd w:val="clear" w:color="auto" w:fill="auto"/>
            <w:noWrap/>
            <w:vAlign w:val="center"/>
            <w:hideMark/>
          </w:tcPr>
          <w:p w14:paraId="6D12208A"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0.023</w:t>
            </w:r>
          </w:p>
        </w:tc>
        <w:tc>
          <w:tcPr>
            <w:tcW w:w="1028" w:type="dxa"/>
            <w:shd w:val="clear" w:color="auto" w:fill="auto"/>
            <w:noWrap/>
            <w:vAlign w:val="center"/>
            <w:hideMark/>
          </w:tcPr>
          <w:p w14:paraId="6B775048"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0.044</w:t>
            </w:r>
          </w:p>
        </w:tc>
      </w:tr>
      <w:tr w:rsidR="00CA0EF0" w:rsidRPr="00361E30" w14:paraId="2F6CD230" w14:textId="77777777" w:rsidTr="003C13F4">
        <w:trPr>
          <w:trHeight w:val="315"/>
        </w:trPr>
        <w:tc>
          <w:tcPr>
            <w:tcW w:w="2898" w:type="dxa"/>
            <w:tcBorders>
              <w:bottom w:val="double" w:sz="4" w:space="0" w:color="auto"/>
            </w:tcBorders>
            <w:shd w:val="clear" w:color="auto" w:fill="auto"/>
            <w:noWrap/>
            <w:vAlign w:val="bottom"/>
            <w:hideMark/>
          </w:tcPr>
          <w:p w14:paraId="1EAA2D81" w14:textId="77777777" w:rsidR="00CA0EF0" w:rsidRPr="00361E30" w:rsidRDefault="00CA0EF0" w:rsidP="003C13F4">
            <w:pPr>
              <w:spacing w:after="0" w:line="240" w:lineRule="auto"/>
              <w:rPr>
                <w:rFonts w:ascii="Calibri" w:eastAsia="Times New Roman" w:hAnsi="Calibri" w:cs="Times New Roman"/>
                <w:b/>
                <w:bCs/>
                <w:color w:val="000000"/>
                <w:lang w:eastAsia="en-GB"/>
              </w:rPr>
            </w:pPr>
            <w:r w:rsidRPr="00361E30">
              <w:rPr>
                <w:rFonts w:ascii="Calibri" w:eastAsia="Times New Roman" w:hAnsi="Calibri" w:cs="Times New Roman"/>
                <w:b/>
                <w:bCs/>
                <w:color w:val="000000"/>
                <w:lang w:eastAsia="en-GB"/>
              </w:rPr>
              <w:t> </w:t>
            </w:r>
          </w:p>
        </w:tc>
        <w:tc>
          <w:tcPr>
            <w:tcW w:w="1497" w:type="dxa"/>
            <w:tcBorders>
              <w:bottom w:val="double" w:sz="4" w:space="0" w:color="auto"/>
            </w:tcBorders>
            <w:shd w:val="clear" w:color="auto" w:fill="auto"/>
            <w:noWrap/>
            <w:vAlign w:val="bottom"/>
            <w:hideMark/>
          </w:tcPr>
          <w:p w14:paraId="01A06251" w14:textId="77777777" w:rsidR="00CA0EF0" w:rsidRPr="00361E30" w:rsidRDefault="00CA0EF0" w:rsidP="003C13F4">
            <w:pPr>
              <w:spacing w:after="0" w:line="240" w:lineRule="auto"/>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Intubated</w:t>
            </w:r>
          </w:p>
        </w:tc>
        <w:tc>
          <w:tcPr>
            <w:tcW w:w="1417" w:type="dxa"/>
            <w:tcBorders>
              <w:bottom w:val="double" w:sz="4" w:space="0" w:color="auto"/>
            </w:tcBorders>
            <w:shd w:val="clear" w:color="auto" w:fill="auto"/>
            <w:noWrap/>
            <w:vAlign w:val="center"/>
            <w:hideMark/>
          </w:tcPr>
          <w:p w14:paraId="00E8769A"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0.041</w:t>
            </w:r>
          </w:p>
        </w:tc>
        <w:tc>
          <w:tcPr>
            <w:tcW w:w="1134" w:type="dxa"/>
            <w:tcBorders>
              <w:bottom w:val="double" w:sz="4" w:space="0" w:color="auto"/>
            </w:tcBorders>
            <w:shd w:val="clear" w:color="auto" w:fill="auto"/>
            <w:noWrap/>
            <w:vAlign w:val="center"/>
            <w:hideMark/>
          </w:tcPr>
          <w:p w14:paraId="711A95C2"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0.000</w:t>
            </w:r>
          </w:p>
        </w:tc>
        <w:tc>
          <w:tcPr>
            <w:tcW w:w="1134" w:type="dxa"/>
            <w:tcBorders>
              <w:bottom w:val="double" w:sz="4" w:space="0" w:color="auto"/>
            </w:tcBorders>
            <w:shd w:val="clear" w:color="auto" w:fill="auto"/>
            <w:noWrap/>
            <w:vAlign w:val="center"/>
            <w:hideMark/>
          </w:tcPr>
          <w:p w14:paraId="23F03870"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0.033</w:t>
            </w:r>
          </w:p>
        </w:tc>
        <w:tc>
          <w:tcPr>
            <w:tcW w:w="1028" w:type="dxa"/>
            <w:tcBorders>
              <w:bottom w:val="double" w:sz="4" w:space="0" w:color="auto"/>
            </w:tcBorders>
            <w:shd w:val="clear" w:color="auto" w:fill="auto"/>
            <w:noWrap/>
            <w:vAlign w:val="center"/>
            <w:hideMark/>
          </w:tcPr>
          <w:p w14:paraId="51B1DCB4" w14:textId="77777777" w:rsidR="00CA0EF0" w:rsidRPr="00361E30" w:rsidRDefault="00CA0EF0" w:rsidP="003C13F4">
            <w:pPr>
              <w:spacing w:after="0" w:line="240" w:lineRule="auto"/>
              <w:jc w:val="center"/>
              <w:rPr>
                <w:rFonts w:ascii="Calibri" w:eastAsia="Times New Roman" w:hAnsi="Calibri" w:cs="Times New Roman"/>
                <w:color w:val="000000"/>
                <w:lang w:eastAsia="en-GB"/>
              </w:rPr>
            </w:pPr>
            <w:r w:rsidRPr="00361E30">
              <w:rPr>
                <w:rFonts w:ascii="Calibri" w:eastAsia="Times New Roman" w:hAnsi="Calibri" w:cs="Times New Roman"/>
                <w:color w:val="000000"/>
                <w:lang w:eastAsia="en-GB"/>
              </w:rPr>
              <w:t>0.051</w:t>
            </w:r>
          </w:p>
        </w:tc>
      </w:tr>
    </w:tbl>
    <w:p w14:paraId="7CC84B62" w14:textId="77777777" w:rsidR="00CA0EF0" w:rsidRPr="00361E30" w:rsidRDefault="00CA0EF0" w:rsidP="003C13F4">
      <w:pPr>
        <w:pStyle w:val="TableTitle"/>
      </w:pPr>
      <w:bookmarkStart w:id="148" w:name="_Toc528321055"/>
      <w:r w:rsidRPr="00361E30">
        <w:t>Table 5.11: Multivariate analysis using the variables from the final multivariate analysis, but including only data from ‘good quality’ hospitals.</w:t>
      </w:r>
      <w:bookmarkEnd w:id="148"/>
    </w:p>
    <w:p w14:paraId="2B00E78A" w14:textId="77777777" w:rsidR="00CA0EF0" w:rsidRPr="00361E30" w:rsidRDefault="00CA0EF0" w:rsidP="003C13F4">
      <w:pPr>
        <w:pStyle w:val="Heading1"/>
      </w:pPr>
      <w:bookmarkStart w:id="149" w:name="_Toc1902312"/>
      <w:r w:rsidRPr="00361E30">
        <w:t>5.6</w:t>
      </w:r>
      <w:r w:rsidRPr="00361E30">
        <w:tab/>
        <w:t>Summary</w:t>
      </w:r>
      <w:bookmarkEnd w:id="149"/>
    </w:p>
    <w:p w14:paraId="5CBF5333" w14:textId="77777777" w:rsidR="00CA0EF0" w:rsidRPr="00361E30" w:rsidRDefault="00CA0EF0" w:rsidP="003C13F4">
      <w:r w:rsidRPr="00361E30">
        <w:t>After testing the patient characteristics identified in the systematic review, as well as those currently included in the PS14 predictive model used by TARN, the optimum model produced included all the variables currently used in the PS14, with injury severity score (ISS) presented as a categorical variable (rather than a continuous variable) and age presented as a continuous variable (rather than a categorical variable).</w:t>
      </w:r>
    </w:p>
    <w:p w14:paraId="32E7C2F7" w14:textId="77777777" w:rsidR="00CA0EF0" w:rsidRPr="00361E30" w:rsidRDefault="00CA0EF0" w:rsidP="003C13F4">
      <w:r w:rsidRPr="00361E30">
        <w:tab/>
        <w:t>In Phase 1, Step 2 of the study the model produced in Phase 1, Step</w:t>
      </w:r>
      <w:r w:rsidR="00FA4493">
        <w:t xml:space="preserve"> 1</w:t>
      </w:r>
      <w:r w:rsidRPr="00361E30">
        <w:t xml:space="preserve"> was further refined by adding care process variables. The best predictive model produced after </w:t>
      </w:r>
      <w:r w:rsidRPr="00361E30">
        <w:lastRenderedPageBreak/>
        <w:t>consideration of all patient characteristics and care process factors was then used to identify hospitals with high residuals (whose actual survival rates for older patients were significantly higher or lower than that predicted by the model). The findings of this stage of the study are presented in Chapter 6.</w:t>
      </w:r>
    </w:p>
    <w:p w14:paraId="002F45BE" w14:textId="77777777" w:rsidR="00CA0EF0" w:rsidRPr="00361E30" w:rsidRDefault="00CA0EF0" w:rsidP="003C13F4">
      <w:pPr>
        <w:pStyle w:val="Heading1"/>
        <w:numPr>
          <w:ilvl w:val="1"/>
          <w:numId w:val="11"/>
        </w:numPr>
      </w:pPr>
      <w:r w:rsidRPr="00361E30">
        <w:br w:type="page"/>
      </w:r>
    </w:p>
    <w:p w14:paraId="30932C7E" w14:textId="77777777" w:rsidR="00CA0EF0" w:rsidRPr="00361E30" w:rsidRDefault="00CA0EF0" w:rsidP="003C13F4">
      <w:pPr>
        <w:pStyle w:val="ChapterHeading"/>
      </w:pPr>
      <w:bookmarkStart w:id="150" w:name="_Toc1902313"/>
      <w:r w:rsidRPr="00361E30">
        <w:lastRenderedPageBreak/>
        <w:t>Chapter 6: Refining the Model and Identifying Hospital Outliers</w:t>
      </w:r>
      <w:bookmarkEnd w:id="150"/>
    </w:p>
    <w:p w14:paraId="191EA688" w14:textId="77777777" w:rsidR="00CA0EF0" w:rsidRPr="00361E30" w:rsidRDefault="00CA0EF0" w:rsidP="003C13F4">
      <w:pPr>
        <w:pStyle w:val="Heading1"/>
      </w:pPr>
      <w:bookmarkStart w:id="151" w:name="_Toc1902314"/>
      <w:r w:rsidRPr="00361E30">
        <w:t>6.1</w:t>
      </w:r>
      <w:r w:rsidRPr="00361E30">
        <w:tab/>
        <w:t>Introduction</w:t>
      </w:r>
      <w:bookmarkEnd w:id="151"/>
    </w:p>
    <w:p w14:paraId="47E77F94" w14:textId="77777777" w:rsidR="00CA0EF0" w:rsidRPr="00361E30" w:rsidRDefault="00CA0EF0" w:rsidP="003C13F4">
      <w:r w:rsidRPr="00361E30">
        <w:t>In this chapter</w:t>
      </w:r>
      <w:r w:rsidR="00715BD5">
        <w:t>, the</w:t>
      </w:r>
      <w:r w:rsidRPr="00361E30">
        <w:t xml:space="preserve"> model derived in Chapter 5 was further refined by testing variables associated with process of care (‘care process factors’) in the multivariate model, to determine whether these additional variables would improve the model performance and reduce the variance between hospitals in relation to casemix adjusted survival. The best performing model was then used to identify ‘outlier’ hospitals in the dataset, which were suitable for Phase 2 of the study.</w:t>
      </w:r>
    </w:p>
    <w:p w14:paraId="1716383F" w14:textId="77777777" w:rsidR="00CA0EF0" w:rsidRPr="00361E30" w:rsidRDefault="00CA0EF0" w:rsidP="003C13F4">
      <w:pPr>
        <w:pStyle w:val="Heading2"/>
      </w:pPr>
      <w:bookmarkStart w:id="152" w:name="_Toc1902315"/>
      <w:r w:rsidRPr="00361E30">
        <w:t>6.1.1</w:t>
      </w:r>
      <w:r w:rsidRPr="00361E30">
        <w:tab/>
        <w:t>Principles and Methodology for Adding Process Variables and Identifying ‘Outliers’</w:t>
      </w:r>
      <w:bookmarkEnd w:id="152"/>
    </w:p>
    <w:p w14:paraId="4A787671" w14:textId="77777777" w:rsidR="00CA0EF0" w:rsidRPr="00361E30" w:rsidRDefault="00CA0EF0" w:rsidP="003C13F4">
      <w:r w:rsidRPr="00361E30">
        <w:t>The following steps were followed in testing process variables for addition to the final multivariate predictive model developed in Chapter 5, and identifying ‘outlier’ hospitals:</w:t>
      </w:r>
    </w:p>
    <w:p w14:paraId="0A64B7AD" w14:textId="77777777" w:rsidR="00CA0EF0" w:rsidRPr="00361E30" w:rsidRDefault="00CA0EF0" w:rsidP="003C13F4">
      <w:pPr>
        <w:widowControl w:val="0"/>
        <w:numPr>
          <w:ilvl w:val="0"/>
          <w:numId w:val="33"/>
        </w:numPr>
        <w:pBdr>
          <w:top w:val="nil"/>
          <w:left w:val="nil"/>
          <w:bottom w:val="nil"/>
          <w:right w:val="nil"/>
          <w:between w:val="nil"/>
        </w:pBdr>
        <w:spacing w:after="0"/>
        <w:ind w:hanging="360"/>
        <w:contextualSpacing/>
      </w:pPr>
      <w:r w:rsidRPr="00361E30">
        <w:t xml:space="preserve">Using the multivariate model developed in Chapter 5, ‘outlying’ hospitals (those with observed survival rates significantly higher or lower than predicted) were identified. This initial analysis included all hospitals in the dataset. ‘Outliers’ were defined as hospitals </w:t>
      </w:r>
      <w:r w:rsidR="00C10F07">
        <w:t>in which</w:t>
      </w:r>
      <w:r w:rsidRPr="00361E30">
        <w:t xml:space="preserve"> standardised excess survival rates (as represented by their Ws scores) were &gt; 2 standard deviations (SDs) from that predicted by the model. The cut-off of 2SDs was used as this allowed identification of hospitals with survival rates that were both significantly above and below that expected from the model. TARN currently uses a cut-off of 3SDs to identify “alarm” hospitals (notification and immediate action required) with standardised excess survival rates significantly higher or lower than estimated and 2SDs to identify “alert” hospitals (notification). Hospitals with less than 50 submissions were excluded from this analysis, as the precision of their estimated Ws scores was low, and the 95% confidence intervals too wide to make reliable predictions of their performance. In addition, such hospitals were likely to have returned significantly incomplete submissions to TARN (large numbers of eligible patients may have been excluded from the analysis due to lack of submission of data). In addition, hospitals with poor quality submissions (as defined in Chapter 5, Section 5.5) were also excluded from the analysis.</w:t>
      </w:r>
    </w:p>
    <w:p w14:paraId="54E72D88" w14:textId="77777777" w:rsidR="00CA0EF0" w:rsidRPr="00361E30" w:rsidRDefault="00CA0EF0" w:rsidP="003C13F4">
      <w:pPr>
        <w:widowControl w:val="0"/>
        <w:numPr>
          <w:ilvl w:val="0"/>
          <w:numId w:val="33"/>
        </w:numPr>
        <w:pBdr>
          <w:top w:val="nil"/>
          <w:left w:val="nil"/>
          <w:bottom w:val="nil"/>
          <w:right w:val="nil"/>
          <w:between w:val="nil"/>
        </w:pBdr>
        <w:spacing w:after="0"/>
        <w:ind w:hanging="360"/>
        <w:contextualSpacing/>
      </w:pPr>
      <w:r w:rsidRPr="00361E30">
        <w:t xml:space="preserve">‘Process’ variables (variables that defined the characteristics of the hospitals providing care for older trauma patients rather than variables that described the characteristics of individual </w:t>
      </w:r>
      <w:r w:rsidR="00EF4FF2" w:rsidRPr="00361E30">
        <w:t>patients) were</w:t>
      </w:r>
      <w:r w:rsidRPr="00361E30">
        <w:t xml:space="preserve"> added to the predictive model developed in Chapter 5, to assess whether they improved the performance of the </w:t>
      </w:r>
      <w:r w:rsidRPr="00361E30">
        <w:lastRenderedPageBreak/>
        <w:t>model. The steps in this analysis were:</w:t>
      </w:r>
    </w:p>
    <w:p w14:paraId="43CA9166" w14:textId="77777777" w:rsidR="00CA0EF0" w:rsidRPr="00361E30" w:rsidRDefault="00CA0EF0" w:rsidP="003C13F4">
      <w:pPr>
        <w:widowControl w:val="0"/>
        <w:numPr>
          <w:ilvl w:val="1"/>
          <w:numId w:val="33"/>
        </w:numPr>
        <w:pBdr>
          <w:top w:val="nil"/>
          <w:left w:val="nil"/>
          <w:bottom w:val="nil"/>
          <w:right w:val="nil"/>
          <w:between w:val="nil"/>
        </w:pBdr>
        <w:spacing w:after="0"/>
        <w:ind w:hanging="360"/>
        <w:contextualSpacing/>
      </w:pPr>
      <w:r w:rsidRPr="00361E30">
        <w:t>Each variable’s ability to predict the probability of survival was examined using univariate logistic regression. Variables with a moderate univariate association with survival (p</w:t>
      </w:r>
      <w:r w:rsidR="00310C0C">
        <w:rPr>
          <w:rFonts w:cstheme="minorHAnsi"/>
        </w:rPr>
        <w:t>≤</w:t>
      </w:r>
      <w:r w:rsidRPr="00361E30">
        <w:t>0.2) were tested in the multivariate model.</w:t>
      </w:r>
    </w:p>
    <w:p w14:paraId="4D38CB79" w14:textId="77777777" w:rsidR="00CA0EF0" w:rsidRPr="00361E30" w:rsidRDefault="00CA0EF0" w:rsidP="003C13F4">
      <w:pPr>
        <w:widowControl w:val="0"/>
        <w:numPr>
          <w:ilvl w:val="1"/>
          <w:numId w:val="33"/>
        </w:numPr>
        <w:pBdr>
          <w:top w:val="nil"/>
          <w:left w:val="nil"/>
          <w:bottom w:val="nil"/>
          <w:right w:val="nil"/>
          <w:between w:val="nil"/>
        </w:pBdr>
        <w:spacing w:after="0"/>
        <w:ind w:hanging="360"/>
        <w:contextualSpacing/>
      </w:pPr>
      <w:r w:rsidRPr="00361E30">
        <w:t>For some integer and some ordinal variables assumptions of linearity were tested. Consideration of categorisation of these variables was also explored.</w:t>
      </w:r>
    </w:p>
    <w:p w14:paraId="16E2BD7F" w14:textId="77777777" w:rsidR="00CA0EF0" w:rsidRPr="00361E30" w:rsidRDefault="00CA0EF0" w:rsidP="003C13F4">
      <w:pPr>
        <w:widowControl w:val="0"/>
        <w:numPr>
          <w:ilvl w:val="1"/>
          <w:numId w:val="33"/>
        </w:numPr>
        <w:pBdr>
          <w:top w:val="nil"/>
          <w:left w:val="nil"/>
          <w:bottom w:val="nil"/>
          <w:right w:val="nil"/>
          <w:between w:val="nil"/>
        </w:pBdr>
        <w:spacing w:after="0"/>
        <w:ind w:hanging="360"/>
        <w:contextualSpacing/>
      </w:pPr>
      <w:r w:rsidRPr="00361E30">
        <w:t xml:space="preserve">Variables with a moderate association with survival on univariate analysis (p ≤0.2), were assessed for significant multi-collinearity, and those </w:t>
      </w:r>
      <w:r w:rsidR="004D48E8">
        <w:t>that</w:t>
      </w:r>
      <w:r w:rsidRPr="00361E30">
        <w:t xml:space="preserve"> did not were tested in the multivariate analysis. </w:t>
      </w:r>
    </w:p>
    <w:p w14:paraId="138C7121" w14:textId="77777777" w:rsidR="00CA0EF0" w:rsidRPr="00361E30" w:rsidRDefault="00CA0EF0" w:rsidP="003C13F4">
      <w:pPr>
        <w:widowControl w:val="0"/>
        <w:numPr>
          <w:ilvl w:val="1"/>
          <w:numId w:val="33"/>
        </w:numPr>
        <w:pBdr>
          <w:top w:val="nil"/>
          <w:left w:val="nil"/>
          <w:bottom w:val="nil"/>
          <w:right w:val="nil"/>
          <w:between w:val="nil"/>
        </w:pBdr>
        <w:spacing w:after="0"/>
        <w:ind w:hanging="360"/>
        <w:contextualSpacing/>
      </w:pPr>
      <w:r w:rsidRPr="00361E30">
        <w:t>Once significant variables were identified on univariate analysis, they were added to the model developed to determine whether they retained their statistical association with survival, and whether they improved the performance of the model. Multilevel modelling, using a random intercept was used to test the significance of these variables. ‘Process’ variables were added to the model as level 2 variables, using the Site ID (hospital ID) as the grouping variable.</w:t>
      </w:r>
    </w:p>
    <w:p w14:paraId="0DDCB71D" w14:textId="77777777" w:rsidR="00CA0EF0" w:rsidRPr="00361E30" w:rsidRDefault="00CA0EF0" w:rsidP="003C13F4">
      <w:pPr>
        <w:widowControl w:val="0"/>
        <w:numPr>
          <w:ilvl w:val="1"/>
          <w:numId w:val="33"/>
        </w:numPr>
        <w:pBdr>
          <w:top w:val="nil"/>
          <w:left w:val="nil"/>
          <w:bottom w:val="nil"/>
          <w:right w:val="nil"/>
          <w:between w:val="nil"/>
        </w:pBdr>
        <w:spacing w:after="0"/>
        <w:ind w:hanging="360"/>
        <w:contextualSpacing/>
      </w:pPr>
      <w:r w:rsidRPr="00361E30">
        <w:t>The impact of variables on the multivariate model was assessed by determining the significance of the association between these variables and survival in the multivariate model, and the impact of these variables on the overall performance of the model, as measured by the ‘C’ statistic, Nagelkerke’s R</w:t>
      </w:r>
      <w:r w:rsidRPr="00361E30">
        <w:rPr>
          <w:vertAlign w:val="superscript"/>
        </w:rPr>
        <w:t>2</w:t>
      </w:r>
      <w:r w:rsidRPr="00361E30">
        <w:t>, the Akaike information criteria and the H-L statistic for the models with these variables added.</w:t>
      </w:r>
    </w:p>
    <w:p w14:paraId="676988E2" w14:textId="77777777" w:rsidR="00CA0EF0" w:rsidRPr="00361E30" w:rsidRDefault="00CA0EF0" w:rsidP="003C13F4">
      <w:pPr>
        <w:widowControl w:val="0"/>
        <w:numPr>
          <w:ilvl w:val="0"/>
          <w:numId w:val="33"/>
        </w:numPr>
        <w:pBdr>
          <w:top w:val="nil"/>
          <w:left w:val="nil"/>
          <w:bottom w:val="nil"/>
          <w:right w:val="nil"/>
          <w:between w:val="nil"/>
        </w:pBdr>
        <w:ind w:hanging="360"/>
        <w:contextualSpacing/>
      </w:pPr>
      <w:r w:rsidRPr="00361E30">
        <w:t>The best predictive model was then used to identify hospital outliers suitable for inclusion in Phase 3 of the study (examining only those hospitals with ‘good quality’ submissions).</w:t>
      </w:r>
    </w:p>
    <w:p w14:paraId="56B52C87" w14:textId="77777777" w:rsidR="00CA0EF0" w:rsidRPr="00361E30" w:rsidRDefault="00CA0EF0" w:rsidP="003C13F4">
      <w:pPr>
        <w:ind w:left="405"/>
      </w:pPr>
      <w:r w:rsidRPr="00361E30">
        <w:t>Further details of the assessments for linearity and multi-collinearity are explained In Chapter 3, Sections 3.3.3.4.3 and 3.3.3.4.4).</w:t>
      </w:r>
    </w:p>
    <w:p w14:paraId="7F7A1C7E" w14:textId="77777777" w:rsidR="00CA0EF0" w:rsidRPr="00361E30" w:rsidRDefault="00CA0EF0" w:rsidP="003C13F4">
      <w:pPr>
        <w:pStyle w:val="Heading1"/>
      </w:pPr>
      <w:bookmarkStart w:id="153" w:name="_Toc1902316"/>
      <w:r w:rsidRPr="00361E30">
        <w:t>6.2</w:t>
      </w:r>
      <w:r w:rsidRPr="00361E30">
        <w:tab/>
        <w:t>Initial Comparisons of Hospital Performance</w:t>
      </w:r>
      <w:bookmarkEnd w:id="153"/>
    </w:p>
    <w:p w14:paraId="0AA40BBB" w14:textId="77777777" w:rsidR="00CA0EF0" w:rsidRPr="00361E30" w:rsidRDefault="00CA0EF0" w:rsidP="003C13F4">
      <w:pPr>
        <w:pStyle w:val="Heading2"/>
      </w:pPr>
      <w:bookmarkStart w:id="154" w:name="_Toc1902317"/>
      <w:r w:rsidRPr="00361E30">
        <w:t>6.2.1</w:t>
      </w:r>
      <w:r w:rsidRPr="00361E30">
        <w:tab/>
        <w:t>Comparing Hospital Performance Across All Participating Hospitals</w:t>
      </w:r>
      <w:bookmarkEnd w:id="154"/>
    </w:p>
    <w:p w14:paraId="5262C572" w14:textId="77777777" w:rsidR="00CA0EF0" w:rsidRPr="00361E30" w:rsidRDefault="00CA0EF0" w:rsidP="003C13F4">
      <w:r w:rsidRPr="00361E30">
        <w:t>Figure 6.1 shows the funnel plot of all hospitals’ Ws scores, compared to the 95% and 99% confidence limits for the Ws of hospitals with similar numbers of submitted cases. Hospitals with less than 50 submitted cases were excluded from the analysis.</w:t>
      </w:r>
    </w:p>
    <w:p w14:paraId="323D8F51" w14:textId="77777777" w:rsidR="00CA0EF0" w:rsidRPr="00361E30" w:rsidRDefault="00CA0EF0" w:rsidP="003C13F4">
      <w:pPr>
        <w:ind w:firstLine="720"/>
      </w:pPr>
      <w:r w:rsidRPr="00361E30">
        <w:lastRenderedPageBreak/>
        <w:t>Of 169 hospitals included in the analysis, there were 8 outlying hospitals (3 with Ws scores &gt;3 SDs above their predicted standardised excess survival rates and 5 with Ws scores &gt;3 SDs below predicted). Of these, 3 were major trauma centres (MTCs) and the remaining 5 were trauma units (TUs). When a cut-off of 2SDs was used to define outliers, 9 hospitals had Ws scores &gt;2SDs higher than predicted, while 18 had a Ws &gt;2SDs lower than predicted. Seven hospitals with Ws scores &gt;2SDs higher or lower than predicted were MTCs.</w:t>
      </w:r>
    </w:p>
    <w:p w14:paraId="7EAFD54A" w14:textId="77777777" w:rsidR="00CA0EF0" w:rsidRPr="00361E30" w:rsidRDefault="00CA0EF0" w:rsidP="003C13F4">
      <w:r w:rsidRPr="00361E30">
        <w:rPr>
          <w:noProof/>
          <w:lang w:eastAsia="en-GB"/>
        </w:rPr>
        <w:drawing>
          <wp:inline distT="0" distB="0" distL="0" distR="0" wp14:anchorId="5143C1F2" wp14:editId="2F74362F">
            <wp:extent cx="4524375" cy="3293110"/>
            <wp:effectExtent l="0" t="0" r="0" b="0"/>
            <wp:docPr id="11" name="image6.png" descr="C:\Users\champs\Google Drive\Ian Sammy PhD Thesis 2014\TARN Dataset\TARNDataset(ImputedData)20160404\FunnelPlotModel24a2(20161024)\FunnelPlotModel24a2(_mj==1)Size(20161024).tif"/>
            <wp:cNvGraphicFramePr/>
            <a:graphic xmlns:a="http://schemas.openxmlformats.org/drawingml/2006/main">
              <a:graphicData uri="http://schemas.openxmlformats.org/drawingml/2006/picture">
                <pic:pic xmlns:pic="http://schemas.openxmlformats.org/drawingml/2006/picture">
                  <pic:nvPicPr>
                    <pic:cNvPr id="0" name="image6.png" descr="C:\Users\champs\Google Drive\Ian Sammy PhD Thesis 2014\TARN Dataset\TARNDataset(ImputedData)20160404\FunnelPlotModel24a2(20161024)\FunnelPlotModel24a2(_mj==1)Size(20161024).tif"/>
                    <pic:cNvPicPr preferRelativeResize="0"/>
                  </pic:nvPicPr>
                  <pic:blipFill>
                    <a:blip r:embed="rId22"/>
                    <a:srcRect/>
                    <a:stretch>
                      <a:fillRect/>
                    </a:stretch>
                  </pic:blipFill>
                  <pic:spPr>
                    <a:xfrm>
                      <a:off x="0" y="0"/>
                      <a:ext cx="4524375" cy="3293110"/>
                    </a:xfrm>
                    <a:prstGeom prst="rect">
                      <a:avLst/>
                    </a:prstGeom>
                    <a:ln/>
                  </pic:spPr>
                </pic:pic>
              </a:graphicData>
            </a:graphic>
          </wp:inline>
        </w:drawing>
      </w:r>
    </w:p>
    <w:p w14:paraId="3A9660EF" w14:textId="77777777" w:rsidR="00CA0EF0" w:rsidRPr="00361E30" w:rsidRDefault="00CA0EF0" w:rsidP="003C13F4">
      <w:pPr>
        <w:pStyle w:val="FigureTitle"/>
      </w:pPr>
      <w:bookmarkStart w:id="155" w:name="_Toc529090342"/>
      <w:r w:rsidRPr="00361E30">
        <w:t>Figure 6.1: Funnel plot of Ws of all TARN hospitals, based on mortality figures for patients aged 65 and older. Hospitals with less than 50 submissions were excluded.</w:t>
      </w:r>
      <w:bookmarkEnd w:id="155"/>
    </w:p>
    <w:p w14:paraId="36117DC7" w14:textId="77777777" w:rsidR="00CA0EF0" w:rsidRPr="00361E30" w:rsidRDefault="00CA0EF0" w:rsidP="003C13F4">
      <w:pPr>
        <w:spacing w:line="240" w:lineRule="auto"/>
        <w:rPr>
          <w:b/>
        </w:rPr>
      </w:pPr>
    </w:p>
    <w:p w14:paraId="581303AC" w14:textId="77777777" w:rsidR="00CA0EF0" w:rsidRPr="00361E30" w:rsidRDefault="00CA0EF0" w:rsidP="003C13F4">
      <w:pPr>
        <w:pStyle w:val="Heading2"/>
      </w:pPr>
      <w:bookmarkStart w:id="156" w:name="_Toc1902318"/>
      <w:r w:rsidRPr="00361E30">
        <w:t>6.2.2</w:t>
      </w:r>
      <w:r w:rsidRPr="00361E30">
        <w:tab/>
        <w:t>Application of a Quality Filter</w:t>
      </w:r>
      <w:bookmarkEnd w:id="156"/>
      <w:r w:rsidRPr="00361E30">
        <w:t xml:space="preserve"> </w:t>
      </w:r>
    </w:p>
    <w:p w14:paraId="6C80C927" w14:textId="77777777" w:rsidR="00CA0EF0" w:rsidRPr="00361E30" w:rsidRDefault="00CA0EF0" w:rsidP="003C13F4">
      <w:r w:rsidRPr="00361E30">
        <w:t>The assessment of the quality of submissions to TARN is based on the ratio of the number of submissions made by individual hospitals to TARN compared to the number of major trauma cases fitting the TARN criteria entered into HES (hospital episode statistics) for that hospital. Hospitals in which there is a discrepancy of &gt;20% in the ratio of submission of deaths to survivors are considered to have inadequate data submission, which could lead to significant under- or over-estimation of survival. These hospitals are thus excluded from analysis of performance.</w:t>
      </w:r>
    </w:p>
    <w:p w14:paraId="23B1DE0C" w14:textId="77777777" w:rsidR="00CA0EF0" w:rsidRPr="00361E30" w:rsidRDefault="00CA0EF0" w:rsidP="003C13F4">
      <w:pPr>
        <w:ind w:firstLine="720"/>
      </w:pPr>
      <w:r w:rsidRPr="00361E30">
        <w:t xml:space="preserve">The TARN quality filter was applied to the dataset used in this study, as well as including only hospitals in England, and the funnel plot re-run. On this occasion, there were three hospitals with a Ws &gt;3SDs higher than that predicted by the model, and none with a Ws &gt;3SDs lower than that predicted. Using 2SDs as a cut-off for identifying outliers, there were 8 </w:t>
      </w:r>
      <w:r w:rsidRPr="00361E30">
        <w:lastRenderedPageBreak/>
        <w:t>hospitals with a Ws &gt;2SDs higher than predicted and 4 hospitals with a Ws &gt;2SDs lower than predicted. Of the 12 hospitals identified as outliers (</w:t>
      </w:r>
      <w:r w:rsidR="00EF4FF2" w:rsidRPr="00361E30">
        <w:t>with Ws</w:t>
      </w:r>
      <w:r w:rsidRPr="00361E30">
        <w:t xml:space="preserve"> &gt; 2SDs above or below predicted), 8 were MTCs. Note that this analysis only included English hospitals, as Welsh and other European hospitals did not have HES data to which their data could be compared. In addition, for pragmatic reasons, the hospitals for Phase 3 of the study were restricted to hospitals in England.</w:t>
      </w:r>
    </w:p>
    <w:p w14:paraId="79A03604" w14:textId="77777777" w:rsidR="00CA0EF0" w:rsidRPr="00361E30" w:rsidRDefault="00CA0EF0" w:rsidP="003C13F4">
      <w:r w:rsidRPr="00361E30">
        <w:rPr>
          <w:noProof/>
          <w:lang w:eastAsia="en-GB"/>
        </w:rPr>
        <w:drawing>
          <wp:inline distT="0" distB="0" distL="0" distR="0" wp14:anchorId="184F77AD" wp14:editId="3BAEF014">
            <wp:extent cx="4524375" cy="3293110"/>
            <wp:effectExtent l="0" t="0" r="0" b="0"/>
            <wp:docPr id="12" name="image11.png" descr="C:\Users\champs\Google Drive\Ian Sammy PhD Thesis 2014\TARN Dataset\TARNDataset(ImputedData)20160404\TARNDataset(ImputedDataQualfilterOn)20160908\FunnelPlotQualiFilter20161024\FunnelPlotModel24aqQualFilterEnglish_mj==3(Size)20161024.tif"/>
            <wp:cNvGraphicFramePr/>
            <a:graphic xmlns:a="http://schemas.openxmlformats.org/drawingml/2006/main">
              <a:graphicData uri="http://schemas.openxmlformats.org/drawingml/2006/picture">
                <pic:pic xmlns:pic="http://schemas.openxmlformats.org/drawingml/2006/picture">
                  <pic:nvPicPr>
                    <pic:cNvPr id="0" name="image11.png" descr="C:\Users\champs\Google Drive\Ian Sammy PhD Thesis 2014\TARN Dataset\TARNDataset(ImputedData)20160404\TARNDataset(ImputedDataQualfilterOn)20160908\FunnelPlotQualiFilter20161024\FunnelPlotModel24aqQualFilterEnglish_mj==3(Size)20161024.tif"/>
                    <pic:cNvPicPr preferRelativeResize="0"/>
                  </pic:nvPicPr>
                  <pic:blipFill>
                    <a:blip r:embed="rId15"/>
                    <a:srcRect/>
                    <a:stretch>
                      <a:fillRect/>
                    </a:stretch>
                  </pic:blipFill>
                  <pic:spPr>
                    <a:xfrm>
                      <a:off x="0" y="0"/>
                      <a:ext cx="4524375" cy="3293110"/>
                    </a:xfrm>
                    <a:prstGeom prst="rect">
                      <a:avLst/>
                    </a:prstGeom>
                    <a:ln/>
                  </pic:spPr>
                </pic:pic>
              </a:graphicData>
            </a:graphic>
          </wp:inline>
        </w:drawing>
      </w:r>
    </w:p>
    <w:p w14:paraId="1245387C" w14:textId="77777777" w:rsidR="00CA0EF0" w:rsidRPr="00361E30" w:rsidRDefault="00CA0EF0" w:rsidP="003C13F4">
      <w:pPr>
        <w:pStyle w:val="FigureTitle"/>
      </w:pPr>
      <w:bookmarkStart w:id="157" w:name="_Toc529090343"/>
      <w:r w:rsidRPr="00361E30">
        <w:t>Figure 6.2: Funnel plot of Ws of TARN hospitals, based on adjusted mortality figures for patients aged 65 and older, comparing English hospitals and excluding hospitals with inadequate data submission. Hospitals with less than 50 submissions were also excluded.</w:t>
      </w:r>
      <w:bookmarkEnd w:id="157"/>
    </w:p>
    <w:p w14:paraId="0494986F" w14:textId="77777777" w:rsidR="00CA0EF0" w:rsidRPr="00361E30" w:rsidRDefault="00CA0EF0" w:rsidP="003C13F4">
      <w:pPr>
        <w:pStyle w:val="Heading1"/>
      </w:pPr>
      <w:bookmarkStart w:id="158" w:name="_Toc1902319"/>
      <w:r w:rsidRPr="00361E30">
        <w:t>6.3</w:t>
      </w:r>
      <w:r w:rsidRPr="00361E30">
        <w:tab/>
        <w:t>Refining the Model</w:t>
      </w:r>
      <w:bookmarkEnd w:id="158"/>
    </w:p>
    <w:p w14:paraId="53A89451" w14:textId="77777777" w:rsidR="00CA0EF0" w:rsidRPr="00361E30" w:rsidRDefault="00CA0EF0" w:rsidP="003C13F4">
      <w:r w:rsidRPr="00361E30">
        <w:t>As described in Section 6.1.1, the univariate association between selected process variables and survival was tested, and the impact of adding significant process variables to the multivariate model was assessed by comparing the performance metrics of different models. Process variables were initially chosen from those identified in the literature review that could be measured from accessible data (Chapter 3, Table 3.2). The process variables identified in the literature review included: accuracy of pre-hospital triage, treatment at a major trauma centre, admission to an intensive care unit and emergency surgery following major trauma.</w:t>
      </w:r>
    </w:p>
    <w:p w14:paraId="054ED7E6" w14:textId="77777777" w:rsidR="00CA0EF0" w:rsidRPr="00361E30" w:rsidRDefault="00CA0EF0" w:rsidP="003C13F4">
      <w:pPr>
        <w:ind w:firstLine="720"/>
      </w:pPr>
      <w:r w:rsidRPr="00361E30">
        <w:t xml:space="preserve">From the variables listed above, the following were assessed for their association with survival: hospital status (whether the hospital was an MTC or TU); the proportion of older patients (65 years and over) with severe injuries (ISS &gt;15) who were admitted to ICU and the proportion of older patients with severe abdominal injuries (AIS ≥3) who had emergency </w:t>
      </w:r>
      <w:r w:rsidRPr="00361E30">
        <w:lastRenderedPageBreak/>
        <w:t xml:space="preserve">laparotomy following major trauma. The association between pre-hospital triage status and survival could not be tested, as these data were missing for a large proportion of older patients. Of all patients included in the dataset for this study, 66.3% did not have their pre-hospital triage status recorded. </w:t>
      </w:r>
    </w:p>
    <w:p w14:paraId="3CBD3852" w14:textId="77777777" w:rsidR="00CA0EF0" w:rsidRPr="00361E30" w:rsidRDefault="00CA0EF0" w:rsidP="003C13F4">
      <w:pPr>
        <w:ind w:firstLine="720"/>
      </w:pPr>
      <w:r w:rsidRPr="00361E30">
        <w:t xml:space="preserve">Other process variables (apart from those identified in the literature review) were also assessed (see Table 3.2, Chapter 3). These included significant measures of overall hospital performance and variables likely to be relevant to major trauma management in older people. The proportion of major trauma patients seen by a hospital that were ≥65 years was assessed, as a measure of the hospital’s familiarity with managing older people. The hospital’s overall </w:t>
      </w:r>
      <w:r w:rsidR="00A670AA" w:rsidRPr="00361E30">
        <w:t>Care Q</w:t>
      </w:r>
      <w:r w:rsidRPr="00361E30">
        <w:t xml:space="preserve">uality Commission (CQC) rating and the CQC rating for urgent and emergency care were both assessed, as these provided global measures of hospital performance, including qualitative measures of patient-centred care. In addition, hospitals’ adjusted mortality rates for hip fractures were also assessed to determine whether these had any association with major trauma survival. This last measure was seen as a direct measure of survival for acutely injured older people. Older people with hip fractures are not included on the TARN dataset, so this measure was not a subset of the TARN dataset. </w:t>
      </w:r>
    </w:p>
    <w:p w14:paraId="42266A3F" w14:textId="77777777" w:rsidR="00CA0EF0" w:rsidRPr="00361E30" w:rsidRDefault="00CA0EF0" w:rsidP="003C13F4">
      <w:pPr>
        <w:ind w:firstLine="720"/>
      </w:pPr>
      <w:r w:rsidRPr="00361E30">
        <w:t>As described in Section 6.1.1 above, each variable was initially assessed on univariate analysis, and only those with a moderate association (p</w:t>
      </w:r>
      <w:r w:rsidR="006B1CF4">
        <w:rPr>
          <w:rFonts w:cstheme="minorHAnsi"/>
        </w:rPr>
        <w:t>≤</w:t>
      </w:r>
      <w:r w:rsidRPr="00361E30">
        <w:t xml:space="preserve">0.2) were included in the multivariate analysis. These variables were added to the model in a stepwise fashion to determine their effects on the model performance. </w:t>
      </w:r>
    </w:p>
    <w:p w14:paraId="56C6BF2A" w14:textId="77777777" w:rsidR="00CA0EF0" w:rsidRPr="00361E30" w:rsidRDefault="00CA0EF0" w:rsidP="003C13F4">
      <w:pPr>
        <w:pStyle w:val="Heading2"/>
      </w:pPr>
      <w:bookmarkStart w:id="159" w:name="_Toc1902320"/>
      <w:r w:rsidRPr="00361E30">
        <w:t>6.3.1</w:t>
      </w:r>
      <w:r w:rsidRPr="00361E30">
        <w:tab/>
        <w:t>Univariate Analysis of Process Variables</w:t>
      </w:r>
      <w:bookmarkEnd w:id="159"/>
    </w:p>
    <w:p w14:paraId="21A084A7" w14:textId="77777777" w:rsidR="00CA0EF0" w:rsidRPr="00361E30" w:rsidRDefault="00CA0EF0" w:rsidP="003C13F4">
      <w:r w:rsidRPr="00361E30">
        <w:t>The univariate analysis of individual process variables and outcome (survival to 30 days, or survival to discharge, if discharged before 30 days) is shown in Table 6.1</w:t>
      </w:r>
    </w:p>
    <w:p w14:paraId="260DBEB4" w14:textId="77777777" w:rsidR="00CA0EF0" w:rsidRPr="00993D1E" w:rsidRDefault="00CA0EF0" w:rsidP="003C13F4">
      <w:pPr>
        <w:pStyle w:val="Heading3"/>
        <w:rPr>
          <w:lang w:val="pt-PT"/>
        </w:rPr>
      </w:pPr>
      <w:r w:rsidRPr="00993D1E">
        <w:rPr>
          <w:lang w:val="pt-PT"/>
        </w:rPr>
        <w:t xml:space="preserve">6.3.1.1 </w:t>
      </w:r>
      <w:r w:rsidRPr="00993D1E">
        <w:rPr>
          <w:lang w:val="pt-PT"/>
        </w:rPr>
        <w:tab/>
        <w:t>Major Trauma Centres vs Trauma Units</w:t>
      </w:r>
    </w:p>
    <w:p w14:paraId="7859D687" w14:textId="77777777" w:rsidR="00CA0EF0" w:rsidRPr="00361E30" w:rsidRDefault="00CA0EF0" w:rsidP="003C13F4">
      <w:pPr>
        <w:ind w:firstLine="720"/>
      </w:pPr>
      <w:r w:rsidRPr="00361E30">
        <w:t>Univariate analysis of survival of older trauma patients in major trauma centres compared to trauma units showed a significantly lower survival rate among older patients treated at major trauma centres compared to those treated at trauma units (odds of survival 0.67, 95% CI 0.63 - 0.71 [p=0.005]).</w:t>
      </w:r>
    </w:p>
    <w:p w14:paraId="298802C3" w14:textId="77777777" w:rsidR="00CA0EF0" w:rsidRPr="00361E30" w:rsidRDefault="00CA0EF0" w:rsidP="003C13F4">
      <w:pPr>
        <w:pStyle w:val="Heading3"/>
      </w:pPr>
      <w:r w:rsidRPr="00361E30">
        <w:t xml:space="preserve">6.3.1.2 </w:t>
      </w:r>
      <w:r w:rsidRPr="00361E30">
        <w:tab/>
        <w:t>Neurosurgery on Site</w:t>
      </w:r>
    </w:p>
    <w:p w14:paraId="61DEC748" w14:textId="77777777" w:rsidR="00CA0EF0" w:rsidRPr="00361E30" w:rsidRDefault="00CA0EF0" w:rsidP="003C13F4">
      <w:pPr>
        <w:ind w:firstLine="720"/>
      </w:pPr>
      <w:r w:rsidRPr="00361E30">
        <w:t>On univariate analysis, having neurosurgery on site paradoxically significantly reduced the odds of survival for older trauma patients. The odds of survival for older patients admitted to a hospital with neurosurgery on site were 0.77, 95% CI 0.71 to 0.82 (p&lt;0.001).</w:t>
      </w:r>
    </w:p>
    <w:p w14:paraId="3A900A32" w14:textId="77777777" w:rsidR="00CA0EF0" w:rsidRPr="00361E30" w:rsidRDefault="00CA0EF0" w:rsidP="003C13F4">
      <w:pPr>
        <w:pStyle w:val="Heading3"/>
      </w:pPr>
      <w:r w:rsidRPr="00361E30">
        <w:lastRenderedPageBreak/>
        <w:t xml:space="preserve">6.3.1.3 </w:t>
      </w:r>
      <w:r w:rsidRPr="00361E30">
        <w:tab/>
        <w:t>Percentage of Seriously Injured Older Trauma Patients Admitted to ICU</w:t>
      </w:r>
    </w:p>
    <w:p w14:paraId="42E3EF5D" w14:textId="77777777" w:rsidR="00CA0EF0" w:rsidRPr="00361E30" w:rsidRDefault="00CA0EF0" w:rsidP="003C13F4">
      <w:pPr>
        <w:ind w:firstLine="720"/>
      </w:pPr>
      <w:r w:rsidRPr="00361E30">
        <w:t xml:space="preserve">On univariate analysis, there was an inverse relationship between the proportion of older patients with serious injuries (ISS &gt;15) admitted to ICU (the intensive care unit) and survival from major trauma. This variable was tested as a categorical and continuous variable. As a categorical variable, patients treated at hospitals that admitted ≥20% of their seriously injured older trauma patients to ICU had overall worse survival rates than those admitted to hospitals with rates of &lt;20% (odds ratio 0.693, 95% CI 0.654 to 0.736). When assessed as a continuous variable there was a significant decrease in the odds of survival at hospitals in which higher proportions of older trauma patients were admitted to ICU (odds ratio 0.983, 95% CI 0.981 to 0.985). The association between this variable and survival from major trauma in older people was linear (Figure 6.3). On fractional polynomial transformation of the variable, the linear model was the best fit model, confirming this relationship. Given the stronger statistical relationship between the categorical form of this variable and survival, the categorical form was retained in the final model. It should be noted that the negative association with outcome seen with higher admission rates to ICU, though counter-intuitive, has been seen in previous studies </w:t>
      </w:r>
      <w:r w:rsidRPr="00361E30">
        <w:rPr>
          <w:noProof/>
        </w:rPr>
        <w:t>(Aitken et al. 2010, Ayoung-Chee et al., 2014)</w:t>
      </w:r>
      <w:r w:rsidRPr="00361E30">
        <w:t>.</w:t>
      </w:r>
    </w:p>
    <w:p w14:paraId="3D629C66" w14:textId="77777777" w:rsidR="00CA0EF0" w:rsidRPr="00361E30" w:rsidRDefault="00CA0EF0" w:rsidP="003C13F4">
      <w:r w:rsidRPr="00361E30">
        <w:rPr>
          <w:noProof/>
          <w:lang w:eastAsia="en-GB"/>
        </w:rPr>
        <w:drawing>
          <wp:inline distT="0" distB="0" distL="0" distR="0" wp14:anchorId="413D0D00" wp14:editId="5E289BC1">
            <wp:extent cx="4522470" cy="3296285"/>
            <wp:effectExtent l="0" t="0" r="0" b="0"/>
            <wp:docPr id="13" name="image7.png" descr="C:\Users\champs\Google Drive\Ian Sammy PhD Thesis 2014\TARN Dataset\TARNDataset(ImputedData)20160404\ICUAdmissionRateOutcomeGraph20161001.tif"/>
            <wp:cNvGraphicFramePr/>
            <a:graphic xmlns:a="http://schemas.openxmlformats.org/drawingml/2006/main">
              <a:graphicData uri="http://schemas.openxmlformats.org/drawingml/2006/picture">
                <pic:pic xmlns:pic="http://schemas.openxmlformats.org/drawingml/2006/picture">
                  <pic:nvPicPr>
                    <pic:cNvPr id="0" name="image7.png" descr="C:\Users\champs\Google Drive\Ian Sammy PhD Thesis 2014\TARN Dataset\TARNDataset(ImputedData)20160404\ICUAdmissionRateOutcomeGraph20161001.tif"/>
                    <pic:cNvPicPr preferRelativeResize="0"/>
                  </pic:nvPicPr>
                  <pic:blipFill>
                    <a:blip r:embed="rId23"/>
                    <a:srcRect/>
                    <a:stretch>
                      <a:fillRect/>
                    </a:stretch>
                  </pic:blipFill>
                  <pic:spPr>
                    <a:xfrm>
                      <a:off x="0" y="0"/>
                      <a:ext cx="4522470" cy="3296285"/>
                    </a:xfrm>
                    <a:prstGeom prst="rect">
                      <a:avLst/>
                    </a:prstGeom>
                    <a:ln/>
                  </pic:spPr>
                </pic:pic>
              </a:graphicData>
            </a:graphic>
          </wp:inline>
        </w:drawing>
      </w:r>
    </w:p>
    <w:p w14:paraId="0B16D830" w14:textId="77777777" w:rsidR="00CA0EF0" w:rsidRPr="00361E30" w:rsidRDefault="00CA0EF0" w:rsidP="003C13F4">
      <w:pPr>
        <w:pStyle w:val="FigureTitle"/>
      </w:pPr>
      <w:bookmarkStart w:id="160" w:name="_Toc529090344"/>
      <w:r w:rsidRPr="00361E30">
        <w:t>Figure 6.3: Plot of Ln[mortality] and percentage of seriously injured older major trauma patients admitted to ICU. On polynomial transformation, the best fit model was the linear model.</w:t>
      </w:r>
      <w:bookmarkEnd w:id="160"/>
    </w:p>
    <w:p w14:paraId="067068D5" w14:textId="77777777" w:rsidR="00CA0EF0" w:rsidRPr="00361E30" w:rsidRDefault="00CA0EF0" w:rsidP="003C13F4">
      <w:pPr>
        <w:pStyle w:val="Heading3"/>
      </w:pPr>
      <w:r w:rsidRPr="00361E30">
        <w:t xml:space="preserve">6.3.1.4 </w:t>
      </w:r>
      <w:r w:rsidRPr="00361E30">
        <w:tab/>
        <w:t>Percentage of Older Patients Receiving Emergency Laparotomy</w:t>
      </w:r>
    </w:p>
    <w:p w14:paraId="21725A1E" w14:textId="77777777" w:rsidR="00CA0EF0" w:rsidRPr="00361E30" w:rsidRDefault="00CA0EF0" w:rsidP="003C13F4">
      <w:r w:rsidRPr="00361E30">
        <w:t xml:space="preserve">The association between the proportion of older patients with serious abdominal injuries who had emergency laparotomy, and survival from major trauma was explored. Hospitals in which </w:t>
      </w:r>
      <w:r w:rsidRPr="00361E30">
        <w:lastRenderedPageBreak/>
        <w:t>&lt;30% of these patients had laparotomy were used as the reference category. There was a non-significant decrease in survival in patients treated at hospitals with laparotomy rates ≥30% (odds ratio 0.946, 95% CI 0.887 to 1.008 [p=0.87]). When hospitals’ laparotomy rates were analysed as a continuous variable, there was no significant association with survival.</w:t>
      </w:r>
    </w:p>
    <w:p w14:paraId="3AF80737" w14:textId="77777777" w:rsidR="00CA0EF0" w:rsidRPr="00361E30" w:rsidRDefault="00CA0EF0" w:rsidP="003C13F4">
      <w:pPr>
        <w:pStyle w:val="Heading3"/>
      </w:pPr>
      <w:r w:rsidRPr="00361E30">
        <w:t xml:space="preserve">6.3.1.5 </w:t>
      </w:r>
      <w:r w:rsidRPr="00361E30">
        <w:tab/>
        <w:t>Percentage Major Trauma Patients at Each Site That Were Aged ≥65 years</w:t>
      </w:r>
    </w:p>
    <w:p w14:paraId="5839AC69" w14:textId="77777777" w:rsidR="00CA0EF0" w:rsidRPr="00361E30" w:rsidRDefault="00CA0EF0" w:rsidP="003C13F4">
      <w:r w:rsidRPr="00361E30">
        <w:t xml:space="preserve">Hospitals were compared </w:t>
      </w:r>
      <w:r w:rsidR="00EF4FF2" w:rsidRPr="00361E30">
        <w:t>based on</w:t>
      </w:r>
      <w:r w:rsidRPr="00361E30">
        <w:t xml:space="preserve"> the proportion of their trauma patients that were aged ≥65 years. Hospitals were categorised into two groups: those in which up to 50% of their trauma patients were aged ≥65 years and those with &gt;50% of trauma patients aged ≥65 years. The odds of survival for older patients treated in </w:t>
      </w:r>
      <w:r w:rsidR="00EF4FF2" w:rsidRPr="00361E30">
        <w:t>hospitals in</w:t>
      </w:r>
      <w:r w:rsidRPr="00361E30">
        <w:t xml:space="preserve"> which &gt;50% of trauma patients were aged ≥65 years were significantly higher than survival in hospitals in which 50% or less of trauma patients were aged ≥65 years (odds ratio 1.40, 95% CI 1.32 - 1.49 [p=0.005]).</w:t>
      </w:r>
    </w:p>
    <w:p w14:paraId="37981368" w14:textId="77777777" w:rsidR="00CA0EF0" w:rsidRPr="00361E30" w:rsidRDefault="00CA0EF0" w:rsidP="003C13F4">
      <w:pPr>
        <w:ind w:firstLine="720"/>
      </w:pPr>
      <w:r w:rsidRPr="00361E30">
        <w:t xml:space="preserve">This variable was also assessed as a continuous variable and demonstrated a significant positive association with survival (adjusted odds ratio 1.019, 95% CI 1.016 to 1.021). </w:t>
      </w:r>
      <w:r w:rsidR="00EF4FF2" w:rsidRPr="00361E30">
        <w:t>However,</w:t>
      </w:r>
      <w:r w:rsidRPr="00361E30">
        <w:t xml:space="preserve"> the relationship between this variable and survival was not linear (Figure 6.4). Second order polynomial transformation produced the best linear fit.  Pearson’s R</w:t>
      </w:r>
      <w:r w:rsidRPr="00361E30">
        <w:rPr>
          <w:vertAlign w:val="superscript"/>
        </w:rPr>
        <w:t>2</w:t>
      </w:r>
      <w:r w:rsidRPr="00361E30">
        <w:t xml:space="preserve"> and the ‘C’ statistic for the continuous and categorical forms of this variable were comparable (R</w:t>
      </w:r>
      <w:r w:rsidRPr="00361E30">
        <w:rPr>
          <w:vertAlign w:val="superscript"/>
        </w:rPr>
        <w:t>2</w:t>
      </w:r>
      <w:r w:rsidRPr="00361E30">
        <w:t xml:space="preserve"> = 0.008 and 0.005; AUROC .5565 and .5414 respectively). To avoid adding unnecessary complexity to the multivariate model, the simpler categorical form of the variable was retained in the multivariate analysis.</w:t>
      </w:r>
    </w:p>
    <w:p w14:paraId="602D5FC3" w14:textId="77777777" w:rsidR="00CA0EF0" w:rsidRPr="00361E30" w:rsidRDefault="00CA0EF0" w:rsidP="003C13F4">
      <w:r w:rsidRPr="00361E30">
        <w:rPr>
          <w:noProof/>
          <w:lang w:eastAsia="en-GB"/>
        </w:rPr>
        <w:drawing>
          <wp:inline distT="0" distB="0" distL="0" distR="0" wp14:anchorId="56EC2463" wp14:editId="3C3CCBAC">
            <wp:extent cx="4522470" cy="3296285"/>
            <wp:effectExtent l="0" t="0" r="0" b="0"/>
            <wp:docPr id="14" name="image13.png" descr="C:\Users\champs\Google Drive\Ian Sammy PhD Thesis 2014\TARN Dataset\TARNDataset(ImputedData)20160404\Percentage65RateSurvivalGraph20161002.tif"/>
            <wp:cNvGraphicFramePr/>
            <a:graphic xmlns:a="http://schemas.openxmlformats.org/drawingml/2006/main">
              <a:graphicData uri="http://schemas.openxmlformats.org/drawingml/2006/picture">
                <pic:pic xmlns:pic="http://schemas.openxmlformats.org/drawingml/2006/picture">
                  <pic:nvPicPr>
                    <pic:cNvPr id="0" name="image13.png" descr="C:\Users\champs\Google Drive\Ian Sammy PhD Thesis 2014\TARN Dataset\TARNDataset(ImputedData)20160404\Percentage65RateSurvivalGraph20161002.tif"/>
                    <pic:cNvPicPr preferRelativeResize="0"/>
                  </pic:nvPicPr>
                  <pic:blipFill>
                    <a:blip r:embed="rId24"/>
                    <a:srcRect/>
                    <a:stretch>
                      <a:fillRect/>
                    </a:stretch>
                  </pic:blipFill>
                  <pic:spPr>
                    <a:xfrm>
                      <a:off x="0" y="0"/>
                      <a:ext cx="4522470" cy="3296285"/>
                    </a:xfrm>
                    <a:prstGeom prst="rect">
                      <a:avLst/>
                    </a:prstGeom>
                    <a:ln/>
                  </pic:spPr>
                </pic:pic>
              </a:graphicData>
            </a:graphic>
          </wp:inline>
        </w:drawing>
      </w:r>
    </w:p>
    <w:p w14:paraId="47BF93A8" w14:textId="77777777" w:rsidR="00CA0EF0" w:rsidRPr="00361E30" w:rsidRDefault="00CA0EF0" w:rsidP="003C13F4">
      <w:pPr>
        <w:pStyle w:val="FigureTitle"/>
      </w:pPr>
      <w:bookmarkStart w:id="161" w:name="_Toc529090345"/>
      <w:r w:rsidRPr="00361E30">
        <w:t>Figure 6.4: Plot of Ln[survival] and percentage of major trauma patients at each hospital aged &gt;=65 years, demonstrating non-linearity.</w:t>
      </w:r>
      <w:bookmarkEnd w:id="161"/>
      <w:r w:rsidRPr="00361E30">
        <w:t xml:space="preserve"> </w:t>
      </w:r>
    </w:p>
    <w:p w14:paraId="1B906961" w14:textId="77777777" w:rsidR="00CA0EF0" w:rsidRPr="00361E30" w:rsidRDefault="00CA0EF0" w:rsidP="003C13F4">
      <w:pPr>
        <w:pStyle w:val="Heading3"/>
      </w:pPr>
      <w:r w:rsidRPr="00361E30">
        <w:lastRenderedPageBreak/>
        <w:t xml:space="preserve">6.3.1.6 </w:t>
      </w:r>
      <w:r w:rsidRPr="00361E30">
        <w:tab/>
        <w:t>CQC Rating of Hospitals</w:t>
      </w:r>
    </w:p>
    <w:p w14:paraId="0E275D72" w14:textId="77777777" w:rsidR="00CA0EF0" w:rsidRPr="00361E30" w:rsidRDefault="00CA0EF0" w:rsidP="003C13F4">
      <w:r w:rsidRPr="00361E30">
        <w:t>The rating of hospitals by the Care Quality Commission (CQC) was used as an indicator of overall quality of hospital services. The Care Quality Commission rates hospitals as ‘outstanding’, ‘good’, ‘requiring improvement’ or ‘inadequate’.</w:t>
      </w:r>
    </w:p>
    <w:p w14:paraId="1738A287" w14:textId="77777777" w:rsidR="00CA0EF0" w:rsidRPr="00361E30" w:rsidRDefault="00CA0EF0" w:rsidP="003C13F4">
      <w:pPr>
        <w:ind w:firstLine="720"/>
      </w:pPr>
      <w:r w:rsidRPr="00361E30">
        <w:t xml:space="preserve">Hospitals’ survival rates for older trauma patients were compared in relation to their CQC rating, using the category ‘requires improvement’ as the reference. There was a significant difference in survival of older trauma patients, comparing hospitals with different CQC ratings. However, this did not demonstrate any consistent trend. Hospitals rated as ‘inadequate’ demonstrated lower survival rates than those rated as ‘requiring improvement’. </w:t>
      </w:r>
      <w:r w:rsidR="00EF4FF2" w:rsidRPr="00361E30">
        <w:t>However,</w:t>
      </w:r>
      <w:r w:rsidRPr="00361E30">
        <w:t xml:space="preserve"> those with higher ratings (‘good’ and ‘outstanding’ hospitals) also had lower survival rates than those rated as ‘requiring improvement’ (Table 6.1).</w:t>
      </w:r>
    </w:p>
    <w:p w14:paraId="72BFCCC9" w14:textId="77777777" w:rsidR="00CA0EF0" w:rsidRPr="00361E30" w:rsidRDefault="00CA0EF0" w:rsidP="003C13F4">
      <w:pPr>
        <w:ind w:firstLine="720"/>
      </w:pPr>
      <w:r w:rsidRPr="00361E30">
        <w:t>It should be noted that CQC ratings only apply to hospitals in England, and of the 175 English Hospitals included in the dataset, 33 were not rated by the CQC.</w:t>
      </w:r>
    </w:p>
    <w:p w14:paraId="4320409E" w14:textId="77777777" w:rsidR="00CA0EF0" w:rsidRPr="00361E30" w:rsidRDefault="00CA0EF0" w:rsidP="003C13F4">
      <w:pPr>
        <w:pStyle w:val="Heading3"/>
      </w:pPr>
      <w:bookmarkStart w:id="162" w:name="_gjdgxs" w:colFirst="0" w:colLast="0"/>
      <w:bookmarkEnd w:id="162"/>
      <w:r w:rsidRPr="00361E30">
        <w:t xml:space="preserve">6.3.1.7 </w:t>
      </w:r>
      <w:r w:rsidRPr="00361E30">
        <w:tab/>
        <w:t>CQC Ratings of Emergency and Urgent Care Services</w:t>
      </w:r>
    </w:p>
    <w:p w14:paraId="475BC224" w14:textId="77777777" w:rsidR="00CA0EF0" w:rsidRPr="00361E30" w:rsidRDefault="00CA0EF0" w:rsidP="003C13F4">
      <w:r w:rsidRPr="00361E30">
        <w:t>The rating of hospitals’ emergency and urgent care services by the Care Quality Commission (CQC) was used as an indicator of overall quality of emergency services provided by each hospital. As with hospital CQC ratings, the Care Quality Commission rates hospitals as ‘outstanding’, ‘good’, ‘requiring improvement’ or ‘inadequate’.</w:t>
      </w:r>
    </w:p>
    <w:p w14:paraId="2633C9A1" w14:textId="77777777" w:rsidR="00CA0EF0" w:rsidRPr="00361E30" w:rsidRDefault="00CA0EF0" w:rsidP="003C13F4">
      <w:pPr>
        <w:ind w:firstLine="720"/>
      </w:pPr>
      <w:r w:rsidRPr="00361E30">
        <w:t>Hospitals’ survival rates for older trauma patients were compared to the CQC ratings for their emergency and urgent care services, using the category ‘requires improvement’ as the reference. Overall, there were no significant differences in odds of survival between hospitals with different ratings for their emergency and urgent care services, apart from a significantly higher survival rate in hospitals rated ‘inadequate’ compared to those rated ‘requiring improvement’.</w:t>
      </w:r>
    </w:p>
    <w:p w14:paraId="2BCAE434" w14:textId="77777777" w:rsidR="00CA0EF0" w:rsidRPr="00361E30" w:rsidRDefault="00CA0EF0" w:rsidP="003C13F4">
      <w:pPr>
        <w:ind w:firstLine="720"/>
      </w:pPr>
      <w:r w:rsidRPr="00361E30">
        <w:t>As with CQC hospital ratings, CQC ratings for emergency and urgent care only apply to hospitals in England. Of the 175 English Hospitals included in the dataset, 34 were not rated by the CQC.</w:t>
      </w:r>
    </w:p>
    <w:p w14:paraId="21A17A01" w14:textId="77777777" w:rsidR="00CA0EF0" w:rsidRPr="00361E30" w:rsidRDefault="00CA0EF0" w:rsidP="003C13F4">
      <w:r w:rsidRPr="00361E30">
        <w:rPr>
          <w:noProof/>
          <w:lang w:eastAsia="en-GB"/>
        </w:rPr>
        <w:lastRenderedPageBreak/>
        <w:drawing>
          <wp:inline distT="0" distB="0" distL="0" distR="0" wp14:anchorId="035E59EF" wp14:editId="55ACCE22">
            <wp:extent cx="4522470" cy="3296285"/>
            <wp:effectExtent l="0" t="0" r="0" b="0"/>
            <wp:docPr id="16" name="image12.png" descr="C:\Users\champs\Google Drive\Ian Sammy PhD Thesis 2014\TARN Dataset\TARNDataset(ImputedData)20160404\HipMortalityRateOutcomeGraph20161002.tif"/>
            <wp:cNvGraphicFramePr/>
            <a:graphic xmlns:a="http://schemas.openxmlformats.org/drawingml/2006/main">
              <a:graphicData uri="http://schemas.openxmlformats.org/drawingml/2006/picture">
                <pic:pic xmlns:pic="http://schemas.openxmlformats.org/drawingml/2006/picture">
                  <pic:nvPicPr>
                    <pic:cNvPr id="0" name="image12.png" descr="C:\Users\champs\Google Drive\Ian Sammy PhD Thesis 2014\TARN Dataset\TARNDataset(ImputedData)20160404\HipMortalityRateOutcomeGraph20161002.tif"/>
                    <pic:cNvPicPr preferRelativeResize="0"/>
                  </pic:nvPicPr>
                  <pic:blipFill>
                    <a:blip r:embed="rId25"/>
                    <a:srcRect/>
                    <a:stretch>
                      <a:fillRect/>
                    </a:stretch>
                  </pic:blipFill>
                  <pic:spPr>
                    <a:xfrm>
                      <a:off x="0" y="0"/>
                      <a:ext cx="4522470" cy="3296285"/>
                    </a:xfrm>
                    <a:prstGeom prst="rect">
                      <a:avLst/>
                    </a:prstGeom>
                    <a:ln/>
                  </pic:spPr>
                </pic:pic>
              </a:graphicData>
            </a:graphic>
          </wp:inline>
        </w:drawing>
      </w:r>
    </w:p>
    <w:p w14:paraId="4AD24D68" w14:textId="77777777" w:rsidR="00CA0EF0" w:rsidRPr="00361E30" w:rsidRDefault="00CA0EF0" w:rsidP="003C13F4">
      <w:pPr>
        <w:pStyle w:val="FigureTitle"/>
      </w:pPr>
      <w:bookmarkStart w:id="163" w:name="_Toc529090346"/>
      <w:r w:rsidRPr="00361E30">
        <w:t>Figure 6.5: Plot of Ln[mortality] and mortality rates for hip fracture patients, demonstrating linearity.</w:t>
      </w:r>
      <w:bookmarkEnd w:id="163"/>
    </w:p>
    <w:p w14:paraId="00F06ED8" w14:textId="77777777" w:rsidR="00CA0EF0" w:rsidRPr="00361E30" w:rsidRDefault="00CA0EF0" w:rsidP="003C13F4">
      <w:pPr>
        <w:pStyle w:val="Heading3"/>
      </w:pPr>
      <w:r w:rsidRPr="00361E30">
        <w:t xml:space="preserve">6.3.1.8 </w:t>
      </w:r>
      <w:r w:rsidRPr="00361E30">
        <w:tab/>
        <w:t>Hip Fracture Mortality</w:t>
      </w:r>
    </w:p>
    <w:p w14:paraId="22D902B4" w14:textId="77777777" w:rsidR="00CA0EF0" w:rsidRPr="00361E30" w:rsidRDefault="00CA0EF0" w:rsidP="003C13F4">
      <w:pPr>
        <w:ind w:firstLine="720"/>
      </w:pPr>
      <w:r w:rsidRPr="00361E30">
        <w:t>Using data from the National Hip Fracture Database (NHFD), survival rates for older trauma patients was compared to adjusted mortality rates for patients with hip fractures for each hospital in the TARN database. Hip fracture mortality rates were categorised into four bands (&lt;5%; 5% to &lt;7.5%; 7.5% to &lt;10% and ≥10%). Using a reference category of hip fracture mortality of 5% to &lt;7.5%, there was a consistent and statistically significant trend to decreased survival in older trauma patients as hip fracture mortality rates increased (Table 6.1).</w:t>
      </w:r>
    </w:p>
    <w:p w14:paraId="7A4969A3" w14:textId="77777777" w:rsidR="00CA0EF0" w:rsidRPr="00361E30" w:rsidRDefault="00CA0EF0" w:rsidP="003C13F4">
      <w:pPr>
        <w:ind w:firstLine="720"/>
      </w:pPr>
      <w:r w:rsidRPr="00361E30">
        <w:t xml:space="preserve">Hip fracture data </w:t>
      </w:r>
      <w:r w:rsidR="008A51FC">
        <w:t>were</w:t>
      </w:r>
      <w:r w:rsidRPr="00361E30">
        <w:t xml:space="preserve"> also analysed as a continuous variable. In this form there was a moderately significant association with survival from major trauma (odds ratio 1.015, 95% </w:t>
      </w:r>
      <w:r w:rsidR="00D90A98" w:rsidRPr="00361E30">
        <w:t>CI 0.996</w:t>
      </w:r>
      <w:r w:rsidRPr="00361E30">
        <w:t xml:space="preserve"> to 1.034 [p=0.14]). The association between hip fracture mortality and survival from major trauma in older people was linear (Figure 6.5). On fractional polynomial transformation of the variable, the linear model was the best fit model, confirming this linear relationship. The categorical form of hip fracture mortality was tested in the multivariate model, as it demonstrated more significant univariate association with survival.</w:t>
      </w:r>
    </w:p>
    <w:p w14:paraId="6D668B09" w14:textId="77777777" w:rsidR="00CA0EF0" w:rsidRPr="00361E30" w:rsidRDefault="00CA0EF0" w:rsidP="003C13F4">
      <w:pPr>
        <w:ind w:firstLine="720"/>
      </w:pPr>
      <w:r w:rsidRPr="00361E30">
        <w:t>As noted with CQC ratings, NHFD mortality rates only apply to hospitals in England. Of the 175 English Hospitals included in the dataset, 34 did not have mortality data on the NHFD.</w:t>
      </w:r>
    </w:p>
    <w:p w14:paraId="11F0C166" w14:textId="77777777" w:rsidR="00672693" w:rsidRPr="00361E30" w:rsidRDefault="00672693" w:rsidP="003C13F4">
      <w:pPr>
        <w:ind w:firstLine="720"/>
      </w:pPr>
    </w:p>
    <w:p w14:paraId="5C381389" w14:textId="77777777" w:rsidR="00672693" w:rsidRPr="00361E30" w:rsidRDefault="00672693" w:rsidP="003C13F4">
      <w:pPr>
        <w:ind w:firstLine="720"/>
      </w:pPr>
    </w:p>
    <w:tbl>
      <w:tblPr>
        <w:tblW w:w="8745" w:type="dxa"/>
        <w:tblInd w:w="93" w:type="dxa"/>
        <w:tblLook w:val="04A0" w:firstRow="1" w:lastRow="0" w:firstColumn="1" w:lastColumn="0" w:noHBand="0" w:noVBand="1"/>
      </w:tblPr>
      <w:tblGrid>
        <w:gridCol w:w="1455"/>
        <w:gridCol w:w="1434"/>
        <w:gridCol w:w="1266"/>
        <w:gridCol w:w="900"/>
        <w:gridCol w:w="990"/>
        <w:gridCol w:w="810"/>
        <w:gridCol w:w="720"/>
        <w:gridCol w:w="1170"/>
      </w:tblGrid>
      <w:tr w:rsidR="00CA0EF0" w:rsidRPr="00361E30" w14:paraId="4684061C" w14:textId="77777777" w:rsidTr="003C13F4">
        <w:trPr>
          <w:trHeight w:val="300"/>
        </w:trPr>
        <w:tc>
          <w:tcPr>
            <w:tcW w:w="1455" w:type="dxa"/>
            <w:tcBorders>
              <w:top w:val="single" w:sz="4" w:space="0" w:color="auto"/>
              <w:left w:val="nil"/>
              <w:bottom w:val="nil"/>
              <w:right w:val="nil"/>
            </w:tcBorders>
            <w:shd w:val="clear" w:color="auto" w:fill="auto"/>
            <w:noWrap/>
            <w:vAlign w:val="bottom"/>
            <w:hideMark/>
          </w:tcPr>
          <w:p w14:paraId="6E52526C" w14:textId="77777777" w:rsidR="00CA0EF0" w:rsidRPr="00361E30" w:rsidRDefault="00CA0EF0" w:rsidP="003C13F4">
            <w:pPr>
              <w:spacing w:after="0" w:line="240" w:lineRule="auto"/>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lastRenderedPageBreak/>
              <w:t>Variable</w:t>
            </w:r>
          </w:p>
        </w:tc>
        <w:tc>
          <w:tcPr>
            <w:tcW w:w="1434" w:type="dxa"/>
            <w:tcBorders>
              <w:top w:val="single" w:sz="4" w:space="0" w:color="auto"/>
              <w:left w:val="nil"/>
              <w:bottom w:val="nil"/>
              <w:right w:val="nil"/>
            </w:tcBorders>
            <w:shd w:val="clear" w:color="auto" w:fill="auto"/>
            <w:noWrap/>
            <w:vAlign w:val="center"/>
            <w:hideMark/>
          </w:tcPr>
          <w:p w14:paraId="6730E966"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266" w:type="dxa"/>
            <w:vMerge w:val="restart"/>
            <w:tcBorders>
              <w:top w:val="single" w:sz="4" w:space="0" w:color="auto"/>
              <w:left w:val="nil"/>
              <w:right w:val="nil"/>
            </w:tcBorders>
            <w:shd w:val="clear" w:color="auto" w:fill="auto"/>
            <w:noWrap/>
            <w:vAlign w:val="center"/>
            <w:hideMark/>
          </w:tcPr>
          <w:p w14:paraId="5A76EB1C" w14:textId="77777777" w:rsidR="00CA0EF0" w:rsidRPr="00361E30" w:rsidRDefault="00CA0EF0" w:rsidP="003C13F4">
            <w:pPr>
              <w:spacing w:after="0" w:line="240" w:lineRule="auto"/>
              <w:jc w:val="center"/>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OR of Survival</w:t>
            </w:r>
          </w:p>
        </w:tc>
        <w:tc>
          <w:tcPr>
            <w:tcW w:w="1890" w:type="dxa"/>
            <w:gridSpan w:val="2"/>
            <w:tcBorders>
              <w:top w:val="single" w:sz="4" w:space="0" w:color="auto"/>
              <w:left w:val="nil"/>
              <w:bottom w:val="nil"/>
              <w:right w:val="nil"/>
            </w:tcBorders>
            <w:shd w:val="clear" w:color="auto" w:fill="auto"/>
            <w:noWrap/>
            <w:vAlign w:val="center"/>
            <w:hideMark/>
          </w:tcPr>
          <w:p w14:paraId="1F267115" w14:textId="77777777" w:rsidR="00CA0EF0" w:rsidRPr="00361E30" w:rsidRDefault="00CA0EF0" w:rsidP="003C13F4">
            <w:pPr>
              <w:spacing w:after="0" w:line="240" w:lineRule="auto"/>
              <w:jc w:val="center"/>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95% Confidence Intervals</w:t>
            </w:r>
          </w:p>
        </w:tc>
        <w:tc>
          <w:tcPr>
            <w:tcW w:w="810" w:type="dxa"/>
            <w:vMerge w:val="restart"/>
            <w:tcBorders>
              <w:top w:val="single" w:sz="4" w:space="0" w:color="auto"/>
              <w:left w:val="nil"/>
              <w:right w:val="nil"/>
            </w:tcBorders>
            <w:shd w:val="clear" w:color="auto" w:fill="auto"/>
            <w:noWrap/>
            <w:vAlign w:val="center"/>
            <w:hideMark/>
          </w:tcPr>
          <w:p w14:paraId="20CCF94A" w14:textId="77777777" w:rsidR="00CA0EF0" w:rsidRPr="00361E30" w:rsidRDefault="00CA0EF0" w:rsidP="003C13F4">
            <w:pPr>
              <w:spacing w:after="0" w:line="240" w:lineRule="auto"/>
              <w:jc w:val="center"/>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p value</w:t>
            </w:r>
          </w:p>
        </w:tc>
        <w:tc>
          <w:tcPr>
            <w:tcW w:w="720" w:type="dxa"/>
            <w:tcBorders>
              <w:top w:val="single" w:sz="4" w:space="0" w:color="auto"/>
              <w:left w:val="nil"/>
              <w:bottom w:val="nil"/>
              <w:right w:val="nil"/>
            </w:tcBorders>
            <w:shd w:val="clear" w:color="auto" w:fill="auto"/>
            <w:noWrap/>
            <w:vAlign w:val="center"/>
            <w:hideMark/>
          </w:tcPr>
          <w:p w14:paraId="72844A5F" w14:textId="77777777" w:rsidR="00CA0EF0" w:rsidRPr="00361E30" w:rsidRDefault="00CA0EF0" w:rsidP="003C13F4">
            <w:pPr>
              <w:spacing w:after="0" w:line="240" w:lineRule="auto"/>
              <w:jc w:val="center"/>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R</w:t>
            </w:r>
            <w:r w:rsidRPr="00361E30">
              <w:rPr>
                <w:rFonts w:ascii="Calibri" w:eastAsia="Times New Roman" w:hAnsi="Calibri" w:cs="Calibri"/>
                <w:b/>
                <w:bCs/>
                <w:color w:val="000000"/>
                <w:vertAlign w:val="superscript"/>
                <w:lang w:eastAsia="en-GB"/>
              </w:rPr>
              <w:t>2</w:t>
            </w:r>
          </w:p>
        </w:tc>
        <w:tc>
          <w:tcPr>
            <w:tcW w:w="1170" w:type="dxa"/>
            <w:tcBorders>
              <w:top w:val="single" w:sz="4" w:space="0" w:color="auto"/>
              <w:left w:val="nil"/>
              <w:bottom w:val="nil"/>
              <w:right w:val="nil"/>
            </w:tcBorders>
            <w:shd w:val="clear" w:color="auto" w:fill="auto"/>
            <w:noWrap/>
            <w:vAlign w:val="center"/>
            <w:hideMark/>
          </w:tcPr>
          <w:p w14:paraId="58260B15" w14:textId="77777777" w:rsidR="00CA0EF0" w:rsidRPr="00361E30" w:rsidRDefault="00CA0EF0" w:rsidP="003C13F4">
            <w:pPr>
              <w:spacing w:after="0" w:line="240" w:lineRule="auto"/>
              <w:jc w:val="center"/>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AUROC</w:t>
            </w:r>
          </w:p>
        </w:tc>
      </w:tr>
      <w:tr w:rsidR="00CA0EF0" w:rsidRPr="00361E30" w14:paraId="3AE87C03" w14:textId="77777777" w:rsidTr="003C13F4">
        <w:trPr>
          <w:trHeight w:val="315"/>
        </w:trPr>
        <w:tc>
          <w:tcPr>
            <w:tcW w:w="1455" w:type="dxa"/>
            <w:tcBorders>
              <w:top w:val="nil"/>
              <w:left w:val="nil"/>
              <w:bottom w:val="double" w:sz="6" w:space="0" w:color="auto"/>
              <w:right w:val="nil"/>
            </w:tcBorders>
            <w:shd w:val="clear" w:color="auto" w:fill="auto"/>
            <w:noWrap/>
            <w:vAlign w:val="bottom"/>
            <w:hideMark/>
          </w:tcPr>
          <w:p w14:paraId="51EB4613" w14:textId="77777777" w:rsidR="00CA0EF0" w:rsidRPr="00361E30" w:rsidRDefault="00CA0EF0" w:rsidP="003C13F4">
            <w:pPr>
              <w:spacing w:after="0" w:line="240" w:lineRule="auto"/>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 </w:t>
            </w:r>
          </w:p>
        </w:tc>
        <w:tc>
          <w:tcPr>
            <w:tcW w:w="1434" w:type="dxa"/>
            <w:tcBorders>
              <w:top w:val="nil"/>
              <w:left w:val="nil"/>
              <w:bottom w:val="double" w:sz="6" w:space="0" w:color="auto"/>
              <w:right w:val="nil"/>
            </w:tcBorders>
            <w:shd w:val="clear" w:color="auto" w:fill="auto"/>
            <w:noWrap/>
            <w:vAlign w:val="center"/>
            <w:hideMark/>
          </w:tcPr>
          <w:p w14:paraId="49EC21F1"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266" w:type="dxa"/>
            <w:vMerge/>
            <w:tcBorders>
              <w:left w:val="nil"/>
              <w:bottom w:val="double" w:sz="6" w:space="0" w:color="auto"/>
              <w:right w:val="nil"/>
            </w:tcBorders>
            <w:shd w:val="clear" w:color="auto" w:fill="auto"/>
            <w:noWrap/>
            <w:vAlign w:val="center"/>
            <w:hideMark/>
          </w:tcPr>
          <w:p w14:paraId="02DEE8A1" w14:textId="77777777" w:rsidR="00CA0EF0" w:rsidRPr="00361E30" w:rsidRDefault="00CA0EF0" w:rsidP="003C13F4">
            <w:pPr>
              <w:spacing w:after="0" w:line="240" w:lineRule="auto"/>
              <w:jc w:val="center"/>
              <w:rPr>
                <w:rFonts w:ascii="Calibri" w:eastAsia="Times New Roman" w:hAnsi="Calibri" w:cs="Calibri"/>
                <w:b/>
                <w:bCs/>
                <w:color w:val="000000"/>
                <w:lang w:eastAsia="en-GB"/>
              </w:rPr>
            </w:pPr>
          </w:p>
        </w:tc>
        <w:tc>
          <w:tcPr>
            <w:tcW w:w="900" w:type="dxa"/>
            <w:tcBorders>
              <w:top w:val="nil"/>
              <w:left w:val="nil"/>
              <w:bottom w:val="double" w:sz="6" w:space="0" w:color="auto"/>
              <w:right w:val="nil"/>
            </w:tcBorders>
            <w:shd w:val="clear" w:color="auto" w:fill="auto"/>
            <w:noWrap/>
            <w:vAlign w:val="center"/>
            <w:hideMark/>
          </w:tcPr>
          <w:p w14:paraId="3C8F264E" w14:textId="77777777" w:rsidR="00CA0EF0" w:rsidRPr="00361E30" w:rsidRDefault="00CA0EF0" w:rsidP="003C13F4">
            <w:pPr>
              <w:spacing w:after="0" w:line="240" w:lineRule="auto"/>
              <w:jc w:val="center"/>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Lower</w:t>
            </w:r>
          </w:p>
        </w:tc>
        <w:tc>
          <w:tcPr>
            <w:tcW w:w="990" w:type="dxa"/>
            <w:tcBorders>
              <w:top w:val="nil"/>
              <w:left w:val="nil"/>
              <w:bottom w:val="double" w:sz="6" w:space="0" w:color="auto"/>
              <w:right w:val="nil"/>
            </w:tcBorders>
            <w:shd w:val="clear" w:color="auto" w:fill="auto"/>
            <w:noWrap/>
            <w:vAlign w:val="center"/>
            <w:hideMark/>
          </w:tcPr>
          <w:p w14:paraId="5ABD528E" w14:textId="77777777" w:rsidR="00CA0EF0" w:rsidRPr="00361E30" w:rsidRDefault="00CA0EF0" w:rsidP="003C13F4">
            <w:pPr>
              <w:spacing w:after="0" w:line="240" w:lineRule="auto"/>
              <w:jc w:val="center"/>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Upper</w:t>
            </w:r>
          </w:p>
        </w:tc>
        <w:tc>
          <w:tcPr>
            <w:tcW w:w="810" w:type="dxa"/>
            <w:vMerge/>
            <w:tcBorders>
              <w:left w:val="nil"/>
              <w:bottom w:val="double" w:sz="6" w:space="0" w:color="auto"/>
              <w:right w:val="nil"/>
            </w:tcBorders>
            <w:shd w:val="clear" w:color="auto" w:fill="auto"/>
            <w:noWrap/>
            <w:vAlign w:val="center"/>
          </w:tcPr>
          <w:p w14:paraId="2C1508B9" w14:textId="77777777" w:rsidR="00CA0EF0" w:rsidRPr="00361E30" w:rsidRDefault="00CA0EF0" w:rsidP="003C13F4">
            <w:pPr>
              <w:spacing w:after="0" w:line="240" w:lineRule="auto"/>
              <w:jc w:val="center"/>
              <w:rPr>
                <w:rFonts w:ascii="Calibri" w:eastAsia="Times New Roman" w:hAnsi="Calibri" w:cs="Calibri"/>
                <w:b/>
                <w:bCs/>
                <w:color w:val="000000"/>
                <w:lang w:eastAsia="en-GB"/>
              </w:rPr>
            </w:pPr>
          </w:p>
        </w:tc>
        <w:tc>
          <w:tcPr>
            <w:tcW w:w="720" w:type="dxa"/>
            <w:tcBorders>
              <w:top w:val="nil"/>
              <w:left w:val="nil"/>
              <w:bottom w:val="double" w:sz="6" w:space="0" w:color="auto"/>
              <w:right w:val="nil"/>
            </w:tcBorders>
            <w:shd w:val="clear" w:color="auto" w:fill="auto"/>
            <w:noWrap/>
            <w:vAlign w:val="center"/>
          </w:tcPr>
          <w:p w14:paraId="3DFC73B4" w14:textId="77777777" w:rsidR="00CA0EF0" w:rsidRPr="00361E30" w:rsidRDefault="00CA0EF0" w:rsidP="003C13F4">
            <w:pPr>
              <w:spacing w:after="0" w:line="240" w:lineRule="auto"/>
              <w:jc w:val="center"/>
              <w:rPr>
                <w:rFonts w:ascii="Calibri" w:eastAsia="Times New Roman" w:hAnsi="Calibri" w:cs="Calibri"/>
                <w:b/>
                <w:bCs/>
                <w:color w:val="000000"/>
                <w:lang w:eastAsia="en-GB"/>
              </w:rPr>
            </w:pPr>
          </w:p>
        </w:tc>
        <w:tc>
          <w:tcPr>
            <w:tcW w:w="1170" w:type="dxa"/>
            <w:tcBorders>
              <w:top w:val="nil"/>
              <w:left w:val="nil"/>
              <w:bottom w:val="double" w:sz="6" w:space="0" w:color="auto"/>
              <w:right w:val="nil"/>
            </w:tcBorders>
            <w:shd w:val="clear" w:color="auto" w:fill="auto"/>
            <w:noWrap/>
            <w:vAlign w:val="center"/>
          </w:tcPr>
          <w:p w14:paraId="18EF99B5" w14:textId="77777777" w:rsidR="00CA0EF0" w:rsidRPr="00361E30" w:rsidRDefault="00CA0EF0" w:rsidP="003C13F4">
            <w:pPr>
              <w:spacing w:after="0" w:line="240" w:lineRule="auto"/>
              <w:jc w:val="center"/>
              <w:rPr>
                <w:rFonts w:ascii="Calibri" w:eastAsia="Times New Roman" w:hAnsi="Calibri" w:cs="Calibri"/>
                <w:b/>
                <w:bCs/>
                <w:color w:val="000000"/>
                <w:lang w:eastAsia="en-GB"/>
              </w:rPr>
            </w:pPr>
          </w:p>
        </w:tc>
      </w:tr>
      <w:tr w:rsidR="00CA0EF0" w:rsidRPr="00361E30" w14:paraId="4EE42555" w14:textId="77777777" w:rsidTr="003C13F4">
        <w:trPr>
          <w:trHeight w:val="315"/>
        </w:trPr>
        <w:tc>
          <w:tcPr>
            <w:tcW w:w="8745" w:type="dxa"/>
            <w:gridSpan w:val="8"/>
            <w:tcBorders>
              <w:top w:val="nil"/>
              <w:left w:val="nil"/>
              <w:bottom w:val="nil"/>
              <w:right w:val="nil"/>
            </w:tcBorders>
            <w:shd w:val="clear" w:color="auto" w:fill="auto"/>
            <w:noWrap/>
            <w:vAlign w:val="center"/>
          </w:tcPr>
          <w:p w14:paraId="03EA4EF8" w14:textId="77777777" w:rsidR="00CA0EF0" w:rsidRPr="00361E30" w:rsidRDefault="00CA0EF0" w:rsidP="003C13F4">
            <w:pPr>
              <w:spacing w:after="0" w:line="240" w:lineRule="auto"/>
              <w:jc w:val="left"/>
              <w:rPr>
                <w:rFonts w:ascii="Calibri" w:eastAsia="Times New Roman" w:hAnsi="Calibri" w:cs="Calibri"/>
                <w:color w:val="000000"/>
                <w:lang w:eastAsia="en-GB"/>
              </w:rPr>
            </w:pPr>
            <w:r w:rsidRPr="00361E30">
              <w:rPr>
                <w:rFonts w:ascii="Calibri" w:eastAsia="Times New Roman" w:hAnsi="Calibri" w:cs="Calibri"/>
                <w:b/>
                <w:bCs/>
                <w:color w:val="000000"/>
                <w:lang w:eastAsia="en-GB"/>
              </w:rPr>
              <w:t>Hospital Designation</w:t>
            </w:r>
          </w:p>
        </w:tc>
      </w:tr>
      <w:tr w:rsidR="00CA0EF0" w:rsidRPr="00361E30" w14:paraId="7BCE70A2" w14:textId="77777777" w:rsidTr="003C13F4">
        <w:trPr>
          <w:trHeight w:val="315"/>
        </w:trPr>
        <w:tc>
          <w:tcPr>
            <w:tcW w:w="1455" w:type="dxa"/>
            <w:tcBorders>
              <w:top w:val="nil"/>
              <w:left w:val="nil"/>
              <w:bottom w:val="nil"/>
              <w:right w:val="nil"/>
            </w:tcBorders>
            <w:shd w:val="clear" w:color="auto" w:fill="auto"/>
            <w:noWrap/>
            <w:vAlign w:val="bottom"/>
            <w:hideMark/>
          </w:tcPr>
          <w:p w14:paraId="21791249"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434" w:type="dxa"/>
            <w:tcBorders>
              <w:top w:val="nil"/>
              <w:left w:val="nil"/>
              <w:bottom w:val="nil"/>
              <w:right w:val="nil"/>
            </w:tcBorders>
            <w:shd w:val="clear" w:color="auto" w:fill="auto"/>
            <w:noWrap/>
            <w:vAlign w:val="center"/>
            <w:hideMark/>
          </w:tcPr>
          <w:p w14:paraId="3CBF3D48"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TU</w:t>
            </w:r>
          </w:p>
        </w:tc>
        <w:tc>
          <w:tcPr>
            <w:tcW w:w="1266" w:type="dxa"/>
            <w:tcBorders>
              <w:top w:val="nil"/>
              <w:left w:val="nil"/>
              <w:bottom w:val="nil"/>
              <w:right w:val="nil"/>
            </w:tcBorders>
            <w:shd w:val="clear" w:color="auto" w:fill="auto"/>
            <w:noWrap/>
            <w:vAlign w:val="center"/>
            <w:hideMark/>
          </w:tcPr>
          <w:p w14:paraId="0F9EC6EE"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Reference</w:t>
            </w:r>
          </w:p>
        </w:tc>
        <w:tc>
          <w:tcPr>
            <w:tcW w:w="900" w:type="dxa"/>
            <w:tcBorders>
              <w:top w:val="nil"/>
              <w:left w:val="nil"/>
              <w:bottom w:val="nil"/>
              <w:right w:val="nil"/>
            </w:tcBorders>
            <w:shd w:val="clear" w:color="auto" w:fill="auto"/>
            <w:noWrap/>
            <w:vAlign w:val="center"/>
            <w:hideMark/>
          </w:tcPr>
          <w:p w14:paraId="59424EC8"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990" w:type="dxa"/>
            <w:tcBorders>
              <w:top w:val="nil"/>
              <w:left w:val="nil"/>
              <w:bottom w:val="nil"/>
              <w:right w:val="nil"/>
            </w:tcBorders>
            <w:shd w:val="clear" w:color="auto" w:fill="auto"/>
            <w:noWrap/>
            <w:vAlign w:val="center"/>
            <w:hideMark/>
          </w:tcPr>
          <w:p w14:paraId="5FD542F1"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810" w:type="dxa"/>
            <w:tcBorders>
              <w:top w:val="nil"/>
              <w:left w:val="nil"/>
              <w:bottom w:val="nil"/>
              <w:right w:val="nil"/>
            </w:tcBorders>
            <w:shd w:val="clear" w:color="auto" w:fill="auto"/>
            <w:noWrap/>
            <w:vAlign w:val="center"/>
            <w:hideMark/>
          </w:tcPr>
          <w:p w14:paraId="13761429"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720" w:type="dxa"/>
            <w:tcBorders>
              <w:top w:val="nil"/>
              <w:left w:val="nil"/>
              <w:bottom w:val="nil"/>
              <w:right w:val="nil"/>
            </w:tcBorders>
            <w:shd w:val="clear" w:color="auto" w:fill="auto"/>
            <w:noWrap/>
            <w:vAlign w:val="center"/>
            <w:hideMark/>
          </w:tcPr>
          <w:p w14:paraId="33F01EFE"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170" w:type="dxa"/>
            <w:tcBorders>
              <w:top w:val="nil"/>
              <w:left w:val="nil"/>
              <w:bottom w:val="nil"/>
              <w:right w:val="nil"/>
            </w:tcBorders>
            <w:shd w:val="clear" w:color="auto" w:fill="auto"/>
            <w:noWrap/>
            <w:vAlign w:val="center"/>
            <w:hideMark/>
          </w:tcPr>
          <w:p w14:paraId="1DE1D5A9"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62EC952F" w14:textId="77777777" w:rsidTr="003C13F4">
        <w:trPr>
          <w:trHeight w:val="300"/>
        </w:trPr>
        <w:tc>
          <w:tcPr>
            <w:tcW w:w="1455" w:type="dxa"/>
            <w:tcBorders>
              <w:top w:val="nil"/>
              <w:left w:val="nil"/>
              <w:bottom w:val="nil"/>
              <w:right w:val="nil"/>
            </w:tcBorders>
            <w:shd w:val="clear" w:color="auto" w:fill="auto"/>
            <w:noWrap/>
            <w:vAlign w:val="bottom"/>
            <w:hideMark/>
          </w:tcPr>
          <w:p w14:paraId="39C3F88E"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434" w:type="dxa"/>
            <w:tcBorders>
              <w:top w:val="nil"/>
              <w:left w:val="nil"/>
              <w:bottom w:val="nil"/>
              <w:right w:val="nil"/>
            </w:tcBorders>
            <w:shd w:val="clear" w:color="auto" w:fill="auto"/>
            <w:noWrap/>
            <w:vAlign w:val="center"/>
            <w:hideMark/>
          </w:tcPr>
          <w:p w14:paraId="2E23233F"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MTC</w:t>
            </w:r>
          </w:p>
        </w:tc>
        <w:tc>
          <w:tcPr>
            <w:tcW w:w="1266" w:type="dxa"/>
            <w:tcBorders>
              <w:top w:val="nil"/>
              <w:left w:val="nil"/>
              <w:bottom w:val="nil"/>
              <w:right w:val="nil"/>
            </w:tcBorders>
            <w:shd w:val="clear" w:color="auto" w:fill="auto"/>
            <w:noWrap/>
            <w:vAlign w:val="center"/>
            <w:hideMark/>
          </w:tcPr>
          <w:p w14:paraId="150C028E"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0.67</w:t>
            </w:r>
          </w:p>
        </w:tc>
        <w:tc>
          <w:tcPr>
            <w:tcW w:w="900" w:type="dxa"/>
            <w:tcBorders>
              <w:top w:val="nil"/>
              <w:left w:val="nil"/>
              <w:bottom w:val="nil"/>
              <w:right w:val="nil"/>
            </w:tcBorders>
            <w:shd w:val="clear" w:color="auto" w:fill="auto"/>
            <w:noWrap/>
            <w:vAlign w:val="center"/>
            <w:hideMark/>
          </w:tcPr>
          <w:p w14:paraId="08CAACD3"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0.63</w:t>
            </w:r>
          </w:p>
        </w:tc>
        <w:tc>
          <w:tcPr>
            <w:tcW w:w="990" w:type="dxa"/>
            <w:tcBorders>
              <w:top w:val="nil"/>
              <w:left w:val="nil"/>
              <w:bottom w:val="nil"/>
              <w:right w:val="nil"/>
            </w:tcBorders>
            <w:shd w:val="clear" w:color="auto" w:fill="auto"/>
            <w:noWrap/>
            <w:vAlign w:val="center"/>
            <w:hideMark/>
          </w:tcPr>
          <w:p w14:paraId="6254C6B5"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0.71</w:t>
            </w:r>
          </w:p>
        </w:tc>
        <w:tc>
          <w:tcPr>
            <w:tcW w:w="810" w:type="dxa"/>
            <w:tcBorders>
              <w:top w:val="nil"/>
              <w:left w:val="nil"/>
              <w:bottom w:val="nil"/>
              <w:right w:val="nil"/>
            </w:tcBorders>
            <w:shd w:val="clear" w:color="auto" w:fill="auto"/>
            <w:noWrap/>
            <w:vAlign w:val="center"/>
            <w:hideMark/>
          </w:tcPr>
          <w:p w14:paraId="69580676"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w:t>
            </w:r>
          </w:p>
        </w:tc>
        <w:tc>
          <w:tcPr>
            <w:tcW w:w="720" w:type="dxa"/>
            <w:tcBorders>
              <w:top w:val="nil"/>
              <w:left w:val="nil"/>
              <w:bottom w:val="nil"/>
              <w:right w:val="nil"/>
            </w:tcBorders>
            <w:shd w:val="clear" w:color="auto" w:fill="auto"/>
            <w:noWrap/>
            <w:vAlign w:val="center"/>
            <w:hideMark/>
          </w:tcPr>
          <w:p w14:paraId="70FCCE9B"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0.01</w:t>
            </w:r>
          </w:p>
        </w:tc>
        <w:tc>
          <w:tcPr>
            <w:tcW w:w="1170" w:type="dxa"/>
            <w:tcBorders>
              <w:top w:val="nil"/>
              <w:left w:val="nil"/>
              <w:bottom w:val="nil"/>
              <w:right w:val="nil"/>
            </w:tcBorders>
            <w:shd w:val="clear" w:color="auto" w:fill="auto"/>
            <w:noWrap/>
            <w:vAlign w:val="center"/>
            <w:hideMark/>
          </w:tcPr>
          <w:p w14:paraId="2D8F062C"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0.55</w:t>
            </w:r>
          </w:p>
        </w:tc>
      </w:tr>
      <w:tr w:rsidR="00CA0EF0" w:rsidRPr="00361E30" w14:paraId="5496F282" w14:textId="77777777" w:rsidTr="003C13F4">
        <w:trPr>
          <w:trHeight w:val="300"/>
        </w:trPr>
        <w:tc>
          <w:tcPr>
            <w:tcW w:w="1455" w:type="dxa"/>
            <w:tcBorders>
              <w:top w:val="nil"/>
              <w:left w:val="nil"/>
              <w:bottom w:val="single" w:sz="4" w:space="0" w:color="auto"/>
              <w:right w:val="nil"/>
            </w:tcBorders>
            <w:shd w:val="clear" w:color="auto" w:fill="auto"/>
            <w:noWrap/>
            <w:vAlign w:val="bottom"/>
            <w:hideMark/>
          </w:tcPr>
          <w:p w14:paraId="292405B1" w14:textId="77777777" w:rsidR="00CA0EF0" w:rsidRPr="00361E30" w:rsidRDefault="00CA0EF0" w:rsidP="003C13F4">
            <w:pPr>
              <w:spacing w:after="0" w:line="240" w:lineRule="auto"/>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 </w:t>
            </w:r>
          </w:p>
        </w:tc>
        <w:tc>
          <w:tcPr>
            <w:tcW w:w="1434" w:type="dxa"/>
            <w:tcBorders>
              <w:top w:val="nil"/>
              <w:left w:val="nil"/>
              <w:bottom w:val="single" w:sz="4" w:space="0" w:color="auto"/>
              <w:right w:val="nil"/>
            </w:tcBorders>
            <w:shd w:val="clear" w:color="auto" w:fill="auto"/>
            <w:noWrap/>
            <w:vAlign w:val="center"/>
            <w:hideMark/>
          </w:tcPr>
          <w:p w14:paraId="65FB1411"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 </w:t>
            </w:r>
          </w:p>
        </w:tc>
        <w:tc>
          <w:tcPr>
            <w:tcW w:w="1266" w:type="dxa"/>
            <w:tcBorders>
              <w:top w:val="nil"/>
              <w:left w:val="nil"/>
              <w:bottom w:val="single" w:sz="4" w:space="0" w:color="auto"/>
              <w:right w:val="nil"/>
            </w:tcBorders>
            <w:shd w:val="clear" w:color="auto" w:fill="auto"/>
            <w:noWrap/>
            <w:vAlign w:val="center"/>
            <w:hideMark/>
          </w:tcPr>
          <w:p w14:paraId="6C3DB5ED"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900" w:type="dxa"/>
            <w:tcBorders>
              <w:top w:val="nil"/>
              <w:left w:val="nil"/>
              <w:bottom w:val="single" w:sz="4" w:space="0" w:color="auto"/>
              <w:right w:val="nil"/>
            </w:tcBorders>
            <w:shd w:val="clear" w:color="auto" w:fill="auto"/>
            <w:noWrap/>
            <w:vAlign w:val="center"/>
            <w:hideMark/>
          </w:tcPr>
          <w:p w14:paraId="16793891"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990" w:type="dxa"/>
            <w:tcBorders>
              <w:top w:val="nil"/>
              <w:left w:val="nil"/>
              <w:bottom w:val="single" w:sz="4" w:space="0" w:color="auto"/>
              <w:right w:val="nil"/>
            </w:tcBorders>
            <w:shd w:val="clear" w:color="auto" w:fill="auto"/>
            <w:noWrap/>
            <w:vAlign w:val="center"/>
            <w:hideMark/>
          </w:tcPr>
          <w:p w14:paraId="437BC2B4"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810" w:type="dxa"/>
            <w:tcBorders>
              <w:top w:val="nil"/>
              <w:left w:val="nil"/>
              <w:bottom w:val="single" w:sz="4" w:space="0" w:color="auto"/>
              <w:right w:val="nil"/>
            </w:tcBorders>
            <w:shd w:val="clear" w:color="auto" w:fill="auto"/>
            <w:noWrap/>
            <w:vAlign w:val="center"/>
            <w:hideMark/>
          </w:tcPr>
          <w:p w14:paraId="7DE95DC9"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720" w:type="dxa"/>
            <w:tcBorders>
              <w:top w:val="nil"/>
              <w:left w:val="nil"/>
              <w:bottom w:val="single" w:sz="4" w:space="0" w:color="auto"/>
              <w:right w:val="nil"/>
            </w:tcBorders>
            <w:shd w:val="clear" w:color="auto" w:fill="auto"/>
            <w:noWrap/>
            <w:vAlign w:val="center"/>
            <w:hideMark/>
          </w:tcPr>
          <w:p w14:paraId="7CBFE585"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4" w:space="0" w:color="auto"/>
              <w:right w:val="nil"/>
            </w:tcBorders>
            <w:shd w:val="clear" w:color="auto" w:fill="auto"/>
            <w:noWrap/>
            <w:vAlign w:val="center"/>
            <w:hideMark/>
          </w:tcPr>
          <w:p w14:paraId="68D5291B"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2E04450B" w14:textId="77777777" w:rsidTr="003C13F4">
        <w:trPr>
          <w:trHeight w:val="300"/>
        </w:trPr>
        <w:tc>
          <w:tcPr>
            <w:tcW w:w="8745" w:type="dxa"/>
            <w:gridSpan w:val="8"/>
            <w:tcBorders>
              <w:top w:val="nil"/>
              <w:left w:val="nil"/>
              <w:bottom w:val="nil"/>
              <w:right w:val="nil"/>
            </w:tcBorders>
            <w:shd w:val="clear" w:color="auto" w:fill="auto"/>
            <w:noWrap/>
            <w:vAlign w:val="center"/>
            <w:hideMark/>
          </w:tcPr>
          <w:p w14:paraId="3DE24F2D" w14:textId="77777777" w:rsidR="00CA0EF0" w:rsidRPr="00361E30" w:rsidRDefault="00CA0EF0" w:rsidP="003C13F4">
            <w:pPr>
              <w:spacing w:after="0" w:line="240" w:lineRule="auto"/>
              <w:jc w:val="left"/>
              <w:rPr>
                <w:rFonts w:ascii="Calibri" w:eastAsia="Times New Roman" w:hAnsi="Calibri" w:cs="Calibri"/>
                <w:color w:val="000000"/>
                <w:lang w:eastAsia="en-GB"/>
              </w:rPr>
            </w:pPr>
            <w:r w:rsidRPr="00361E30">
              <w:rPr>
                <w:rFonts w:ascii="Calibri" w:eastAsia="Times New Roman" w:hAnsi="Calibri" w:cs="Calibri"/>
                <w:b/>
                <w:bCs/>
                <w:color w:val="000000"/>
                <w:lang w:eastAsia="en-GB"/>
              </w:rPr>
              <w:t>Percentage of Patients Aged &gt;=65 years binary variable)</w:t>
            </w:r>
          </w:p>
        </w:tc>
      </w:tr>
      <w:tr w:rsidR="00CA0EF0" w:rsidRPr="00361E30" w14:paraId="0098CC4A" w14:textId="77777777" w:rsidTr="003C13F4">
        <w:trPr>
          <w:trHeight w:val="300"/>
        </w:trPr>
        <w:tc>
          <w:tcPr>
            <w:tcW w:w="1455" w:type="dxa"/>
            <w:tcBorders>
              <w:top w:val="nil"/>
              <w:left w:val="nil"/>
              <w:bottom w:val="nil"/>
              <w:right w:val="nil"/>
            </w:tcBorders>
            <w:shd w:val="clear" w:color="auto" w:fill="auto"/>
            <w:noWrap/>
            <w:vAlign w:val="bottom"/>
            <w:hideMark/>
          </w:tcPr>
          <w:p w14:paraId="74D98CB6"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434" w:type="dxa"/>
            <w:tcBorders>
              <w:top w:val="nil"/>
              <w:left w:val="nil"/>
              <w:bottom w:val="nil"/>
              <w:right w:val="nil"/>
            </w:tcBorders>
            <w:shd w:val="clear" w:color="auto" w:fill="auto"/>
            <w:noWrap/>
            <w:vAlign w:val="center"/>
            <w:hideMark/>
          </w:tcPr>
          <w:p w14:paraId="58F81A87"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0 - 50%</w:t>
            </w:r>
          </w:p>
        </w:tc>
        <w:tc>
          <w:tcPr>
            <w:tcW w:w="1266" w:type="dxa"/>
            <w:tcBorders>
              <w:top w:val="nil"/>
              <w:left w:val="nil"/>
              <w:bottom w:val="nil"/>
              <w:right w:val="nil"/>
            </w:tcBorders>
            <w:shd w:val="clear" w:color="auto" w:fill="auto"/>
            <w:noWrap/>
            <w:vAlign w:val="center"/>
            <w:hideMark/>
          </w:tcPr>
          <w:p w14:paraId="411E82FC"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Reference</w:t>
            </w:r>
          </w:p>
        </w:tc>
        <w:tc>
          <w:tcPr>
            <w:tcW w:w="900" w:type="dxa"/>
            <w:tcBorders>
              <w:top w:val="nil"/>
              <w:left w:val="nil"/>
              <w:bottom w:val="nil"/>
              <w:right w:val="nil"/>
            </w:tcBorders>
            <w:shd w:val="clear" w:color="auto" w:fill="auto"/>
            <w:noWrap/>
            <w:vAlign w:val="center"/>
            <w:hideMark/>
          </w:tcPr>
          <w:p w14:paraId="4A93E47F"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990" w:type="dxa"/>
            <w:tcBorders>
              <w:top w:val="nil"/>
              <w:left w:val="nil"/>
              <w:bottom w:val="nil"/>
              <w:right w:val="nil"/>
            </w:tcBorders>
            <w:shd w:val="clear" w:color="auto" w:fill="auto"/>
            <w:noWrap/>
            <w:vAlign w:val="center"/>
            <w:hideMark/>
          </w:tcPr>
          <w:p w14:paraId="26B1CC02"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810" w:type="dxa"/>
            <w:tcBorders>
              <w:top w:val="nil"/>
              <w:left w:val="nil"/>
              <w:bottom w:val="nil"/>
              <w:right w:val="nil"/>
            </w:tcBorders>
            <w:shd w:val="clear" w:color="auto" w:fill="auto"/>
            <w:noWrap/>
            <w:vAlign w:val="center"/>
            <w:hideMark/>
          </w:tcPr>
          <w:p w14:paraId="0DEC2379"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720" w:type="dxa"/>
            <w:tcBorders>
              <w:top w:val="nil"/>
              <w:left w:val="nil"/>
              <w:bottom w:val="nil"/>
              <w:right w:val="nil"/>
            </w:tcBorders>
            <w:shd w:val="clear" w:color="auto" w:fill="auto"/>
            <w:noWrap/>
            <w:vAlign w:val="center"/>
            <w:hideMark/>
          </w:tcPr>
          <w:p w14:paraId="37199C05"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170" w:type="dxa"/>
            <w:tcBorders>
              <w:top w:val="nil"/>
              <w:left w:val="nil"/>
              <w:bottom w:val="nil"/>
              <w:right w:val="nil"/>
            </w:tcBorders>
            <w:shd w:val="clear" w:color="auto" w:fill="auto"/>
            <w:noWrap/>
            <w:vAlign w:val="center"/>
            <w:hideMark/>
          </w:tcPr>
          <w:p w14:paraId="6C833518"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4CE48111" w14:textId="77777777" w:rsidTr="003C13F4">
        <w:trPr>
          <w:trHeight w:val="300"/>
        </w:trPr>
        <w:tc>
          <w:tcPr>
            <w:tcW w:w="1455" w:type="dxa"/>
            <w:tcBorders>
              <w:top w:val="nil"/>
              <w:left w:val="nil"/>
              <w:bottom w:val="nil"/>
              <w:right w:val="nil"/>
            </w:tcBorders>
            <w:shd w:val="clear" w:color="auto" w:fill="auto"/>
            <w:noWrap/>
            <w:vAlign w:val="bottom"/>
            <w:hideMark/>
          </w:tcPr>
          <w:p w14:paraId="00E1DC06"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434" w:type="dxa"/>
            <w:tcBorders>
              <w:top w:val="nil"/>
              <w:left w:val="nil"/>
              <w:bottom w:val="nil"/>
              <w:right w:val="nil"/>
            </w:tcBorders>
            <w:shd w:val="clear" w:color="auto" w:fill="auto"/>
            <w:noWrap/>
            <w:vAlign w:val="center"/>
            <w:hideMark/>
          </w:tcPr>
          <w:p w14:paraId="73C27AF0"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&gt;50%</w:t>
            </w:r>
          </w:p>
        </w:tc>
        <w:tc>
          <w:tcPr>
            <w:tcW w:w="1266" w:type="dxa"/>
            <w:tcBorders>
              <w:top w:val="nil"/>
              <w:left w:val="nil"/>
              <w:bottom w:val="nil"/>
              <w:right w:val="nil"/>
            </w:tcBorders>
            <w:shd w:val="clear" w:color="auto" w:fill="auto"/>
            <w:noWrap/>
            <w:vAlign w:val="center"/>
            <w:hideMark/>
          </w:tcPr>
          <w:p w14:paraId="06F34DB3"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1.40</w:t>
            </w:r>
          </w:p>
        </w:tc>
        <w:tc>
          <w:tcPr>
            <w:tcW w:w="900" w:type="dxa"/>
            <w:tcBorders>
              <w:top w:val="nil"/>
              <w:left w:val="nil"/>
              <w:bottom w:val="nil"/>
              <w:right w:val="nil"/>
            </w:tcBorders>
            <w:shd w:val="clear" w:color="auto" w:fill="auto"/>
            <w:noWrap/>
            <w:vAlign w:val="center"/>
            <w:hideMark/>
          </w:tcPr>
          <w:p w14:paraId="3EF88499"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1.32</w:t>
            </w:r>
          </w:p>
        </w:tc>
        <w:tc>
          <w:tcPr>
            <w:tcW w:w="990" w:type="dxa"/>
            <w:tcBorders>
              <w:top w:val="nil"/>
              <w:left w:val="nil"/>
              <w:bottom w:val="nil"/>
              <w:right w:val="nil"/>
            </w:tcBorders>
            <w:shd w:val="clear" w:color="auto" w:fill="auto"/>
            <w:noWrap/>
            <w:vAlign w:val="center"/>
            <w:hideMark/>
          </w:tcPr>
          <w:p w14:paraId="5F03C0BD"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1.48</w:t>
            </w:r>
          </w:p>
        </w:tc>
        <w:tc>
          <w:tcPr>
            <w:tcW w:w="810" w:type="dxa"/>
            <w:tcBorders>
              <w:top w:val="nil"/>
              <w:left w:val="nil"/>
              <w:bottom w:val="nil"/>
              <w:right w:val="nil"/>
            </w:tcBorders>
            <w:shd w:val="clear" w:color="auto" w:fill="auto"/>
            <w:noWrap/>
            <w:vAlign w:val="center"/>
            <w:hideMark/>
          </w:tcPr>
          <w:p w14:paraId="2E0606BA"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w:t>
            </w:r>
          </w:p>
        </w:tc>
        <w:tc>
          <w:tcPr>
            <w:tcW w:w="720" w:type="dxa"/>
            <w:tcBorders>
              <w:top w:val="nil"/>
              <w:left w:val="nil"/>
              <w:bottom w:val="nil"/>
              <w:right w:val="nil"/>
            </w:tcBorders>
            <w:shd w:val="clear" w:color="auto" w:fill="auto"/>
            <w:noWrap/>
            <w:vAlign w:val="center"/>
            <w:hideMark/>
          </w:tcPr>
          <w:p w14:paraId="383CCEE9"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0.01</w:t>
            </w:r>
          </w:p>
        </w:tc>
        <w:tc>
          <w:tcPr>
            <w:tcW w:w="1170" w:type="dxa"/>
            <w:tcBorders>
              <w:top w:val="nil"/>
              <w:left w:val="nil"/>
              <w:bottom w:val="nil"/>
              <w:right w:val="nil"/>
            </w:tcBorders>
            <w:shd w:val="clear" w:color="auto" w:fill="auto"/>
            <w:noWrap/>
            <w:vAlign w:val="center"/>
            <w:hideMark/>
          </w:tcPr>
          <w:p w14:paraId="0FDA831C"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0.54</w:t>
            </w:r>
          </w:p>
        </w:tc>
      </w:tr>
      <w:tr w:rsidR="00CA0EF0" w:rsidRPr="00361E30" w14:paraId="74FBE1C7" w14:textId="77777777" w:rsidTr="003C13F4">
        <w:trPr>
          <w:trHeight w:val="300"/>
        </w:trPr>
        <w:tc>
          <w:tcPr>
            <w:tcW w:w="1455" w:type="dxa"/>
            <w:tcBorders>
              <w:top w:val="nil"/>
              <w:left w:val="nil"/>
              <w:bottom w:val="single" w:sz="4" w:space="0" w:color="auto"/>
              <w:right w:val="nil"/>
            </w:tcBorders>
            <w:shd w:val="clear" w:color="auto" w:fill="auto"/>
            <w:noWrap/>
            <w:vAlign w:val="bottom"/>
            <w:hideMark/>
          </w:tcPr>
          <w:p w14:paraId="75385658" w14:textId="77777777" w:rsidR="00CA0EF0" w:rsidRPr="00361E30" w:rsidRDefault="00CA0EF0" w:rsidP="003C13F4">
            <w:pPr>
              <w:spacing w:after="0" w:line="240" w:lineRule="auto"/>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 </w:t>
            </w:r>
          </w:p>
        </w:tc>
        <w:tc>
          <w:tcPr>
            <w:tcW w:w="1434" w:type="dxa"/>
            <w:tcBorders>
              <w:top w:val="nil"/>
              <w:left w:val="nil"/>
              <w:bottom w:val="single" w:sz="4" w:space="0" w:color="auto"/>
              <w:right w:val="nil"/>
            </w:tcBorders>
            <w:shd w:val="clear" w:color="auto" w:fill="auto"/>
            <w:noWrap/>
            <w:vAlign w:val="center"/>
            <w:hideMark/>
          </w:tcPr>
          <w:p w14:paraId="0D5560C3"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 </w:t>
            </w:r>
          </w:p>
        </w:tc>
        <w:tc>
          <w:tcPr>
            <w:tcW w:w="1266" w:type="dxa"/>
            <w:tcBorders>
              <w:top w:val="nil"/>
              <w:left w:val="nil"/>
              <w:bottom w:val="single" w:sz="4" w:space="0" w:color="auto"/>
              <w:right w:val="nil"/>
            </w:tcBorders>
            <w:shd w:val="clear" w:color="auto" w:fill="auto"/>
            <w:noWrap/>
            <w:vAlign w:val="center"/>
            <w:hideMark/>
          </w:tcPr>
          <w:p w14:paraId="1F6DD6CF"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900" w:type="dxa"/>
            <w:tcBorders>
              <w:top w:val="nil"/>
              <w:left w:val="nil"/>
              <w:bottom w:val="single" w:sz="4" w:space="0" w:color="auto"/>
              <w:right w:val="nil"/>
            </w:tcBorders>
            <w:shd w:val="clear" w:color="auto" w:fill="auto"/>
            <w:noWrap/>
            <w:vAlign w:val="center"/>
            <w:hideMark/>
          </w:tcPr>
          <w:p w14:paraId="53D67EFE"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990" w:type="dxa"/>
            <w:tcBorders>
              <w:top w:val="nil"/>
              <w:left w:val="nil"/>
              <w:bottom w:val="single" w:sz="4" w:space="0" w:color="auto"/>
              <w:right w:val="nil"/>
            </w:tcBorders>
            <w:shd w:val="clear" w:color="auto" w:fill="auto"/>
            <w:noWrap/>
            <w:vAlign w:val="center"/>
            <w:hideMark/>
          </w:tcPr>
          <w:p w14:paraId="66D2AE2A"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810" w:type="dxa"/>
            <w:tcBorders>
              <w:top w:val="nil"/>
              <w:left w:val="nil"/>
              <w:bottom w:val="single" w:sz="4" w:space="0" w:color="auto"/>
              <w:right w:val="nil"/>
            </w:tcBorders>
            <w:shd w:val="clear" w:color="auto" w:fill="auto"/>
            <w:noWrap/>
            <w:vAlign w:val="center"/>
            <w:hideMark/>
          </w:tcPr>
          <w:p w14:paraId="3B705D92"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720" w:type="dxa"/>
            <w:tcBorders>
              <w:top w:val="nil"/>
              <w:left w:val="nil"/>
              <w:bottom w:val="single" w:sz="4" w:space="0" w:color="auto"/>
              <w:right w:val="nil"/>
            </w:tcBorders>
            <w:shd w:val="clear" w:color="auto" w:fill="auto"/>
            <w:noWrap/>
            <w:vAlign w:val="center"/>
            <w:hideMark/>
          </w:tcPr>
          <w:p w14:paraId="60C27B7C"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4" w:space="0" w:color="auto"/>
              <w:right w:val="nil"/>
            </w:tcBorders>
            <w:shd w:val="clear" w:color="auto" w:fill="auto"/>
            <w:noWrap/>
            <w:vAlign w:val="center"/>
            <w:hideMark/>
          </w:tcPr>
          <w:p w14:paraId="20082EE6"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00734711" w14:textId="77777777" w:rsidTr="003C13F4">
        <w:trPr>
          <w:trHeight w:val="300"/>
        </w:trPr>
        <w:tc>
          <w:tcPr>
            <w:tcW w:w="8745" w:type="dxa"/>
            <w:gridSpan w:val="8"/>
            <w:tcBorders>
              <w:top w:val="nil"/>
              <w:left w:val="nil"/>
              <w:bottom w:val="nil"/>
              <w:right w:val="nil"/>
            </w:tcBorders>
            <w:shd w:val="clear" w:color="auto" w:fill="auto"/>
            <w:noWrap/>
            <w:vAlign w:val="center"/>
            <w:hideMark/>
          </w:tcPr>
          <w:p w14:paraId="7E118048"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b/>
                <w:bCs/>
                <w:color w:val="000000"/>
                <w:lang w:eastAsia="en-GB"/>
              </w:rPr>
              <w:t>Hospital CQC Rating</w:t>
            </w:r>
          </w:p>
        </w:tc>
      </w:tr>
      <w:tr w:rsidR="00CA0EF0" w:rsidRPr="00361E30" w14:paraId="4B869BED" w14:textId="77777777" w:rsidTr="003C13F4">
        <w:trPr>
          <w:trHeight w:val="300"/>
        </w:trPr>
        <w:tc>
          <w:tcPr>
            <w:tcW w:w="1455" w:type="dxa"/>
            <w:tcBorders>
              <w:top w:val="nil"/>
              <w:left w:val="nil"/>
              <w:bottom w:val="nil"/>
              <w:right w:val="nil"/>
            </w:tcBorders>
            <w:shd w:val="clear" w:color="auto" w:fill="auto"/>
            <w:noWrap/>
            <w:vAlign w:val="bottom"/>
            <w:hideMark/>
          </w:tcPr>
          <w:p w14:paraId="617A02DB"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434" w:type="dxa"/>
            <w:tcBorders>
              <w:top w:val="nil"/>
              <w:left w:val="nil"/>
              <w:bottom w:val="nil"/>
              <w:right w:val="nil"/>
            </w:tcBorders>
            <w:shd w:val="clear" w:color="auto" w:fill="auto"/>
            <w:noWrap/>
            <w:vAlign w:val="center"/>
            <w:hideMark/>
          </w:tcPr>
          <w:p w14:paraId="20CC87CB"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Inadequate</w:t>
            </w:r>
          </w:p>
        </w:tc>
        <w:tc>
          <w:tcPr>
            <w:tcW w:w="1266" w:type="dxa"/>
            <w:tcBorders>
              <w:top w:val="nil"/>
              <w:left w:val="nil"/>
              <w:bottom w:val="nil"/>
              <w:right w:val="nil"/>
            </w:tcBorders>
            <w:shd w:val="clear" w:color="auto" w:fill="auto"/>
            <w:noWrap/>
            <w:vAlign w:val="center"/>
            <w:hideMark/>
          </w:tcPr>
          <w:p w14:paraId="61823BD4"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0.82</w:t>
            </w:r>
          </w:p>
        </w:tc>
        <w:tc>
          <w:tcPr>
            <w:tcW w:w="900" w:type="dxa"/>
            <w:tcBorders>
              <w:top w:val="nil"/>
              <w:left w:val="nil"/>
              <w:bottom w:val="nil"/>
              <w:right w:val="nil"/>
            </w:tcBorders>
            <w:shd w:val="clear" w:color="auto" w:fill="auto"/>
            <w:noWrap/>
            <w:vAlign w:val="center"/>
            <w:hideMark/>
          </w:tcPr>
          <w:p w14:paraId="5C3E1FFC"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0.73</w:t>
            </w:r>
          </w:p>
        </w:tc>
        <w:tc>
          <w:tcPr>
            <w:tcW w:w="990" w:type="dxa"/>
            <w:tcBorders>
              <w:top w:val="nil"/>
              <w:left w:val="nil"/>
              <w:bottom w:val="nil"/>
              <w:right w:val="nil"/>
            </w:tcBorders>
            <w:shd w:val="clear" w:color="auto" w:fill="auto"/>
            <w:noWrap/>
            <w:vAlign w:val="center"/>
            <w:hideMark/>
          </w:tcPr>
          <w:p w14:paraId="565DFCEF"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0.92</w:t>
            </w:r>
          </w:p>
        </w:tc>
        <w:tc>
          <w:tcPr>
            <w:tcW w:w="810" w:type="dxa"/>
            <w:tcBorders>
              <w:top w:val="nil"/>
              <w:left w:val="nil"/>
              <w:bottom w:val="nil"/>
              <w:right w:val="nil"/>
            </w:tcBorders>
            <w:shd w:val="clear" w:color="auto" w:fill="auto"/>
            <w:noWrap/>
            <w:vAlign w:val="center"/>
            <w:hideMark/>
          </w:tcPr>
          <w:p w14:paraId="6EBD365C"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w:t>
            </w:r>
          </w:p>
        </w:tc>
        <w:tc>
          <w:tcPr>
            <w:tcW w:w="720" w:type="dxa"/>
            <w:tcBorders>
              <w:top w:val="nil"/>
              <w:left w:val="nil"/>
              <w:bottom w:val="nil"/>
              <w:right w:val="nil"/>
            </w:tcBorders>
            <w:shd w:val="clear" w:color="auto" w:fill="auto"/>
            <w:noWrap/>
            <w:vAlign w:val="center"/>
            <w:hideMark/>
          </w:tcPr>
          <w:p w14:paraId="6BDB69F2"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w:t>
            </w:r>
          </w:p>
        </w:tc>
        <w:tc>
          <w:tcPr>
            <w:tcW w:w="1170" w:type="dxa"/>
            <w:tcBorders>
              <w:top w:val="nil"/>
              <w:left w:val="nil"/>
              <w:bottom w:val="nil"/>
              <w:right w:val="nil"/>
            </w:tcBorders>
            <w:shd w:val="clear" w:color="auto" w:fill="auto"/>
            <w:noWrap/>
            <w:vAlign w:val="center"/>
            <w:hideMark/>
          </w:tcPr>
          <w:p w14:paraId="5B7C52F0"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0.52</w:t>
            </w:r>
          </w:p>
        </w:tc>
      </w:tr>
      <w:tr w:rsidR="00CA0EF0" w:rsidRPr="00361E30" w14:paraId="6349F166" w14:textId="77777777" w:rsidTr="003C13F4">
        <w:trPr>
          <w:trHeight w:val="300"/>
        </w:trPr>
        <w:tc>
          <w:tcPr>
            <w:tcW w:w="2889" w:type="dxa"/>
            <w:gridSpan w:val="2"/>
            <w:tcBorders>
              <w:top w:val="nil"/>
              <w:left w:val="nil"/>
              <w:bottom w:val="nil"/>
              <w:right w:val="nil"/>
            </w:tcBorders>
            <w:shd w:val="clear" w:color="auto" w:fill="auto"/>
            <w:noWrap/>
            <w:vAlign w:val="center"/>
            <w:hideMark/>
          </w:tcPr>
          <w:p w14:paraId="0618ABAB"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Requires improvement</w:t>
            </w:r>
          </w:p>
        </w:tc>
        <w:tc>
          <w:tcPr>
            <w:tcW w:w="1266" w:type="dxa"/>
            <w:tcBorders>
              <w:top w:val="nil"/>
              <w:left w:val="nil"/>
              <w:bottom w:val="nil"/>
              <w:right w:val="nil"/>
            </w:tcBorders>
            <w:shd w:val="clear" w:color="auto" w:fill="auto"/>
            <w:noWrap/>
            <w:vAlign w:val="center"/>
            <w:hideMark/>
          </w:tcPr>
          <w:p w14:paraId="7B7E670E"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Reference</w:t>
            </w:r>
          </w:p>
        </w:tc>
        <w:tc>
          <w:tcPr>
            <w:tcW w:w="900" w:type="dxa"/>
            <w:tcBorders>
              <w:top w:val="nil"/>
              <w:left w:val="nil"/>
              <w:bottom w:val="nil"/>
              <w:right w:val="nil"/>
            </w:tcBorders>
            <w:shd w:val="clear" w:color="auto" w:fill="auto"/>
            <w:noWrap/>
            <w:vAlign w:val="center"/>
            <w:hideMark/>
          </w:tcPr>
          <w:p w14:paraId="3B447D2C"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990" w:type="dxa"/>
            <w:tcBorders>
              <w:top w:val="nil"/>
              <w:left w:val="nil"/>
              <w:bottom w:val="nil"/>
              <w:right w:val="nil"/>
            </w:tcBorders>
            <w:shd w:val="clear" w:color="auto" w:fill="auto"/>
            <w:noWrap/>
            <w:vAlign w:val="center"/>
            <w:hideMark/>
          </w:tcPr>
          <w:p w14:paraId="4D82C8D7"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810" w:type="dxa"/>
            <w:tcBorders>
              <w:top w:val="nil"/>
              <w:left w:val="nil"/>
              <w:bottom w:val="nil"/>
              <w:right w:val="nil"/>
            </w:tcBorders>
            <w:shd w:val="clear" w:color="auto" w:fill="auto"/>
            <w:noWrap/>
            <w:vAlign w:val="center"/>
            <w:hideMark/>
          </w:tcPr>
          <w:p w14:paraId="2D5FC15D"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720" w:type="dxa"/>
            <w:tcBorders>
              <w:top w:val="nil"/>
              <w:left w:val="nil"/>
              <w:bottom w:val="nil"/>
              <w:right w:val="nil"/>
            </w:tcBorders>
            <w:shd w:val="clear" w:color="auto" w:fill="auto"/>
            <w:noWrap/>
            <w:vAlign w:val="center"/>
            <w:hideMark/>
          </w:tcPr>
          <w:p w14:paraId="4D89DDC8"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170" w:type="dxa"/>
            <w:tcBorders>
              <w:top w:val="nil"/>
              <w:left w:val="nil"/>
              <w:bottom w:val="nil"/>
              <w:right w:val="nil"/>
            </w:tcBorders>
            <w:shd w:val="clear" w:color="auto" w:fill="auto"/>
            <w:noWrap/>
            <w:vAlign w:val="center"/>
            <w:hideMark/>
          </w:tcPr>
          <w:p w14:paraId="3D0E290F"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25DCE469" w14:textId="77777777" w:rsidTr="003C13F4">
        <w:trPr>
          <w:trHeight w:val="300"/>
        </w:trPr>
        <w:tc>
          <w:tcPr>
            <w:tcW w:w="1455" w:type="dxa"/>
            <w:tcBorders>
              <w:top w:val="nil"/>
              <w:left w:val="nil"/>
              <w:bottom w:val="nil"/>
              <w:right w:val="nil"/>
            </w:tcBorders>
            <w:shd w:val="clear" w:color="auto" w:fill="auto"/>
            <w:noWrap/>
            <w:vAlign w:val="bottom"/>
            <w:hideMark/>
          </w:tcPr>
          <w:p w14:paraId="26BEC4CD"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434" w:type="dxa"/>
            <w:tcBorders>
              <w:top w:val="nil"/>
              <w:left w:val="nil"/>
              <w:bottom w:val="nil"/>
              <w:right w:val="nil"/>
            </w:tcBorders>
            <w:shd w:val="clear" w:color="auto" w:fill="auto"/>
            <w:noWrap/>
            <w:vAlign w:val="center"/>
            <w:hideMark/>
          </w:tcPr>
          <w:p w14:paraId="7F90B1C7"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Good</w:t>
            </w:r>
          </w:p>
        </w:tc>
        <w:tc>
          <w:tcPr>
            <w:tcW w:w="1266" w:type="dxa"/>
            <w:tcBorders>
              <w:top w:val="nil"/>
              <w:left w:val="nil"/>
              <w:bottom w:val="nil"/>
              <w:right w:val="nil"/>
            </w:tcBorders>
            <w:shd w:val="clear" w:color="auto" w:fill="auto"/>
            <w:noWrap/>
            <w:vAlign w:val="center"/>
            <w:hideMark/>
          </w:tcPr>
          <w:p w14:paraId="6D01202B"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0.90</w:t>
            </w:r>
          </w:p>
        </w:tc>
        <w:tc>
          <w:tcPr>
            <w:tcW w:w="900" w:type="dxa"/>
            <w:tcBorders>
              <w:top w:val="nil"/>
              <w:left w:val="nil"/>
              <w:bottom w:val="nil"/>
              <w:right w:val="nil"/>
            </w:tcBorders>
            <w:shd w:val="clear" w:color="auto" w:fill="auto"/>
            <w:noWrap/>
            <w:vAlign w:val="center"/>
            <w:hideMark/>
          </w:tcPr>
          <w:p w14:paraId="5F3BFBA5"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0.83</w:t>
            </w:r>
          </w:p>
        </w:tc>
        <w:tc>
          <w:tcPr>
            <w:tcW w:w="990" w:type="dxa"/>
            <w:tcBorders>
              <w:top w:val="nil"/>
              <w:left w:val="nil"/>
              <w:bottom w:val="nil"/>
              <w:right w:val="nil"/>
            </w:tcBorders>
            <w:shd w:val="clear" w:color="auto" w:fill="auto"/>
            <w:noWrap/>
            <w:vAlign w:val="center"/>
            <w:hideMark/>
          </w:tcPr>
          <w:p w14:paraId="1B31C3AF"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0.98</w:t>
            </w:r>
          </w:p>
        </w:tc>
        <w:tc>
          <w:tcPr>
            <w:tcW w:w="810" w:type="dxa"/>
            <w:tcBorders>
              <w:top w:val="nil"/>
              <w:left w:val="nil"/>
              <w:bottom w:val="nil"/>
              <w:right w:val="nil"/>
            </w:tcBorders>
            <w:shd w:val="clear" w:color="auto" w:fill="auto"/>
            <w:noWrap/>
            <w:vAlign w:val="center"/>
            <w:hideMark/>
          </w:tcPr>
          <w:p w14:paraId="5F2CC2C6"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0.02</w:t>
            </w:r>
          </w:p>
        </w:tc>
        <w:tc>
          <w:tcPr>
            <w:tcW w:w="720" w:type="dxa"/>
            <w:tcBorders>
              <w:top w:val="nil"/>
              <w:left w:val="nil"/>
              <w:bottom w:val="nil"/>
              <w:right w:val="nil"/>
            </w:tcBorders>
            <w:shd w:val="clear" w:color="auto" w:fill="auto"/>
            <w:noWrap/>
            <w:vAlign w:val="center"/>
            <w:hideMark/>
          </w:tcPr>
          <w:p w14:paraId="53391A98"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170" w:type="dxa"/>
            <w:tcBorders>
              <w:top w:val="nil"/>
              <w:left w:val="nil"/>
              <w:bottom w:val="nil"/>
              <w:right w:val="nil"/>
            </w:tcBorders>
            <w:shd w:val="clear" w:color="auto" w:fill="auto"/>
            <w:noWrap/>
            <w:vAlign w:val="center"/>
            <w:hideMark/>
          </w:tcPr>
          <w:p w14:paraId="50BE0BF0"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648A517A" w14:textId="77777777" w:rsidTr="003C13F4">
        <w:trPr>
          <w:trHeight w:val="300"/>
        </w:trPr>
        <w:tc>
          <w:tcPr>
            <w:tcW w:w="1455" w:type="dxa"/>
            <w:tcBorders>
              <w:top w:val="nil"/>
              <w:left w:val="nil"/>
              <w:bottom w:val="nil"/>
              <w:right w:val="nil"/>
            </w:tcBorders>
            <w:shd w:val="clear" w:color="auto" w:fill="auto"/>
            <w:noWrap/>
            <w:vAlign w:val="bottom"/>
            <w:hideMark/>
          </w:tcPr>
          <w:p w14:paraId="26334B0A"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434" w:type="dxa"/>
            <w:tcBorders>
              <w:top w:val="nil"/>
              <w:left w:val="nil"/>
              <w:bottom w:val="nil"/>
              <w:right w:val="nil"/>
            </w:tcBorders>
            <w:shd w:val="clear" w:color="auto" w:fill="auto"/>
            <w:noWrap/>
            <w:vAlign w:val="center"/>
            <w:hideMark/>
          </w:tcPr>
          <w:p w14:paraId="18D28FA2"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Outstanding</w:t>
            </w:r>
          </w:p>
        </w:tc>
        <w:tc>
          <w:tcPr>
            <w:tcW w:w="1266" w:type="dxa"/>
            <w:tcBorders>
              <w:top w:val="nil"/>
              <w:left w:val="nil"/>
              <w:bottom w:val="nil"/>
              <w:right w:val="nil"/>
            </w:tcBorders>
            <w:shd w:val="clear" w:color="auto" w:fill="auto"/>
            <w:noWrap/>
            <w:vAlign w:val="center"/>
            <w:hideMark/>
          </w:tcPr>
          <w:p w14:paraId="60DCFAE3"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0.80</w:t>
            </w:r>
          </w:p>
        </w:tc>
        <w:tc>
          <w:tcPr>
            <w:tcW w:w="900" w:type="dxa"/>
            <w:tcBorders>
              <w:top w:val="nil"/>
              <w:left w:val="nil"/>
              <w:bottom w:val="nil"/>
              <w:right w:val="nil"/>
            </w:tcBorders>
            <w:shd w:val="clear" w:color="auto" w:fill="auto"/>
            <w:noWrap/>
            <w:vAlign w:val="center"/>
            <w:hideMark/>
          </w:tcPr>
          <w:p w14:paraId="1891C9C8"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0.71</w:t>
            </w:r>
          </w:p>
        </w:tc>
        <w:tc>
          <w:tcPr>
            <w:tcW w:w="990" w:type="dxa"/>
            <w:tcBorders>
              <w:top w:val="nil"/>
              <w:left w:val="nil"/>
              <w:bottom w:val="nil"/>
              <w:right w:val="nil"/>
            </w:tcBorders>
            <w:shd w:val="clear" w:color="auto" w:fill="auto"/>
            <w:noWrap/>
            <w:vAlign w:val="center"/>
            <w:hideMark/>
          </w:tcPr>
          <w:p w14:paraId="2BF6C60A"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0.91</w:t>
            </w:r>
          </w:p>
        </w:tc>
        <w:tc>
          <w:tcPr>
            <w:tcW w:w="810" w:type="dxa"/>
            <w:tcBorders>
              <w:top w:val="nil"/>
              <w:left w:val="nil"/>
              <w:bottom w:val="nil"/>
              <w:right w:val="nil"/>
            </w:tcBorders>
            <w:shd w:val="clear" w:color="auto" w:fill="auto"/>
            <w:noWrap/>
            <w:vAlign w:val="center"/>
            <w:hideMark/>
          </w:tcPr>
          <w:p w14:paraId="351832F1"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w:t>
            </w:r>
          </w:p>
        </w:tc>
        <w:tc>
          <w:tcPr>
            <w:tcW w:w="720" w:type="dxa"/>
            <w:tcBorders>
              <w:top w:val="nil"/>
              <w:left w:val="nil"/>
              <w:bottom w:val="nil"/>
              <w:right w:val="nil"/>
            </w:tcBorders>
            <w:shd w:val="clear" w:color="auto" w:fill="auto"/>
            <w:noWrap/>
            <w:vAlign w:val="center"/>
            <w:hideMark/>
          </w:tcPr>
          <w:p w14:paraId="7C672210"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170" w:type="dxa"/>
            <w:tcBorders>
              <w:top w:val="nil"/>
              <w:left w:val="nil"/>
              <w:bottom w:val="nil"/>
              <w:right w:val="nil"/>
            </w:tcBorders>
            <w:shd w:val="clear" w:color="auto" w:fill="auto"/>
            <w:noWrap/>
            <w:vAlign w:val="center"/>
            <w:hideMark/>
          </w:tcPr>
          <w:p w14:paraId="1B92A9D7"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47183461" w14:textId="77777777" w:rsidTr="003C13F4">
        <w:trPr>
          <w:trHeight w:val="300"/>
        </w:trPr>
        <w:tc>
          <w:tcPr>
            <w:tcW w:w="1455" w:type="dxa"/>
            <w:tcBorders>
              <w:top w:val="nil"/>
              <w:left w:val="nil"/>
              <w:bottom w:val="nil"/>
              <w:right w:val="nil"/>
            </w:tcBorders>
            <w:shd w:val="clear" w:color="auto" w:fill="auto"/>
            <w:noWrap/>
            <w:vAlign w:val="bottom"/>
            <w:hideMark/>
          </w:tcPr>
          <w:p w14:paraId="2964B440"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434" w:type="dxa"/>
            <w:tcBorders>
              <w:top w:val="nil"/>
              <w:left w:val="nil"/>
              <w:bottom w:val="nil"/>
              <w:right w:val="nil"/>
            </w:tcBorders>
            <w:shd w:val="clear" w:color="auto" w:fill="auto"/>
            <w:noWrap/>
            <w:vAlign w:val="center"/>
            <w:hideMark/>
          </w:tcPr>
          <w:p w14:paraId="1763C98E"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Not rated</w:t>
            </w:r>
          </w:p>
        </w:tc>
        <w:tc>
          <w:tcPr>
            <w:tcW w:w="1266" w:type="dxa"/>
            <w:tcBorders>
              <w:top w:val="nil"/>
              <w:left w:val="nil"/>
              <w:bottom w:val="nil"/>
              <w:right w:val="nil"/>
            </w:tcBorders>
            <w:shd w:val="clear" w:color="auto" w:fill="auto"/>
            <w:noWrap/>
            <w:vAlign w:val="center"/>
            <w:hideMark/>
          </w:tcPr>
          <w:p w14:paraId="6A37F8F1"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0.94</w:t>
            </w:r>
          </w:p>
        </w:tc>
        <w:tc>
          <w:tcPr>
            <w:tcW w:w="900" w:type="dxa"/>
            <w:tcBorders>
              <w:top w:val="nil"/>
              <w:left w:val="nil"/>
              <w:bottom w:val="nil"/>
              <w:right w:val="nil"/>
            </w:tcBorders>
            <w:shd w:val="clear" w:color="auto" w:fill="auto"/>
            <w:noWrap/>
            <w:vAlign w:val="center"/>
            <w:hideMark/>
          </w:tcPr>
          <w:p w14:paraId="005623C6"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0.87</w:t>
            </w:r>
          </w:p>
        </w:tc>
        <w:tc>
          <w:tcPr>
            <w:tcW w:w="990" w:type="dxa"/>
            <w:tcBorders>
              <w:top w:val="nil"/>
              <w:left w:val="nil"/>
              <w:bottom w:val="nil"/>
              <w:right w:val="nil"/>
            </w:tcBorders>
            <w:shd w:val="clear" w:color="auto" w:fill="auto"/>
            <w:noWrap/>
            <w:vAlign w:val="center"/>
            <w:hideMark/>
          </w:tcPr>
          <w:p w14:paraId="03A71DD4"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1.01</w:t>
            </w:r>
          </w:p>
        </w:tc>
        <w:tc>
          <w:tcPr>
            <w:tcW w:w="810" w:type="dxa"/>
            <w:tcBorders>
              <w:top w:val="nil"/>
              <w:left w:val="nil"/>
              <w:bottom w:val="nil"/>
              <w:right w:val="nil"/>
            </w:tcBorders>
            <w:shd w:val="clear" w:color="auto" w:fill="auto"/>
            <w:noWrap/>
            <w:vAlign w:val="center"/>
            <w:hideMark/>
          </w:tcPr>
          <w:p w14:paraId="3D2FF8A7"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0.11</w:t>
            </w:r>
          </w:p>
        </w:tc>
        <w:tc>
          <w:tcPr>
            <w:tcW w:w="720" w:type="dxa"/>
            <w:tcBorders>
              <w:top w:val="nil"/>
              <w:left w:val="nil"/>
              <w:bottom w:val="nil"/>
              <w:right w:val="nil"/>
            </w:tcBorders>
            <w:shd w:val="clear" w:color="auto" w:fill="auto"/>
            <w:noWrap/>
            <w:vAlign w:val="center"/>
            <w:hideMark/>
          </w:tcPr>
          <w:p w14:paraId="7462EE13"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170" w:type="dxa"/>
            <w:tcBorders>
              <w:top w:val="nil"/>
              <w:left w:val="nil"/>
              <w:bottom w:val="nil"/>
              <w:right w:val="nil"/>
            </w:tcBorders>
            <w:shd w:val="clear" w:color="auto" w:fill="auto"/>
            <w:noWrap/>
            <w:vAlign w:val="center"/>
            <w:hideMark/>
          </w:tcPr>
          <w:p w14:paraId="12544CEF"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043CE1B0" w14:textId="77777777" w:rsidTr="003C13F4">
        <w:trPr>
          <w:trHeight w:val="300"/>
        </w:trPr>
        <w:tc>
          <w:tcPr>
            <w:tcW w:w="1455" w:type="dxa"/>
            <w:tcBorders>
              <w:top w:val="nil"/>
              <w:left w:val="nil"/>
              <w:bottom w:val="single" w:sz="4" w:space="0" w:color="auto"/>
              <w:right w:val="nil"/>
            </w:tcBorders>
            <w:shd w:val="clear" w:color="auto" w:fill="auto"/>
            <w:noWrap/>
            <w:vAlign w:val="bottom"/>
            <w:hideMark/>
          </w:tcPr>
          <w:p w14:paraId="069E58FD" w14:textId="77777777" w:rsidR="00CA0EF0" w:rsidRPr="00361E30" w:rsidRDefault="00CA0EF0" w:rsidP="003C13F4">
            <w:pPr>
              <w:spacing w:after="0" w:line="240" w:lineRule="auto"/>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 </w:t>
            </w:r>
          </w:p>
        </w:tc>
        <w:tc>
          <w:tcPr>
            <w:tcW w:w="1434" w:type="dxa"/>
            <w:tcBorders>
              <w:top w:val="nil"/>
              <w:left w:val="nil"/>
              <w:bottom w:val="single" w:sz="4" w:space="0" w:color="auto"/>
              <w:right w:val="nil"/>
            </w:tcBorders>
            <w:shd w:val="clear" w:color="auto" w:fill="auto"/>
            <w:noWrap/>
            <w:vAlign w:val="center"/>
            <w:hideMark/>
          </w:tcPr>
          <w:p w14:paraId="03C89D08"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 </w:t>
            </w:r>
          </w:p>
        </w:tc>
        <w:tc>
          <w:tcPr>
            <w:tcW w:w="1266" w:type="dxa"/>
            <w:tcBorders>
              <w:top w:val="nil"/>
              <w:left w:val="nil"/>
              <w:bottom w:val="single" w:sz="4" w:space="0" w:color="auto"/>
              <w:right w:val="nil"/>
            </w:tcBorders>
            <w:shd w:val="clear" w:color="auto" w:fill="auto"/>
            <w:noWrap/>
            <w:vAlign w:val="center"/>
            <w:hideMark/>
          </w:tcPr>
          <w:p w14:paraId="423CFB72"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900" w:type="dxa"/>
            <w:tcBorders>
              <w:top w:val="nil"/>
              <w:left w:val="nil"/>
              <w:bottom w:val="single" w:sz="4" w:space="0" w:color="auto"/>
              <w:right w:val="nil"/>
            </w:tcBorders>
            <w:shd w:val="clear" w:color="auto" w:fill="auto"/>
            <w:noWrap/>
            <w:vAlign w:val="center"/>
            <w:hideMark/>
          </w:tcPr>
          <w:p w14:paraId="38871F74"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990" w:type="dxa"/>
            <w:tcBorders>
              <w:top w:val="nil"/>
              <w:left w:val="nil"/>
              <w:bottom w:val="single" w:sz="4" w:space="0" w:color="auto"/>
              <w:right w:val="nil"/>
            </w:tcBorders>
            <w:shd w:val="clear" w:color="auto" w:fill="auto"/>
            <w:noWrap/>
            <w:vAlign w:val="center"/>
            <w:hideMark/>
          </w:tcPr>
          <w:p w14:paraId="32CE7338"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810" w:type="dxa"/>
            <w:tcBorders>
              <w:top w:val="nil"/>
              <w:left w:val="nil"/>
              <w:bottom w:val="single" w:sz="4" w:space="0" w:color="auto"/>
              <w:right w:val="nil"/>
            </w:tcBorders>
            <w:shd w:val="clear" w:color="auto" w:fill="auto"/>
            <w:noWrap/>
            <w:vAlign w:val="center"/>
            <w:hideMark/>
          </w:tcPr>
          <w:p w14:paraId="3526E929"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720" w:type="dxa"/>
            <w:tcBorders>
              <w:top w:val="nil"/>
              <w:left w:val="nil"/>
              <w:bottom w:val="single" w:sz="4" w:space="0" w:color="auto"/>
              <w:right w:val="nil"/>
            </w:tcBorders>
            <w:shd w:val="clear" w:color="auto" w:fill="auto"/>
            <w:noWrap/>
            <w:vAlign w:val="center"/>
            <w:hideMark/>
          </w:tcPr>
          <w:p w14:paraId="30CB9E1D"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4" w:space="0" w:color="auto"/>
              <w:right w:val="nil"/>
            </w:tcBorders>
            <w:shd w:val="clear" w:color="auto" w:fill="auto"/>
            <w:noWrap/>
            <w:vAlign w:val="center"/>
            <w:hideMark/>
          </w:tcPr>
          <w:p w14:paraId="0E7D9EAC"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69D68681" w14:textId="77777777" w:rsidTr="003C13F4">
        <w:trPr>
          <w:trHeight w:val="300"/>
        </w:trPr>
        <w:tc>
          <w:tcPr>
            <w:tcW w:w="8745" w:type="dxa"/>
            <w:gridSpan w:val="8"/>
            <w:tcBorders>
              <w:top w:val="nil"/>
              <w:left w:val="nil"/>
              <w:bottom w:val="nil"/>
              <w:right w:val="nil"/>
            </w:tcBorders>
            <w:shd w:val="clear" w:color="auto" w:fill="auto"/>
            <w:noWrap/>
            <w:vAlign w:val="center"/>
            <w:hideMark/>
          </w:tcPr>
          <w:p w14:paraId="2EAACF11" w14:textId="77777777" w:rsidR="00CA0EF0" w:rsidRPr="00361E30" w:rsidRDefault="00CA0EF0" w:rsidP="003C13F4">
            <w:pPr>
              <w:spacing w:after="0" w:line="240" w:lineRule="auto"/>
              <w:jc w:val="left"/>
              <w:rPr>
                <w:rFonts w:ascii="Calibri" w:eastAsia="Times New Roman" w:hAnsi="Calibri" w:cs="Calibri"/>
                <w:color w:val="000000"/>
                <w:lang w:eastAsia="en-GB"/>
              </w:rPr>
            </w:pPr>
            <w:r w:rsidRPr="00361E30">
              <w:rPr>
                <w:rFonts w:ascii="Calibri" w:eastAsia="Times New Roman" w:hAnsi="Calibri" w:cs="Calibri"/>
                <w:b/>
                <w:bCs/>
                <w:color w:val="000000"/>
                <w:lang w:eastAsia="en-GB"/>
              </w:rPr>
              <w:t>CQC Rating (Urgent and Emergency Care)</w:t>
            </w:r>
          </w:p>
        </w:tc>
      </w:tr>
      <w:tr w:rsidR="00CA0EF0" w:rsidRPr="00361E30" w14:paraId="6B27727A" w14:textId="77777777" w:rsidTr="003C13F4">
        <w:trPr>
          <w:trHeight w:val="300"/>
        </w:trPr>
        <w:tc>
          <w:tcPr>
            <w:tcW w:w="1455" w:type="dxa"/>
            <w:tcBorders>
              <w:top w:val="nil"/>
              <w:left w:val="nil"/>
              <w:bottom w:val="nil"/>
              <w:right w:val="nil"/>
            </w:tcBorders>
            <w:shd w:val="clear" w:color="auto" w:fill="auto"/>
            <w:noWrap/>
            <w:vAlign w:val="bottom"/>
            <w:hideMark/>
          </w:tcPr>
          <w:p w14:paraId="65F30011"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434" w:type="dxa"/>
            <w:tcBorders>
              <w:top w:val="nil"/>
              <w:left w:val="nil"/>
              <w:bottom w:val="nil"/>
              <w:right w:val="nil"/>
            </w:tcBorders>
            <w:shd w:val="clear" w:color="auto" w:fill="auto"/>
            <w:noWrap/>
            <w:vAlign w:val="center"/>
            <w:hideMark/>
          </w:tcPr>
          <w:p w14:paraId="36567A06"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Inadequate</w:t>
            </w:r>
          </w:p>
        </w:tc>
        <w:tc>
          <w:tcPr>
            <w:tcW w:w="1266" w:type="dxa"/>
            <w:tcBorders>
              <w:top w:val="nil"/>
              <w:left w:val="nil"/>
              <w:bottom w:val="nil"/>
              <w:right w:val="nil"/>
            </w:tcBorders>
            <w:shd w:val="clear" w:color="auto" w:fill="auto"/>
            <w:noWrap/>
            <w:vAlign w:val="center"/>
            <w:hideMark/>
          </w:tcPr>
          <w:p w14:paraId="2E93F699"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1.21</w:t>
            </w:r>
          </w:p>
        </w:tc>
        <w:tc>
          <w:tcPr>
            <w:tcW w:w="900" w:type="dxa"/>
            <w:tcBorders>
              <w:top w:val="nil"/>
              <w:left w:val="nil"/>
              <w:bottom w:val="nil"/>
              <w:right w:val="nil"/>
            </w:tcBorders>
            <w:shd w:val="clear" w:color="auto" w:fill="auto"/>
            <w:noWrap/>
            <w:vAlign w:val="center"/>
            <w:hideMark/>
          </w:tcPr>
          <w:p w14:paraId="7D680AD1"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1.08</w:t>
            </w:r>
          </w:p>
        </w:tc>
        <w:tc>
          <w:tcPr>
            <w:tcW w:w="990" w:type="dxa"/>
            <w:tcBorders>
              <w:top w:val="nil"/>
              <w:left w:val="nil"/>
              <w:bottom w:val="nil"/>
              <w:right w:val="nil"/>
            </w:tcBorders>
            <w:shd w:val="clear" w:color="auto" w:fill="auto"/>
            <w:noWrap/>
            <w:vAlign w:val="center"/>
            <w:hideMark/>
          </w:tcPr>
          <w:p w14:paraId="1B73FFD2"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1.36</w:t>
            </w:r>
          </w:p>
        </w:tc>
        <w:tc>
          <w:tcPr>
            <w:tcW w:w="810" w:type="dxa"/>
            <w:tcBorders>
              <w:top w:val="nil"/>
              <w:left w:val="nil"/>
              <w:bottom w:val="nil"/>
              <w:right w:val="nil"/>
            </w:tcBorders>
            <w:shd w:val="clear" w:color="auto" w:fill="auto"/>
            <w:noWrap/>
            <w:vAlign w:val="center"/>
            <w:hideMark/>
          </w:tcPr>
          <w:p w14:paraId="4C29D38F"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w:t>
            </w:r>
          </w:p>
        </w:tc>
        <w:tc>
          <w:tcPr>
            <w:tcW w:w="720" w:type="dxa"/>
            <w:tcBorders>
              <w:top w:val="nil"/>
              <w:left w:val="nil"/>
              <w:bottom w:val="nil"/>
              <w:right w:val="nil"/>
            </w:tcBorders>
            <w:shd w:val="clear" w:color="auto" w:fill="auto"/>
            <w:noWrap/>
            <w:vAlign w:val="center"/>
            <w:hideMark/>
          </w:tcPr>
          <w:p w14:paraId="7BA5FE98"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w:t>
            </w:r>
          </w:p>
        </w:tc>
        <w:tc>
          <w:tcPr>
            <w:tcW w:w="1170" w:type="dxa"/>
            <w:tcBorders>
              <w:top w:val="nil"/>
              <w:left w:val="nil"/>
              <w:bottom w:val="nil"/>
              <w:right w:val="nil"/>
            </w:tcBorders>
            <w:shd w:val="clear" w:color="auto" w:fill="auto"/>
            <w:noWrap/>
            <w:vAlign w:val="center"/>
            <w:hideMark/>
          </w:tcPr>
          <w:p w14:paraId="2A2511C5"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0.51</w:t>
            </w:r>
          </w:p>
        </w:tc>
      </w:tr>
      <w:tr w:rsidR="00CA0EF0" w:rsidRPr="00361E30" w14:paraId="2E478BFC" w14:textId="77777777" w:rsidTr="003C13F4">
        <w:trPr>
          <w:trHeight w:val="300"/>
        </w:trPr>
        <w:tc>
          <w:tcPr>
            <w:tcW w:w="2889" w:type="dxa"/>
            <w:gridSpan w:val="2"/>
            <w:tcBorders>
              <w:top w:val="nil"/>
              <w:left w:val="nil"/>
              <w:bottom w:val="nil"/>
              <w:right w:val="nil"/>
            </w:tcBorders>
            <w:shd w:val="clear" w:color="auto" w:fill="auto"/>
            <w:noWrap/>
            <w:vAlign w:val="center"/>
            <w:hideMark/>
          </w:tcPr>
          <w:p w14:paraId="635FB033" w14:textId="77777777" w:rsidR="00CA0EF0" w:rsidRPr="00361E30" w:rsidRDefault="00CA0EF0" w:rsidP="003C13F4">
            <w:pPr>
              <w:spacing w:after="0" w:line="240" w:lineRule="auto"/>
              <w:jc w:val="right"/>
              <w:rPr>
                <w:rFonts w:ascii="Calibri" w:eastAsia="Times New Roman" w:hAnsi="Calibri" w:cs="Calibri"/>
                <w:color w:val="000000"/>
                <w:lang w:eastAsia="en-GB"/>
              </w:rPr>
            </w:pPr>
            <w:r w:rsidRPr="00361E30">
              <w:rPr>
                <w:rFonts w:ascii="Calibri" w:eastAsia="Times New Roman" w:hAnsi="Calibri" w:cs="Calibri"/>
                <w:color w:val="000000"/>
                <w:lang w:eastAsia="en-GB"/>
              </w:rPr>
              <w:t>Requires improvement</w:t>
            </w:r>
          </w:p>
        </w:tc>
        <w:tc>
          <w:tcPr>
            <w:tcW w:w="1266" w:type="dxa"/>
            <w:tcBorders>
              <w:top w:val="nil"/>
              <w:left w:val="nil"/>
              <w:bottom w:val="nil"/>
              <w:right w:val="nil"/>
            </w:tcBorders>
            <w:shd w:val="clear" w:color="auto" w:fill="auto"/>
            <w:noWrap/>
            <w:vAlign w:val="center"/>
            <w:hideMark/>
          </w:tcPr>
          <w:p w14:paraId="68F7745C"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Reference</w:t>
            </w:r>
          </w:p>
        </w:tc>
        <w:tc>
          <w:tcPr>
            <w:tcW w:w="900" w:type="dxa"/>
            <w:tcBorders>
              <w:top w:val="nil"/>
              <w:left w:val="nil"/>
              <w:bottom w:val="nil"/>
              <w:right w:val="nil"/>
            </w:tcBorders>
            <w:shd w:val="clear" w:color="auto" w:fill="auto"/>
            <w:noWrap/>
            <w:vAlign w:val="center"/>
            <w:hideMark/>
          </w:tcPr>
          <w:p w14:paraId="7837D379"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990" w:type="dxa"/>
            <w:tcBorders>
              <w:top w:val="nil"/>
              <w:left w:val="nil"/>
              <w:bottom w:val="nil"/>
              <w:right w:val="nil"/>
            </w:tcBorders>
            <w:shd w:val="clear" w:color="auto" w:fill="auto"/>
            <w:noWrap/>
            <w:vAlign w:val="center"/>
            <w:hideMark/>
          </w:tcPr>
          <w:p w14:paraId="10B8B1EF"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810" w:type="dxa"/>
            <w:tcBorders>
              <w:top w:val="nil"/>
              <w:left w:val="nil"/>
              <w:bottom w:val="nil"/>
              <w:right w:val="nil"/>
            </w:tcBorders>
            <w:shd w:val="clear" w:color="auto" w:fill="auto"/>
            <w:noWrap/>
            <w:vAlign w:val="center"/>
            <w:hideMark/>
          </w:tcPr>
          <w:p w14:paraId="188EE3BC"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720" w:type="dxa"/>
            <w:tcBorders>
              <w:top w:val="nil"/>
              <w:left w:val="nil"/>
              <w:bottom w:val="nil"/>
              <w:right w:val="nil"/>
            </w:tcBorders>
            <w:shd w:val="clear" w:color="auto" w:fill="auto"/>
            <w:noWrap/>
            <w:vAlign w:val="center"/>
            <w:hideMark/>
          </w:tcPr>
          <w:p w14:paraId="3CC368D5"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170" w:type="dxa"/>
            <w:tcBorders>
              <w:top w:val="nil"/>
              <w:left w:val="nil"/>
              <w:bottom w:val="nil"/>
              <w:right w:val="nil"/>
            </w:tcBorders>
            <w:shd w:val="clear" w:color="auto" w:fill="auto"/>
            <w:noWrap/>
            <w:vAlign w:val="center"/>
            <w:hideMark/>
          </w:tcPr>
          <w:p w14:paraId="2F997C6F"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453E2C2B" w14:textId="77777777" w:rsidTr="003C13F4">
        <w:trPr>
          <w:trHeight w:val="300"/>
        </w:trPr>
        <w:tc>
          <w:tcPr>
            <w:tcW w:w="1455" w:type="dxa"/>
            <w:tcBorders>
              <w:top w:val="nil"/>
              <w:left w:val="nil"/>
              <w:bottom w:val="nil"/>
              <w:right w:val="nil"/>
            </w:tcBorders>
            <w:shd w:val="clear" w:color="auto" w:fill="auto"/>
            <w:noWrap/>
            <w:vAlign w:val="bottom"/>
            <w:hideMark/>
          </w:tcPr>
          <w:p w14:paraId="09D21E56"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434" w:type="dxa"/>
            <w:tcBorders>
              <w:top w:val="nil"/>
              <w:left w:val="nil"/>
              <w:bottom w:val="nil"/>
              <w:right w:val="nil"/>
            </w:tcBorders>
            <w:shd w:val="clear" w:color="auto" w:fill="auto"/>
            <w:noWrap/>
            <w:vAlign w:val="center"/>
            <w:hideMark/>
          </w:tcPr>
          <w:p w14:paraId="5CE29046"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Good</w:t>
            </w:r>
          </w:p>
        </w:tc>
        <w:tc>
          <w:tcPr>
            <w:tcW w:w="1266" w:type="dxa"/>
            <w:tcBorders>
              <w:top w:val="nil"/>
              <w:left w:val="nil"/>
              <w:bottom w:val="nil"/>
              <w:right w:val="nil"/>
            </w:tcBorders>
            <w:shd w:val="clear" w:color="auto" w:fill="auto"/>
            <w:noWrap/>
            <w:vAlign w:val="center"/>
            <w:hideMark/>
          </w:tcPr>
          <w:p w14:paraId="7AC5AEC2"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0.98</w:t>
            </w:r>
          </w:p>
        </w:tc>
        <w:tc>
          <w:tcPr>
            <w:tcW w:w="900" w:type="dxa"/>
            <w:tcBorders>
              <w:top w:val="nil"/>
              <w:left w:val="nil"/>
              <w:bottom w:val="nil"/>
              <w:right w:val="nil"/>
            </w:tcBorders>
            <w:shd w:val="clear" w:color="auto" w:fill="auto"/>
            <w:noWrap/>
            <w:vAlign w:val="center"/>
            <w:hideMark/>
          </w:tcPr>
          <w:p w14:paraId="0CCE46CF"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0.91</w:t>
            </w:r>
          </w:p>
        </w:tc>
        <w:tc>
          <w:tcPr>
            <w:tcW w:w="990" w:type="dxa"/>
            <w:tcBorders>
              <w:top w:val="nil"/>
              <w:left w:val="nil"/>
              <w:bottom w:val="nil"/>
              <w:right w:val="nil"/>
            </w:tcBorders>
            <w:shd w:val="clear" w:color="auto" w:fill="auto"/>
            <w:noWrap/>
            <w:vAlign w:val="center"/>
            <w:hideMark/>
          </w:tcPr>
          <w:p w14:paraId="607F3044"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1.05</w:t>
            </w:r>
          </w:p>
        </w:tc>
        <w:tc>
          <w:tcPr>
            <w:tcW w:w="810" w:type="dxa"/>
            <w:tcBorders>
              <w:top w:val="nil"/>
              <w:left w:val="nil"/>
              <w:bottom w:val="nil"/>
              <w:right w:val="nil"/>
            </w:tcBorders>
            <w:shd w:val="clear" w:color="auto" w:fill="auto"/>
            <w:noWrap/>
            <w:vAlign w:val="center"/>
            <w:hideMark/>
          </w:tcPr>
          <w:p w14:paraId="0A6B7BF8"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0.52</w:t>
            </w:r>
          </w:p>
        </w:tc>
        <w:tc>
          <w:tcPr>
            <w:tcW w:w="720" w:type="dxa"/>
            <w:tcBorders>
              <w:top w:val="nil"/>
              <w:left w:val="nil"/>
              <w:bottom w:val="nil"/>
              <w:right w:val="nil"/>
            </w:tcBorders>
            <w:shd w:val="clear" w:color="auto" w:fill="auto"/>
            <w:noWrap/>
            <w:vAlign w:val="center"/>
            <w:hideMark/>
          </w:tcPr>
          <w:p w14:paraId="587F95B6"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170" w:type="dxa"/>
            <w:tcBorders>
              <w:top w:val="nil"/>
              <w:left w:val="nil"/>
              <w:bottom w:val="nil"/>
              <w:right w:val="nil"/>
            </w:tcBorders>
            <w:shd w:val="clear" w:color="auto" w:fill="auto"/>
            <w:noWrap/>
            <w:vAlign w:val="center"/>
            <w:hideMark/>
          </w:tcPr>
          <w:p w14:paraId="319F3EEF"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720C2B83" w14:textId="77777777" w:rsidTr="003C13F4">
        <w:trPr>
          <w:trHeight w:val="300"/>
        </w:trPr>
        <w:tc>
          <w:tcPr>
            <w:tcW w:w="1455" w:type="dxa"/>
            <w:tcBorders>
              <w:top w:val="nil"/>
              <w:left w:val="nil"/>
              <w:bottom w:val="nil"/>
              <w:right w:val="nil"/>
            </w:tcBorders>
            <w:shd w:val="clear" w:color="auto" w:fill="auto"/>
            <w:noWrap/>
            <w:vAlign w:val="bottom"/>
            <w:hideMark/>
          </w:tcPr>
          <w:p w14:paraId="7D314330"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434" w:type="dxa"/>
            <w:tcBorders>
              <w:top w:val="nil"/>
              <w:left w:val="nil"/>
              <w:bottom w:val="nil"/>
              <w:right w:val="nil"/>
            </w:tcBorders>
            <w:shd w:val="clear" w:color="auto" w:fill="auto"/>
            <w:noWrap/>
            <w:vAlign w:val="center"/>
            <w:hideMark/>
          </w:tcPr>
          <w:p w14:paraId="65EB72E9"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Outstanding</w:t>
            </w:r>
          </w:p>
        </w:tc>
        <w:tc>
          <w:tcPr>
            <w:tcW w:w="1266" w:type="dxa"/>
            <w:tcBorders>
              <w:top w:val="nil"/>
              <w:left w:val="nil"/>
              <w:bottom w:val="nil"/>
              <w:right w:val="nil"/>
            </w:tcBorders>
            <w:shd w:val="clear" w:color="auto" w:fill="auto"/>
            <w:noWrap/>
            <w:vAlign w:val="center"/>
            <w:hideMark/>
          </w:tcPr>
          <w:p w14:paraId="14A432D5"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0.98</w:t>
            </w:r>
          </w:p>
        </w:tc>
        <w:tc>
          <w:tcPr>
            <w:tcW w:w="900" w:type="dxa"/>
            <w:tcBorders>
              <w:top w:val="nil"/>
              <w:left w:val="nil"/>
              <w:bottom w:val="nil"/>
              <w:right w:val="nil"/>
            </w:tcBorders>
            <w:shd w:val="clear" w:color="auto" w:fill="auto"/>
            <w:noWrap/>
            <w:vAlign w:val="center"/>
            <w:hideMark/>
          </w:tcPr>
          <w:p w14:paraId="7A3ED537"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0.86</w:t>
            </w:r>
          </w:p>
        </w:tc>
        <w:tc>
          <w:tcPr>
            <w:tcW w:w="990" w:type="dxa"/>
            <w:tcBorders>
              <w:top w:val="nil"/>
              <w:left w:val="nil"/>
              <w:bottom w:val="nil"/>
              <w:right w:val="nil"/>
            </w:tcBorders>
            <w:shd w:val="clear" w:color="auto" w:fill="auto"/>
            <w:noWrap/>
            <w:vAlign w:val="center"/>
            <w:hideMark/>
          </w:tcPr>
          <w:p w14:paraId="578695E4"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1.12</w:t>
            </w:r>
          </w:p>
        </w:tc>
        <w:tc>
          <w:tcPr>
            <w:tcW w:w="810" w:type="dxa"/>
            <w:tcBorders>
              <w:top w:val="nil"/>
              <w:left w:val="nil"/>
              <w:bottom w:val="nil"/>
              <w:right w:val="nil"/>
            </w:tcBorders>
            <w:shd w:val="clear" w:color="auto" w:fill="auto"/>
            <w:noWrap/>
            <w:vAlign w:val="center"/>
            <w:hideMark/>
          </w:tcPr>
          <w:p w14:paraId="61312FDB"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0.79</w:t>
            </w:r>
          </w:p>
        </w:tc>
        <w:tc>
          <w:tcPr>
            <w:tcW w:w="720" w:type="dxa"/>
            <w:tcBorders>
              <w:top w:val="nil"/>
              <w:left w:val="nil"/>
              <w:bottom w:val="nil"/>
              <w:right w:val="nil"/>
            </w:tcBorders>
            <w:shd w:val="clear" w:color="auto" w:fill="auto"/>
            <w:noWrap/>
            <w:vAlign w:val="center"/>
            <w:hideMark/>
          </w:tcPr>
          <w:p w14:paraId="3705D135"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170" w:type="dxa"/>
            <w:tcBorders>
              <w:top w:val="nil"/>
              <w:left w:val="nil"/>
              <w:bottom w:val="nil"/>
              <w:right w:val="nil"/>
            </w:tcBorders>
            <w:shd w:val="clear" w:color="auto" w:fill="auto"/>
            <w:noWrap/>
            <w:vAlign w:val="center"/>
            <w:hideMark/>
          </w:tcPr>
          <w:p w14:paraId="7537A043"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74903776" w14:textId="77777777" w:rsidTr="003C13F4">
        <w:trPr>
          <w:trHeight w:val="300"/>
        </w:trPr>
        <w:tc>
          <w:tcPr>
            <w:tcW w:w="1455" w:type="dxa"/>
            <w:tcBorders>
              <w:top w:val="nil"/>
              <w:left w:val="nil"/>
              <w:bottom w:val="nil"/>
              <w:right w:val="nil"/>
            </w:tcBorders>
            <w:shd w:val="clear" w:color="auto" w:fill="auto"/>
            <w:noWrap/>
            <w:vAlign w:val="bottom"/>
            <w:hideMark/>
          </w:tcPr>
          <w:p w14:paraId="57EE467C"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434" w:type="dxa"/>
            <w:tcBorders>
              <w:top w:val="nil"/>
              <w:left w:val="nil"/>
              <w:bottom w:val="nil"/>
              <w:right w:val="nil"/>
            </w:tcBorders>
            <w:shd w:val="clear" w:color="auto" w:fill="auto"/>
            <w:noWrap/>
            <w:vAlign w:val="center"/>
            <w:hideMark/>
          </w:tcPr>
          <w:p w14:paraId="6B12F3A9"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Not rated</w:t>
            </w:r>
          </w:p>
        </w:tc>
        <w:tc>
          <w:tcPr>
            <w:tcW w:w="1266" w:type="dxa"/>
            <w:tcBorders>
              <w:top w:val="nil"/>
              <w:left w:val="nil"/>
              <w:bottom w:val="nil"/>
              <w:right w:val="nil"/>
            </w:tcBorders>
            <w:shd w:val="clear" w:color="auto" w:fill="auto"/>
            <w:noWrap/>
            <w:vAlign w:val="center"/>
            <w:hideMark/>
          </w:tcPr>
          <w:p w14:paraId="511A9AD2"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1.01</w:t>
            </w:r>
          </w:p>
        </w:tc>
        <w:tc>
          <w:tcPr>
            <w:tcW w:w="900" w:type="dxa"/>
            <w:tcBorders>
              <w:top w:val="nil"/>
              <w:left w:val="nil"/>
              <w:bottom w:val="nil"/>
              <w:right w:val="nil"/>
            </w:tcBorders>
            <w:shd w:val="clear" w:color="auto" w:fill="auto"/>
            <w:noWrap/>
            <w:vAlign w:val="center"/>
            <w:hideMark/>
          </w:tcPr>
          <w:p w14:paraId="04B25105"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0.92</w:t>
            </w:r>
          </w:p>
        </w:tc>
        <w:tc>
          <w:tcPr>
            <w:tcW w:w="990" w:type="dxa"/>
            <w:tcBorders>
              <w:top w:val="nil"/>
              <w:left w:val="nil"/>
              <w:bottom w:val="nil"/>
              <w:right w:val="nil"/>
            </w:tcBorders>
            <w:shd w:val="clear" w:color="auto" w:fill="auto"/>
            <w:noWrap/>
            <w:vAlign w:val="center"/>
            <w:hideMark/>
          </w:tcPr>
          <w:p w14:paraId="47DAE16A"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1.10</w:t>
            </w:r>
          </w:p>
        </w:tc>
        <w:tc>
          <w:tcPr>
            <w:tcW w:w="810" w:type="dxa"/>
            <w:tcBorders>
              <w:top w:val="nil"/>
              <w:left w:val="nil"/>
              <w:bottom w:val="nil"/>
              <w:right w:val="nil"/>
            </w:tcBorders>
            <w:shd w:val="clear" w:color="auto" w:fill="auto"/>
            <w:noWrap/>
            <w:vAlign w:val="center"/>
            <w:hideMark/>
          </w:tcPr>
          <w:p w14:paraId="33068CFB"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0.85</w:t>
            </w:r>
          </w:p>
        </w:tc>
        <w:tc>
          <w:tcPr>
            <w:tcW w:w="720" w:type="dxa"/>
            <w:tcBorders>
              <w:top w:val="nil"/>
              <w:left w:val="nil"/>
              <w:bottom w:val="nil"/>
              <w:right w:val="nil"/>
            </w:tcBorders>
            <w:shd w:val="clear" w:color="auto" w:fill="auto"/>
            <w:noWrap/>
            <w:vAlign w:val="center"/>
            <w:hideMark/>
          </w:tcPr>
          <w:p w14:paraId="1D5B3B1F"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170" w:type="dxa"/>
            <w:tcBorders>
              <w:top w:val="nil"/>
              <w:left w:val="nil"/>
              <w:bottom w:val="nil"/>
              <w:right w:val="nil"/>
            </w:tcBorders>
            <w:shd w:val="clear" w:color="auto" w:fill="auto"/>
            <w:noWrap/>
            <w:vAlign w:val="center"/>
            <w:hideMark/>
          </w:tcPr>
          <w:p w14:paraId="4FF7E81B"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00CA7DF0" w14:textId="77777777" w:rsidTr="003C13F4">
        <w:trPr>
          <w:trHeight w:val="300"/>
        </w:trPr>
        <w:tc>
          <w:tcPr>
            <w:tcW w:w="1455" w:type="dxa"/>
            <w:tcBorders>
              <w:top w:val="nil"/>
              <w:left w:val="nil"/>
              <w:bottom w:val="single" w:sz="4" w:space="0" w:color="auto"/>
              <w:right w:val="nil"/>
            </w:tcBorders>
            <w:shd w:val="clear" w:color="auto" w:fill="auto"/>
            <w:noWrap/>
            <w:vAlign w:val="bottom"/>
            <w:hideMark/>
          </w:tcPr>
          <w:p w14:paraId="5BAC9A09" w14:textId="77777777" w:rsidR="00CA0EF0" w:rsidRPr="00361E30" w:rsidRDefault="00CA0EF0" w:rsidP="003C13F4">
            <w:pPr>
              <w:spacing w:after="0" w:line="240" w:lineRule="auto"/>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 </w:t>
            </w:r>
          </w:p>
        </w:tc>
        <w:tc>
          <w:tcPr>
            <w:tcW w:w="1434" w:type="dxa"/>
            <w:tcBorders>
              <w:top w:val="nil"/>
              <w:left w:val="nil"/>
              <w:bottom w:val="single" w:sz="4" w:space="0" w:color="auto"/>
              <w:right w:val="nil"/>
            </w:tcBorders>
            <w:shd w:val="clear" w:color="auto" w:fill="auto"/>
            <w:noWrap/>
            <w:vAlign w:val="center"/>
            <w:hideMark/>
          </w:tcPr>
          <w:p w14:paraId="079E21F7"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 </w:t>
            </w:r>
          </w:p>
        </w:tc>
        <w:tc>
          <w:tcPr>
            <w:tcW w:w="1266" w:type="dxa"/>
            <w:tcBorders>
              <w:top w:val="nil"/>
              <w:left w:val="nil"/>
              <w:bottom w:val="single" w:sz="4" w:space="0" w:color="auto"/>
              <w:right w:val="nil"/>
            </w:tcBorders>
            <w:shd w:val="clear" w:color="auto" w:fill="auto"/>
            <w:noWrap/>
            <w:vAlign w:val="center"/>
            <w:hideMark/>
          </w:tcPr>
          <w:p w14:paraId="5889BA46"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900" w:type="dxa"/>
            <w:tcBorders>
              <w:top w:val="nil"/>
              <w:left w:val="nil"/>
              <w:bottom w:val="single" w:sz="4" w:space="0" w:color="auto"/>
              <w:right w:val="nil"/>
            </w:tcBorders>
            <w:shd w:val="clear" w:color="auto" w:fill="auto"/>
            <w:noWrap/>
            <w:vAlign w:val="center"/>
            <w:hideMark/>
          </w:tcPr>
          <w:p w14:paraId="36BBFC74"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990" w:type="dxa"/>
            <w:tcBorders>
              <w:top w:val="nil"/>
              <w:left w:val="nil"/>
              <w:bottom w:val="single" w:sz="4" w:space="0" w:color="auto"/>
              <w:right w:val="nil"/>
            </w:tcBorders>
            <w:shd w:val="clear" w:color="auto" w:fill="auto"/>
            <w:noWrap/>
            <w:vAlign w:val="center"/>
            <w:hideMark/>
          </w:tcPr>
          <w:p w14:paraId="64D0ACA1"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810" w:type="dxa"/>
            <w:tcBorders>
              <w:top w:val="nil"/>
              <w:left w:val="nil"/>
              <w:bottom w:val="single" w:sz="4" w:space="0" w:color="auto"/>
              <w:right w:val="nil"/>
            </w:tcBorders>
            <w:shd w:val="clear" w:color="auto" w:fill="auto"/>
            <w:noWrap/>
            <w:vAlign w:val="center"/>
            <w:hideMark/>
          </w:tcPr>
          <w:p w14:paraId="347B890F"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720" w:type="dxa"/>
            <w:tcBorders>
              <w:top w:val="nil"/>
              <w:left w:val="nil"/>
              <w:bottom w:val="single" w:sz="4" w:space="0" w:color="auto"/>
              <w:right w:val="nil"/>
            </w:tcBorders>
            <w:shd w:val="clear" w:color="auto" w:fill="auto"/>
            <w:noWrap/>
            <w:vAlign w:val="center"/>
            <w:hideMark/>
          </w:tcPr>
          <w:p w14:paraId="0245E5DC"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170" w:type="dxa"/>
            <w:tcBorders>
              <w:top w:val="nil"/>
              <w:left w:val="nil"/>
              <w:bottom w:val="single" w:sz="4" w:space="0" w:color="auto"/>
              <w:right w:val="nil"/>
            </w:tcBorders>
            <w:shd w:val="clear" w:color="auto" w:fill="auto"/>
            <w:noWrap/>
            <w:vAlign w:val="center"/>
            <w:hideMark/>
          </w:tcPr>
          <w:p w14:paraId="4E8FE17E"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16F5FFAE" w14:textId="77777777" w:rsidTr="003C13F4">
        <w:trPr>
          <w:trHeight w:val="300"/>
        </w:trPr>
        <w:tc>
          <w:tcPr>
            <w:tcW w:w="8745" w:type="dxa"/>
            <w:gridSpan w:val="8"/>
            <w:tcBorders>
              <w:top w:val="nil"/>
              <w:left w:val="nil"/>
              <w:bottom w:val="nil"/>
              <w:right w:val="nil"/>
            </w:tcBorders>
            <w:shd w:val="clear" w:color="auto" w:fill="auto"/>
            <w:noWrap/>
            <w:vAlign w:val="center"/>
            <w:hideMark/>
          </w:tcPr>
          <w:p w14:paraId="734E1E86" w14:textId="77777777" w:rsidR="00CA0EF0" w:rsidRPr="00361E30" w:rsidRDefault="00CA0EF0" w:rsidP="003C13F4">
            <w:pPr>
              <w:spacing w:after="0" w:line="240" w:lineRule="auto"/>
              <w:jc w:val="left"/>
              <w:rPr>
                <w:rFonts w:ascii="Calibri" w:eastAsia="Times New Roman" w:hAnsi="Calibri" w:cs="Calibri"/>
                <w:color w:val="000000"/>
                <w:lang w:eastAsia="en-GB"/>
              </w:rPr>
            </w:pPr>
            <w:r w:rsidRPr="00361E30">
              <w:rPr>
                <w:rFonts w:ascii="Calibri" w:eastAsia="Times New Roman" w:hAnsi="Calibri" w:cs="Calibri"/>
                <w:b/>
                <w:bCs/>
                <w:color w:val="000000"/>
                <w:lang w:eastAsia="en-GB"/>
              </w:rPr>
              <w:t>Hip Fracture Mortality</w:t>
            </w:r>
          </w:p>
        </w:tc>
      </w:tr>
      <w:tr w:rsidR="00CA0EF0" w:rsidRPr="00361E30" w14:paraId="7C264521" w14:textId="77777777" w:rsidTr="003C13F4">
        <w:trPr>
          <w:trHeight w:val="300"/>
        </w:trPr>
        <w:tc>
          <w:tcPr>
            <w:tcW w:w="1455" w:type="dxa"/>
            <w:tcBorders>
              <w:top w:val="nil"/>
              <w:left w:val="nil"/>
              <w:bottom w:val="nil"/>
              <w:right w:val="nil"/>
            </w:tcBorders>
            <w:shd w:val="clear" w:color="auto" w:fill="auto"/>
            <w:noWrap/>
            <w:vAlign w:val="bottom"/>
            <w:hideMark/>
          </w:tcPr>
          <w:p w14:paraId="765E851C"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434" w:type="dxa"/>
            <w:tcBorders>
              <w:top w:val="nil"/>
              <w:left w:val="nil"/>
              <w:bottom w:val="nil"/>
              <w:right w:val="nil"/>
            </w:tcBorders>
            <w:shd w:val="clear" w:color="auto" w:fill="auto"/>
            <w:noWrap/>
            <w:vAlign w:val="center"/>
            <w:hideMark/>
          </w:tcPr>
          <w:p w14:paraId="23256747"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&lt;5%</w:t>
            </w:r>
          </w:p>
        </w:tc>
        <w:tc>
          <w:tcPr>
            <w:tcW w:w="1266" w:type="dxa"/>
            <w:tcBorders>
              <w:top w:val="nil"/>
              <w:left w:val="nil"/>
              <w:bottom w:val="nil"/>
              <w:right w:val="nil"/>
            </w:tcBorders>
            <w:shd w:val="clear" w:color="auto" w:fill="auto"/>
            <w:noWrap/>
            <w:vAlign w:val="center"/>
            <w:hideMark/>
          </w:tcPr>
          <w:p w14:paraId="6CF7DC0B"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Reference</w:t>
            </w:r>
          </w:p>
        </w:tc>
        <w:tc>
          <w:tcPr>
            <w:tcW w:w="900" w:type="dxa"/>
            <w:tcBorders>
              <w:top w:val="nil"/>
              <w:left w:val="nil"/>
              <w:bottom w:val="nil"/>
              <w:right w:val="nil"/>
            </w:tcBorders>
            <w:shd w:val="clear" w:color="auto" w:fill="auto"/>
            <w:noWrap/>
            <w:vAlign w:val="center"/>
            <w:hideMark/>
          </w:tcPr>
          <w:p w14:paraId="7BC1763F"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990" w:type="dxa"/>
            <w:tcBorders>
              <w:top w:val="nil"/>
              <w:left w:val="nil"/>
              <w:bottom w:val="nil"/>
              <w:right w:val="nil"/>
            </w:tcBorders>
            <w:shd w:val="clear" w:color="auto" w:fill="auto"/>
            <w:noWrap/>
            <w:vAlign w:val="center"/>
            <w:hideMark/>
          </w:tcPr>
          <w:p w14:paraId="47E25096"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810" w:type="dxa"/>
            <w:tcBorders>
              <w:top w:val="nil"/>
              <w:left w:val="nil"/>
              <w:bottom w:val="nil"/>
              <w:right w:val="nil"/>
            </w:tcBorders>
            <w:shd w:val="clear" w:color="auto" w:fill="auto"/>
            <w:noWrap/>
            <w:vAlign w:val="center"/>
            <w:hideMark/>
          </w:tcPr>
          <w:p w14:paraId="503A7484"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720" w:type="dxa"/>
            <w:tcBorders>
              <w:top w:val="nil"/>
              <w:left w:val="nil"/>
              <w:bottom w:val="nil"/>
              <w:right w:val="nil"/>
            </w:tcBorders>
            <w:shd w:val="clear" w:color="auto" w:fill="auto"/>
            <w:noWrap/>
            <w:vAlign w:val="center"/>
            <w:hideMark/>
          </w:tcPr>
          <w:p w14:paraId="6D94C69D"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170" w:type="dxa"/>
            <w:tcBorders>
              <w:top w:val="nil"/>
              <w:left w:val="nil"/>
              <w:bottom w:val="nil"/>
              <w:right w:val="nil"/>
            </w:tcBorders>
            <w:shd w:val="clear" w:color="auto" w:fill="auto"/>
            <w:noWrap/>
            <w:vAlign w:val="center"/>
            <w:hideMark/>
          </w:tcPr>
          <w:p w14:paraId="7F946CFE"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02406862" w14:textId="77777777" w:rsidTr="003C13F4">
        <w:trPr>
          <w:trHeight w:val="300"/>
        </w:trPr>
        <w:tc>
          <w:tcPr>
            <w:tcW w:w="1455" w:type="dxa"/>
            <w:tcBorders>
              <w:top w:val="nil"/>
              <w:left w:val="nil"/>
              <w:bottom w:val="nil"/>
              <w:right w:val="nil"/>
            </w:tcBorders>
            <w:shd w:val="clear" w:color="auto" w:fill="auto"/>
            <w:noWrap/>
            <w:vAlign w:val="bottom"/>
            <w:hideMark/>
          </w:tcPr>
          <w:p w14:paraId="633702BD"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434" w:type="dxa"/>
            <w:tcBorders>
              <w:top w:val="nil"/>
              <w:left w:val="nil"/>
              <w:bottom w:val="nil"/>
              <w:right w:val="nil"/>
            </w:tcBorders>
            <w:shd w:val="clear" w:color="auto" w:fill="auto"/>
            <w:noWrap/>
            <w:vAlign w:val="center"/>
            <w:hideMark/>
          </w:tcPr>
          <w:p w14:paraId="50710153"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5% to &lt;7.5%</w:t>
            </w:r>
          </w:p>
        </w:tc>
        <w:tc>
          <w:tcPr>
            <w:tcW w:w="1266" w:type="dxa"/>
            <w:tcBorders>
              <w:top w:val="nil"/>
              <w:left w:val="nil"/>
              <w:bottom w:val="nil"/>
              <w:right w:val="nil"/>
            </w:tcBorders>
            <w:shd w:val="clear" w:color="auto" w:fill="auto"/>
            <w:noWrap/>
            <w:vAlign w:val="center"/>
            <w:hideMark/>
          </w:tcPr>
          <w:p w14:paraId="1A4C9FE0"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0.83</w:t>
            </w:r>
          </w:p>
        </w:tc>
        <w:tc>
          <w:tcPr>
            <w:tcW w:w="900" w:type="dxa"/>
            <w:tcBorders>
              <w:top w:val="nil"/>
              <w:left w:val="nil"/>
              <w:bottom w:val="nil"/>
              <w:right w:val="nil"/>
            </w:tcBorders>
            <w:shd w:val="clear" w:color="auto" w:fill="auto"/>
            <w:noWrap/>
            <w:vAlign w:val="center"/>
            <w:hideMark/>
          </w:tcPr>
          <w:p w14:paraId="089E1C3C"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0.78</w:t>
            </w:r>
          </w:p>
        </w:tc>
        <w:tc>
          <w:tcPr>
            <w:tcW w:w="990" w:type="dxa"/>
            <w:tcBorders>
              <w:top w:val="nil"/>
              <w:left w:val="nil"/>
              <w:bottom w:val="nil"/>
              <w:right w:val="nil"/>
            </w:tcBorders>
            <w:shd w:val="clear" w:color="auto" w:fill="auto"/>
            <w:noWrap/>
            <w:vAlign w:val="center"/>
            <w:hideMark/>
          </w:tcPr>
          <w:p w14:paraId="34ADE4B1"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0.88</w:t>
            </w:r>
          </w:p>
        </w:tc>
        <w:tc>
          <w:tcPr>
            <w:tcW w:w="810" w:type="dxa"/>
            <w:tcBorders>
              <w:top w:val="nil"/>
              <w:left w:val="nil"/>
              <w:bottom w:val="nil"/>
              <w:right w:val="nil"/>
            </w:tcBorders>
            <w:shd w:val="clear" w:color="auto" w:fill="auto"/>
            <w:noWrap/>
            <w:vAlign w:val="center"/>
            <w:hideMark/>
          </w:tcPr>
          <w:p w14:paraId="0E2B2B4D"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w:t>
            </w:r>
          </w:p>
        </w:tc>
        <w:tc>
          <w:tcPr>
            <w:tcW w:w="720" w:type="dxa"/>
            <w:tcBorders>
              <w:top w:val="nil"/>
              <w:left w:val="nil"/>
              <w:bottom w:val="nil"/>
              <w:right w:val="nil"/>
            </w:tcBorders>
            <w:shd w:val="clear" w:color="auto" w:fill="auto"/>
            <w:noWrap/>
            <w:vAlign w:val="center"/>
            <w:hideMark/>
          </w:tcPr>
          <w:p w14:paraId="2928EA03"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w:t>
            </w:r>
          </w:p>
        </w:tc>
        <w:tc>
          <w:tcPr>
            <w:tcW w:w="1170" w:type="dxa"/>
            <w:tcBorders>
              <w:top w:val="nil"/>
              <w:left w:val="nil"/>
              <w:bottom w:val="nil"/>
              <w:right w:val="nil"/>
            </w:tcBorders>
            <w:shd w:val="clear" w:color="auto" w:fill="auto"/>
            <w:noWrap/>
            <w:vAlign w:val="center"/>
            <w:hideMark/>
          </w:tcPr>
          <w:p w14:paraId="21A6420B"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0.52</w:t>
            </w:r>
          </w:p>
        </w:tc>
      </w:tr>
      <w:tr w:rsidR="00CA0EF0" w:rsidRPr="00361E30" w14:paraId="0CF339E1" w14:textId="77777777" w:rsidTr="003C13F4">
        <w:trPr>
          <w:trHeight w:val="300"/>
        </w:trPr>
        <w:tc>
          <w:tcPr>
            <w:tcW w:w="1455" w:type="dxa"/>
            <w:tcBorders>
              <w:top w:val="nil"/>
              <w:left w:val="nil"/>
              <w:bottom w:val="nil"/>
              <w:right w:val="nil"/>
            </w:tcBorders>
            <w:shd w:val="clear" w:color="auto" w:fill="auto"/>
            <w:noWrap/>
            <w:vAlign w:val="bottom"/>
            <w:hideMark/>
          </w:tcPr>
          <w:p w14:paraId="7BF1168B"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434" w:type="dxa"/>
            <w:tcBorders>
              <w:top w:val="nil"/>
              <w:left w:val="nil"/>
              <w:bottom w:val="nil"/>
              <w:right w:val="nil"/>
            </w:tcBorders>
            <w:shd w:val="clear" w:color="auto" w:fill="auto"/>
            <w:noWrap/>
            <w:vAlign w:val="center"/>
            <w:hideMark/>
          </w:tcPr>
          <w:p w14:paraId="6AFAD35F"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7.5% to &lt;10%</w:t>
            </w:r>
          </w:p>
        </w:tc>
        <w:tc>
          <w:tcPr>
            <w:tcW w:w="1266" w:type="dxa"/>
            <w:tcBorders>
              <w:top w:val="nil"/>
              <w:left w:val="nil"/>
              <w:bottom w:val="nil"/>
              <w:right w:val="nil"/>
            </w:tcBorders>
            <w:shd w:val="clear" w:color="auto" w:fill="auto"/>
            <w:noWrap/>
            <w:vAlign w:val="center"/>
            <w:hideMark/>
          </w:tcPr>
          <w:p w14:paraId="338BE49D"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0.92</w:t>
            </w:r>
          </w:p>
        </w:tc>
        <w:tc>
          <w:tcPr>
            <w:tcW w:w="900" w:type="dxa"/>
            <w:tcBorders>
              <w:top w:val="nil"/>
              <w:left w:val="nil"/>
              <w:bottom w:val="nil"/>
              <w:right w:val="nil"/>
            </w:tcBorders>
            <w:shd w:val="clear" w:color="auto" w:fill="auto"/>
            <w:noWrap/>
            <w:vAlign w:val="center"/>
            <w:hideMark/>
          </w:tcPr>
          <w:p w14:paraId="18CE33AE"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0.86</w:t>
            </w:r>
          </w:p>
        </w:tc>
        <w:tc>
          <w:tcPr>
            <w:tcW w:w="990" w:type="dxa"/>
            <w:tcBorders>
              <w:top w:val="nil"/>
              <w:left w:val="nil"/>
              <w:bottom w:val="nil"/>
              <w:right w:val="nil"/>
            </w:tcBorders>
            <w:shd w:val="clear" w:color="auto" w:fill="auto"/>
            <w:noWrap/>
            <w:vAlign w:val="center"/>
            <w:hideMark/>
          </w:tcPr>
          <w:p w14:paraId="39A1491E"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0.98</w:t>
            </w:r>
          </w:p>
        </w:tc>
        <w:tc>
          <w:tcPr>
            <w:tcW w:w="810" w:type="dxa"/>
            <w:tcBorders>
              <w:top w:val="nil"/>
              <w:left w:val="nil"/>
              <w:bottom w:val="nil"/>
              <w:right w:val="nil"/>
            </w:tcBorders>
            <w:shd w:val="clear" w:color="auto" w:fill="auto"/>
            <w:noWrap/>
            <w:vAlign w:val="center"/>
            <w:hideMark/>
          </w:tcPr>
          <w:p w14:paraId="7B7ED27F"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0.01</w:t>
            </w:r>
          </w:p>
        </w:tc>
        <w:tc>
          <w:tcPr>
            <w:tcW w:w="720" w:type="dxa"/>
            <w:tcBorders>
              <w:top w:val="nil"/>
              <w:left w:val="nil"/>
              <w:bottom w:val="nil"/>
              <w:right w:val="nil"/>
            </w:tcBorders>
            <w:shd w:val="clear" w:color="auto" w:fill="auto"/>
            <w:noWrap/>
            <w:vAlign w:val="center"/>
            <w:hideMark/>
          </w:tcPr>
          <w:p w14:paraId="4B5E40BB"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170" w:type="dxa"/>
            <w:tcBorders>
              <w:top w:val="nil"/>
              <w:left w:val="nil"/>
              <w:bottom w:val="nil"/>
              <w:right w:val="nil"/>
            </w:tcBorders>
            <w:shd w:val="clear" w:color="auto" w:fill="auto"/>
            <w:noWrap/>
            <w:vAlign w:val="center"/>
            <w:hideMark/>
          </w:tcPr>
          <w:p w14:paraId="79E623AA"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5AE724F6" w14:textId="77777777" w:rsidTr="003C13F4">
        <w:trPr>
          <w:trHeight w:val="300"/>
        </w:trPr>
        <w:tc>
          <w:tcPr>
            <w:tcW w:w="1455" w:type="dxa"/>
            <w:tcBorders>
              <w:top w:val="nil"/>
              <w:left w:val="nil"/>
              <w:bottom w:val="nil"/>
              <w:right w:val="nil"/>
            </w:tcBorders>
            <w:shd w:val="clear" w:color="auto" w:fill="auto"/>
            <w:noWrap/>
            <w:vAlign w:val="bottom"/>
            <w:hideMark/>
          </w:tcPr>
          <w:p w14:paraId="6A002FCC" w14:textId="77777777" w:rsidR="00CA0EF0" w:rsidRPr="00361E30" w:rsidRDefault="00CA0EF0" w:rsidP="003C13F4">
            <w:pPr>
              <w:spacing w:after="0" w:line="240" w:lineRule="auto"/>
              <w:rPr>
                <w:rFonts w:ascii="Calibri" w:eastAsia="Times New Roman" w:hAnsi="Calibri" w:cs="Calibri"/>
                <w:b/>
                <w:bCs/>
                <w:color w:val="000000"/>
                <w:lang w:eastAsia="en-GB"/>
              </w:rPr>
            </w:pPr>
          </w:p>
        </w:tc>
        <w:tc>
          <w:tcPr>
            <w:tcW w:w="1434" w:type="dxa"/>
            <w:tcBorders>
              <w:top w:val="nil"/>
              <w:left w:val="nil"/>
              <w:bottom w:val="nil"/>
              <w:right w:val="nil"/>
            </w:tcBorders>
            <w:shd w:val="clear" w:color="auto" w:fill="auto"/>
            <w:noWrap/>
            <w:vAlign w:val="center"/>
            <w:hideMark/>
          </w:tcPr>
          <w:p w14:paraId="243694C1" w14:textId="77777777" w:rsidR="00CA0EF0" w:rsidRPr="00361E30" w:rsidRDefault="00CA0EF0" w:rsidP="003C13F4">
            <w:pPr>
              <w:spacing w:after="0" w:line="240" w:lineRule="auto"/>
              <w:rPr>
                <w:rFonts w:ascii="Calibri" w:eastAsia="Times New Roman" w:hAnsi="Calibri" w:cs="Calibri"/>
                <w:color w:val="000000"/>
                <w:lang w:eastAsia="en-GB"/>
              </w:rPr>
            </w:pPr>
            <w:r w:rsidRPr="00361E30">
              <w:rPr>
                <w:rFonts w:ascii="Calibri" w:eastAsia="Times New Roman" w:hAnsi="Calibri" w:cs="Calibri"/>
                <w:color w:val="000000"/>
                <w:lang w:eastAsia="en-GB"/>
              </w:rPr>
              <w:t>&gt;= 10%</w:t>
            </w:r>
          </w:p>
        </w:tc>
        <w:tc>
          <w:tcPr>
            <w:tcW w:w="1266" w:type="dxa"/>
            <w:tcBorders>
              <w:top w:val="nil"/>
              <w:left w:val="nil"/>
              <w:bottom w:val="nil"/>
              <w:right w:val="nil"/>
            </w:tcBorders>
            <w:shd w:val="clear" w:color="auto" w:fill="auto"/>
            <w:noWrap/>
            <w:vAlign w:val="center"/>
            <w:hideMark/>
          </w:tcPr>
          <w:p w14:paraId="5CF57C50"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0.89</w:t>
            </w:r>
          </w:p>
        </w:tc>
        <w:tc>
          <w:tcPr>
            <w:tcW w:w="900" w:type="dxa"/>
            <w:tcBorders>
              <w:top w:val="nil"/>
              <w:left w:val="nil"/>
              <w:bottom w:val="nil"/>
              <w:right w:val="nil"/>
            </w:tcBorders>
            <w:shd w:val="clear" w:color="auto" w:fill="auto"/>
            <w:noWrap/>
            <w:vAlign w:val="center"/>
            <w:hideMark/>
          </w:tcPr>
          <w:p w14:paraId="50AEFED9"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0.83</w:t>
            </w:r>
          </w:p>
        </w:tc>
        <w:tc>
          <w:tcPr>
            <w:tcW w:w="990" w:type="dxa"/>
            <w:tcBorders>
              <w:top w:val="nil"/>
              <w:left w:val="nil"/>
              <w:bottom w:val="nil"/>
              <w:right w:val="nil"/>
            </w:tcBorders>
            <w:shd w:val="clear" w:color="auto" w:fill="auto"/>
            <w:noWrap/>
            <w:vAlign w:val="center"/>
            <w:hideMark/>
          </w:tcPr>
          <w:p w14:paraId="6473B959"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0.96</w:t>
            </w:r>
          </w:p>
        </w:tc>
        <w:tc>
          <w:tcPr>
            <w:tcW w:w="810" w:type="dxa"/>
            <w:tcBorders>
              <w:top w:val="nil"/>
              <w:left w:val="nil"/>
              <w:bottom w:val="nil"/>
              <w:right w:val="nil"/>
            </w:tcBorders>
            <w:shd w:val="clear" w:color="auto" w:fill="auto"/>
            <w:noWrap/>
            <w:vAlign w:val="center"/>
            <w:hideMark/>
          </w:tcPr>
          <w:p w14:paraId="469A8876"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w:t>
            </w:r>
          </w:p>
        </w:tc>
        <w:tc>
          <w:tcPr>
            <w:tcW w:w="720" w:type="dxa"/>
            <w:tcBorders>
              <w:top w:val="nil"/>
              <w:left w:val="nil"/>
              <w:bottom w:val="nil"/>
              <w:right w:val="nil"/>
            </w:tcBorders>
            <w:shd w:val="clear" w:color="auto" w:fill="auto"/>
            <w:noWrap/>
            <w:vAlign w:val="center"/>
            <w:hideMark/>
          </w:tcPr>
          <w:p w14:paraId="3171FDBF"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170" w:type="dxa"/>
            <w:tcBorders>
              <w:top w:val="nil"/>
              <w:left w:val="nil"/>
              <w:bottom w:val="nil"/>
              <w:right w:val="nil"/>
            </w:tcBorders>
            <w:shd w:val="clear" w:color="auto" w:fill="auto"/>
            <w:noWrap/>
            <w:vAlign w:val="center"/>
            <w:hideMark/>
          </w:tcPr>
          <w:p w14:paraId="7D204AEB"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r w:rsidR="00CA0EF0" w:rsidRPr="00361E30" w14:paraId="1B1585E2" w14:textId="77777777" w:rsidTr="003C13F4">
        <w:trPr>
          <w:trHeight w:val="315"/>
        </w:trPr>
        <w:tc>
          <w:tcPr>
            <w:tcW w:w="2889" w:type="dxa"/>
            <w:gridSpan w:val="2"/>
            <w:tcBorders>
              <w:top w:val="nil"/>
              <w:left w:val="nil"/>
              <w:bottom w:val="double" w:sz="6" w:space="0" w:color="auto"/>
              <w:right w:val="nil"/>
            </w:tcBorders>
            <w:shd w:val="clear" w:color="auto" w:fill="auto"/>
            <w:noWrap/>
            <w:vAlign w:val="center"/>
            <w:hideMark/>
          </w:tcPr>
          <w:p w14:paraId="7081DA7D" w14:textId="77777777" w:rsidR="00CA0EF0" w:rsidRPr="00361E30" w:rsidRDefault="00CA0EF0" w:rsidP="003C13F4">
            <w:pPr>
              <w:spacing w:after="0" w:line="240" w:lineRule="auto"/>
              <w:jc w:val="right"/>
              <w:rPr>
                <w:rFonts w:ascii="Calibri" w:eastAsia="Times New Roman" w:hAnsi="Calibri" w:cs="Calibri"/>
                <w:b/>
                <w:bCs/>
                <w:color w:val="000000"/>
                <w:lang w:eastAsia="en-GB"/>
              </w:rPr>
            </w:pPr>
            <w:r w:rsidRPr="00361E30">
              <w:rPr>
                <w:rFonts w:ascii="Calibri" w:eastAsia="Times New Roman" w:hAnsi="Calibri" w:cs="Calibri"/>
                <w:b/>
                <w:bCs/>
                <w:color w:val="000000"/>
                <w:lang w:eastAsia="en-GB"/>
              </w:rPr>
              <w:t> </w:t>
            </w:r>
            <w:r w:rsidRPr="00361E30">
              <w:rPr>
                <w:rFonts w:ascii="Calibri" w:eastAsia="Times New Roman" w:hAnsi="Calibri" w:cs="Calibri"/>
                <w:color w:val="000000"/>
                <w:lang w:eastAsia="en-GB"/>
              </w:rPr>
              <w:t>Not Recorded</w:t>
            </w:r>
          </w:p>
        </w:tc>
        <w:tc>
          <w:tcPr>
            <w:tcW w:w="1266" w:type="dxa"/>
            <w:tcBorders>
              <w:top w:val="nil"/>
              <w:left w:val="nil"/>
              <w:bottom w:val="double" w:sz="6" w:space="0" w:color="auto"/>
              <w:right w:val="nil"/>
            </w:tcBorders>
            <w:shd w:val="clear" w:color="auto" w:fill="auto"/>
            <w:noWrap/>
            <w:vAlign w:val="center"/>
            <w:hideMark/>
          </w:tcPr>
          <w:p w14:paraId="40A7E78B"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0.79</w:t>
            </w:r>
          </w:p>
        </w:tc>
        <w:tc>
          <w:tcPr>
            <w:tcW w:w="900" w:type="dxa"/>
            <w:tcBorders>
              <w:top w:val="nil"/>
              <w:left w:val="nil"/>
              <w:bottom w:val="double" w:sz="6" w:space="0" w:color="auto"/>
              <w:right w:val="nil"/>
            </w:tcBorders>
            <w:shd w:val="clear" w:color="auto" w:fill="auto"/>
            <w:noWrap/>
            <w:vAlign w:val="center"/>
            <w:hideMark/>
          </w:tcPr>
          <w:p w14:paraId="046A9C56"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0.74</w:t>
            </w:r>
          </w:p>
        </w:tc>
        <w:tc>
          <w:tcPr>
            <w:tcW w:w="990" w:type="dxa"/>
            <w:tcBorders>
              <w:top w:val="nil"/>
              <w:left w:val="nil"/>
              <w:bottom w:val="double" w:sz="6" w:space="0" w:color="auto"/>
              <w:right w:val="nil"/>
            </w:tcBorders>
            <w:shd w:val="clear" w:color="auto" w:fill="auto"/>
            <w:noWrap/>
            <w:vAlign w:val="center"/>
            <w:hideMark/>
          </w:tcPr>
          <w:p w14:paraId="08FC44BF"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0.84</w:t>
            </w:r>
          </w:p>
        </w:tc>
        <w:tc>
          <w:tcPr>
            <w:tcW w:w="810" w:type="dxa"/>
            <w:tcBorders>
              <w:top w:val="nil"/>
              <w:left w:val="nil"/>
              <w:bottom w:val="double" w:sz="6" w:space="0" w:color="auto"/>
              <w:right w:val="nil"/>
            </w:tcBorders>
            <w:shd w:val="clear" w:color="auto" w:fill="auto"/>
            <w:noWrap/>
            <w:vAlign w:val="center"/>
            <w:hideMark/>
          </w:tcPr>
          <w:p w14:paraId="50E5FB06" w14:textId="77777777" w:rsidR="00CA0EF0" w:rsidRPr="00361E30" w:rsidRDefault="00CA0EF0" w:rsidP="003C13F4">
            <w:pPr>
              <w:spacing w:after="0" w:line="240" w:lineRule="auto"/>
              <w:jc w:val="center"/>
              <w:rPr>
                <w:rFonts w:ascii="Calibri" w:eastAsia="Times New Roman" w:hAnsi="Calibri" w:cs="Calibri"/>
                <w:color w:val="000000"/>
                <w:lang w:eastAsia="en-GB"/>
              </w:rPr>
            </w:pPr>
            <w:r w:rsidRPr="00361E30">
              <w:rPr>
                <w:rFonts w:ascii="Calibri" w:eastAsia="Times New Roman" w:hAnsi="Calibri" w:cs="Calibri"/>
                <w:color w:val="000000"/>
                <w:lang w:eastAsia="en-GB"/>
              </w:rPr>
              <w:t>0.00</w:t>
            </w:r>
          </w:p>
        </w:tc>
        <w:tc>
          <w:tcPr>
            <w:tcW w:w="720" w:type="dxa"/>
            <w:tcBorders>
              <w:top w:val="nil"/>
              <w:left w:val="nil"/>
              <w:bottom w:val="double" w:sz="6" w:space="0" w:color="auto"/>
              <w:right w:val="nil"/>
            </w:tcBorders>
            <w:shd w:val="clear" w:color="auto" w:fill="auto"/>
            <w:noWrap/>
            <w:vAlign w:val="center"/>
            <w:hideMark/>
          </w:tcPr>
          <w:p w14:paraId="21DBF265"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c>
          <w:tcPr>
            <w:tcW w:w="1170" w:type="dxa"/>
            <w:tcBorders>
              <w:top w:val="nil"/>
              <w:left w:val="nil"/>
              <w:bottom w:val="double" w:sz="6" w:space="0" w:color="auto"/>
              <w:right w:val="nil"/>
            </w:tcBorders>
            <w:shd w:val="clear" w:color="auto" w:fill="auto"/>
            <w:noWrap/>
            <w:vAlign w:val="center"/>
            <w:hideMark/>
          </w:tcPr>
          <w:p w14:paraId="0DEEBEAC" w14:textId="77777777" w:rsidR="00CA0EF0" w:rsidRPr="00361E30" w:rsidRDefault="00CA0EF0" w:rsidP="003C13F4">
            <w:pPr>
              <w:spacing w:after="0" w:line="240" w:lineRule="auto"/>
              <w:jc w:val="center"/>
              <w:rPr>
                <w:rFonts w:ascii="Calibri" w:eastAsia="Times New Roman" w:hAnsi="Calibri" w:cs="Calibri"/>
                <w:color w:val="000000"/>
                <w:lang w:eastAsia="en-GB"/>
              </w:rPr>
            </w:pPr>
          </w:p>
        </w:tc>
      </w:tr>
    </w:tbl>
    <w:p w14:paraId="23BDE7D3" w14:textId="77777777" w:rsidR="00CA0EF0" w:rsidRPr="00361E30" w:rsidRDefault="00CA0EF0" w:rsidP="003C13F4">
      <w:pPr>
        <w:pStyle w:val="TableTitle"/>
      </w:pPr>
      <w:bookmarkStart w:id="164" w:name="_Toc528321056"/>
      <w:r w:rsidRPr="00361E30">
        <w:t xml:space="preserve">Table 6.1: Univariate </w:t>
      </w:r>
      <w:r w:rsidR="008D0569">
        <w:t>a</w:t>
      </w:r>
      <w:r w:rsidRPr="00361E30">
        <w:t xml:space="preserve">nalysis of </w:t>
      </w:r>
      <w:r w:rsidR="008D0569">
        <w:t>p</w:t>
      </w:r>
      <w:r w:rsidRPr="00361E30">
        <w:t xml:space="preserve">rocess </w:t>
      </w:r>
      <w:r w:rsidR="008D0569">
        <w:t>v</w:t>
      </w:r>
      <w:r w:rsidRPr="00361E30">
        <w:t>ariables and survival</w:t>
      </w:r>
      <w:bookmarkEnd w:id="164"/>
    </w:p>
    <w:p w14:paraId="47735062" w14:textId="77777777" w:rsidR="00CA0EF0" w:rsidRPr="00361E30" w:rsidRDefault="00CA0EF0" w:rsidP="003C13F4">
      <w:pPr>
        <w:pStyle w:val="Heading2"/>
      </w:pPr>
      <w:bookmarkStart w:id="165" w:name="_Toc1902321"/>
      <w:r w:rsidRPr="00361E30">
        <w:t>6.3.2</w:t>
      </w:r>
      <w:r w:rsidRPr="00361E30">
        <w:tab/>
        <w:t>Applying Relevant Variables to the Multivariate Model</w:t>
      </w:r>
      <w:bookmarkEnd w:id="165"/>
    </w:p>
    <w:p w14:paraId="2DDFAB6D" w14:textId="77777777" w:rsidR="00CA0EF0" w:rsidRPr="00361E30" w:rsidRDefault="00CA0EF0" w:rsidP="003C13F4">
      <w:r w:rsidRPr="00361E30">
        <w:t xml:space="preserve">All variables assessed on univariate analysis (Section 6.3.1) that demonstrated a moderate association with survival (p≤0.2) were tested in the multivariate analysis. Multilevel modelling, using a random intercept, was used to test the significance of these variables when added to the original model derived in Chapter 5. These additional variables were added to the model as level 2 variables, stratified by institution. The variables tested in the multilevel model included hospital status (MTC vs TU); proportion of patients with ISS&gt;15 who were admitted to ICU; proportion of patients with severe abdominal injuries (AIS ≥3) who had emergency surgery; proportion of trauma patients aged ≥ 65 years; hospital CQC rating and hip fracture mortality rates. Variables were added using a forward stepwise approach. None of the variables </w:t>
      </w:r>
      <w:r w:rsidRPr="00361E30">
        <w:lastRenderedPageBreak/>
        <w:t>demonstrated a significant association with survival when added to the multivariate model. Overall performance of the different models is shown in Table 6.2. None of the new models performed significantly better than the best model using only patient variables.</w:t>
      </w:r>
    </w:p>
    <w:p w14:paraId="78C036AE" w14:textId="77777777" w:rsidR="00CA0EF0" w:rsidRPr="00993D1E" w:rsidRDefault="00CA0EF0" w:rsidP="003C13F4">
      <w:pPr>
        <w:pStyle w:val="Heading3"/>
        <w:rPr>
          <w:lang w:val="pt-PT"/>
        </w:rPr>
      </w:pPr>
      <w:r w:rsidRPr="00993D1E">
        <w:rPr>
          <w:lang w:val="pt-PT"/>
        </w:rPr>
        <w:t xml:space="preserve">6.3.2.1 </w:t>
      </w:r>
      <w:r w:rsidRPr="00993D1E">
        <w:rPr>
          <w:lang w:val="pt-PT"/>
        </w:rPr>
        <w:tab/>
        <w:t>Major Trauma Centres vs Trauma Units</w:t>
      </w:r>
    </w:p>
    <w:p w14:paraId="00FEB95C" w14:textId="77777777" w:rsidR="00CA0EF0" w:rsidRPr="00361E30" w:rsidRDefault="00CA0EF0" w:rsidP="003C13F4">
      <w:r w:rsidRPr="00361E30">
        <w:t xml:space="preserve">The increased survival of older patients in trauma units that had been observed on univariate analysis did not persist in the multilevel model. For patients in major trauma centres, the adjusted odds of survival </w:t>
      </w:r>
      <w:r w:rsidR="00D90A98" w:rsidRPr="00361E30">
        <w:t>were</w:t>
      </w:r>
      <w:r w:rsidRPr="00361E30">
        <w:t xml:space="preserve"> 0.892 (95% CI 0.77 to 1.03; p=0.119).</w:t>
      </w:r>
    </w:p>
    <w:p w14:paraId="4719B38C" w14:textId="77777777" w:rsidR="00CA0EF0" w:rsidRPr="00361E30" w:rsidRDefault="00CA0EF0" w:rsidP="003C13F4">
      <w:pPr>
        <w:pStyle w:val="Heading3"/>
      </w:pPr>
      <w:r w:rsidRPr="00361E30">
        <w:t xml:space="preserve">6.3.2.2 </w:t>
      </w:r>
      <w:r w:rsidRPr="00361E30">
        <w:tab/>
        <w:t>Neurosurgery on Site</w:t>
      </w:r>
    </w:p>
    <w:p w14:paraId="4009D362" w14:textId="77777777" w:rsidR="00CA0EF0" w:rsidRPr="00361E30" w:rsidRDefault="00CA0EF0" w:rsidP="003C13F4">
      <w:r w:rsidRPr="00361E30">
        <w:t xml:space="preserve">On adding </w:t>
      </w:r>
      <w:r w:rsidR="00D90A98" w:rsidRPr="00361E30">
        <w:t>whether</w:t>
      </w:r>
      <w:r w:rsidRPr="00361E30">
        <w:t xml:space="preserve"> hospitals had neurosurgery on site to the multilevel model there was no significant difference in survival of older patients in hospitals with and without neurosurgery on site. For hospitals with neurosurgery on site, the adjusted odds ratio for 30-day survival was 1.13 (95% CI 0.98 to 1.30; </w:t>
      </w:r>
      <w:r w:rsidR="00CE038B">
        <w:t>p</w:t>
      </w:r>
      <w:r w:rsidRPr="00361E30">
        <w:t xml:space="preserve"> = .092). This variable was added to the model as an institutional level variable.</w:t>
      </w:r>
    </w:p>
    <w:p w14:paraId="53FF2D84" w14:textId="77777777" w:rsidR="00CA0EF0" w:rsidRPr="00361E30" w:rsidRDefault="00CA0EF0" w:rsidP="003C13F4">
      <w:pPr>
        <w:pStyle w:val="Heading3"/>
      </w:pPr>
      <w:r w:rsidRPr="00361E30">
        <w:t xml:space="preserve">6.3.2.3 </w:t>
      </w:r>
      <w:r w:rsidRPr="00361E30">
        <w:tab/>
        <w:t>Percentage of Seriously Injured Older Trauma Patients Admitted to ICU</w:t>
      </w:r>
    </w:p>
    <w:p w14:paraId="7F8215C3" w14:textId="77777777" w:rsidR="00CA0EF0" w:rsidRPr="00361E30" w:rsidRDefault="00CA0EF0" w:rsidP="003C13F4">
      <w:r w:rsidRPr="00361E30">
        <w:t xml:space="preserve">When added to the best predictive model from Chapter 5, the adjusted odds ratio for survival in hospitals that admitted ≥20% of older patients with an ISS&gt;15 to ICU was 0.916 (95% CI 0.807 to 1.04; p=0.179). </w:t>
      </w:r>
    </w:p>
    <w:p w14:paraId="3C89E0DC" w14:textId="77777777" w:rsidR="00CA0EF0" w:rsidRPr="00361E30" w:rsidRDefault="00CA0EF0" w:rsidP="003C13F4">
      <w:pPr>
        <w:pStyle w:val="Heading3"/>
      </w:pPr>
      <w:r w:rsidRPr="00361E30">
        <w:t>6.3.2.4 Percentage of Older Patients Receiving Emergency Laparotomy</w:t>
      </w:r>
    </w:p>
    <w:p w14:paraId="10843E0D" w14:textId="77777777" w:rsidR="00CA0EF0" w:rsidRPr="00361E30" w:rsidRDefault="00CA0EF0" w:rsidP="003C13F4">
      <w:r w:rsidRPr="00361E30">
        <w:t>The moderate association between hospitals’ laparotomy rates for older people with serious abdominal injuries and survival, which was seen in the univariate analysis, did not persist on multivariate analysis.  Using a reference of hospitals with a laparotomy rate of &lt;30%, the odds of survival for older major trauma patients admitted to hospitals with a laparotomy rate of ≥30% were 0.940 (95% CI 0.871 to 1.01, p=0.11). This variable was therefore not retained in the multivariate model.</w:t>
      </w:r>
    </w:p>
    <w:p w14:paraId="3C4D424E" w14:textId="77777777" w:rsidR="00CA0EF0" w:rsidRPr="00361E30" w:rsidRDefault="00CA0EF0" w:rsidP="003C13F4">
      <w:pPr>
        <w:pStyle w:val="Heading3"/>
      </w:pPr>
      <w:r w:rsidRPr="00361E30">
        <w:t>6.3.2.5</w:t>
      </w:r>
      <w:r w:rsidRPr="00361E30">
        <w:tab/>
        <w:t>Percentage of Older Major Trauma Patients Aged ≥65 years</w:t>
      </w:r>
    </w:p>
    <w:p w14:paraId="7AF56C0B" w14:textId="77777777" w:rsidR="00CA0EF0" w:rsidRPr="00361E30" w:rsidRDefault="00CA0EF0" w:rsidP="003C13F4">
      <w:r w:rsidRPr="00361E30">
        <w:t>The association between the proportion of trauma patients at each hospital that were aged ≥65 years and survival did not persist in the multilevel model. The adjusted odds for survival in hospitals in which &gt;50% of trauma patients were &gt;65 years old was 1.097 (95% CI 0.975 to 1.234; p=0.148), compared to hospitals seeing a smaller proportion of older patients.</w:t>
      </w:r>
    </w:p>
    <w:p w14:paraId="343EEDAA" w14:textId="77777777" w:rsidR="00CA0EF0" w:rsidRPr="00361E30" w:rsidRDefault="00CA0EF0" w:rsidP="003C13F4">
      <w:pPr>
        <w:pStyle w:val="Heading3"/>
      </w:pPr>
      <w:r w:rsidRPr="00361E30">
        <w:t xml:space="preserve">6.3.2.6 </w:t>
      </w:r>
      <w:r w:rsidRPr="00361E30">
        <w:tab/>
        <w:t>CQC Rating of Hospitals</w:t>
      </w:r>
    </w:p>
    <w:p w14:paraId="6D305C69" w14:textId="77777777" w:rsidR="00CA0EF0" w:rsidRPr="00361E30" w:rsidRDefault="00CA0EF0" w:rsidP="003C13F4">
      <w:r w:rsidRPr="00361E30">
        <w:t xml:space="preserve">On multivariate analysis, the differences in survival of older patients in hospitals with different CQC ratings, which was observed on univariate analysis, did not persist. When added to the model from Chapter 5, and using the category ‘requires improvement’ as the reference, the </w:t>
      </w:r>
      <w:r w:rsidRPr="00361E30">
        <w:lastRenderedPageBreak/>
        <w:t>odds of survival for hospitals in each of the other categories were: ‘inadequate’ - AOR 0.883( 95% CI 0.708 to 1.102); ‘good’ - AOR 0.927 (95% CI 0.777 to 1.106); ‘outstanding’ – AOR 0.818 (95% CI 0.613 to 1.090); ‘not recorded’ - 1.017 (95% CI 0.879 to 1.176). None of these odds ratios reached statistical significance.</w:t>
      </w:r>
    </w:p>
    <w:p w14:paraId="7356172F" w14:textId="77777777" w:rsidR="00CA0EF0" w:rsidRPr="00361E30" w:rsidRDefault="00CA0EF0" w:rsidP="003C13F4">
      <w:pPr>
        <w:pStyle w:val="Heading3"/>
      </w:pPr>
      <w:r w:rsidRPr="00361E30">
        <w:t xml:space="preserve">6.3.2.7 </w:t>
      </w:r>
      <w:r w:rsidRPr="00361E30">
        <w:tab/>
        <w:t>Hip Fracture Mortality</w:t>
      </w:r>
    </w:p>
    <w:p w14:paraId="48C46DC5" w14:textId="77777777" w:rsidR="00CA0EF0" w:rsidRPr="00361E30" w:rsidRDefault="00CA0EF0" w:rsidP="003C13F4">
      <w:r w:rsidRPr="00361E30">
        <w:t xml:space="preserve">The significant decrease in survival of older patients treated at hospitals with higher hip fracture mortality rates, seen on univariate analysis, did not persist in the multivariate model. </w:t>
      </w:r>
    </w:p>
    <w:p w14:paraId="32B3F69C" w14:textId="77777777" w:rsidR="00CA0EF0" w:rsidRPr="00361E30" w:rsidRDefault="00CA0EF0" w:rsidP="003C13F4">
      <w:pPr>
        <w:pStyle w:val="Heading1"/>
      </w:pPr>
      <w:bookmarkStart w:id="166" w:name="_Toc1902322"/>
      <w:r w:rsidRPr="00361E30">
        <w:t>6.4</w:t>
      </w:r>
      <w:r w:rsidRPr="00361E30">
        <w:tab/>
        <w:t>The final multivariate model</w:t>
      </w:r>
      <w:bookmarkEnd w:id="166"/>
    </w:p>
    <w:p w14:paraId="3D08828F" w14:textId="77777777" w:rsidR="00CA0EF0" w:rsidRPr="00361E30" w:rsidRDefault="00CA0EF0" w:rsidP="003C13F4">
      <w:r w:rsidRPr="00361E30">
        <w:t xml:space="preserve">Since none of the process variables tested were found to have a significant association with survival on multilevel modelling, they were not included in the final model. </w:t>
      </w:r>
      <w:r w:rsidR="00D90A98" w:rsidRPr="00361E30">
        <w:t>Thus,</w:t>
      </w:r>
      <w:r w:rsidRPr="00361E30">
        <w:t xml:space="preserve"> the final predictive model used to identify outliers was the multivariate model derived in Chapter 5. The residual intra-class correlation for this model (the proportion of intra-hospital variance not explained by factors in the model) </w:t>
      </w:r>
      <w:r w:rsidR="00D90A98" w:rsidRPr="00361E30">
        <w:t>was 26.7</w:t>
      </w:r>
      <w:r w:rsidRPr="00361E30">
        <w:t xml:space="preserve">% (95% confidence interval 18.1% - 39.4%). Figure 6.6 shows the Ws scores for hospitals included in the final analysis (those with good quality data and at least 50 cases), demonstrating a high degree of variance between individual hospitals.  For comparison, Figure 6.7 plots the Ws scores of the same hospitals, this time including all age groups (not just those aged ≥65 years) and using the PS14 model to predict Ws. </w:t>
      </w:r>
    </w:p>
    <w:p w14:paraId="0A857128" w14:textId="77777777" w:rsidR="00EC513B" w:rsidRPr="00361E30" w:rsidRDefault="00EC513B" w:rsidP="00EC513B">
      <w:pPr>
        <w:pStyle w:val="Heading1"/>
      </w:pPr>
      <w:bookmarkStart w:id="167" w:name="_Toc1902323"/>
      <w:r w:rsidRPr="00361E30">
        <w:t>6.5</w:t>
      </w:r>
      <w:r w:rsidRPr="00361E30">
        <w:tab/>
        <w:t xml:space="preserve">Choosing Outlying Hospitals for Inclusion in Phase </w:t>
      </w:r>
      <w:r w:rsidR="000817FA">
        <w:t>2</w:t>
      </w:r>
      <w:r w:rsidRPr="00361E30">
        <w:t xml:space="preserve"> of the Study</w:t>
      </w:r>
      <w:bookmarkEnd w:id="167"/>
    </w:p>
    <w:p w14:paraId="3C52D0C4" w14:textId="77777777" w:rsidR="00EC513B" w:rsidRPr="00361E30" w:rsidRDefault="000817FA" w:rsidP="00EC513B">
      <w:r>
        <w:t xml:space="preserve">Using the principles of Qualitative Residual Analysis, hospitals </w:t>
      </w:r>
      <w:r w:rsidR="00C10F07">
        <w:t>in which</w:t>
      </w:r>
      <w:r>
        <w:t xml:space="preserve"> actual survival rates were either significantly greater or less than that predicted by the model were chosen for Phase 2 of the study (See Section</w:t>
      </w:r>
      <w:r w:rsidR="004403F6">
        <w:t>s</w:t>
      </w:r>
      <w:r>
        <w:t xml:space="preserve"> 3.2.1</w:t>
      </w:r>
      <w:r w:rsidR="004403F6">
        <w:t xml:space="preserve"> and 3.3.4.1</w:t>
      </w:r>
      <w:r>
        <w:t xml:space="preserve"> for a full description of this aspect of the methodology). </w:t>
      </w:r>
      <w:r w:rsidR="00EC513B" w:rsidRPr="00361E30">
        <w:t>The outliers with the largest sample size (and smallest variance) were chosen for inclusion in Phase 2 of the study. These were hospitals number 49, 38 and 171 (the 3 hospitals with the largest number of returns with a Ws &gt;2SDs below predicted) and hospitals number 92, 154 and 60 (the hospitals with the largest number of returns with a Ws &gt;2SDs above predicted). All six outl</w:t>
      </w:r>
      <w:r w:rsidR="008F0255">
        <w:t>ier</w:t>
      </w:r>
      <w:r w:rsidR="00EC513B" w:rsidRPr="00361E30">
        <w:t xml:space="preserve"> hospitals were major trauma centres. Incidentally, all three </w:t>
      </w:r>
      <w:r w:rsidR="001D641C">
        <w:t xml:space="preserve">positive </w:t>
      </w:r>
      <w:r w:rsidR="00EC513B" w:rsidRPr="00361E30">
        <w:t xml:space="preserve">outliers had Ws scores ≥3SDs above predicted. </w:t>
      </w:r>
    </w:p>
    <w:p w14:paraId="501FC2BF" w14:textId="77777777" w:rsidR="00EC513B" w:rsidRPr="00361E30" w:rsidRDefault="00EC513B" w:rsidP="00EC513B">
      <w:pPr>
        <w:ind w:firstLine="720"/>
      </w:pPr>
      <w:r w:rsidRPr="00361E30">
        <w:t>Each of the six outlier hospitals was approached in turn, starting with the hospital with the largest number of submissions to TARN, but holding the other outliers in reserve in case the hospitals initially approached did not consent to having their staff interviewed for Phase 2 of the study. Ultimately, the hospitals chosen were hospitals 92 and 171.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7945"/>
        <w:gridCol w:w="900"/>
      </w:tblGrid>
      <w:tr w:rsidR="00EC513B" w:rsidRPr="00361E30" w14:paraId="5EE36FDB" w14:textId="77777777" w:rsidTr="00C90C39">
        <w:trPr>
          <w:cantSplit/>
          <w:trHeight w:val="10050"/>
        </w:trPr>
        <w:tc>
          <w:tcPr>
            <w:tcW w:w="7945" w:type="dxa"/>
          </w:tcPr>
          <w:p w14:paraId="6D7F0787" w14:textId="77777777" w:rsidR="00EC513B" w:rsidRPr="00361E30" w:rsidRDefault="00EC513B" w:rsidP="00C90C39">
            <w:pPr>
              <w:spacing w:line="276" w:lineRule="auto"/>
              <w:jc w:val="left"/>
              <w:rPr>
                <w:b/>
                <w:lang w:val="en-GB"/>
              </w:rPr>
            </w:pPr>
            <w:r w:rsidRPr="00361E30">
              <w:rPr>
                <w:noProof/>
                <w:lang w:eastAsia="en-GB"/>
              </w:rPr>
              <w:lastRenderedPageBreak/>
              <w:drawing>
                <wp:inline distT="0" distB="0" distL="0" distR="0" wp14:anchorId="616CE3EA" wp14:editId="297061A0">
                  <wp:extent cx="7886700" cy="4854800"/>
                  <wp:effectExtent l="0" t="7938"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rot="16200000">
                            <a:off x="0" y="0"/>
                            <a:ext cx="7939746" cy="4887453"/>
                          </a:xfrm>
                          <a:prstGeom prst="rect">
                            <a:avLst/>
                          </a:prstGeom>
                          <a:ln/>
                        </pic:spPr>
                      </pic:pic>
                    </a:graphicData>
                  </a:graphic>
                </wp:inline>
              </w:drawing>
            </w:r>
          </w:p>
        </w:tc>
        <w:tc>
          <w:tcPr>
            <w:tcW w:w="900" w:type="dxa"/>
            <w:textDirection w:val="btLr"/>
          </w:tcPr>
          <w:p w14:paraId="3D50C6B2" w14:textId="77777777" w:rsidR="00EC513B" w:rsidRPr="00361E30" w:rsidRDefault="00EC513B" w:rsidP="00C90C39">
            <w:pPr>
              <w:pStyle w:val="TableTitle"/>
              <w:rPr>
                <w:lang w:val="en-GB"/>
              </w:rPr>
            </w:pPr>
            <w:bookmarkStart w:id="168" w:name="_Toc528321057"/>
            <w:r w:rsidRPr="00361E30">
              <w:rPr>
                <w:lang w:val="en-GB"/>
              </w:rPr>
              <w:t>Table 6.2: Performance characteristics of the multivariate models that included process variables.</w:t>
            </w:r>
            <w:bookmarkEnd w:id="168"/>
          </w:p>
        </w:tc>
      </w:tr>
    </w:tbl>
    <w:p w14:paraId="5647128D" w14:textId="77777777" w:rsidR="00EC513B" w:rsidRPr="00361E30" w:rsidRDefault="00EC513B" w:rsidP="003C13F4"/>
    <w:p w14:paraId="7F9F9DEF" w14:textId="77777777" w:rsidR="00CA0EF0" w:rsidRPr="00361E30" w:rsidRDefault="00CA0EF0" w:rsidP="003C13F4">
      <w:r w:rsidRPr="00361E30">
        <w:rPr>
          <w:noProof/>
          <w:lang w:eastAsia="en-GB"/>
        </w:rPr>
        <w:lastRenderedPageBreak/>
        <w:drawing>
          <wp:inline distT="0" distB="0" distL="0" distR="0" wp14:anchorId="575DF3E4" wp14:editId="4A625795">
            <wp:extent cx="5734493" cy="3267740"/>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734493" cy="3267740"/>
                    </a:xfrm>
                    <a:prstGeom prst="rect">
                      <a:avLst/>
                    </a:prstGeom>
                    <a:ln/>
                  </pic:spPr>
                </pic:pic>
              </a:graphicData>
            </a:graphic>
          </wp:inline>
        </w:drawing>
      </w:r>
    </w:p>
    <w:p w14:paraId="297ADD8D" w14:textId="77777777" w:rsidR="00CA0EF0" w:rsidRPr="00361E30" w:rsidRDefault="00CA0EF0" w:rsidP="003C13F4">
      <w:pPr>
        <w:pStyle w:val="FigureTitle"/>
      </w:pPr>
      <w:bookmarkStart w:id="169" w:name="_Toc529090347"/>
      <w:r w:rsidRPr="00361E30">
        <w:t>Figure 6.6: Ws scores for hospitals included in the final analysis, using the PS24a model (the new derived model) to predict Ws. Ws scores ranged from -9.5 (95% CI -15.9 to -3.2) to 4.4 (95% CI 0.5 to 8.4).</w:t>
      </w:r>
      <w:bookmarkEnd w:id="169"/>
    </w:p>
    <w:p w14:paraId="69922A49" w14:textId="77777777" w:rsidR="00EC513B" w:rsidRPr="00361E30" w:rsidRDefault="00EC513B" w:rsidP="003C13F4">
      <w:pPr>
        <w:pStyle w:val="FigureTitle"/>
      </w:pPr>
    </w:p>
    <w:p w14:paraId="276D17F9" w14:textId="77777777" w:rsidR="00CA0EF0" w:rsidRPr="00361E30" w:rsidRDefault="00CA0EF0" w:rsidP="003C13F4">
      <w:r w:rsidRPr="00361E30">
        <w:rPr>
          <w:noProof/>
          <w:lang w:eastAsia="en-GB"/>
        </w:rPr>
        <w:drawing>
          <wp:inline distT="0" distB="0" distL="0" distR="0" wp14:anchorId="39C6BC3B" wp14:editId="182FF9C1">
            <wp:extent cx="5731510" cy="2153601"/>
            <wp:effectExtent l="0" t="0" r="21590" b="184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3D830D" w14:textId="77777777" w:rsidR="00CA0EF0" w:rsidRPr="00361E30" w:rsidRDefault="00CA0EF0" w:rsidP="003C13F4">
      <w:pPr>
        <w:pStyle w:val="FigureTitle"/>
      </w:pPr>
      <w:bookmarkStart w:id="170" w:name="_Toc529090348"/>
      <w:r w:rsidRPr="00361E30">
        <w:t>Figure 6.7: Ws scores for hospitals included in the final analysis, using the PS14 model (current TARN model) to predict Ws, and including all age groups. Ws scores ranged from -4.3 (95% CI -7.8 to -0.7) to 2.5 (95% CI 0.6 to 4.4).</w:t>
      </w:r>
      <w:bookmarkEnd w:id="170"/>
    </w:p>
    <w:p w14:paraId="15D94A2A" w14:textId="77777777" w:rsidR="00CA0EF0" w:rsidRPr="00361E30" w:rsidRDefault="00CA0EF0" w:rsidP="003C13F4">
      <w:pPr>
        <w:tabs>
          <w:tab w:val="left" w:pos="960"/>
        </w:tabs>
      </w:pPr>
      <w:r w:rsidRPr="00361E30">
        <w:tab/>
      </w:r>
    </w:p>
    <w:p w14:paraId="4BFEE8D3" w14:textId="77777777" w:rsidR="00CA0EF0" w:rsidRPr="00361E30" w:rsidRDefault="00CA0EF0" w:rsidP="00FB050E"/>
    <w:p w14:paraId="0D36D001" w14:textId="77777777" w:rsidR="00CA0EF0" w:rsidRPr="00361E30" w:rsidRDefault="00CA0EF0">
      <w:pPr>
        <w:spacing w:line="276" w:lineRule="auto"/>
        <w:jc w:val="left"/>
        <w:rPr>
          <w:rFonts w:eastAsiaTheme="majorEastAsia" w:cstheme="majorBidi"/>
          <w:b/>
          <w:color w:val="365F91" w:themeColor="accent1" w:themeShade="BF"/>
          <w:sz w:val="28"/>
          <w:szCs w:val="28"/>
        </w:rPr>
      </w:pPr>
      <w:r w:rsidRPr="00361E30">
        <w:br w:type="page"/>
      </w:r>
    </w:p>
    <w:p w14:paraId="0AD678AE" w14:textId="77777777" w:rsidR="00CA0EF0" w:rsidRPr="00361E30" w:rsidRDefault="00CA0EF0" w:rsidP="003C13F4">
      <w:pPr>
        <w:pStyle w:val="ChapterHeading"/>
      </w:pPr>
      <w:bookmarkStart w:id="171" w:name="_Toc1902324"/>
      <w:r w:rsidRPr="00361E30">
        <w:lastRenderedPageBreak/>
        <w:t>Chapter 7: Findings of Interviews with Staff from Outlying Hospitals</w:t>
      </w:r>
      <w:bookmarkEnd w:id="171"/>
    </w:p>
    <w:p w14:paraId="60E0552B" w14:textId="77777777" w:rsidR="00CA0EF0" w:rsidRPr="00361E30" w:rsidRDefault="00CA0EF0" w:rsidP="003C13F4">
      <w:pPr>
        <w:pStyle w:val="Heading1"/>
      </w:pPr>
      <w:bookmarkStart w:id="172" w:name="_Toc1902325"/>
      <w:r w:rsidRPr="00361E30">
        <w:t>7.1</w:t>
      </w:r>
      <w:r w:rsidRPr="00361E30">
        <w:tab/>
        <w:t>Overview of the Interviews</w:t>
      </w:r>
      <w:bookmarkEnd w:id="172"/>
    </w:p>
    <w:p w14:paraId="19304809" w14:textId="77777777" w:rsidR="007D13CE" w:rsidRPr="00361E30" w:rsidRDefault="007D13CE" w:rsidP="007D13CE">
      <w:pPr>
        <w:pStyle w:val="Heading2"/>
      </w:pPr>
      <w:bookmarkStart w:id="173" w:name="_Toc1902326"/>
      <w:r w:rsidRPr="00361E30">
        <w:t>7.1.1</w:t>
      </w:r>
      <w:r w:rsidRPr="00361E30">
        <w:tab/>
        <w:t>Development of the Thematic Framework</w:t>
      </w:r>
      <w:bookmarkEnd w:id="173"/>
    </w:p>
    <w:p w14:paraId="6C484CF2" w14:textId="77777777" w:rsidR="009A7ADA" w:rsidRPr="00361E30" w:rsidRDefault="007D13CE" w:rsidP="007D13CE">
      <w:r w:rsidRPr="00361E30">
        <w:t>Following this an initial framework was constructed using a combination of a priori themes (including ‘management of older trauma patients’, ‘appropriateness of resuscitation’, ’characteristics of older people’, and ‘attitudes and biases towards ageing’) and emergent themes (including ‘relatives and carers’, ‘interviewees</w:t>
      </w:r>
      <w:r w:rsidR="001F124C">
        <w:t>’</w:t>
      </w:r>
      <w:r w:rsidRPr="00361E30">
        <w:t xml:space="preserve"> roles’, ‘older people are not all the same’, ‘attitude and personality’ and ‘coordination of care’). </w:t>
      </w:r>
    </w:p>
    <w:p w14:paraId="2CBCCB4A" w14:textId="77777777" w:rsidR="009A7ADA" w:rsidRPr="00361E30" w:rsidRDefault="007D13CE" w:rsidP="009A7ADA">
      <w:pPr>
        <w:ind w:firstLine="720"/>
      </w:pPr>
      <w:r w:rsidRPr="00361E30">
        <w:t xml:space="preserve">During coding, these themes were further refined and developed; some themes were subsumed into others (for example, ‘attitude and personality’ became a sub-theme of ‘characteristics of older people’. </w:t>
      </w:r>
      <w:r w:rsidR="00EA4EB0" w:rsidRPr="00361E30">
        <w:t xml:space="preserve">The ‘appropriateness of resuscitation’ became a sub-theme of ‘management of older trauma patients’. </w:t>
      </w:r>
      <w:r w:rsidRPr="00361E30">
        <w:t xml:space="preserve">In addition, some sub-themes assumed greater importance. ‘Frailty’ was mentioned by many respondents, in relation to ‘characteristics of patients’, ‘management of older trauma patients’ and ‘appropriateness of resuscitation’. </w:t>
      </w:r>
      <w:r w:rsidR="009A7ADA" w:rsidRPr="00361E30">
        <w:t xml:space="preserve">Socio-economic status, and family support were also mentioned as factors affecting recovery in older trauma patients and as factors impacting on the efficacy of care provision. </w:t>
      </w:r>
      <w:r w:rsidRPr="00361E30">
        <w:t xml:space="preserve">Similarly, the need for holistic care was mentioned by respondents at both sites, when discussing ‘management of older people’, and ‘coordination of care’. </w:t>
      </w:r>
    </w:p>
    <w:p w14:paraId="61CF9499" w14:textId="77777777" w:rsidR="007D13CE" w:rsidRPr="00361E30" w:rsidRDefault="00EA4EB0" w:rsidP="009A7ADA">
      <w:pPr>
        <w:ind w:firstLine="720"/>
      </w:pPr>
      <w:r w:rsidRPr="00361E30">
        <w:t>Throughout</w:t>
      </w:r>
      <w:r w:rsidR="007D13CE" w:rsidRPr="00361E30">
        <w:t xml:space="preserve"> the analysis process, the thematic framework was continuously refined, leading to the final thematic framework, as </w:t>
      </w:r>
      <w:r w:rsidR="002D1A1B" w:rsidRPr="00361E30">
        <w:t>described below.</w:t>
      </w:r>
    </w:p>
    <w:p w14:paraId="73848CB1" w14:textId="77777777" w:rsidR="007D13CE" w:rsidRPr="00361E30" w:rsidRDefault="007D13CE" w:rsidP="007D13CE">
      <w:pPr>
        <w:pStyle w:val="Heading2"/>
      </w:pPr>
      <w:bookmarkStart w:id="174" w:name="_Toc1902327"/>
      <w:r w:rsidRPr="00361E30">
        <w:t>7.1.2</w:t>
      </w:r>
      <w:r w:rsidRPr="00361E30">
        <w:tab/>
        <w:t>The Final Thematic Framework</w:t>
      </w:r>
      <w:bookmarkEnd w:id="174"/>
    </w:p>
    <w:p w14:paraId="3F165DB5" w14:textId="77777777" w:rsidR="00CA0EF0" w:rsidRPr="00361E30" w:rsidRDefault="007D13CE" w:rsidP="003C13F4">
      <w:r w:rsidRPr="00361E30">
        <w:t>The final thematic framework consisted of</w:t>
      </w:r>
      <w:r w:rsidR="00CA0EF0" w:rsidRPr="00361E30">
        <w:t xml:space="preserve"> three main themes. These included consideration of the characteristics of older people; the attitudes towards ageing and the management of older trauma patients (Table 7.1).</w:t>
      </w:r>
    </w:p>
    <w:p w14:paraId="5815C8E3" w14:textId="77777777" w:rsidR="00CA0EF0" w:rsidRPr="00361E30" w:rsidRDefault="00CA0EF0" w:rsidP="003C13F4">
      <w:pPr>
        <w:ind w:firstLine="720"/>
      </w:pPr>
      <w:r w:rsidRPr="00361E30">
        <w:t xml:space="preserve">Within each theme, </w:t>
      </w:r>
      <w:r w:rsidR="00D90A98" w:rsidRPr="00361E30">
        <w:t>several</w:t>
      </w:r>
      <w:r w:rsidRPr="00361E30">
        <w:t xml:space="preserve"> sub-themes were identified, as listed in Table 7.1. Some of these sub-themes (such as the ‘Older people are not all the same’ and ‘Trauma wards’) highlighted the differences between the two hospitals in which interviews were conducted. Other themes (such as ‘frailty’ and ‘attitudes towards ageing’) demonstrated commonalities between both sites.</w:t>
      </w:r>
    </w:p>
    <w:p w14:paraId="56C88807" w14:textId="77777777" w:rsidR="009A7ADA" w:rsidRPr="00361E30" w:rsidRDefault="009A7ADA" w:rsidP="003C13F4">
      <w:pPr>
        <w:ind w:firstLine="720"/>
      </w:pPr>
    </w:p>
    <w:p w14:paraId="66174D08" w14:textId="77777777" w:rsidR="009A7ADA" w:rsidRPr="00361E30" w:rsidRDefault="009A7ADA" w:rsidP="003C13F4">
      <w:pPr>
        <w:ind w:firstLine="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2"/>
        <w:gridCol w:w="1727"/>
        <w:gridCol w:w="5147"/>
      </w:tblGrid>
      <w:tr w:rsidR="00CA0EF0" w:rsidRPr="00361E30" w14:paraId="0FD59611" w14:textId="77777777" w:rsidTr="003C13F4">
        <w:trPr>
          <w:cantSplit/>
        </w:trPr>
        <w:tc>
          <w:tcPr>
            <w:tcW w:w="1734" w:type="dxa"/>
            <w:tcBorders>
              <w:top w:val="single" w:sz="4" w:space="0" w:color="auto"/>
              <w:bottom w:val="single" w:sz="4" w:space="0" w:color="auto"/>
            </w:tcBorders>
          </w:tcPr>
          <w:p w14:paraId="26F3199A" w14:textId="77777777" w:rsidR="00CA0EF0" w:rsidRPr="00361E30" w:rsidRDefault="00CA0EF0" w:rsidP="003C13F4">
            <w:pPr>
              <w:spacing w:line="240" w:lineRule="auto"/>
              <w:rPr>
                <w:b/>
                <w:lang w:val="en-GB"/>
              </w:rPr>
            </w:pPr>
            <w:r w:rsidRPr="00361E30">
              <w:rPr>
                <w:b/>
                <w:lang w:val="en-GB"/>
              </w:rPr>
              <w:lastRenderedPageBreak/>
              <w:t xml:space="preserve">Themes </w:t>
            </w:r>
          </w:p>
        </w:tc>
        <w:tc>
          <w:tcPr>
            <w:tcW w:w="1776" w:type="dxa"/>
            <w:tcBorders>
              <w:top w:val="single" w:sz="4" w:space="0" w:color="auto"/>
              <w:bottom w:val="single" w:sz="4" w:space="0" w:color="auto"/>
            </w:tcBorders>
          </w:tcPr>
          <w:p w14:paraId="5729FFC9" w14:textId="77777777" w:rsidR="00CA0EF0" w:rsidRPr="00361E30" w:rsidRDefault="00CA0EF0" w:rsidP="003C13F4">
            <w:pPr>
              <w:spacing w:line="240" w:lineRule="auto"/>
              <w:rPr>
                <w:b/>
                <w:lang w:val="en-GB"/>
              </w:rPr>
            </w:pPr>
            <w:r w:rsidRPr="00361E30">
              <w:rPr>
                <w:b/>
                <w:lang w:val="en-GB"/>
              </w:rPr>
              <w:t>Sub-themes</w:t>
            </w:r>
          </w:p>
        </w:tc>
        <w:tc>
          <w:tcPr>
            <w:tcW w:w="5732" w:type="dxa"/>
            <w:tcBorders>
              <w:top w:val="single" w:sz="4" w:space="0" w:color="auto"/>
              <w:bottom w:val="single" w:sz="4" w:space="0" w:color="auto"/>
            </w:tcBorders>
          </w:tcPr>
          <w:p w14:paraId="0146AFDE" w14:textId="77777777" w:rsidR="00CA0EF0" w:rsidRPr="00361E30" w:rsidRDefault="00CA0EF0" w:rsidP="003C13F4">
            <w:pPr>
              <w:spacing w:line="240" w:lineRule="auto"/>
              <w:rPr>
                <w:b/>
                <w:lang w:val="en-GB"/>
              </w:rPr>
            </w:pPr>
            <w:r w:rsidRPr="00361E30">
              <w:rPr>
                <w:b/>
                <w:lang w:val="en-GB"/>
              </w:rPr>
              <w:t>Comments</w:t>
            </w:r>
          </w:p>
        </w:tc>
      </w:tr>
      <w:tr w:rsidR="00CA0EF0" w:rsidRPr="00361E30" w14:paraId="3D3DD88A" w14:textId="77777777" w:rsidTr="003C13F4">
        <w:trPr>
          <w:cantSplit/>
        </w:trPr>
        <w:tc>
          <w:tcPr>
            <w:tcW w:w="9242" w:type="dxa"/>
            <w:gridSpan w:val="3"/>
            <w:tcBorders>
              <w:top w:val="single" w:sz="4" w:space="0" w:color="auto"/>
              <w:bottom w:val="single" w:sz="4" w:space="0" w:color="auto"/>
            </w:tcBorders>
            <w:shd w:val="clear" w:color="auto" w:fill="D9D9D9" w:themeFill="background1" w:themeFillShade="D9"/>
          </w:tcPr>
          <w:p w14:paraId="0FEAC96B" w14:textId="77777777" w:rsidR="00CA0EF0" w:rsidRPr="00361E30" w:rsidRDefault="00CA0EF0" w:rsidP="003C13F4">
            <w:pPr>
              <w:spacing w:line="240" w:lineRule="auto"/>
              <w:rPr>
                <w:b/>
                <w:lang w:val="en-GB"/>
              </w:rPr>
            </w:pPr>
            <w:r w:rsidRPr="00361E30">
              <w:rPr>
                <w:b/>
                <w:lang w:val="en-GB"/>
              </w:rPr>
              <w:t>Characteristics of old</w:t>
            </w:r>
            <w:r w:rsidRPr="00361E30">
              <w:rPr>
                <w:b/>
                <w:shd w:val="clear" w:color="auto" w:fill="D9D9D9" w:themeFill="background1" w:themeFillShade="D9"/>
                <w:lang w:val="en-GB"/>
              </w:rPr>
              <w:t>e</w:t>
            </w:r>
            <w:r w:rsidRPr="00361E30">
              <w:rPr>
                <w:b/>
                <w:lang w:val="en-GB"/>
              </w:rPr>
              <w:t>r trauma patients</w:t>
            </w:r>
          </w:p>
        </w:tc>
      </w:tr>
      <w:tr w:rsidR="00CA0EF0" w:rsidRPr="00361E30" w14:paraId="747B231D" w14:textId="77777777" w:rsidTr="003C13F4">
        <w:trPr>
          <w:cantSplit/>
        </w:trPr>
        <w:tc>
          <w:tcPr>
            <w:tcW w:w="1734" w:type="dxa"/>
            <w:tcBorders>
              <w:top w:val="single" w:sz="4" w:space="0" w:color="auto"/>
            </w:tcBorders>
          </w:tcPr>
          <w:p w14:paraId="08A8ECFB" w14:textId="77777777" w:rsidR="00CA0EF0" w:rsidRPr="00361E30" w:rsidRDefault="00CA0EF0" w:rsidP="003C13F4">
            <w:pPr>
              <w:spacing w:line="240" w:lineRule="auto"/>
              <w:rPr>
                <w:lang w:val="en-GB"/>
              </w:rPr>
            </w:pPr>
          </w:p>
        </w:tc>
        <w:tc>
          <w:tcPr>
            <w:tcW w:w="1776" w:type="dxa"/>
            <w:tcBorders>
              <w:top w:val="single" w:sz="4" w:space="0" w:color="auto"/>
            </w:tcBorders>
          </w:tcPr>
          <w:p w14:paraId="539815E0" w14:textId="77777777" w:rsidR="00CA0EF0" w:rsidRPr="00361E30" w:rsidRDefault="00CA0EF0" w:rsidP="003C13F4">
            <w:pPr>
              <w:spacing w:line="240" w:lineRule="auto"/>
              <w:rPr>
                <w:lang w:val="en-GB"/>
              </w:rPr>
            </w:pPr>
            <w:r w:rsidRPr="00361E30">
              <w:rPr>
                <w:lang w:val="en-GB"/>
              </w:rPr>
              <w:t>Frailty</w:t>
            </w:r>
          </w:p>
        </w:tc>
        <w:tc>
          <w:tcPr>
            <w:tcW w:w="5732" w:type="dxa"/>
            <w:tcBorders>
              <w:top w:val="single" w:sz="4" w:space="0" w:color="auto"/>
            </w:tcBorders>
          </w:tcPr>
          <w:p w14:paraId="0C8C112A" w14:textId="77777777" w:rsidR="00CA0EF0" w:rsidRPr="00361E30" w:rsidRDefault="00CA0EF0" w:rsidP="003C13F4">
            <w:pPr>
              <w:spacing w:line="240" w:lineRule="auto"/>
              <w:rPr>
                <w:lang w:val="en-GB"/>
              </w:rPr>
            </w:pPr>
            <w:r w:rsidRPr="00361E30">
              <w:rPr>
                <w:lang w:val="en-GB"/>
              </w:rPr>
              <w:t xml:space="preserve">Frailty emerged as a major characteristic of ageing </w:t>
            </w:r>
            <w:r w:rsidR="00527A17">
              <w:rPr>
                <w:lang w:val="en-GB"/>
              </w:rPr>
              <w:t>reported by interviewees as</w:t>
            </w:r>
            <w:r w:rsidRPr="00361E30">
              <w:rPr>
                <w:lang w:val="en-GB"/>
              </w:rPr>
              <w:t xml:space="preserve"> impact</w:t>
            </w:r>
            <w:r w:rsidR="00527A17">
              <w:rPr>
                <w:lang w:val="en-GB"/>
              </w:rPr>
              <w:t>ing</w:t>
            </w:r>
            <w:r w:rsidRPr="00361E30">
              <w:rPr>
                <w:lang w:val="en-GB"/>
              </w:rPr>
              <w:t xml:space="preserve"> on outcomes for older trauma patients. Frailty itself was mentioned by many respondents as a significant predictor of outcome after trauma, but was also mentioned indirectly through discussion of one or more of its component parts (such as polypharmacy, comorbidities, mental health and resilience)</w:t>
            </w:r>
          </w:p>
        </w:tc>
      </w:tr>
      <w:tr w:rsidR="00CA0EF0" w:rsidRPr="00361E30" w14:paraId="310151CA" w14:textId="77777777" w:rsidTr="003C13F4">
        <w:trPr>
          <w:cantSplit/>
        </w:trPr>
        <w:tc>
          <w:tcPr>
            <w:tcW w:w="1734" w:type="dxa"/>
            <w:tcBorders>
              <w:bottom w:val="single" w:sz="4" w:space="0" w:color="auto"/>
            </w:tcBorders>
          </w:tcPr>
          <w:p w14:paraId="32FF0BD8" w14:textId="77777777" w:rsidR="00CA0EF0" w:rsidRPr="00361E30" w:rsidRDefault="00CA0EF0" w:rsidP="003C13F4">
            <w:pPr>
              <w:spacing w:line="240" w:lineRule="auto"/>
              <w:rPr>
                <w:lang w:val="en-GB"/>
              </w:rPr>
            </w:pPr>
          </w:p>
        </w:tc>
        <w:tc>
          <w:tcPr>
            <w:tcW w:w="1776" w:type="dxa"/>
            <w:tcBorders>
              <w:bottom w:val="single" w:sz="4" w:space="0" w:color="auto"/>
            </w:tcBorders>
          </w:tcPr>
          <w:p w14:paraId="7D761E21" w14:textId="77777777" w:rsidR="00CA0EF0" w:rsidRPr="00361E30" w:rsidRDefault="00CA0EF0" w:rsidP="003C13F4">
            <w:pPr>
              <w:spacing w:line="240" w:lineRule="auto"/>
              <w:rPr>
                <w:lang w:val="en-GB"/>
              </w:rPr>
            </w:pPr>
            <w:r w:rsidRPr="00361E30">
              <w:rPr>
                <w:lang w:val="en-GB"/>
              </w:rPr>
              <w:t>Older people are not all the same</w:t>
            </w:r>
          </w:p>
        </w:tc>
        <w:tc>
          <w:tcPr>
            <w:tcW w:w="5732" w:type="dxa"/>
            <w:tcBorders>
              <w:bottom w:val="single" w:sz="4" w:space="0" w:color="auto"/>
            </w:tcBorders>
          </w:tcPr>
          <w:p w14:paraId="376ECED3" w14:textId="77777777" w:rsidR="00CA0EF0" w:rsidRPr="00361E30" w:rsidRDefault="00CA0EF0" w:rsidP="003C13F4">
            <w:pPr>
              <w:spacing w:line="240" w:lineRule="auto"/>
              <w:rPr>
                <w:lang w:val="en-GB"/>
              </w:rPr>
            </w:pPr>
            <w:r w:rsidRPr="00361E30">
              <w:rPr>
                <w:lang w:val="en-GB"/>
              </w:rPr>
              <w:t>The wide variations in older people were apparent throughout the interviews. Many respondents mentioned variations in health, socio-economic status, independence and resilience as factors that affected outcomes in these patients. In Site 01, there also seemed to be a clear dichotomy in terms of socio-economic status between the ‘indigenous’ population (who were generally of a lower socioeconomic class, with more health issues) and the population of older ‘incomers’ who came to the area to retire. This latter group tended to be wealthier, with better health and more likely to lead more active lifestyles. These differences impacted on the types of injuries sustained and the outcomes in these patients.</w:t>
            </w:r>
          </w:p>
        </w:tc>
      </w:tr>
      <w:tr w:rsidR="00CA0EF0" w:rsidRPr="00361E30" w14:paraId="40EA66FE" w14:textId="77777777" w:rsidTr="003C13F4">
        <w:trPr>
          <w:cantSplit/>
        </w:trPr>
        <w:tc>
          <w:tcPr>
            <w:tcW w:w="9242" w:type="dxa"/>
            <w:gridSpan w:val="3"/>
            <w:tcBorders>
              <w:top w:val="single" w:sz="4" w:space="0" w:color="auto"/>
              <w:bottom w:val="single" w:sz="4" w:space="0" w:color="auto"/>
            </w:tcBorders>
            <w:shd w:val="clear" w:color="auto" w:fill="D9D9D9" w:themeFill="background1" w:themeFillShade="D9"/>
          </w:tcPr>
          <w:p w14:paraId="1AAB83C2" w14:textId="77777777" w:rsidR="00CA0EF0" w:rsidRPr="00361E30" w:rsidRDefault="00CA0EF0" w:rsidP="003C13F4">
            <w:pPr>
              <w:spacing w:line="240" w:lineRule="auto"/>
              <w:rPr>
                <w:b/>
                <w:lang w:val="en-GB"/>
              </w:rPr>
            </w:pPr>
            <w:r w:rsidRPr="00361E30">
              <w:rPr>
                <w:b/>
                <w:lang w:val="en-GB"/>
              </w:rPr>
              <w:t>Attitudes towards ageing</w:t>
            </w:r>
          </w:p>
        </w:tc>
      </w:tr>
      <w:tr w:rsidR="00CA0EF0" w:rsidRPr="00361E30" w14:paraId="5BC3F937" w14:textId="77777777" w:rsidTr="003C13F4">
        <w:trPr>
          <w:cantSplit/>
        </w:trPr>
        <w:tc>
          <w:tcPr>
            <w:tcW w:w="1734" w:type="dxa"/>
            <w:tcBorders>
              <w:top w:val="single" w:sz="4" w:space="0" w:color="auto"/>
            </w:tcBorders>
          </w:tcPr>
          <w:p w14:paraId="7B7DFCFB" w14:textId="77777777" w:rsidR="00CA0EF0" w:rsidRPr="00361E30" w:rsidRDefault="00CA0EF0" w:rsidP="003C13F4">
            <w:pPr>
              <w:spacing w:line="240" w:lineRule="auto"/>
              <w:rPr>
                <w:lang w:val="en-GB"/>
              </w:rPr>
            </w:pPr>
          </w:p>
        </w:tc>
        <w:tc>
          <w:tcPr>
            <w:tcW w:w="1776" w:type="dxa"/>
            <w:tcBorders>
              <w:top w:val="single" w:sz="4" w:space="0" w:color="auto"/>
            </w:tcBorders>
          </w:tcPr>
          <w:p w14:paraId="2B5F19CD" w14:textId="77777777" w:rsidR="00CA0EF0" w:rsidRPr="00361E30" w:rsidRDefault="00CA0EF0" w:rsidP="003C13F4">
            <w:pPr>
              <w:spacing w:line="240" w:lineRule="auto"/>
              <w:rPr>
                <w:lang w:val="en-GB"/>
              </w:rPr>
            </w:pPr>
            <w:r w:rsidRPr="00361E30">
              <w:rPr>
                <w:lang w:val="en-GB"/>
              </w:rPr>
              <w:t>Attitudes and motivation of older patients</w:t>
            </w:r>
          </w:p>
        </w:tc>
        <w:tc>
          <w:tcPr>
            <w:tcW w:w="5732" w:type="dxa"/>
            <w:tcBorders>
              <w:top w:val="single" w:sz="4" w:space="0" w:color="auto"/>
            </w:tcBorders>
          </w:tcPr>
          <w:p w14:paraId="7A6DA79C" w14:textId="77777777" w:rsidR="00CA0EF0" w:rsidRPr="00361E30" w:rsidRDefault="00CA0EF0" w:rsidP="003C13F4">
            <w:pPr>
              <w:spacing w:line="240" w:lineRule="auto"/>
              <w:rPr>
                <w:lang w:val="en-GB"/>
              </w:rPr>
            </w:pPr>
            <w:r w:rsidRPr="00361E30">
              <w:rPr>
                <w:lang w:val="en-GB"/>
              </w:rPr>
              <w:t>The attitudes and motivation of older patients to their own health varied among different groups of older people, and this was thought to impact on health status and outcome.</w:t>
            </w:r>
          </w:p>
        </w:tc>
      </w:tr>
      <w:tr w:rsidR="00CA0EF0" w:rsidRPr="00361E30" w14:paraId="6C504619" w14:textId="77777777" w:rsidTr="003C13F4">
        <w:trPr>
          <w:cantSplit/>
        </w:trPr>
        <w:tc>
          <w:tcPr>
            <w:tcW w:w="1734" w:type="dxa"/>
          </w:tcPr>
          <w:p w14:paraId="083CA267" w14:textId="77777777" w:rsidR="00CA0EF0" w:rsidRPr="00361E30" w:rsidRDefault="00CA0EF0" w:rsidP="003C13F4">
            <w:pPr>
              <w:spacing w:line="240" w:lineRule="auto"/>
              <w:rPr>
                <w:lang w:val="en-GB"/>
              </w:rPr>
            </w:pPr>
          </w:p>
        </w:tc>
        <w:tc>
          <w:tcPr>
            <w:tcW w:w="1776" w:type="dxa"/>
          </w:tcPr>
          <w:p w14:paraId="192F00B8" w14:textId="77777777" w:rsidR="00CA0EF0" w:rsidRPr="00361E30" w:rsidRDefault="00CA0EF0" w:rsidP="003C13F4">
            <w:pPr>
              <w:spacing w:line="240" w:lineRule="auto"/>
              <w:rPr>
                <w:lang w:val="en-GB"/>
              </w:rPr>
            </w:pPr>
            <w:r w:rsidRPr="00361E30">
              <w:rPr>
                <w:lang w:val="en-GB"/>
              </w:rPr>
              <w:t>Family attitudes and interactions</w:t>
            </w:r>
          </w:p>
        </w:tc>
        <w:tc>
          <w:tcPr>
            <w:tcW w:w="5732" w:type="dxa"/>
          </w:tcPr>
          <w:p w14:paraId="3B3B4845" w14:textId="77777777" w:rsidR="00CA0EF0" w:rsidRPr="00361E30" w:rsidRDefault="00CA0EF0" w:rsidP="003C13F4">
            <w:pPr>
              <w:spacing w:line="240" w:lineRule="auto"/>
              <w:rPr>
                <w:lang w:val="en-GB"/>
              </w:rPr>
            </w:pPr>
            <w:r w:rsidRPr="00361E30">
              <w:rPr>
                <w:lang w:val="en-GB"/>
              </w:rPr>
              <w:t>Family dynamics were thought by some interviewees to have an important impact on recovery of older people, and the final outcome.</w:t>
            </w:r>
          </w:p>
        </w:tc>
      </w:tr>
      <w:tr w:rsidR="00CA0EF0" w:rsidRPr="00361E30" w14:paraId="21457C87" w14:textId="77777777" w:rsidTr="003C13F4">
        <w:trPr>
          <w:cantSplit/>
        </w:trPr>
        <w:tc>
          <w:tcPr>
            <w:tcW w:w="1734" w:type="dxa"/>
            <w:tcBorders>
              <w:bottom w:val="single" w:sz="4" w:space="0" w:color="auto"/>
            </w:tcBorders>
          </w:tcPr>
          <w:p w14:paraId="5E9E0E6A" w14:textId="77777777" w:rsidR="00CA0EF0" w:rsidRPr="00361E30" w:rsidRDefault="00CA0EF0" w:rsidP="003C13F4">
            <w:pPr>
              <w:spacing w:line="240" w:lineRule="auto"/>
              <w:rPr>
                <w:lang w:val="en-GB"/>
              </w:rPr>
            </w:pPr>
          </w:p>
        </w:tc>
        <w:tc>
          <w:tcPr>
            <w:tcW w:w="1776" w:type="dxa"/>
            <w:tcBorders>
              <w:bottom w:val="single" w:sz="4" w:space="0" w:color="auto"/>
            </w:tcBorders>
          </w:tcPr>
          <w:p w14:paraId="709BD08C" w14:textId="77777777" w:rsidR="00CA0EF0" w:rsidRPr="00361E30" w:rsidRDefault="00CA0EF0" w:rsidP="003C13F4">
            <w:pPr>
              <w:spacing w:line="240" w:lineRule="auto"/>
              <w:rPr>
                <w:lang w:val="en-GB"/>
              </w:rPr>
            </w:pPr>
            <w:r w:rsidRPr="00361E30">
              <w:rPr>
                <w:lang w:val="en-GB"/>
              </w:rPr>
              <w:t>Attitudes of healthcare providers</w:t>
            </w:r>
          </w:p>
        </w:tc>
        <w:tc>
          <w:tcPr>
            <w:tcW w:w="5732" w:type="dxa"/>
            <w:tcBorders>
              <w:bottom w:val="single" w:sz="4" w:space="0" w:color="auto"/>
            </w:tcBorders>
          </w:tcPr>
          <w:p w14:paraId="249C751C" w14:textId="77777777" w:rsidR="00CA0EF0" w:rsidRPr="00361E30" w:rsidRDefault="00CA0EF0" w:rsidP="003C13F4">
            <w:pPr>
              <w:spacing w:line="240" w:lineRule="auto"/>
              <w:rPr>
                <w:lang w:val="en-GB"/>
              </w:rPr>
            </w:pPr>
            <w:r w:rsidRPr="00361E30">
              <w:rPr>
                <w:lang w:val="en-GB"/>
              </w:rPr>
              <w:t>The attitudes of staff towards older patients emerged as a pervasive theme in the interviews. It was important to determine how much their opinions about the treatment of older people may have been affected by these attitudes, rather than empirical information and data.</w:t>
            </w:r>
          </w:p>
        </w:tc>
      </w:tr>
      <w:tr w:rsidR="00CA0EF0" w:rsidRPr="00361E30" w14:paraId="4E457B48" w14:textId="77777777" w:rsidTr="003C13F4">
        <w:trPr>
          <w:cantSplit/>
        </w:trPr>
        <w:tc>
          <w:tcPr>
            <w:tcW w:w="9242" w:type="dxa"/>
            <w:gridSpan w:val="3"/>
            <w:tcBorders>
              <w:top w:val="single" w:sz="4" w:space="0" w:color="auto"/>
              <w:bottom w:val="single" w:sz="4" w:space="0" w:color="auto"/>
            </w:tcBorders>
            <w:shd w:val="clear" w:color="auto" w:fill="D9D9D9" w:themeFill="background1" w:themeFillShade="D9"/>
          </w:tcPr>
          <w:p w14:paraId="01C71A38" w14:textId="77777777" w:rsidR="00CA0EF0" w:rsidRPr="00361E30" w:rsidRDefault="00CA0EF0" w:rsidP="003C13F4">
            <w:pPr>
              <w:spacing w:line="240" w:lineRule="auto"/>
              <w:rPr>
                <w:b/>
                <w:lang w:val="en-GB"/>
              </w:rPr>
            </w:pPr>
            <w:r w:rsidRPr="00361E30">
              <w:rPr>
                <w:b/>
                <w:lang w:val="en-GB"/>
              </w:rPr>
              <w:t>Management of older trauma patients</w:t>
            </w:r>
          </w:p>
        </w:tc>
      </w:tr>
      <w:tr w:rsidR="00CA0EF0" w:rsidRPr="00361E30" w14:paraId="0D5B1812" w14:textId="77777777" w:rsidTr="003C13F4">
        <w:trPr>
          <w:cantSplit/>
        </w:trPr>
        <w:tc>
          <w:tcPr>
            <w:tcW w:w="1734" w:type="dxa"/>
            <w:tcBorders>
              <w:top w:val="single" w:sz="4" w:space="0" w:color="auto"/>
            </w:tcBorders>
          </w:tcPr>
          <w:p w14:paraId="5A97680D" w14:textId="77777777" w:rsidR="00CA0EF0" w:rsidRPr="00361E30" w:rsidRDefault="00CA0EF0" w:rsidP="003C13F4">
            <w:pPr>
              <w:spacing w:line="240" w:lineRule="auto"/>
              <w:rPr>
                <w:lang w:val="en-GB"/>
              </w:rPr>
            </w:pPr>
          </w:p>
        </w:tc>
        <w:tc>
          <w:tcPr>
            <w:tcW w:w="1776" w:type="dxa"/>
            <w:tcBorders>
              <w:top w:val="single" w:sz="4" w:space="0" w:color="auto"/>
            </w:tcBorders>
          </w:tcPr>
          <w:p w14:paraId="7D7FA4F8" w14:textId="77777777" w:rsidR="00CA0EF0" w:rsidRPr="00361E30" w:rsidRDefault="00CA0EF0" w:rsidP="003C13F4">
            <w:pPr>
              <w:spacing w:line="240" w:lineRule="auto"/>
              <w:rPr>
                <w:lang w:val="en-GB"/>
              </w:rPr>
            </w:pPr>
            <w:r w:rsidRPr="00361E30">
              <w:rPr>
                <w:lang w:val="en-GB"/>
              </w:rPr>
              <w:t>Trauma wards</w:t>
            </w:r>
          </w:p>
        </w:tc>
        <w:tc>
          <w:tcPr>
            <w:tcW w:w="5732" w:type="dxa"/>
            <w:tcBorders>
              <w:top w:val="single" w:sz="4" w:space="0" w:color="auto"/>
            </w:tcBorders>
          </w:tcPr>
          <w:p w14:paraId="24E8ADAA" w14:textId="77777777" w:rsidR="00CA0EF0" w:rsidRPr="00361E30" w:rsidRDefault="00CA0EF0" w:rsidP="003C13F4">
            <w:pPr>
              <w:spacing w:line="240" w:lineRule="auto"/>
              <w:rPr>
                <w:lang w:val="en-GB"/>
              </w:rPr>
            </w:pPr>
            <w:r w:rsidRPr="00361E30">
              <w:rPr>
                <w:lang w:val="en-GB"/>
              </w:rPr>
              <w:t xml:space="preserve">This was a distinguishing feature between the sites – Site 01 had no trauma ward and in general, staff at this site </w:t>
            </w:r>
            <w:r w:rsidR="00045BC5">
              <w:rPr>
                <w:lang w:val="en-GB"/>
              </w:rPr>
              <w:t>reported</w:t>
            </w:r>
            <w:r w:rsidRPr="00361E30">
              <w:rPr>
                <w:lang w:val="en-GB"/>
              </w:rPr>
              <w:t xml:space="preserve"> that this was needed for better coordination of care, while in Site 02, the ward was an established feature of trauma care.</w:t>
            </w:r>
          </w:p>
        </w:tc>
      </w:tr>
      <w:tr w:rsidR="00CA0EF0" w:rsidRPr="00361E30" w14:paraId="5631A35F" w14:textId="77777777" w:rsidTr="003C13F4">
        <w:trPr>
          <w:cantSplit/>
        </w:trPr>
        <w:tc>
          <w:tcPr>
            <w:tcW w:w="1734" w:type="dxa"/>
          </w:tcPr>
          <w:p w14:paraId="7AB71EB0" w14:textId="77777777" w:rsidR="00CA0EF0" w:rsidRPr="00361E30" w:rsidRDefault="00CA0EF0" w:rsidP="003C13F4">
            <w:pPr>
              <w:spacing w:line="240" w:lineRule="auto"/>
              <w:rPr>
                <w:lang w:val="en-GB"/>
              </w:rPr>
            </w:pPr>
          </w:p>
        </w:tc>
        <w:tc>
          <w:tcPr>
            <w:tcW w:w="1776" w:type="dxa"/>
          </w:tcPr>
          <w:p w14:paraId="5E212FF6" w14:textId="77777777" w:rsidR="00CA0EF0" w:rsidRPr="00361E30" w:rsidRDefault="00CA0EF0" w:rsidP="003C13F4">
            <w:pPr>
              <w:spacing w:line="240" w:lineRule="auto"/>
              <w:rPr>
                <w:lang w:val="en-GB"/>
              </w:rPr>
            </w:pPr>
            <w:r w:rsidRPr="00361E30">
              <w:rPr>
                <w:lang w:val="en-GB"/>
              </w:rPr>
              <w:t>An holistic approach</w:t>
            </w:r>
          </w:p>
        </w:tc>
        <w:tc>
          <w:tcPr>
            <w:tcW w:w="5732" w:type="dxa"/>
          </w:tcPr>
          <w:p w14:paraId="3A39CB1B" w14:textId="77777777" w:rsidR="00CA0EF0" w:rsidRPr="00361E30" w:rsidRDefault="00CA0EF0" w:rsidP="003C13F4">
            <w:pPr>
              <w:spacing w:line="240" w:lineRule="auto"/>
              <w:rPr>
                <w:lang w:val="en-GB"/>
              </w:rPr>
            </w:pPr>
            <w:r w:rsidRPr="00361E30">
              <w:rPr>
                <w:lang w:val="en-GB"/>
              </w:rPr>
              <w:t>This theme explores the importance of the multi-disciplinary team to the management of older trauma patients, as well as the recognition and importance of such a team by the wider hospital community.</w:t>
            </w:r>
          </w:p>
        </w:tc>
      </w:tr>
      <w:tr w:rsidR="00CA0EF0" w:rsidRPr="00361E30" w14:paraId="7F2C3705" w14:textId="77777777" w:rsidTr="003C13F4">
        <w:trPr>
          <w:cantSplit/>
        </w:trPr>
        <w:tc>
          <w:tcPr>
            <w:tcW w:w="1734" w:type="dxa"/>
          </w:tcPr>
          <w:p w14:paraId="4955682D" w14:textId="77777777" w:rsidR="00CA0EF0" w:rsidRPr="00361E30" w:rsidRDefault="00CA0EF0" w:rsidP="003C13F4">
            <w:pPr>
              <w:spacing w:line="240" w:lineRule="auto"/>
              <w:rPr>
                <w:lang w:val="en-GB"/>
              </w:rPr>
            </w:pPr>
          </w:p>
        </w:tc>
        <w:tc>
          <w:tcPr>
            <w:tcW w:w="1776" w:type="dxa"/>
          </w:tcPr>
          <w:p w14:paraId="6C8A5911" w14:textId="77777777" w:rsidR="00CA0EF0" w:rsidRPr="00361E30" w:rsidRDefault="00CA0EF0" w:rsidP="003C13F4">
            <w:pPr>
              <w:spacing w:line="240" w:lineRule="auto"/>
              <w:rPr>
                <w:lang w:val="en-GB"/>
              </w:rPr>
            </w:pPr>
            <w:r w:rsidRPr="00361E30">
              <w:rPr>
                <w:lang w:val="en-GB"/>
              </w:rPr>
              <w:t>Resuscitation versus rehabilitation</w:t>
            </w:r>
          </w:p>
        </w:tc>
        <w:tc>
          <w:tcPr>
            <w:tcW w:w="5732" w:type="dxa"/>
          </w:tcPr>
          <w:p w14:paraId="1287CF66" w14:textId="77777777" w:rsidR="00CA0EF0" w:rsidRPr="00361E30" w:rsidRDefault="00CA0EF0" w:rsidP="003C13F4">
            <w:pPr>
              <w:spacing w:line="240" w:lineRule="auto"/>
              <w:rPr>
                <w:lang w:val="en-GB"/>
              </w:rPr>
            </w:pPr>
            <w:r w:rsidRPr="00361E30">
              <w:rPr>
                <w:lang w:val="en-GB"/>
              </w:rPr>
              <w:t>Many respondents gave a clear description of the resuscitation process, which was streamlined and well structured. However, the rehabilitation aspect of care was less well organised and less ‘linear’ in structure. This may be because of the priority given to each aspect of care or it may simply reflect the more complex nature of the rehabilitation process.</w:t>
            </w:r>
          </w:p>
        </w:tc>
      </w:tr>
      <w:tr w:rsidR="00CA0EF0" w:rsidRPr="00361E30" w14:paraId="22E7C96A" w14:textId="77777777" w:rsidTr="003C13F4">
        <w:trPr>
          <w:cantSplit/>
        </w:trPr>
        <w:tc>
          <w:tcPr>
            <w:tcW w:w="1734" w:type="dxa"/>
          </w:tcPr>
          <w:p w14:paraId="5E47B925" w14:textId="77777777" w:rsidR="00CA0EF0" w:rsidRPr="00361E30" w:rsidRDefault="00CA0EF0" w:rsidP="003C13F4">
            <w:pPr>
              <w:spacing w:line="240" w:lineRule="auto"/>
              <w:rPr>
                <w:lang w:val="en-GB"/>
              </w:rPr>
            </w:pPr>
          </w:p>
        </w:tc>
        <w:tc>
          <w:tcPr>
            <w:tcW w:w="1776" w:type="dxa"/>
          </w:tcPr>
          <w:p w14:paraId="0096A3E0" w14:textId="77777777" w:rsidR="00CA0EF0" w:rsidRPr="00361E30" w:rsidRDefault="00CA0EF0" w:rsidP="003C13F4">
            <w:pPr>
              <w:spacing w:line="240" w:lineRule="auto"/>
              <w:rPr>
                <w:lang w:val="en-GB"/>
              </w:rPr>
            </w:pPr>
            <w:r w:rsidRPr="00361E30">
              <w:rPr>
                <w:lang w:val="en-GB"/>
              </w:rPr>
              <w:t>Decisions to resuscitate</w:t>
            </w:r>
          </w:p>
        </w:tc>
        <w:tc>
          <w:tcPr>
            <w:tcW w:w="5732" w:type="dxa"/>
          </w:tcPr>
          <w:p w14:paraId="2E197D47" w14:textId="77777777" w:rsidR="00CA0EF0" w:rsidRPr="00361E30" w:rsidRDefault="00CA0EF0" w:rsidP="003C13F4">
            <w:pPr>
              <w:spacing w:line="240" w:lineRule="auto"/>
              <w:rPr>
                <w:lang w:val="en-GB"/>
              </w:rPr>
            </w:pPr>
            <w:r w:rsidRPr="00361E30">
              <w:rPr>
                <w:lang w:val="en-GB"/>
              </w:rPr>
              <w:t xml:space="preserve">Following initial informal discussions with colleagues (prior to starting the formal interviews at the </w:t>
            </w:r>
            <w:r w:rsidR="005C3FED">
              <w:rPr>
                <w:lang w:val="en-GB"/>
              </w:rPr>
              <w:t>s</w:t>
            </w:r>
            <w:r w:rsidRPr="00361E30">
              <w:rPr>
                <w:lang w:val="en-GB"/>
              </w:rPr>
              <w:t xml:space="preserve">ites chosen for the PhD), the main investigator identified decisions to resuscitate as a major concern of staff </w:t>
            </w:r>
            <w:r w:rsidR="00D90A98" w:rsidRPr="00361E30">
              <w:rPr>
                <w:lang w:val="en-GB"/>
              </w:rPr>
              <w:t>regarding</w:t>
            </w:r>
            <w:r w:rsidRPr="00361E30">
              <w:rPr>
                <w:lang w:val="en-GB"/>
              </w:rPr>
              <w:t xml:space="preserve"> older trauma patients. This was explored with interviewees at both sites, and their responses helped shape the main investigator’s view of the culture of the hospital, particularly in relation to perceptions and attitudes towards ageing.</w:t>
            </w:r>
          </w:p>
        </w:tc>
      </w:tr>
      <w:tr w:rsidR="00CA0EF0" w:rsidRPr="00361E30" w14:paraId="63ECC42C" w14:textId="77777777" w:rsidTr="003C13F4">
        <w:trPr>
          <w:cantSplit/>
        </w:trPr>
        <w:tc>
          <w:tcPr>
            <w:tcW w:w="1734" w:type="dxa"/>
            <w:tcBorders>
              <w:bottom w:val="single" w:sz="4" w:space="0" w:color="auto"/>
            </w:tcBorders>
          </w:tcPr>
          <w:p w14:paraId="3126A477" w14:textId="77777777" w:rsidR="00CA0EF0" w:rsidRPr="00361E30" w:rsidRDefault="00CA0EF0" w:rsidP="003C13F4">
            <w:pPr>
              <w:spacing w:line="240" w:lineRule="auto"/>
              <w:rPr>
                <w:lang w:val="en-GB"/>
              </w:rPr>
            </w:pPr>
          </w:p>
        </w:tc>
        <w:tc>
          <w:tcPr>
            <w:tcW w:w="1776" w:type="dxa"/>
            <w:tcBorders>
              <w:bottom w:val="single" w:sz="4" w:space="0" w:color="auto"/>
            </w:tcBorders>
          </w:tcPr>
          <w:p w14:paraId="328026DC" w14:textId="77777777" w:rsidR="00CA0EF0" w:rsidRPr="00361E30" w:rsidRDefault="00CA0EF0" w:rsidP="003C13F4">
            <w:pPr>
              <w:spacing w:line="240" w:lineRule="auto"/>
              <w:rPr>
                <w:lang w:val="en-GB"/>
              </w:rPr>
            </w:pPr>
            <w:r w:rsidRPr="00361E30">
              <w:rPr>
                <w:lang w:val="en-GB"/>
              </w:rPr>
              <w:t>Guidelines and protocols</w:t>
            </w:r>
          </w:p>
        </w:tc>
        <w:tc>
          <w:tcPr>
            <w:tcW w:w="5732" w:type="dxa"/>
            <w:tcBorders>
              <w:bottom w:val="single" w:sz="4" w:space="0" w:color="auto"/>
            </w:tcBorders>
          </w:tcPr>
          <w:p w14:paraId="795F9BE6" w14:textId="77777777" w:rsidR="00CA0EF0" w:rsidRPr="00361E30" w:rsidRDefault="00CA0EF0" w:rsidP="003C13F4">
            <w:pPr>
              <w:spacing w:line="240" w:lineRule="auto"/>
              <w:rPr>
                <w:lang w:val="en-GB"/>
              </w:rPr>
            </w:pPr>
            <w:r w:rsidRPr="00361E30">
              <w:rPr>
                <w:lang w:val="en-GB"/>
              </w:rPr>
              <w:t xml:space="preserve">There was a wide variation between interviewees </w:t>
            </w:r>
            <w:r w:rsidR="00D90A98" w:rsidRPr="00361E30">
              <w:rPr>
                <w:lang w:val="en-GB"/>
              </w:rPr>
              <w:t>regarding</w:t>
            </w:r>
            <w:r w:rsidRPr="00361E30">
              <w:rPr>
                <w:lang w:val="en-GB"/>
              </w:rPr>
              <w:t xml:space="preserve"> their knowledge of guidelines pertaining to older trauma patients. Both sites did not have any specific guidelines that addressed the management of older people with major trauma, but there were many guidelines which touched on this topic, or which addressed specific issues faced by these patients.</w:t>
            </w:r>
          </w:p>
        </w:tc>
      </w:tr>
    </w:tbl>
    <w:p w14:paraId="0D2EA6BA" w14:textId="77777777" w:rsidR="00CA0EF0" w:rsidRPr="00361E30" w:rsidRDefault="00CA0EF0" w:rsidP="003C13F4">
      <w:pPr>
        <w:pStyle w:val="TableTitle"/>
      </w:pPr>
      <w:bookmarkStart w:id="175" w:name="_Toc528321058"/>
      <w:r w:rsidRPr="00361E30">
        <w:t>Table 7.1: Themes and sub-themes identified from interviews at outlying hospitals.</w:t>
      </w:r>
      <w:bookmarkEnd w:id="175"/>
    </w:p>
    <w:p w14:paraId="51BEDFC6" w14:textId="77777777" w:rsidR="00CA0EF0" w:rsidRPr="00361E30" w:rsidRDefault="00CA0EF0" w:rsidP="003C13F4">
      <w:r w:rsidRPr="00361E30">
        <w:t>The word cloud in Figure 7.1 shows the frequency with which some words and concepts were used by interviewees, in relation to patient survival. While words related to patient characteristics dominate the diagram there are also words related to care process factors (‘hospital’, ‘rehab’, ‘training’, ‘services’ etc), but also some words alluding to other types of connections and support that may have an impact (‘family’, ‘community’, ‘support’ etc).</w:t>
      </w:r>
    </w:p>
    <w:p w14:paraId="229B7D3B" w14:textId="77777777" w:rsidR="00CA0EF0" w:rsidRPr="00361E30" w:rsidRDefault="00CA0EF0" w:rsidP="003C13F4">
      <w:r w:rsidRPr="00361E30">
        <w:rPr>
          <w:noProof/>
          <w:lang w:eastAsia="en-GB"/>
        </w:rPr>
        <w:drawing>
          <wp:inline distT="0" distB="0" distL="0" distR="0" wp14:anchorId="038D1E2F" wp14:editId="57CBA5F9">
            <wp:extent cx="5139692" cy="2659380"/>
            <wp:effectExtent l="0" t="0" r="381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ors Affecting Survival.png"/>
                    <pic:cNvPicPr/>
                  </pic:nvPicPr>
                  <pic:blipFill>
                    <a:blip r:embed="rId29">
                      <a:extLst>
                        <a:ext uri="{28A0092B-C50C-407E-A947-70E740481C1C}">
                          <a14:useLocalDpi xmlns:a14="http://schemas.microsoft.com/office/drawing/2010/main" val="0"/>
                        </a:ext>
                      </a:extLst>
                    </a:blip>
                    <a:stretch>
                      <a:fillRect/>
                    </a:stretch>
                  </pic:blipFill>
                  <pic:spPr>
                    <a:xfrm>
                      <a:off x="0" y="0"/>
                      <a:ext cx="5197865" cy="2689480"/>
                    </a:xfrm>
                    <a:prstGeom prst="rect">
                      <a:avLst/>
                    </a:prstGeom>
                  </pic:spPr>
                </pic:pic>
              </a:graphicData>
            </a:graphic>
          </wp:inline>
        </w:drawing>
      </w:r>
    </w:p>
    <w:p w14:paraId="42201328" w14:textId="77777777" w:rsidR="00CA0EF0" w:rsidRPr="00361E30" w:rsidRDefault="00CA0EF0" w:rsidP="003C13F4">
      <w:pPr>
        <w:pStyle w:val="FigureTitle"/>
      </w:pPr>
      <w:bookmarkStart w:id="176" w:name="_Toc529090349"/>
      <w:r w:rsidRPr="00361E30">
        <w:t>Figure 7.1: Word Cloud showing frequency of word use in relation to the concept of ‘factors affecting survival’.</w:t>
      </w:r>
      <w:bookmarkEnd w:id="176"/>
    </w:p>
    <w:p w14:paraId="638BAD63" w14:textId="77777777" w:rsidR="00CA0EF0" w:rsidRPr="00361E30" w:rsidRDefault="00CA0EF0" w:rsidP="003C13F4">
      <w:pPr>
        <w:pStyle w:val="Heading1"/>
      </w:pPr>
      <w:bookmarkStart w:id="177" w:name="_Toc1902328"/>
      <w:r w:rsidRPr="00361E30">
        <w:lastRenderedPageBreak/>
        <w:t>7.2</w:t>
      </w:r>
      <w:r w:rsidRPr="00361E30">
        <w:tab/>
        <w:t>Characteristics of Older Trauma Patients</w:t>
      </w:r>
      <w:bookmarkEnd w:id="177"/>
    </w:p>
    <w:p w14:paraId="0087903A" w14:textId="77777777" w:rsidR="00CA0EF0" w:rsidRPr="00361E30" w:rsidRDefault="00CA0EF0" w:rsidP="003C13F4">
      <w:r w:rsidRPr="00361E30">
        <w:t>The characteristics of older trauma patients were seen by many interviewees as a key factor affecting outcome in this age group. Two themes relating to patient characteristics seemed particularly important. These included the concept of ‘frailty’ and how it impacts on patients and their recovery, and the fact that older people were not a homogenous group, but varied significantly in their health status, their outlook on life and their ability to recover from serious injury.</w:t>
      </w:r>
    </w:p>
    <w:p w14:paraId="6BB4ABB4" w14:textId="77777777" w:rsidR="00CA0EF0" w:rsidRPr="00361E30" w:rsidRDefault="00CA0EF0" w:rsidP="003C13F4">
      <w:pPr>
        <w:pStyle w:val="Heading2"/>
      </w:pPr>
      <w:bookmarkStart w:id="178" w:name="_Toc1902329"/>
      <w:r w:rsidRPr="00361E30">
        <w:t>7.2.1</w:t>
      </w:r>
      <w:r w:rsidRPr="00361E30">
        <w:tab/>
        <w:t>Frailty</w:t>
      </w:r>
      <w:bookmarkEnd w:id="178"/>
    </w:p>
    <w:p w14:paraId="0D2BFFCC" w14:textId="77777777" w:rsidR="00CA0EF0" w:rsidRPr="00361E30" w:rsidRDefault="00CA0EF0" w:rsidP="003C13F4">
      <w:r w:rsidRPr="00361E30">
        <w:t xml:space="preserve">Frailty is a phenomenon that is often associated with ageing and health. However, it is not precisely defined in the literature and may mean different things to different people (see Chapter 1, Section 1.5). Frailty featured significantly in many interviews, particularly in relation to its impact on outcome in older patients. About half of interviewees discussed the concept of frailty specifically, and mentioned it by name, generally without prompting, while it was mentioned indirectly by others. Views on frailty did not appear to distinguish one site from the </w:t>
      </w:r>
      <w:r w:rsidR="00D90A98" w:rsidRPr="00361E30">
        <w:t>other but</w:t>
      </w:r>
      <w:r w:rsidRPr="00361E30">
        <w:t xml:space="preserve"> were shared by interviewees across both sites.</w:t>
      </w:r>
    </w:p>
    <w:p w14:paraId="6C00E73C" w14:textId="77777777" w:rsidR="00CA0EF0" w:rsidRPr="00361E30" w:rsidRDefault="00CA0EF0" w:rsidP="003C13F4">
      <w:pPr>
        <w:pStyle w:val="Heading3"/>
      </w:pPr>
      <w:r w:rsidRPr="00361E30">
        <w:t xml:space="preserve">7.2.1.1 </w:t>
      </w:r>
      <w:r w:rsidRPr="00361E30">
        <w:tab/>
        <w:t>What Is Frailty?</w:t>
      </w:r>
    </w:p>
    <w:p w14:paraId="79B3D67D" w14:textId="77777777" w:rsidR="00CA0EF0" w:rsidRPr="00361E30" w:rsidRDefault="00CA0EF0" w:rsidP="003C13F4">
      <w:r w:rsidRPr="00361E30">
        <w:t>Once frailty was mentioned by interviewees, the interviewer sought to explore what they meant by the term, and to see if this was consistent between individuals. When asked directly what they meant by ‘frailty’, most correspondents either gave examples of frail older people, or provided an ‘operational’ rather than an ‘academic’ definition. The conceptualisation of frailty did not vary significantly between sites. For example, when asked for her concept of frailty, one registrar in Emergency Medicine at Site 02 explicitly admitted that she did not adhere to any of the ‘official’ definitions, but rather had a concept of the older frail person that was linked to their general health and how this might affect their acute presentation.</w:t>
      </w:r>
    </w:p>
    <w:p w14:paraId="0338769F" w14:textId="77777777" w:rsidR="00CA0EF0" w:rsidRPr="00361E30" w:rsidRDefault="00CA0EF0" w:rsidP="003C13F4">
      <w:pPr>
        <w:ind w:left="1440"/>
      </w:pPr>
      <w:r w:rsidRPr="00361E30">
        <w:t>“There are lots of official definitions, none of which I particularly adhere to, I think it's an end of the bed diagnosis… but, it's often somebody with a list of comorbidities and medication on the triage sheet and a mechanism of injury that’s normally [a] fall, and then you look at the front of the card on the previous presentations, so they’ve had ten presentations this year that have been similar… You know, those patients are, I think frail, and should ring every warning bell that you have in terms of when you go to assess them.” (Interviewee AT03 - Registrar in Emergency Medicine, Site 02)</w:t>
      </w:r>
    </w:p>
    <w:p w14:paraId="282B52F5" w14:textId="77777777" w:rsidR="00CA0EF0" w:rsidRPr="00361E30" w:rsidRDefault="00CA0EF0" w:rsidP="003C13F4">
      <w:r w:rsidRPr="00361E30">
        <w:t xml:space="preserve">Others viewed frailty as a ‘state of being’ rather than a syndrome of distinct clinical features, reinforcing the view that formal definitions were perhaps less likely to be helpful in the clinical </w:t>
      </w:r>
      <w:r w:rsidRPr="00361E30">
        <w:lastRenderedPageBreak/>
        <w:t>setting. Many interviewees appeared to favour this approach to frailty, as something that you can identify by ‘what it looks like’ rather than diagnosing through a combination of distinct clinical criteria. The following quote illustrates this point.</w:t>
      </w:r>
    </w:p>
    <w:p w14:paraId="211A4664" w14:textId="77777777" w:rsidR="00CA0EF0" w:rsidRPr="00361E30" w:rsidRDefault="00CA0EF0" w:rsidP="003C13F4">
      <w:pPr>
        <w:ind w:left="1440"/>
      </w:pPr>
      <w:r w:rsidRPr="00361E30">
        <w:t>“it’s much more a description, particularly in geriatric medicine, that we are being encouraged to describe an entity, to try and describe, perhaps to others, families who are trying to understand why their older person, perhaps, isn’t, isn’t getting up on their feet in no time” (Interviewee DR03 – Consultant in Geriatrics, Site 01)</w:t>
      </w:r>
    </w:p>
    <w:p w14:paraId="080B3C74" w14:textId="77777777" w:rsidR="00CA0EF0" w:rsidRPr="00361E30" w:rsidRDefault="00CA0EF0" w:rsidP="003C13F4">
      <w:r w:rsidRPr="00361E30">
        <w:t>In contrast to the more holistic description of frailty described above, one pre-hospital provider defined frailty using a specific scoring system used by his service for identifying such patients.</w:t>
      </w:r>
    </w:p>
    <w:p w14:paraId="321AE49D" w14:textId="77777777" w:rsidR="00CA0EF0" w:rsidRPr="00361E30" w:rsidRDefault="00CA0EF0" w:rsidP="003C13F4">
      <w:pPr>
        <w:ind w:left="1440"/>
      </w:pPr>
      <w:r w:rsidRPr="00361E30">
        <w:t>“So we…  can use a number of tools within the prehospital environment, and I’m sure they do so in secondary care as well.  One tool or one example you may have heard of is the Rockwood Scale… so for many staff and we advocate the use of frailty scores within the prehospital environment to help define that” (Interviewee DR11 – paramedic, Site 01)</w:t>
      </w:r>
    </w:p>
    <w:p w14:paraId="4CC136E6" w14:textId="77777777" w:rsidR="00CA0EF0" w:rsidRPr="00361E30" w:rsidRDefault="00CA0EF0" w:rsidP="003C13F4">
      <w:r w:rsidRPr="00361E30">
        <w:t>This emphasis on scoring systems and defined clinical features may reflect the operational systems and working practices of prehospital providers, which are in general much more protocol and guideline driven than for hospital practitioners.</w:t>
      </w:r>
    </w:p>
    <w:p w14:paraId="2B63E38E" w14:textId="77777777" w:rsidR="00CA0EF0" w:rsidRPr="00361E30" w:rsidRDefault="00CA0EF0" w:rsidP="003C13F4">
      <w:pPr>
        <w:pStyle w:val="Heading3"/>
      </w:pPr>
      <w:r w:rsidRPr="00361E30">
        <w:t xml:space="preserve">7.2.1.2 </w:t>
      </w:r>
      <w:r w:rsidRPr="00361E30">
        <w:tab/>
        <w:t>How Does Frailty Affect Recovery?</w:t>
      </w:r>
    </w:p>
    <w:p w14:paraId="321D9BCC" w14:textId="77777777" w:rsidR="00CA0EF0" w:rsidRPr="00361E30" w:rsidRDefault="00CA0EF0" w:rsidP="003C13F4">
      <w:r w:rsidRPr="00361E30">
        <w:t>Interviewees from both sites almost universally identified frailty as a factor that adversely affected recovery from major trauma in older people. Many described its negative impact on a patient’s clinical course and recovery. The following quote provides a good illustration of this.</w:t>
      </w:r>
    </w:p>
    <w:p w14:paraId="34EEB973" w14:textId="77777777" w:rsidR="00CA0EF0" w:rsidRPr="00361E30" w:rsidRDefault="00CA0EF0" w:rsidP="003C13F4">
      <w:pPr>
        <w:ind w:left="1440"/>
      </w:pPr>
      <w:r w:rsidRPr="00361E30">
        <w:t>“So yeah, I mean, the, the frailty is a key, sort of disposition now for more serious [patients] or certainly [those] at risk of deterioration, so if patients are frail and immobile they, you know, that often impacts on their recovery or their ability to prevent certain injuries from happening in the first place”. (Interviewee DR11 – Paramedic, Site 01)</w:t>
      </w:r>
    </w:p>
    <w:p w14:paraId="454D5089" w14:textId="77777777" w:rsidR="00CA0EF0" w:rsidRPr="00361E30" w:rsidRDefault="00CA0EF0" w:rsidP="003C13F4">
      <w:r w:rsidRPr="00361E30">
        <w:t xml:space="preserve">Frailty was also identified as a precipitating factor for some </w:t>
      </w:r>
      <w:r w:rsidR="00D90A98" w:rsidRPr="00361E30">
        <w:t>high-risk</w:t>
      </w:r>
      <w:r w:rsidRPr="00361E30">
        <w:t xml:space="preserve"> injuries, including falls and head injuries. Frail patients appeared to be prone to their own constellation of injury mechanisms and injury patterns. Falls were a particularly common source of injury, and hip fractures, chest injuries and head injuries seemed to be very common consequences of falls.</w:t>
      </w:r>
    </w:p>
    <w:p w14:paraId="421776DB" w14:textId="77777777" w:rsidR="00CA0EF0" w:rsidRPr="00361E30" w:rsidRDefault="00CA0EF0" w:rsidP="003C13F4">
      <w:pPr>
        <w:ind w:left="1440"/>
      </w:pPr>
      <w:r w:rsidRPr="00361E30">
        <w:lastRenderedPageBreak/>
        <w:t>“I think the hip fracture group of patients, are almost a self-selected group of patients, who almost… are a frail group of patients by default”. (Interviewee DR03 – Consultant Geriatrician)</w:t>
      </w:r>
    </w:p>
    <w:p w14:paraId="1937764B" w14:textId="77777777" w:rsidR="00CA0EF0" w:rsidRPr="00361E30" w:rsidRDefault="00CA0EF0" w:rsidP="003C13F4">
      <w:pPr>
        <w:ind w:left="1440"/>
      </w:pPr>
      <w:r w:rsidRPr="00361E30">
        <w:t>“Patients with chronic disease of the lungs don't have the best reserve anyway, or they've got chest injuries and pneumothoraces or contusions and they're more likely to get exacerbations of the COPD and pneumonia. And then you throw in a couple of rib fractures and, you know, it's just like having a polytrauma for a young person, two rib fractures could see off a COPD who's not adequately managed”. (Interviewee AT04 – Trauma Coordinator, Site 02)</w:t>
      </w:r>
    </w:p>
    <w:p w14:paraId="7FC1E0B3" w14:textId="77777777" w:rsidR="00CA0EF0" w:rsidRPr="00361E30" w:rsidRDefault="00CA0EF0" w:rsidP="003C13F4">
      <w:r w:rsidRPr="00361E30">
        <w:t>Most interviewees made the strong association between frailty and survival, often mentioning both simultaneously when discussing the topic of frailty. Figure 7.2 provides some context to the mentioning of frailty in relation to survival within the interviews.</w:t>
      </w:r>
    </w:p>
    <w:p w14:paraId="4BD641D7" w14:textId="77777777" w:rsidR="00CA0EF0" w:rsidRPr="00361E30" w:rsidRDefault="00CA0EF0" w:rsidP="003C13F4">
      <w:r w:rsidRPr="00361E30">
        <w:rPr>
          <w:noProof/>
          <w:lang w:eastAsia="en-GB"/>
        </w:rPr>
        <w:drawing>
          <wp:inline distT="0" distB="0" distL="0" distR="0" wp14:anchorId="3AAB2470" wp14:editId="52A1B481">
            <wp:extent cx="5394960" cy="52501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ilty and survival - Results Preview.jpg"/>
                    <pic:cNvPicPr/>
                  </pic:nvPicPr>
                  <pic:blipFill>
                    <a:blip r:embed="rId30">
                      <a:extLst>
                        <a:ext uri="{28A0092B-C50C-407E-A947-70E740481C1C}">
                          <a14:useLocalDpi xmlns:a14="http://schemas.microsoft.com/office/drawing/2010/main" val="0"/>
                        </a:ext>
                      </a:extLst>
                    </a:blip>
                    <a:stretch>
                      <a:fillRect/>
                    </a:stretch>
                  </pic:blipFill>
                  <pic:spPr>
                    <a:xfrm>
                      <a:off x="0" y="0"/>
                      <a:ext cx="5394960" cy="5250180"/>
                    </a:xfrm>
                    <a:prstGeom prst="rect">
                      <a:avLst/>
                    </a:prstGeom>
                  </pic:spPr>
                </pic:pic>
              </a:graphicData>
            </a:graphic>
          </wp:inline>
        </w:drawing>
      </w:r>
    </w:p>
    <w:p w14:paraId="75A8B709" w14:textId="77777777" w:rsidR="00CA0EF0" w:rsidRPr="00361E30" w:rsidRDefault="00CA0EF0" w:rsidP="003C13F4">
      <w:pPr>
        <w:pStyle w:val="FigureTitle"/>
      </w:pPr>
      <w:bookmarkStart w:id="179" w:name="_Toc529090350"/>
      <w:r w:rsidRPr="00361E30">
        <w:t>Figure 7.2: Text tree demonstrating the context of frailty and survival within the interviews.</w:t>
      </w:r>
      <w:bookmarkEnd w:id="179"/>
    </w:p>
    <w:p w14:paraId="6482BD9E" w14:textId="77777777" w:rsidR="00CA0EF0" w:rsidRPr="00361E30" w:rsidRDefault="00CA0EF0" w:rsidP="003C13F4">
      <w:pPr>
        <w:pStyle w:val="Heading3"/>
      </w:pPr>
      <w:r w:rsidRPr="00361E30">
        <w:lastRenderedPageBreak/>
        <w:t xml:space="preserve">7.2.1.3 </w:t>
      </w:r>
      <w:r w:rsidRPr="00361E30">
        <w:tab/>
        <w:t>Identifying Frailty Through Its Components</w:t>
      </w:r>
    </w:p>
    <w:p w14:paraId="06B13F3A" w14:textId="77777777" w:rsidR="00CA0EF0" w:rsidRPr="00361E30" w:rsidRDefault="00CA0EF0" w:rsidP="003C13F4">
      <w:r w:rsidRPr="00361E30">
        <w:t>Many specific conditions that are seen in older frail patients (such as comorbidities, medication, mental status, social isolation and quality of life) were also discussed by interviewees, without always directly mentioning the term ‘frailty’. Many of these were recognised as independently affecting outcome in older patients. However, their impact on recovery mirrored that of frailty. As with frailty, these conditions led to an increased risk of illness and injury; more rapid deterioration and slower and less complete recovery. Again, these characteristics were mentioned by interviewees at both sites, and there was no clear distinction between sites.</w:t>
      </w:r>
    </w:p>
    <w:p w14:paraId="58D34BF7" w14:textId="77777777" w:rsidR="00CA0EF0" w:rsidRPr="00361E30" w:rsidRDefault="00CA0EF0" w:rsidP="003C13F4">
      <w:pPr>
        <w:ind w:firstLine="720"/>
      </w:pPr>
      <w:r w:rsidRPr="00361E30">
        <w:t>Comorbidities and medication were highlighted as a significant factor affecting recovery from major trauma in older people. Some of the comments from interviewees suggested that the major impact of common comorbidities was on the recovery process and the completeness of recovery.</w:t>
      </w:r>
    </w:p>
    <w:p w14:paraId="3D162FE7" w14:textId="77777777" w:rsidR="00CA0EF0" w:rsidRPr="00361E30" w:rsidRDefault="00CA0EF0" w:rsidP="003C13F4">
      <w:pPr>
        <w:ind w:left="1440"/>
      </w:pPr>
      <w:r w:rsidRPr="00361E30">
        <w:t>“So if we had two ladies who had the same injury, same age, but one had several comorbidities, was on 14, 15 different drugs a day… and the other one was perhaps on two drugs a day, minimal past medical history, maybe osteoarthritis, we would expect that person to do much better than the other one, purely because they’re fitter.” (Interviewee DR08 – Physiotherapist for rehabilitation services, Site 01).</w:t>
      </w:r>
    </w:p>
    <w:p w14:paraId="17387D59" w14:textId="77777777" w:rsidR="00CA0EF0" w:rsidRPr="00361E30" w:rsidRDefault="00CA0EF0" w:rsidP="003C13F4">
      <w:r w:rsidRPr="00361E30">
        <w:t xml:space="preserve">Mental health featured significantly as an issue that affected recovery from major trauma. Many respondents suggested that compliance with rehabilitation regimes was a particular problem with these patients.  </w:t>
      </w:r>
    </w:p>
    <w:p w14:paraId="6D2D7D4C" w14:textId="77777777" w:rsidR="00CA0EF0" w:rsidRPr="00361E30" w:rsidRDefault="00CA0EF0" w:rsidP="003C13F4">
      <w:pPr>
        <w:ind w:left="1440"/>
      </w:pPr>
      <w:r w:rsidRPr="00361E30">
        <w:t>“So… particularly [with] physical frailty, but also cognitive frailty, [there is] the potential during the trauma and recovery period, of significant deterioration in cognition, making it difficult for structured recovery with healthcare professionals and physiotherapy and rehabilitation to be optimised”. (Interviewee DR03 – Consultant in Geriatrics, Site 01)</w:t>
      </w:r>
    </w:p>
    <w:p w14:paraId="052CAEC5" w14:textId="77777777" w:rsidR="00CA0EF0" w:rsidRPr="00361E30" w:rsidRDefault="00CA0EF0" w:rsidP="003C13F4">
      <w:r w:rsidRPr="00361E30">
        <w:t>Non-medical factors associated with frailty, such as quality of life, mobility and social isolation were all discussed by interviewees as factors affecting outcome following trauma in older people. The interaction between these social issues and health outcome provided an important insight into the complex nature of health in older people, in the context of trauma in this age group. Quality of life was identified by several interviewees as a particularly important factor for recovery from major trauma.</w:t>
      </w:r>
    </w:p>
    <w:p w14:paraId="1E396D3F" w14:textId="77777777" w:rsidR="00CA0EF0" w:rsidRPr="00361E30" w:rsidRDefault="00CA0EF0" w:rsidP="003C13F4">
      <w:pPr>
        <w:ind w:left="1440"/>
      </w:pPr>
      <w:r w:rsidRPr="00361E30">
        <w:lastRenderedPageBreak/>
        <w:t>“I think if we had somebody who was ticking along and they had carers coming in four times a day, we are not going to see dramatic improvements in that they’re already at a baseline that was maybe not tip top and something like this, you know, it’s that old reserve thing, isn’t it?” (Interviewee DR01 – Trauma Coordinator and Physiotherapist, Site 01)</w:t>
      </w:r>
    </w:p>
    <w:p w14:paraId="1C20CDC6" w14:textId="77777777" w:rsidR="00CA0EF0" w:rsidRPr="00361E30" w:rsidRDefault="00CA0EF0" w:rsidP="003C13F4">
      <w:pPr>
        <w:pStyle w:val="Heading3"/>
      </w:pPr>
      <w:r w:rsidRPr="00361E30">
        <w:t xml:space="preserve">7.2.1.4 </w:t>
      </w:r>
      <w:r w:rsidRPr="00361E30">
        <w:tab/>
        <w:t>Frailty Affects Treatment Decisions</w:t>
      </w:r>
    </w:p>
    <w:p w14:paraId="3182EE23" w14:textId="77777777" w:rsidR="00CA0EF0" w:rsidRPr="00361E30" w:rsidRDefault="00CA0EF0" w:rsidP="003C13F4">
      <w:r w:rsidRPr="00361E30">
        <w:t>During the interviews, interviewees gave several examples of instances when frailty might affect clinical decision making with regard to patient treatment. In some instances, interviewees recognised that frailty itself required a different approach and therefore the treatment of frail patients was different (or should be different) from those who were not frail. Some interviewees, while recognising the need for a different approach, also suggested that this might not be possible in the setting of an acute hospital, as seen in the quote below from one of the rehabilitation consultants at Site 01.</w:t>
      </w:r>
    </w:p>
    <w:p w14:paraId="06F679F4" w14:textId="77777777" w:rsidR="00CA0EF0" w:rsidRPr="00361E30" w:rsidRDefault="00CA0EF0" w:rsidP="003C13F4">
      <w:pPr>
        <w:ind w:left="1440"/>
      </w:pPr>
      <w:r w:rsidRPr="00361E30">
        <w:t>“So I think that's the biggest problem that we have. They need time and our systems and our culture aren't set up to give them time. Hence if someone is able to go home then I think that's why they do better, because they're not on a ticking clock saying well, you've only got six weeks here, and then we've got to make a decision”. (Interviewee DR09 – Rehabilitation Consultant, Site 01)</w:t>
      </w:r>
    </w:p>
    <w:p w14:paraId="38B132D3" w14:textId="77777777" w:rsidR="00CA0EF0" w:rsidRPr="00361E30" w:rsidRDefault="00CA0EF0" w:rsidP="003C13F4">
      <w:r w:rsidRPr="00361E30">
        <w:t>Other interviewees, particularly those with a background in rehabilitation, recognised the benefit of a multidisciplinary team approach in older frail patients. However, this also came from some of the Emergency Department staff, such as this quote from one of the nurses working in the Emergency Department at Site 02.</w:t>
      </w:r>
    </w:p>
    <w:p w14:paraId="00F79070" w14:textId="77777777" w:rsidR="00CA0EF0" w:rsidRPr="00361E30" w:rsidRDefault="00CA0EF0" w:rsidP="003C13F4">
      <w:pPr>
        <w:ind w:left="1440"/>
      </w:pPr>
      <w:r w:rsidRPr="00361E30">
        <w:t>“…but then they're into OT, Physio quite early on and then depending on how well they progress and when they go home, we do have a rehab ward,… where the elderly can go to get them back on their feet”. (Interviewee AT07 – Emergency Department Nurse, Site 02)</w:t>
      </w:r>
    </w:p>
    <w:p w14:paraId="346CCC9D" w14:textId="77777777" w:rsidR="00CA0EF0" w:rsidRPr="00361E30" w:rsidRDefault="00CA0EF0" w:rsidP="003C13F4">
      <w:r w:rsidRPr="00361E30">
        <w:t xml:space="preserve">Decisions on </w:t>
      </w:r>
      <w:r w:rsidR="00D90A98" w:rsidRPr="00361E30">
        <w:t>whether</w:t>
      </w:r>
      <w:r w:rsidRPr="00361E30">
        <w:t xml:space="preserve"> to resuscitate older patients emerged as a major theme in the interviews, and this is discussed in detail further on in this chapter. Several interviewees mentioned the impact of frailty on decisions to commence or continue resuscitation. Particularly at Site 02, this was often mentioned in relation to patients with head injuries, as there were strict guidelines in this hospital regarding whether the neurosurgical services would accept older patients with head injuries. This often led to disagreements between the trauma </w:t>
      </w:r>
      <w:r w:rsidRPr="00361E30">
        <w:lastRenderedPageBreak/>
        <w:t>team and the neurosurgical team. These decisions seemed to hinge around issues of frailty, as highlighted in the quote below from a registrar in Anaesthetics and Intensive Care at that site.</w:t>
      </w:r>
    </w:p>
    <w:p w14:paraId="4CF27828" w14:textId="77777777" w:rsidR="00CA0EF0" w:rsidRPr="00361E30" w:rsidRDefault="00CA0EF0" w:rsidP="003C13F4">
      <w:pPr>
        <w:ind w:left="1440"/>
      </w:pPr>
      <w:r w:rsidRPr="00361E30">
        <w:t>“I think very rarely when you have someone, for example, with a major head injury, which for, example, they’re on anticoagulation and they live in a nursing home, probably you might be less aggressive in their treatment because [sigh] the chances of that patient surviving, they’re very small, even if that’s not necessarily confirmed by knowing their full history”. (Interviewee AT02 – Registrar in Anaesthetics and Intensive Care, Site 02)</w:t>
      </w:r>
    </w:p>
    <w:p w14:paraId="0CF862B3" w14:textId="77777777" w:rsidR="00CA0EF0" w:rsidRPr="00361E30" w:rsidRDefault="00CA0EF0" w:rsidP="003C13F4">
      <w:r w:rsidRPr="00361E30">
        <w:t>In both sites, the need for adequate communication of the concepts of frailty and resilience were seen as important in any decision making about the appropriateness for resuscitation. One trauma coordinator from Site 02 highlighted this in terms of his own experience as a patient’s relative, when a relative was admitted to hospital. The relative was not suitable for aggressive resuscitation, and his own role in communicating with his relatives in this situation was important in coming to an appropriate decision with the rest of the family.</w:t>
      </w:r>
    </w:p>
    <w:p w14:paraId="2FEF25D3" w14:textId="77777777" w:rsidR="00CA0EF0" w:rsidRPr="00361E30" w:rsidRDefault="00CA0EF0" w:rsidP="003C13F4">
      <w:pPr>
        <w:ind w:left="1440"/>
      </w:pPr>
      <w:r w:rsidRPr="00361E30">
        <w:t>“[W]e said, even a small trauma in an elderly patient can kill them or it's life-changing. And I said, because they don't have the resilience of a younger person, and it happens…it's not an individual, it happens to us all as we get older. You know, and I think it's how you…it's how you pitch it to them”. (Interviewee AT04 – Trauma Coordinator, Site 02)</w:t>
      </w:r>
    </w:p>
    <w:p w14:paraId="048ADD5B" w14:textId="77777777" w:rsidR="00CA0EF0" w:rsidRPr="00361E30" w:rsidRDefault="00CA0EF0" w:rsidP="003C13F4">
      <w:pPr>
        <w:pStyle w:val="Heading2"/>
      </w:pPr>
      <w:bookmarkStart w:id="180" w:name="_Toc1902330"/>
      <w:r w:rsidRPr="00361E30">
        <w:t>7.2.2</w:t>
      </w:r>
      <w:r w:rsidRPr="00361E30">
        <w:tab/>
        <w:t xml:space="preserve">Older People Are Not All </w:t>
      </w:r>
      <w:r w:rsidR="00D90A98" w:rsidRPr="00361E30">
        <w:t>the</w:t>
      </w:r>
      <w:r w:rsidRPr="00361E30">
        <w:t xml:space="preserve"> Same</w:t>
      </w:r>
      <w:bookmarkEnd w:id="180"/>
    </w:p>
    <w:p w14:paraId="5E5AAD65" w14:textId="77777777" w:rsidR="00CA0EF0" w:rsidRPr="00361E30" w:rsidRDefault="00CA0EF0" w:rsidP="003C13F4">
      <w:r w:rsidRPr="00361E30">
        <w:t>Throughout the interviews, most interviewees recognised that the older population is not a homogenous group. Rather, this age group consists of individuals with widely varying health and social status, motivations and attitudes. Many of these differences were thought to impact significantly on their outcome following serious injury, suggesting that the determination of outcome in older trauma patients may be more complex than might be expected.</w:t>
      </w:r>
    </w:p>
    <w:p w14:paraId="57BAE484" w14:textId="77777777" w:rsidR="00CA0EF0" w:rsidRPr="00361E30" w:rsidRDefault="00CA0EF0" w:rsidP="003C13F4">
      <w:pPr>
        <w:pStyle w:val="Heading3"/>
      </w:pPr>
      <w:r w:rsidRPr="00361E30">
        <w:t xml:space="preserve">7.2.2.1 </w:t>
      </w:r>
      <w:r w:rsidRPr="00361E30">
        <w:tab/>
        <w:t>‘Natives’ Versus ‘Incomers’ – A Peculiar Dichotomy at Site 01</w:t>
      </w:r>
    </w:p>
    <w:p w14:paraId="37DD7A37" w14:textId="77777777" w:rsidR="00CA0EF0" w:rsidRPr="00361E30" w:rsidRDefault="00CA0EF0" w:rsidP="003C13F4">
      <w:r w:rsidRPr="00361E30">
        <w:t>Site 01, serving a rural community, presented a peculiar dichotomy of patients not seen in Site 02, and possibly not seen in many areas of the United Kingdom. When describing older patients in this community many interviewees recognised two groups: those born and raised in the area (‘natives’), who were generally of a poorer socioeconomic background, with worse health status and people who chose to settle in the area, usually after retiring, who were wealthier and healthier than the native population.</w:t>
      </w:r>
    </w:p>
    <w:p w14:paraId="46A656CA" w14:textId="77777777" w:rsidR="00CA0EF0" w:rsidRPr="00361E30" w:rsidRDefault="00CA0EF0" w:rsidP="003C13F4">
      <w:pPr>
        <w:ind w:left="1440"/>
      </w:pPr>
      <w:r w:rsidRPr="00361E30">
        <w:lastRenderedPageBreak/>
        <w:t>“[T]hey’re mostly a very indigenous community, so there’s a, a lot of people from the [name of region], who have all their lives been in the [name of region]…. Having said that there’s a lot of people who retire into the [name of region], perhaps not so much to [name of city], but further east, in sort of [name of city] and [name of city] and such, but we do have a lot of people who come into some of the more, um, aesthetic parts of where this hospital serves, in the [name of county] and [name of county] areas.” (Interviewee DR03 – Geriatric Consultant, Site 01)</w:t>
      </w:r>
    </w:p>
    <w:p w14:paraId="765C4FCF" w14:textId="77777777" w:rsidR="00CA0EF0" w:rsidRPr="00361E30" w:rsidRDefault="00CA0EF0" w:rsidP="003C13F4">
      <w:r w:rsidRPr="00361E30">
        <w:t xml:space="preserve">This dichotomy was described exclusively at Site 01. </w:t>
      </w:r>
    </w:p>
    <w:p w14:paraId="4E6E9C87" w14:textId="77777777" w:rsidR="00CA0EF0" w:rsidRPr="00361E30" w:rsidRDefault="00CA0EF0" w:rsidP="003C13F4">
      <w:pPr>
        <w:pStyle w:val="Heading3"/>
      </w:pPr>
      <w:r w:rsidRPr="00361E30">
        <w:t xml:space="preserve">7.2.2.2 </w:t>
      </w:r>
      <w:r w:rsidRPr="00361E30">
        <w:tab/>
        <w:t xml:space="preserve">Healthy </w:t>
      </w:r>
      <w:r w:rsidR="00D90A98" w:rsidRPr="00361E30">
        <w:t>and</w:t>
      </w:r>
      <w:r w:rsidRPr="00361E30">
        <w:t xml:space="preserve"> Active Versus Sedentary And Sick</w:t>
      </w:r>
    </w:p>
    <w:p w14:paraId="0477C947" w14:textId="77777777" w:rsidR="00CA0EF0" w:rsidRPr="00361E30" w:rsidRDefault="00CA0EF0" w:rsidP="003C13F4">
      <w:r w:rsidRPr="00361E30">
        <w:t xml:space="preserve">At both sites, interviewees saw lifestyle as a key factor affecting health status and the ability to recover from major trauma. At both sites, a subgroup of active, healthy patients was described, whose health status was generally good. They suffered from injuries associated with </w:t>
      </w:r>
      <w:r w:rsidR="00D90A98" w:rsidRPr="00361E30">
        <w:t>activity and</w:t>
      </w:r>
      <w:r w:rsidRPr="00361E30">
        <w:t xml:space="preserve"> recovered well from these injuries.</w:t>
      </w:r>
    </w:p>
    <w:p w14:paraId="0271614B" w14:textId="77777777" w:rsidR="00CA0EF0" w:rsidRPr="00361E30" w:rsidRDefault="00CA0EF0" w:rsidP="003C13F4">
      <w:pPr>
        <w:ind w:left="1440"/>
      </w:pPr>
      <w:r w:rsidRPr="00361E30">
        <w:t>“[T]hey’ve been very active all their life, they’ve pursued, you know, a sort of [name of area] walk, when they say walked regularly, and you ask them, you know it was a, it was a six, ten mile hike… and actually a lot of their background fitness carries them through.” (Interviewee DR03 – Geriatric Consultant, Site 01)</w:t>
      </w:r>
    </w:p>
    <w:p w14:paraId="52AE2C13" w14:textId="77777777" w:rsidR="00CA0EF0" w:rsidRPr="00361E30" w:rsidRDefault="00CA0EF0" w:rsidP="003C13F4">
      <w:r w:rsidRPr="00361E30">
        <w:t>Conversely, interviewees identified a larger group of older patients with much more sedentary lifestyles, who did not do so well after major trauma. These two groups were seen as very distinct from each other and very different in their lifestyle, health status</w:t>
      </w:r>
      <w:r w:rsidR="000D4E42">
        <w:t xml:space="preserve"> and</w:t>
      </w:r>
      <w:r w:rsidRPr="00361E30">
        <w:t xml:space="preserve"> ability to recover from injury.</w:t>
      </w:r>
    </w:p>
    <w:p w14:paraId="7EDDA6B9" w14:textId="77777777" w:rsidR="00CA0EF0" w:rsidRPr="00361E30" w:rsidRDefault="00CA0EF0" w:rsidP="003C13F4">
      <w:pPr>
        <w:ind w:left="1440"/>
      </w:pPr>
      <w:r w:rsidRPr="00361E30">
        <w:t>“So, you say okay, from this cubicle, how far could you walk from here?  And, erm, I've been really quite surprised on a number of occasions by how little that person is able to walk and how normal they view that, and I don't know whether it's deconditioning, how much of it is loss of confidence.” (Interviewee AT03 – Emergency Medicine Registrar, Site 02)</w:t>
      </w:r>
    </w:p>
    <w:p w14:paraId="1852058A" w14:textId="77777777" w:rsidR="00CA0EF0" w:rsidRPr="00361E30" w:rsidRDefault="00CA0EF0" w:rsidP="003C13F4">
      <w:r w:rsidRPr="00361E30">
        <w:t>The injury patterns and mechanisms seen in healthier, more active patients were very different from that seen in older more sedentary patients. The former group was much more like younger trauma patients and interviewees generally expected their recovery to follow the path of younger trauma patients.</w:t>
      </w:r>
    </w:p>
    <w:p w14:paraId="1DAB3C34" w14:textId="77777777" w:rsidR="00CA0EF0" w:rsidRPr="00361E30" w:rsidRDefault="00CA0EF0" w:rsidP="003C13F4">
      <w:pPr>
        <w:ind w:left="1440"/>
      </w:pPr>
      <w:r w:rsidRPr="00361E30">
        <w:lastRenderedPageBreak/>
        <w:t>“[W]e certainly get a lot of those here, a large proportion of the major trauma in elderly patients we’ll see a lot of patients who’ve been twenty feet up ladders, doing things that you’ll think of someone twenty-five years younger” (Interviewee DR06 – Emergency Medicine Registrar, Site 01)</w:t>
      </w:r>
    </w:p>
    <w:p w14:paraId="4D314BCA" w14:textId="77777777" w:rsidR="00CA0EF0" w:rsidRPr="00361E30" w:rsidRDefault="00CA0EF0" w:rsidP="003C13F4">
      <w:r w:rsidRPr="00361E30">
        <w:t>Interestingly, some interviewees seemed to frown upon these older people, who were (in their opinion) ‘not acting their age’, despite acknowledging that this active lifestyle was an important part of maintaining their fitness and resilience.</w:t>
      </w:r>
    </w:p>
    <w:p w14:paraId="7735675C" w14:textId="77777777" w:rsidR="00CA0EF0" w:rsidRPr="00361E30" w:rsidRDefault="00CA0EF0" w:rsidP="003C13F4">
      <w:pPr>
        <w:ind w:left="1440"/>
      </w:pPr>
      <w:r w:rsidRPr="00361E30">
        <w:t>“[A]nd we’re getting the, I was gonna say the younger, but the less comorbid cohort of the elderly that we have a lot of down here, umm, doing things that you shouldn’t do…” (Interviewee DR06 – Emergency Medicine Registrar, Site 01)</w:t>
      </w:r>
    </w:p>
    <w:p w14:paraId="56CB329A" w14:textId="77777777" w:rsidR="00CA0EF0" w:rsidRPr="00361E30" w:rsidRDefault="00CA0EF0" w:rsidP="003C13F4">
      <w:r w:rsidRPr="00361E30">
        <w:t>Interviewees thought that the more sedentary patients with poorer health tended to have their own spectrum of injuries and mechanisms, centred around falls, and leading to predominantly head and chest injuries.</w:t>
      </w:r>
    </w:p>
    <w:p w14:paraId="4C61134A" w14:textId="77777777" w:rsidR="00CA0EF0" w:rsidRPr="00361E30" w:rsidRDefault="00CA0EF0" w:rsidP="003C13F4">
      <w:pPr>
        <w:ind w:left="1440"/>
      </w:pPr>
      <w:r w:rsidRPr="00361E30">
        <w:t>“There are the, the two different types of trauma. There's the relatively minor trauma, falling, falling from standing, but with a frailer body they sustain more injuries. [A]nd then there's the big smashes where a person, whatever their age, they have multiple injuries. And I think the two groups are quite different.” (Interviewee DR09 – Rehabilitation Consultant, Site 01)</w:t>
      </w:r>
    </w:p>
    <w:p w14:paraId="432DD373" w14:textId="77777777" w:rsidR="00CA0EF0" w:rsidRPr="00361E30" w:rsidRDefault="00CA0EF0" w:rsidP="003C13F4">
      <w:pPr>
        <w:pStyle w:val="Heading3"/>
      </w:pPr>
      <w:r w:rsidRPr="00361E30">
        <w:t xml:space="preserve">7.2.2.3 </w:t>
      </w:r>
      <w:r w:rsidRPr="00361E30">
        <w:tab/>
        <w:t>Wealthy Versus Poor</w:t>
      </w:r>
    </w:p>
    <w:p w14:paraId="5015CD40" w14:textId="77777777" w:rsidR="00CA0EF0" w:rsidRPr="00361E30" w:rsidRDefault="00CA0EF0" w:rsidP="003C13F4">
      <w:r w:rsidRPr="00361E30">
        <w:t>Wealth and poverty were mentioned by many interviewees, and were often linked to other factors, such as health status, social support and independence. Both sites had areas with high levels of poverty, and interviewees generally acknowledged that patients from these areas presented with poorer health and their recovery was more prolonged and difficult.</w:t>
      </w:r>
    </w:p>
    <w:p w14:paraId="6F6FEE5B" w14:textId="77777777" w:rsidR="00CA0EF0" w:rsidRPr="00361E30" w:rsidRDefault="00CA0EF0" w:rsidP="003C13F4">
      <w:pPr>
        <w:ind w:left="1440"/>
      </w:pPr>
      <w:r w:rsidRPr="00361E30">
        <w:t>“So within our population the older population, we have a mixture of people who come from relatively poor backgrounds, and with not great education…. [T]hey [tend] to have poorer health…. So, for example, we have a diabetic population… who are very uneducated about their diabetic management. And therefore they have an awful lot of complications. So things like smoking and alcohol and other drugs, there's quite a high prevalence of that.” (Interviewee DR09 – Rehabilitation Consultant, Site 01)</w:t>
      </w:r>
    </w:p>
    <w:p w14:paraId="34181EA8" w14:textId="77777777" w:rsidR="00CA0EF0" w:rsidRPr="00361E30" w:rsidRDefault="00CA0EF0" w:rsidP="003C13F4">
      <w:r w:rsidRPr="00361E30">
        <w:lastRenderedPageBreak/>
        <w:t>Conversely, patients from wealthy backgrounds were viewed almost as a different patient group, with different levels of health, different lifestyles and different injuries. In general, these wealthier people were thought to have better recovery after trauma because of a combination of better health, motivation and support. This is illustrated by the quote below, regarding older, wealthier retirees in Site 01.</w:t>
      </w:r>
    </w:p>
    <w:p w14:paraId="1C5CE7C7" w14:textId="77777777" w:rsidR="00CA0EF0" w:rsidRPr="00361E30" w:rsidRDefault="00CA0EF0" w:rsidP="003C13F4">
      <w:pPr>
        <w:ind w:left="1440"/>
      </w:pPr>
      <w:r w:rsidRPr="00361E30">
        <w:t>“[W]e get some people who have come down who are wealthy… who holidayed… here, but then decided to retire, so you have that different… that economic aspect as well. [B]ut you probably get more of the wealthier ones in better health than the less.” (Interviewee DR09 – Physiotherapist, Site 01)</w:t>
      </w:r>
    </w:p>
    <w:p w14:paraId="3334817B" w14:textId="77777777" w:rsidR="00CA0EF0" w:rsidRPr="00361E30" w:rsidRDefault="00CA0EF0" w:rsidP="003C13F4">
      <w:r w:rsidRPr="00361E30">
        <w:t>It should be noted that not all aspects of lower socio-economic class and poverty were seen as negative or detrimental to recovery. For example, at Site 02, social deprivation was associated with strong family ties, and extended families that might play an important role in the recovery of older trauma patients.</w:t>
      </w:r>
    </w:p>
    <w:p w14:paraId="00580A67" w14:textId="77777777" w:rsidR="00CA0EF0" w:rsidRPr="00361E30" w:rsidRDefault="00CA0EF0" w:rsidP="003C13F4">
      <w:pPr>
        <w:ind w:left="1440"/>
      </w:pPr>
      <w:r w:rsidRPr="00361E30">
        <w:t>“Um, I think sometimes you find, the more… some of the more social deprived families are a lot more look after each other, in the same kind of way the Chinese community do, where it's always been a kind of respect for the elders and you look after…. [T]hat is kind of what we see from the local areas.” (Interviewee AT04, Trauma Coordinator, Site 02)</w:t>
      </w:r>
    </w:p>
    <w:p w14:paraId="4C93C62B" w14:textId="77777777" w:rsidR="00CA0EF0" w:rsidRPr="00361E30" w:rsidRDefault="00CA0EF0" w:rsidP="003C13F4">
      <w:pPr>
        <w:pStyle w:val="Heading3"/>
      </w:pPr>
      <w:r w:rsidRPr="00361E30">
        <w:t xml:space="preserve">7.2.2.4 </w:t>
      </w:r>
      <w:r w:rsidRPr="00361E30">
        <w:tab/>
        <w:t>Despite These Variations, Older People May Be Stereotyped</w:t>
      </w:r>
    </w:p>
    <w:p w14:paraId="5C2634AA" w14:textId="77777777" w:rsidR="00CA0EF0" w:rsidRPr="00361E30" w:rsidRDefault="00CA0EF0" w:rsidP="003C13F4">
      <w:r w:rsidRPr="00361E30">
        <w:t>Despite the widespread acknowledgement that older people are not all the same, there were several examples of stereotyping of older people by health providers. This generally painted the older patient as a frail, ill person with limited capacity for recovery and a limited lifestyle. This is discussed in more detail in Section 7.3.3 (Attitudes of healthcare providers – assumptions and generalisations)</w:t>
      </w:r>
    </w:p>
    <w:p w14:paraId="40BF4C34" w14:textId="77777777" w:rsidR="00CA0EF0" w:rsidRPr="00361E30" w:rsidRDefault="00CA0EF0" w:rsidP="003C13F4">
      <w:pPr>
        <w:pStyle w:val="Heading1"/>
      </w:pPr>
      <w:bookmarkStart w:id="181" w:name="_Toc1902331"/>
      <w:r w:rsidRPr="00361E30">
        <w:t>7.3</w:t>
      </w:r>
      <w:r w:rsidRPr="00361E30">
        <w:tab/>
        <w:t>Attitudes Toward Ageing</w:t>
      </w:r>
      <w:bookmarkEnd w:id="181"/>
    </w:p>
    <w:p w14:paraId="05DB36B1" w14:textId="77777777" w:rsidR="00CA0EF0" w:rsidRPr="00361E30" w:rsidRDefault="00CA0EF0" w:rsidP="003C13F4">
      <w:r w:rsidRPr="00361E30">
        <w:t xml:space="preserve">Attitudes toward ageing featured in all interviews, and included attitudes of patients, their relatives and staff towards the phenomenon. This included descriptions of how patients, relatives and healthcare providers approached ageing, and the differences between approaches to older and younger patients. </w:t>
      </w:r>
    </w:p>
    <w:p w14:paraId="45CDE8EF" w14:textId="77777777" w:rsidR="00CA0EF0" w:rsidRPr="00361E30" w:rsidRDefault="00CA0EF0" w:rsidP="003C13F4">
      <w:pPr>
        <w:pStyle w:val="Heading2"/>
      </w:pPr>
      <w:bookmarkStart w:id="182" w:name="_Toc1902332"/>
      <w:r w:rsidRPr="00361E30">
        <w:t>7.3.1</w:t>
      </w:r>
      <w:r w:rsidRPr="00361E30">
        <w:tab/>
        <w:t>Attitudes and Motivation of Older Patients</w:t>
      </w:r>
      <w:bookmarkEnd w:id="182"/>
    </w:p>
    <w:p w14:paraId="076E015A" w14:textId="77777777" w:rsidR="00CA0EF0" w:rsidRPr="00361E30" w:rsidRDefault="00CA0EF0" w:rsidP="003C13F4">
      <w:r w:rsidRPr="00361E30">
        <w:t xml:space="preserve">Interviewees identified attitude and motivation of the patient as important to the recovery process. This varied between </w:t>
      </w:r>
      <w:r w:rsidR="00D90A98" w:rsidRPr="00361E30">
        <w:t>patients and</w:t>
      </w:r>
      <w:r w:rsidRPr="00361E30">
        <w:t xml:space="preserve"> was thought to account for some differences in </w:t>
      </w:r>
      <w:r w:rsidRPr="00361E30">
        <w:lastRenderedPageBreak/>
        <w:t>outcome in older people suffering major trauma. Some interviewees saw this negative attitude as something that might be precipitated by the injury itself. Patients may lose confidence and develop a negative attitude because of the injury or the circumstances surrounding the injury.</w:t>
      </w:r>
    </w:p>
    <w:p w14:paraId="22369C15" w14:textId="77777777" w:rsidR="00CA0EF0" w:rsidRPr="00361E30" w:rsidRDefault="00CA0EF0" w:rsidP="003C13F4">
      <w:pPr>
        <w:ind w:left="1440"/>
      </w:pPr>
      <w:r w:rsidRPr="00361E30">
        <w:t>“[S]ome people can change through their time and their stay in hospital, and some people can be really quite negative when they come in because they just feel dreadful.” (Interviewee DR07 – Trauma Coordinator, Site 01)</w:t>
      </w:r>
    </w:p>
    <w:p w14:paraId="240EA8EC" w14:textId="77777777" w:rsidR="00CA0EF0" w:rsidRPr="00361E30" w:rsidRDefault="00CA0EF0" w:rsidP="003C13F4">
      <w:r w:rsidRPr="00361E30">
        <w:t>Attitude was also thought to be influenced by prior experience. Patients who had lived their lives with a positive attitude were described as more likely to bring this approach to their recovery. Many interviewees saw the effect of attitude on rehabilitation and recovery, particularly as rehabilitation depended on patient involvement for success.</w:t>
      </w:r>
    </w:p>
    <w:p w14:paraId="617330A9" w14:textId="77777777" w:rsidR="00CA0EF0" w:rsidRPr="00361E30" w:rsidRDefault="00CA0EF0" w:rsidP="003C13F4">
      <w:pPr>
        <w:ind w:left="1440"/>
      </w:pPr>
      <w:r w:rsidRPr="00361E30">
        <w:t>“[I]t just depends on whether you’ve…I suppose whether your outlook on it is, well, do you know what, that’s happened and I need to deal with it, but it’s not going to affect me, I still want to do really well.” (Interviewee DR07 – Trauma Coordinator, Site 01)</w:t>
      </w:r>
    </w:p>
    <w:p w14:paraId="1B1EB5D0" w14:textId="77777777" w:rsidR="00CA0EF0" w:rsidRPr="00361E30" w:rsidRDefault="00CA0EF0" w:rsidP="003C13F4">
      <w:r w:rsidRPr="00361E30">
        <w:t xml:space="preserve">Some interviewees also linked motivation to social circumstances, particularly social isolation. Patients who were lonely, isolated and without family support might have less reason to be motivated to get better, while those who live alone with little community support, might </w:t>
      </w:r>
      <w:r w:rsidR="00D90A98" w:rsidRPr="00361E30">
        <w:t>have</w:t>
      </w:r>
      <w:r w:rsidRPr="00361E30">
        <w:t xml:space="preserve"> a disincentive to going back home as hospital provided a safe and caring environment for them, with the company of other patients and staff.</w:t>
      </w:r>
    </w:p>
    <w:p w14:paraId="0431AE0E" w14:textId="77777777" w:rsidR="00CA0EF0" w:rsidRPr="00361E30" w:rsidRDefault="00CA0EF0" w:rsidP="003C13F4">
      <w:pPr>
        <w:pStyle w:val="Heading2"/>
      </w:pPr>
      <w:bookmarkStart w:id="183" w:name="_Toc1902333"/>
      <w:r w:rsidRPr="00361E30">
        <w:t>7.3.2</w:t>
      </w:r>
      <w:r w:rsidRPr="00361E30">
        <w:tab/>
        <w:t>Family Dynamics</w:t>
      </w:r>
      <w:bookmarkEnd w:id="183"/>
    </w:p>
    <w:p w14:paraId="00EEF920" w14:textId="77777777" w:rsidR="00CA0EF0" w:rsidRPr="00361E30" w:rsidRDefault="00CA0EF0" w:rsidP="003C13F4">
      <w:r w:rsidRPr="00361E30">
        <w:t>While family involvement was generally seen as a positive factor in recovery after major trauma, this was not necessarily so. Family interactions varied from patient to patient, and some interactions could be negative, leading to poorer outcomes. The quote below from an Interviewee at Site 02 illustrates the impact this might have on recovery and discharge from hospital.</w:t>
      </w:r>
    </w:p>
    <w:p w14:paraId="6AD7F047" w14:textId="77777777" w:rsidR="00CA0EF0" w:rsidRPr="00361E30" w:rsidRDefault="00CA0EF0" w:rsidP="003C13F4">
      <w:pPr>
        <w:ind w:left="1440"/>
      </w:pPr>
      <w:r w:rsidRPr="00361E30">
        <w:t>“[I]f you have a family who all are a functional family, then you kind of get a…one consensus from the group. If you've got a family who are not [a] very, you know, typical family and have a lot of different opinions, then it can be quite difficult in the discharge and where the patient's gonna go. One person might feel that they can go home; two of them might feel that they should go into a home…. [B]ut if everyone's kind of singing on the same song page, it can be easier to get these patients home.” (Interviewee AT04 - Trauma Coordinator, Site 02)</w:t>
      </w:r>
    </w:p>
    <w:p w14:paraId="7929C1B6" w14:textId="77777777" w:rsidR="00CA0EF0" w:rsidRPr="00361E30" w:rsidRDefault="00CA0EF0" w:rsidP="003C13F4">
      <w:pPr>
        <w:pStyle w:val="Heading2"/>
      </w:pPr>
      <w:bookmarkStart w:id="184" w:name="_Toc1902334"/>
      <w:r w:rsidRPr="00361E30">
        <w:lastRenderedPageBreak/>
        <w:t>7.3.3</w:t>
      </w:r>
      <w:r w:rsidRPr="00361E30">
        <w:tab/>
        <w:t>Attitudes of Healthcare Providers</w:t>
      </w:r>
      <w:bookmarkEnd w:id="184"/>
    </w:p>
    <w:p w14:paraId="51F95A7A" w14:textId="77777777" w:rsidR="00CA0EF0" w:rsidRPr="00361E30" w:rsidRDefault="00CA0EF0" w:rsidP="003C13F4">
      <w:r w:rsidRPr="00361E30">
        <w:t>Throughout all the interviews, attitudes of healthcare providers toward older people were an important aspect of the discussions. As mentioned above, some interviewees described a less aggressive approach to managing the care of older patients compared to younger ones. Interviewees also described differences in approach to older people between different specialists and different professionals. Interestingly, some comments revealed interviewees’ own biases towards ageing. For example, interviewees demonstrated a marked unwillingness to admit to any differences in the management of older people in relation to trauma care, suggesting that there was a taboo to admitting this kind of bias.</w:t>
      </w:r>
    </w:p>
    <w:p w14:paraId="6610E1CB" w14:textId="77777777" w:rsidR="00CA0EF0" w:rsidRPr="00361E30" w:rsidRDefault="00CA0EF0" w:rsidP="003C13F4">
      <w:pPr>
        <w:pStyle w:val="Heading3"/>
      </w:pPr>
      <w:r w:rsidRPr="00361E30">
        <w:t xml:space="preserve">7.3.3.1 </w:t>
      </w:r>
      <w:r w:rsidRPr="00361E30">
        <w:tab/>
        <w:t>Assumptions and Generalisations About Ageing</w:t>
      </w:r>
    </w:p>
    <w:p w14:paraId="30B32308" w14:textId="77777777" w:rsidR="00CA0EF0" w:rsidRPr="00361E30" w:rsidRDefault="00CA0EF0" w:rsidP="003C13F4">
      <w:r w:rsidRPr="00361E30">
        <w:t xml:space="preserve">A few interviewees highlighted the issue of staff stereotyping older people and the negative impact such generalisations might have on their care. The most common stereotype was that older people were frail, passive and unable to cope. Some of the interviewees seemed to </w:t>
      </w:r>
      <w:r w:rsidR="001D0014" w:rsidRPr="00361E30">
        <w:t>assume</w:t>
      </w:r>
      <w:r w:rsidRPr="00361E30">
        <w:t xml:space="preserve"> that all older people may not be able to cope, relating this to their general state and quality of life. </w:t>
      </w:r>
    </w:p>
    <w:p w14:paraId="6353AE2A" w14:textId="77777777" w:rsidR="00CA0EF0" w:rsidRPr="00361E30" w:rsidRDefault="00CA0EF0" w:rsidP="003C13F4">
      <w:pPr>
        <w:ind w:left="1440"/>
      </w:pPr>
      <w:r w:rsidRPr="00361E30">
        <w:t xml:space="preserve">“[P]lus I think the, psychologically it’s harder for them to cope with like an acute change in environment and, you know… acute situation.  </w:t>
      </w:r>
      <w:r w:rsidR="001D0014" w:rsidRPr="00361E30">
        <w:t>So,</w:t>
      </w:r>
      <w:r w:rsidRPr="00361E30">
        <w:t xml:space="preserve"> for example, someone who has been living in a nursing home for the last five years and not been out for that much, probably they won’t cope with like an ambulance transfer, coming to A&amp;E, 15 people around them.  [So] that would probably be very hard for them to cope mentally.” (Interviewee AT02 – Anaesthetic and ICU Registrar, Site 02)</w:t>
      </w:r>
    </w:p>
    <w:p w14:paraId="1C4D6D4F" w14:textId="77777777" w:rsidR="00CA0EF0" w:rsidRPr="00361E30" w:rsidRDefault="00CA0EF0" w:rsidP="003C13F4">
      <w:r w:rsidRPr="00361E30">
        <w:t xml:space="preserve">A few interviewees, particularly those involved in rehabilitation, were concerned that this attitude towards the older patient hindered rehabilitation and ultimately might affect recovery. The quote below from a business manager at Site 01 illustrates this point. </w:t>
      </w:r>
    </w:p>
    <w:p w14:paraId="61672053" w14:textId="77777777" w:rsidR="00CA0EF0" w:rsidRPr="00361E30" w:rsidRDefault="00CA0EF0" w:rsidP="003C13F4">
      <w:pPr>
        <w:ind w:left="1440"/>
      </w:pPr>
      <w:r w:rsidRPr="00361E30">
        <w:t>“We instantly put them in a bed.  We strip them of their clothes [laugh] and we make them, er, confused.  We make them unhappy.  We make them a patient” (Interviewee DR04 – Business Manager, Site 01)</w:t>
      </w:r>
    </w:p>
    <w:p w14:paraId="4C500BEF" w14:textId="77777777" w:rsidR="00CA0EF0" w:rsidRPr="00361E30" w:rsidRDefault="00CA0EF0" w:rsidP="003C13F4">
      <w:r w:rsidRPr="00361E30">
        <w:t>While the ‘loss of independence’ described above may pertain to all patients who are hospitalised, interviewees thought that it was of particular importance to older people, who are more prone to developing confusion and losing their functional capacity in this situation.</w:t>
      </w:r>
    </w:p>
    <w:p w14:paraId="35E6AC5D" w14:textId="77777777" w:rsidR="00CA0EF0" w:rsidRPr="00361E30" w:rsidRDefault="00CA0EF0" w:rsidP="003C13F4">
      <w:pPr>
        <w:pStyle w:val="Heading3"/>
      </w:pPr>
      <w:r w:rsidRPr="00361E30">
        <w:lastRenderedPageBreak/>
        <w:t xml:space="preserve">7.3.3.2 </w:t>
      </w:r>
      <w:r w:rsidRPr="00361E30">
        <w:tab/>
        <w:t>A Less Aggressive Approach to the Older Trauma Patient</w:t>
      </w:r>
    </w:p>
    <w:p w14:paraId="6D6F2BC5" w14:textId="77777777" w:rsidR="00CA0EF0" w:rsidRPr="00361E30" w:rsidRDefault="00CA0EF0" w:rsidP="003C13F4">
      <w:r w:rsidRPr="00361E30">
        <w:t xml:space="preserve">Many interviewees described a different approach to the older trauma patient compared to younger people. This started with seeing older patients as a lower priority. In some </w:t>
      </w:r>
      <w:r w:rsidR="001D0014" w:rsidRPr="00361E30">
        <w:t>cases,</w:t>
      </w:r>
      <w:r w:rsidRPr="00361E30">
        <w:t xml:space="preserve"> this was explicit, and tied to a concept of the ‘worth’ of the older person to society. One interviewee expressed this in terms of </w:t>
      </w:r>
      <w:r w:rsidR="001D0014" w:rsidRPr="00361E30">
        <w:t>whether</w:t>
      </w:r>
      <w:r w:rsidRPr="00361E30">
        <w:t xml:space="preserve"> they were ‘productive members of society’.</w:t>
      </w:r>
    </w:p>
    <w:p w14:paraId="5CEF296A" w14:textId="77777777" w:rsidR="00CA0EF0" w:rsidRPr="00361E30" w:rsidRDefault="00CA0EF0" w:rsidP="003C13F4">
      <w:pPr>
        <w:ind w:left="1440"/>
      </w:pPr>
      <w:r w:rsidRPr="00361E30">
        <w:t>“The argument might be for trauma [laughs], if we’re, you know, thinking about, erm, younger people, productive members of society getting back into work or, you know, if that’s possible, you know, and getting them back into being functioning members of society, Yeah, I mean, it always seems, rightly or wrongly, more sad if it’s someone that’s 20 as opposed to somebody that’s 80 that’s maybe had a life” (Interviewee DR01 – Trauma Coordinator, Site 01)</w:t>
      </w:r>
    </w:p>
    <w:p w14:paraId="5E14A34B" w14:textId="77777777" w:rsidR="00CA0EF0" w:rsidRPr="00361E30" w:rsidRDefault="00CA0EF0" w:rsidP="003C13F4">
      <w:r w:rsidRPr="00361E30">
        <w:t xml:space="preserve">A more specific issue was seen at Site 02, in reference to older patients with brain injuries. The neurosurgical team appeared to be a less aggressive in the management of these older patients compared to their younger counterparts. </w:t>
      </w:r>
    </w:p>
    <w:p w14:paraId="58C961A4" w14:textId="77777777" w:rsidR="00CA0EF0" w:rsidRPr="00361E30" w:rsidRDefault="00CA0EF0" w:rsidP="003C13F4">
      <w:pPr>
        <w:ind w:left="1440"/>
      </w:pPr>
      <w:r w:rsidRPr="00361E30">
        <w:t>“[W]e have a neurosurgeon who comes to the morning meetings every morning and we discuss these patients. Um, and the majority of elderly head injuries, they don't take. [T]hey only tend to take them if they turn into a chronic subdural, who require a drainage.” (Interviewee AT04 – Trauma Coordinator, Site 02)</w:t>
      </w:r>
    </w:p>
    <w:p w14:paraId="40B3B1E9" w14:textId="77777777" w:rsidR="00CA0EF0" w:rsidRPr="00361E30" w:rsidRDefault="00CA0EF0" w:rsidP="003C13F4">
      <w:r w:rsidRPr="00361E30">
        <w:t>The less aggressive approach of the neurosurgical service at Site 02 to older patients was often not fully understood by interviewees and was cited as something that made them uncomfortable. This is explored in more detail below.</w:t>
      </w:r>
    </w:p>
    <w:p w14:paraId="48BD0F9C" w14:textId="77777777" w:rsidR="00CA0EF0" w:rsidRPr="00361E30" w:rsidRDefault="00CA0EF0" w:rsidP="003C13F4">
      <w:pPr>
        <w:pStyle w:val="Heading3"/>
      </w:pPr>
      <w:r w:rsidRPr="00361E30">
        <w:t xml:space="preserve">7.3.3.3 </w:t>
      </w:r>
      <w:r w:rsidRPr="00361E30">
        <w:tab/>
        <w:t>Differences in the Approach to Older People Between Different Specialists</w:t>
      </w:r>
    </w:p>
    <w:p w14:paraId="180CB6F4" w14:textId="77777777" w:rsidR="00CA0EF0" w:rsidRPr="00361E30" w:rsidRDefault="00CA0EF0" w:rsidP="003C13F4">
      <w:r w:rsidRPr="00361E30">
        <w:t xml:space="preserve">Among many of the interviewees there was a perception that specialists tended to focus on their area of </w:t>
      </w:r>
      <w:r w:rsidR="001D0014" w:rsidRPr="00361E30">
        <w:t>specialisation and</w:t>
      </w:r>
      <w:r w:rsidRPr="00361E30">
        <w:t xml:space="preserve"> were less interested in the holistic care of the patient, which conflicted with what was needed for older people. This was more prominent with some specialists (such as neurosurgeons and cardiothoracic surgeons) than others.</w:t>
      </w:r>
    </w:p>
    <w:p w14:paraId="3AD37BF8" w14:textId="77777777" w:rsidR="00CA0EF0" w:rsidRPr="00361E30" w:rsidRDefault="00CA0EF0" w:rsidP="003C13F4">
      <w:pPr>
        <w:ind w:left="1440"/>
      </w:pPr>
      <w:r w:rsidRPr="00361E30">
        <w:t>“[H]istorically [it] can sometimes be difficult to have cardio-thoracics getting involved, because they might be resistant for taking patients that could have multiple rib fractures, but they’ll say, well we’re not doing anything surgically, they don’t need to come to us [laughs], and we’re, like, well, they, kind of, do really, you know, because it’s your bag” (Interviewee DR01 – Trauma Coordinator, Site 01)</w:t>
      </w:r>
    </w:p>
    <w:p w14:paraId="5E479DF4" w14:textId="77777777" w:rsidR="00CA0EF0" w:rsidRPr="00361E30" w:rsidRDefault="00CA0EF0" w:rsidP="003C13F4">
      <w:r w:rsidRPr="00361E30">
        <w:lastRenderedPageBreak/>
        <w:t>The difficulty engaging neurosurgeons at Site 02 was also explained by the way they approached older patients. As with some other specialists, if the patient did not have an injury that required ‘active intervention’ they were less interested in managing them. This seemed to cause concern among respondents at Site 02. The example given by one of the interviewees at Site 02 below illustrates this dilemma.</w:t>
      </w:r>
    </w:p>
    <w:p w14:paraId="7C8370B4" w14:textId="77777777" w:rsidR="00CA0EF0" w:rsidRPr="00361E30" w:rsidRDefault="00CA0EF0" w:rsidP="003C13F4">
      <w:pPr>
        <w:ind w:left="1440"/>
      </w:pPr>
      <w:r w:rsidRPr="00361E30">
        <w:t>“But he actually had fractured a few vertebrae, and had a small bleed on the brain and he was referred to neuro and they weren't particularly interested, but because he had a C1 displaced fracture, a C2 I think as well,… but they weren't…they would rather have done conservative management than actually do anything, because he was…I think he was about seventy-five.  That's just from my experience, it seems to be anyone that seems to be over the age of sixty-five it's very tough to try and get them accepted…” (Interviewee AT07 – Emergency Medicine Nurse, Site 02)</w:t>
      </w:r>
    </w:p>
    <w:p w14:paraId="5987AC24" w14:textId="77777777" w:rsidR="00CA0EF0" w:rsidRPr="00361E30" w:rsidRDefault="00CA0EF0" w:rsidP="003C13F4">
      <w:pPr>
        <w:pStyle w:val="Heading3"/>
      </w:pPr>
      <w:r w:rsidRPr="00361E30">
        <w:t xml:space="preserve">7.3.3.4 </w:t>
      </w:r>
      <w:r w:rsidRPr="00361E30">
        <w:tab/>
        <w:t>It Is Taboo to Admit That Older People Are Treated Differently</w:t>
      </w:r>
    </w:p>
    <w:p w14:paraId="44E3B992" w14:textId="77777777" w:rsidR="00CA0EF0" w:rsidRPr="00361E30" w:rsidRDefault="00CA0EF0" w:rsidP="003C13F4">
      <w:r w:rsidRPr="00361E30">
        <w:t xml:space="preserve">Consistently across almost all interviews, when asked direct questions about whether older people with trauma were treated differently to younger people, interviewees denied this. However, I noticed that interviewees often contradicted themselves in their responses.  The immediate response to any direct question about differences in care between older and younger people seemed to </w:t>
      </w:r>
      <w:r w:rsidR="001D0014" w:rsidRPr="00361E30">
        <w:t>assume</w:t>
      </w:r>
      <w:r w:rsidRPr="00361E30">
        <w:t xml:space="preserve"> that ‘different’ care meant ‘worse’ care. This is illustrated in the quote below, from one of the Emergency Medicine consultants in Site 01. It is interesting to note that this interviewee explicitly mentioned the need not to be ageist in response to this question.</w:t>
      </w:r>
    </w:p>
    <w:p w14:paraId="6F52DD5E" w14:textId="77777777" w:rsidR="00CA0EF0" w:rsidRPr="00361E30" w:rsidRDefault="00CA0EF0" w:rsidP="003C13F4">
      <w:pPr>
        <w:ind w:left="1440"/>
      </w:pPr>
      <w:r w:rsidRPr="00361E30">
        <w:t>“We cannot perform either in our day job or our trauma job or any aspects of our stuff, we can't be ageist…. So every trauma patient who comes in gets a fair crack of the whip, and so I think we're fairly confident at that. Erm, and so we don't do anything different” (Interviewee DR10 – Emergency Medicine Consultant, Site 01)</w:t>
      </w:r>
    </w:p>
    <w:p w14:paraId="59035C5A" w14:textId="77777777" w:rsidR="00CA0EF0" w:rsidRPr="00361E30" w:rsidRDefault="00CA0EF0" w:rsidP="003C13F4">
      <w:r w:rsidRPr="00361E30">
        <w:t xml:space="preserve">Interviewees often described marked differences in the approach to older and younger patients, but then denied any such discrepancy when asked directly. During an interview with one of the managers at Site 01, the interviewee was quite passionate about the need for early motivation and rehabilitation of older patients. During this discussion she described the way in which older people were ‘wrapped in cotton wool’ when admitted, which she thought was much more likely to happen with older patients compared to younger ones, and which she felt hindered their recovery. </w:t>
      </w:r>
    </w:p>
    <w:p w14:paraId="70FAD69D" w14:textId="77777777" w:rsidR="00CA0EF0" w:rsidRPr="00361E30" w:rsidRDefault="00CA0EF0" w:rsidP="003C13F4">
      <w:pPr>
        <w:ind w:left="1440"/>
      </w:pPr>
      <w:r w:rsidRPr="00361E30">
        <w:lastRenderedPageBreak/>
        <w:t>“We instantly put them in a bed.  We strip them of their clothes [laugh] and we make them, er, confused.  We make them unhappy.  We make them a patient.” (Interviewee DR04 – Business Manager, Site 01)</w:t>
      </w:r>
    </w:p>
    <w:p w14:paraId="620830C8" w14:textId="77777777" w:rsidR="00CA0EF0" w:rsidRPr="00361E30" w:rsidRDefault="00CA0EF0" w:rsidP="003C13F4">
      <w:r w:rsidRPr="00361E30">
        <w:t>However, later in the interview when asked about any differences between older and younger people, this interviewee denied any differences.</w:t>
      </w:r>
    </w:p>
    <w:p w14:paraId="6F444A49" w14:textId="77777777" w:rsidR="00CA0EF0" w:rsidRPr="00361E30" w:rsidRDefault="00CA0EF0" w:rsidP="003C13F4">
      <w:pPr>
        <w:ind w:left="1440"/>
      </w:pPr>
      <w:r w:rsidRPr="00361E30">
        <w:t>“No, not in this hospital.  The trauma team is the trauma team and everybody gets the same initial assessment…. So everybody gets the priority, initial assessment, access to CT, it doesn’t matter what age they are.” (Interviewee DR04 – Business Manager, Site 01)</w:t>
      </w:r>
    </w:p>
    <w:p w14:paraId="29E2C65C" w14:textId="77777777" w:rsidR="00CA0EF0" w:rsidRPr="00361E30" w:rsidRDefault="00CA0EF0" w:rsidP="003C13F4">
      <w:pPr>
        <w:pStyle w:val="Heading1"/>
      </w:pPr>
      <w:bookmarkStart w:id="185" w:name="_Toc1902335"/>
      <w:r w:rsidRPr="00361E30">
        <w:t>7.4</w:t>
      </w:r>
      <w:r w:rsidRPr="00361E30">
        <w:tab/>
        <w:t>Management of Older Trauma Patients</w:t>
      </w:r>
      <w:bookmarkEnd w:id="185"/>
    </w:p>
    <w:p w14:paraId="7BE08A5D" w14:textId="77777777" w:rsidR="00CA0EF0" w:rsidRPr="00361E30" w:rsidRDefault="00CA0EF0" w:rsidP="003C13F4">
      <w:r w:rsidRPr="00361E30">
        <w:t>Management of the older trauma patient was a key theme throughout interviews at both sites. This included the organisation of the service, resources available and the approach to this group of patients. While there were some similarities between the sites, there were key areas of difference, which might help to explain the difference in outcomes between the sites.</w:t>
      </w:r>
    </w:p>
    <w:p w14:paraId="702914E8" w14:textId="77777777" w:rsidR="00CA0EF0" w:rsidRPr="00361E30" w:rsidRDefault="00CA0EF0" w:rsidP="003C13F4">
      <w:pPr>
        <w:pStyle w:val="Heading2"/>
      </w:pPr>
      <w:bookmarkStart w:id="186" w:name="_Toc1902336"/>
      <w:r w:rsidRPr="00361E30">
        <w:t>7.4.1</w:t>
      </w:r>
      <w:r w:rsidRPr="00361E30">
        <w:tab/>
        <w:t>Trauma Wards</w:t>
      </w:r>
      <w:bookmarkEnd w:id="186"/>
    </w:p>
    <w:p w14:paraId="731403AF" w14:textId="77777777" w:rsidR="00CA0EF0" w:rsidRPr="00361E30" w:rsidRDefault="00CA0EF0" w:rsidP="003C13F4">
      <w:r w:rsidRPr="00361E30">
        <w:t xml:space="preserve">During the interview process, the presence of a trauma ward (a centralised location for the management of major trauma patients) emerged as a characteristic that distinguished the sites: Site 01 did not have a trauma ward while Site 02 did. This topic was raised spontaneously by </w:t>
      </w:r>
      <w:r w:rsidR="001D0014" w:rsidRPr="00361E30">
        <w:t>most</w:t>
      </w:r>
      <w:r w:rsidRPr="00361E30">
        <w:t xml:space="preserve"> interviewees at both sites, and often identified as a key component (or deficiency) in the provision of care to older trauma patients. For the definition of a Major Trauma Centre, Trauma Unit and Trauma Ward, please refer to the glossary, and Chapter 1, Section </w:t>
      </w:r>
      <w:r w:rsidR="00AB5F13">
        <w:t>1.6.</w:t>
      </w:r>
    </w:p>
    <w:p w14:paraId="61DE5712" w14:textId="77777777" w:rsidR="00CA0EF0" w:rsidRPr="00361E30" w:rsidRDefault="00CA0EF0" w:rsidP="003C13F4">
      <w:pPr>
        <w:pStyle w:val="Heading3"/>
      </w:pPr>
      <w:r w:rsidRPr="00361E30">
        <w:t xml:space="preserve">7.4.1.1 </w:t>
      </w:r>
      <w:r w:rsidRPr="00361E30">
        <w:tab/>
        <w:t>Site 01 – No Trauma Ward in the Hospital</w:t>
      </w:r>
    </w:p>
    <w:p w14:paraId="29BF292E" w14:textId="77777777" w:rsidR="00CA0EF0" w:rsidRPr="00361E30" w:rsidRDefault="00CA0EF0" w:rsidP="003C13F4">
      <w:r w:rsidRPr="00361E30">
        <w:t>For the site without a trauma ward, respondents found this to be a major challenge to providing high quality care. Most respondents believed that the availability of a trauma ward would improve care, providing a focal point for the coordination of expertise and services for trauma patients. It was also clear that the issue of a trauma ward had been discussed within the Trust for some time. The need for a trauma ward was widely acknowledged by respondents, and many seemed frustrated that this had not yet materialised.</w:t>
      </w:r>
    </w:p>
    <w:p w14:paraId="259B82CF" w14:textId="77777777" w:rsidR="00CA0EF0" w:rsidRPr="00361E30" w:rsidRDefault="00CA0EF0" w:rsidP="003C13F4">
      <w:pPr>
        <w:ind w:left="1440"/>
      </w:pPr>
      <w:r w:rsidRPr="00361E30">
        <w:t xml:space="preserve">“[S]omething that we’ve talked about for some time, that would make a big difference for everybody, I know you’re asking specifically about older people in trauma, but across the board would be to have a trauma ward for all those </w:t>
      </w:r>
      <w:r w:rsidRPr="00361E30">
        <w:lastRenderedPageBreak/>
        <w:t>patients.” (Interviewee DR01 – Trauma Coordinator and Physiotherapist, Site 01)</w:t>
      </w:r>
    </w:p>
    <w:p w14:paraId="59F60269" w14:textId="77777777" w:rsidR="00CA0EF0" w:rsidRPr="00361E30" w:rsidRDefault="00CA0EF0" w:rsidP="003C13F4">
      <w:pPr>
        <w:ind w:left="1440"/>
      </w:pPr>
      <w:r w:rsidRPr="00361E30">
        <w:t>“So I would like to see a…a trauma ward, a trauma unit…with specialist team……to look after them. At the moment we don’t have a ward. So I think the trauma team whatever that team might look like [pause] without a base I think would be very difficult for them to realise the benefits that I think they can offer the patient and the family.” (Interviewee DR04 - Business Manager, Site 01)</w:t>
      </w:r>
    </w:p>
    <w:p w14:paraId="4DC74D5C" w14:textId="77777777" w:rsidR="00CA0EF0" w:rsidRPr="00361E30" w:rsidRDefault="00CA0EF0" w:rsidP="003C13F4">
      <w:r w:rsidRPr="00361E30">
        <w:t>Many respondents highlighted the benefits of collocating trauma and rehabilitation specialists in one geographical area, suggesting that trauma care was a specialised service in and of itself, and that older trauma patients benefitted most from a coordinated multi-disciplinary team approach. At present, while the expertise to manage older trauma patients exists within the hospital, these patients can be spread across the entire site, in varying specialties, including surgical subspecialties as well as medical wards, and this does not allow for concentration of the relevant expertise needed for effective patient management. Many respondents indicated that the availability of a trauma ward would allow this expertise to be focused and better coordinated. This was particularly relevant in relation to expertise in trauma care (for example, orthopaedic and trauma surgeons) and rehabilitation (such as physiotherapists, occupational therapists and geriatricians).</w:t>
      </w:r>
    </w:p>
    <w:p w14:paraId="71EFACBE" w14:textId="77777777" w:rsidR="00CA0EF0" w:rsidRPr="00361E30" w:rsidRDefault="00CA0EF0" w:rsidP="003C13F4">
      <w:pPr>
        <w:ind w:left="1440"/>
      </w:pPr>
      <w:r w:rsidRPr="00361E30">
        <w:t>“[S]o the specialties can come to one location… [and]… there would be a team that would have a good coordination of… orthopaedics, cardiothoracics, bits and pieces. It was with this hope that we would get a trauma ward” (Interviewee DR01, Trauma Coordinator and Physiotherapist, Site 01)</w:t>
      </w:r>
    </w:p>
    <w:p w14:paraId="12C2EB90" w14:textId="77777777" w:rsidR="00CA0EF0" w:rsidRPr="00361E30" w:rsidRDefault="00CA0EF0" w:rsidP="003C13F4">
      <w:pPr>
        <w:ind w:left="1440"/>
      </w:pPr>
      <w:r w:rsidRPr="00361E30">
        <w:t>“The fact that patients aren’t in one place, that’s a huge challenge for everybody involved really, because it makes it more difficult to keep on top of things. It’s almost near impossible, you can’t do a physical bedside visit with a rehabilitation consultant and the ward physios because you just never get anything done.  So I think that is our biggest hurdle, is to try and create somewhere where everyone’s collocated.” (Interviewee DR07, Trauma Coordinator and Nurse, Site 01).</w:t>
      </w:r>
    </w:p>
    <w:p w14:paraId="5AD3B493" w14:textId="77777777" w:rsidR="00CA0EF0" w:rsidRPr="00361E30" w:rsidRDefault="00CA0EF0" w:rsidP="003C13F4">
      <w:r w:rsidRPr="00361E30">
        <w:t xml:space="preserve">The benefits of a centralised space for providing coordinated care to trauma patients could also be gleaned from comments by other respondents that did not directly mention trauma wards. These included comparisons to the hip fracture service (for which a dedicated ward was </w:t>
      </w:r>
      <w:r w:rsidRPr="00361E30">
        <w:lastRenderedPageBreak/>
        <w:t xml:space="preserve">already provided) and descriptions of current problems encountered by trauma patients with multiple problems, requiring the input of many different services. </w:t>
      </w:r>
    </w:p>
    <w:p w14:paraId="06C34D43" w14:textId="77777777" w:rsidR="00CA0EF0" w:rsidRPr="00361E30" w:rsidRDefault="00CA0EF0" w:rsidP="003C13F4">
      <w:pPr>
        <w:ind w:left="1440"/>
      </w:pPr>
      <w:r w:rsidRPr="00361E30">
        <w:t>“So, it might be that the patient’s got a fractured rib but they’ve also got a fractured hip and they’ve got a small bleed on the brain and the neurosurgeon doesn’t want to do anything as of yet.  The thoracic surgeons say they need a chest drain but they're not happy to look after the fractured pelvis, so they want them…they go to orthopaedic ward.  Orthopaedic ward are saying they're not happy for them to be there with a chest drain.  So, then you have a bit of… a little tug between which speciality will assess.” (Interviewee DR05 – Nurse Manager, Emergency Medicine, Site 01)</w:t>
      </w:r>
    </w:p>
    <w:p w14:paraId="0D77BF5C" w14:textId="77777777" w:rsidR="00CA0EF0" w:rsidRPr="00361E30" w:rsidRDefault="00CA0EF0" w:rsidP="003C13F4">
      <w:pPr>
        <w:pStyle w:val="Heading3"/>
      </w:pPr>
      <w:r w:rsidRPr="00361E30">
        <w:t xml:space="preserve">7.4.1.2 </w:t>
      </w:r>
      <w:r w:rsidRPr="00361E30">
        <w:tab/>
        <w:t xml:space="preserve">Site 02 – There is a </w:t>
      </w:r>
      <w:r w:rsidR="007B133E" w:rsidRPr="00361E30">
        <w:t>Well-Established</w:t>
      </w:r>
      <w:r w:rsidRPr="00361E30">
        <w:t xml:space="preserve"> Trauma Ward in the Hospital</w:t>
      </w:r>
    </w:p>
    <w:p w14:paraId="45F4F2DB" w14:textId="77777777" w:rsidR="00CA0EF0" w:rsidRPr="00361E30" w:rsidRDefault="00CA0EF0" w:rsidP="003C13F4">
      <w:r w:rsidRPr="00361E30">
        <w:t xml:space="preserve">On Site 02, the trauma ward was opened at the time of the hospital’s commissioning as a major trauma centre (from the beginning of the trauma service). This ward was so well-integrated into the trauma service that it was almost ‘taken for granted’ by some of the interviewees. Many of the respondents mentioned the trauma ward ‘in passing’ when talking about the organisation of care within the Trust. </w:t>
      </w:r>
    </w:p>
    <w:p w14:paraId="61158B81" w14:textId="77777777" w:rsidR="00CA0EF0" w:rsidRPr="00361E30" w:rsidRDefault="00CA0EF0" w:rsidP="003C13F4">
      <w:pPr>
        <w:ind w:left="1440"/>
      </w:pPr>
      <w:r w:rsidRPr="00361E30">
        <w:t xml:space="preserve">“So if an elderly patient came in with a chest trauma, whether that be a rib fracture, clavicle fracture, lung contusions, anything that involved the thorax basically, they would actually be admitted to the major trauma ward” (Interviewee AT01 – Rehabilitation Physiotherapist, Trauma Ward, Site 02). </w:t>
      </w:r>
    </w:p>
    <w:p w14:paraId="1295CCCD" w14:textId="77777777" w:rsidR="00CA0EF0" w:rsidRPr="00361E30" w:rsidRDefault="00CA0EF0" w:rsidP="003C13F4">
      <w:r w:rsidRPr="00361E30">
        <w:t>It was interesting how this interviewee seemed to take for granted that these patients would be admitted to the trauma ward, yet in Site 01, patients like these would have caused a real problem with appropriate placement on any ward (see quote above from interviewee DR05)</w:t>
      </w:r>
    </w:p>
    <w:p w14:paraId="17DE8E65" w14:textId="77777777" w:rsidR="00CA0EF0" w:rsidRPr="00361E30" w:rsidRDefault="00CA0EF0" w:rsidP="003C13F4">
      <w:pPr>
        <w:ind w:left="1440"/>
      </w:pPr>
      <w:r w:rsidRPr="00361E30">
        <w:t>“And then they go to a major trauma ward. So we have a specialised major trauma ward…So all our traumas go to a major trauma ward.” (Interviewee AT02 – Registrar in Anaesthetics and Intensive Care, Site 02)</w:t>
      </w:r>
    </w:p>
    <w:p w14:paraId="50097BD4" w14:textId="77777777" w:rsidR="00CA0EF0" w:rsidRPr="00361E30" w:rsidRDefault="00CA0EF0" w:rsidP="003C13F4">
      <w:r w:rsidRPr="00361E30">
        <w:t>The interviewee above mentioned the trauma ward almost casually then realised that I might not know what it was. This was also interesting as this respondent was from the anaesthetics department, and trauma made up only a small fraction of his service commitment, but he was still very much aware of the central role of the trauma ward. Throughout the interviews at Site 02, the trauma ward seemed to be a well-integrated service within the hospital, recognised throughout as a focal point for trauma care.</w:t>
      </w:r>
    </w:p>
    <w:p w14:paraId="16E04444" w14:textId="77777777" w:rsidR="00CA0EF0" w:rsidRPr="00361E30" w:rsidRDefault="00CA0EF0" w:rsidP="003C13F4">
      <w:pPr>
        <w:ind w:firstLine="720"/>
      </w:pPr>
      <w:r w:rsidRPr="00361E30">
        <w:lastRenderedPageBreak/>
        <w:t>Interviewees from Site 02 confirmed many of the perceived benefits of a trauma ward that were articulated by the interviewees in Site 01. For example, a few interviewees on Site 02 mentioned the benefits of collocated specialised trauma services, particularly in relation to older trauma patients. Respondents suggested that the ward provided a focus for trauma care while providing essential additional services, such as medical care, rehabilitation and social services.</w:t>
      </w:r>
    </w:p>
    <w:p w14:paraId="34A7ACC9" w14:textId="77777777" w:rsidR="00CA0EF0" w:rsidRPr="00361E30" w:rsidRDefault="00CA0EF0" w:rsidP="003C13F4">
      <w:pPr>
        <w:ind w:left="1440"/>
      </w:pPr>
      <w:r w:rsidRPr="00361E30">
        <w:t>“So all our traumas go to a major trauma ward. I think… [this is of benefit] because you have a specialised ward with specialised nurses and specialised doctors… to treat all these conditions that you can find on the trauma [ward]. But considering that their main problem is the actual trauma… I think it makes more sense to treat it in an environment where you can treat that to the best level possible… and then sort the other ones out… rather than the other way around…” (Interviewee AT03 – Registrar in Emergency Medicine, Site 02).</w:t>
      </w:r>
    </w:p>
    <w:p w14:paraId="1F9C6AD2" w14:textId="77777777" w:rsidR="00CA0EF0" w:rsidRPr="00361E30" w:rsidRDefault="00CA0EF0" w:rsidP="003C13F4">
      <w:r w:rsidRPr="00361E30">
        <w:t xml:space="preserve">While the majority of interviewees from Site 02 saw definite benefits to the trauma ward, it should be noted that one of the interviewees (a newly appointed Emergency Medicine consultant with a special interest in trauma in older people) took a different view, suggesting that older trauma patients were best managed in a geriatric environment such as the ‘Frailty’ ward that was situated adjacent to the Emergency Department. This respondent’s view was significantly different to other respondents who saw the major trauma as the focus of care and the other specialist input as essential for adequate recovery from trauma. In his opinion many older trauma patients’ problems were based on their general condition, particularly in relation to frailty, and this was more important than the actual trauma that brought them to hospital in the first place. </w:t>
      </w:r>
    </w:p>
    <w:p w14:paraId="4EBABEEC" w14:textId="77777777" w:rsidR="00CA0EF0" w:rsidRPr="00361E30" w:rsidRDefault="00CA0EF0" w:rsidP="003C13F4">
      <w:pPr>
        <w:ind w:left="1440"/>
      </w:pPr>
      <w:r w:rsidRPr="00361E30">
        <w:t>“[Yeah], so I think from a frailty point of view in trauma…they…they need much more of an intense assessment and rehabilitation post-injury, which is dealt with by specific people, which I don’t think would be met on a trauma ward.  It’s better met on a frailty unit.” (Interviewee AT09 – Emergency Medicine consultant)</w:t>
      </w:r>
    </w:p>
    <w:p w14:paraId="6D3B4C42" w14:textId="77777777" w:rsidR="00CA0EF0" w:rsidRPr="00361E30" w:rsidRDefault="008D30D9" w:rsidP="003C13F4">
      <w:r>
        <w:t>This interviewee</w:t>
      </w:r>
      <w:r w:rsidR="00F43802">
        <w:t>’</w:t>
      </w:r>
      <w:r>
        <w:t>s</w:t>
      </w:r>
      <w:r w:rsidR="00CA0EF0" w:rsidRPr="00361E30">
        <w:t xml:space="preserve"> </w:t>
      </w:r>
      <w:r>
        <w:t>response</w:t>
      </w:r>
      <w:r w:rsidR="00CA0EF0" w:rsidRPr="00361E30">
        <w:t xml:space="preserve"> might be </w:t>
      </w:r>
      <w:r>
        <w:t>seen</w:t>
      </w:r>
      <w:r w:rsidR="00CA0EF0" w:rsidRPr="00361E30">
        <w:t xml:space="preserve"> as an </w:t>
      </w:r>
      <w:r>
        <w:t xml:space="preserve">outlying opinion, in that it </w:t>
      </w:r>
      <w:r w:rsidR="00F43802">
        <w:t>did</w:t>
      </w:r>
      <w:r>
        <w:t xml:space="preserve"> not coincide with the views of other interviewees. I</w:t>
      </w:r>
      <w:r w:rsidR="00CA0EF0" w:rsidRPr="00361E30">
        <w:t>t is worth noting</w:t>
      </w:r>
      <w:r>
        <w:t>, however</w:t>
      </w:r>
      <w:r w:rsidR="00CA0EF0" w:rsidRPr="00361E30">
        <w:t xml:space="preserve"> that this is an Emergency Medicine consultant with a special interest in falls in older people and who therefore may understand the needs of this patient population better than most. However, rather than this being a contradictory point of view, it </w:t>
      </w:r>
      <w:r w:rsidR="007B133E">
        <w:t>may reflect</w:t>
      </w:r>
      <w:r w:rsidR="00CA0EF0" w:rsidRPr="00361E30">
        <w:t xml:space="preserve"> the variation in presentation of older trauma patients, which was discussed earlier in this chapter. Some trauma patients may need their </w:t>
      </w:r>
      <w:r w:rsidR="00CA0EF0" w:rsidRPr="00361E30">
        <w:lastRenderedPageBreak/>
        <w:t>injuries focused on as the main source of morbidity, while in others the more general causes of ill-health are more important to address.</w:t>
      </w:r>
    </w:p>
    <w:p w14:paraId="16E968BB" w14:textId="77777777" w:rsidR="00CA0EF0" w:rsidRPr="00361E30" w:rsidRDefault="00CA0EF0" w:rsidP="003C13F4">
      <w:pPr>
        <w:pStyle w:val="Heading2"/>
      </w:pPr>
      <w:bookmarkStart w:id="187" w:name="_Toc1902337"/>
      <w:r w:rsidRPr="00361E30">
        <w:t>7.4.2</w:t>
      </w:r>
      <w:r w:rsidRPr="00361E30">
        <w:tab/>
        <w:t>A Holistic Approach to Older Patients</w:t>
      </w:r>
      <w:bookmarkEnd w:id="187"/>
    </w:p>
    <w:p w14:paraId="13637F04" w14:textId="77777777" w:rsidR="00CA0EF0" w:rsidRPr="00361E30" w:rsidRDefault="00CA0EF0" w:rsidP="003C13F4">
      <w:r w:rsidRPr="00361E30">
        <w:t>The importance of holistic care for older trauma patients was emphasi</w:t>
      </w:r>
      <w:r w:rsidR="0020173C">
        <w:t>s</w:t>
      </w:r>
      <w:r w:rsidRPr="00361E30">
        <w:t>ed by many interviewees, particularly in relation to rehabilitation. This emphasis on holistic care was driven by the baseline characteristics of many older patients (for example their pre-injury health status, the increased incidence of frailty and the likelihood of social isolation and lack of independence). In addition, there was a perception among interviewees that the type of injury suffered by older people (particularly brain and chest injuries) required more intensive and coordinated rehabilitation efforts to achieve a successful outcome.</w:t>
      </w:r>
    </w:p>
    <w:p w14:paraId="6B0C6EF4" w14:textId="77777777" w:rsidR="00CA0EF0" w:rsidRPr="00361E30" w:rsidRDefault="00CA0EF0" w:rsidP="003C13F4">
      <w:pPr>
        <w:pStyle w:val="Heading3"/>
      </w:pPr>
      <w:r w:rsidRPr="00361E30">
        <w:t xml:space="preserve">7.4.2.1 </w:t>
      </w:r>
      <w:r w:rsidRPr="00361E30">
        <w:tab/>
        <w:t>Why do older trauma patients need holistic care?</w:t>
      </w:r>
    </w:p>
    <w:p w14:paraId="570970D0" w14:textId="77777777" w:rsidR="00CA0EF0" w:rsidRPr="00361E30" w:rsidRDefault="00CA0EF0" w:rsidP="003C13F4">
      <w:r w:rsidRPr="00361E30">
        <w:t xml:space="preserve">The question might be asked “Why do older trauma patients need holistic care?” Many interviewees provided an interesting insight into this. They described a ‘cascade of events’ both leading up to their injury and subsequent to their admission. This brought together the patients’ pre-injury medical, social and functional state, the peculiarities of the recovery process in older people and their propensity to suffer from specific complications and consequences of severe injuries. </w:t>
      </w:r>
    </w:p>
    <w:p w14:paraId="2039C43D" w14:textId="77777777" w:rsidR="00CA0EF0" w:rsidRPr="00361E30" w:rsidRDefault="00CA0EF0" w:rsidP="003C13F4">
      <w:pPr>
        <w:ind w:left="1440"/>
      </w:pPr>
      <w:r w:rsidRPr="00361E30">
        <w:t>“[W]ell, if we look at the co-morbidities first off, chest injuries, those who’ve got chronic chest problems don’t do as well. [I]f their mobility is already poor before they’ve had the injury, then it is known from hospital stay… that mobility will not go back to where it was beforehand…. Family support affects their outcome, and the psychology of it too.  I think people with the hospital stay, particularly after a fall, it knocks their confidence.  They’re…  they won’t be as independent as they were before they came in.” (Interviewee DR03 - Consultant Geriatrician, Site 01)</w:t>
      </w:r>
    </w:p>
    <w:p w14:paraId="632A287B" w14:textId="77777777" w:rsidR="00CA0EF0" w:rsidRPr="00361E30" w:rsidRDefault="00CA0EF0" w:rsidP="003C13F4">
      <w:r w:rsidRPr="00361E30">
        <w:t xml:space="preserve">This cascade of events appeared to involve many of the factors discussed above in Sections 7.2 and 7.3. Medical and social characteristics of patients (including health status, socio-economic factors as discussed in Section 7.2.2), in combination with patients’ attitudes and motivation (Section 7.3.1) and family dynamics (Section 7.3.2) and frailty (Section 7.2.1) all played a role in shaping the outcome of older trauma patients. With this in mind, many respondents considered that a holistic approach was the only effective way of addressing the multiple and diverse needs of this group of patients. </w:t>
      </w:r>
    </w:p>
    <w:p w14:paraId="635FEC18" w14:textId="77777777" w:rsidR="00CA0EF0" w:rsidRPr="00361E30" w:rsidRDefault="00CA0EF0" w:rsidP="003C13F4">
      <w:pPr>
        <w:pStyle w:val="Heading3"/>
      </w:pPr>
      <w:r w:rsidRPr="00361E30">
        <w:lastRenderedPageBreak/>
        <w:t xml:space="preserve">7.4.2.2 </w:t>
      </w:r>
      <w:r w:rsidRPr="00361E30">
        <w:tab/>
        <w:t>Focus on the patient</w:t>
      </w:r>
    </w:p>
    <w:p w14:paraId="71F146C2" w14:textId="77777777" w:rsidR="00CA0EF0" w:rsidRPr="00361E30" w:rsidRDefault="00CA0EF0" w:rsidP="003C13F4">
      <w:r w:rsidRPr="00361E30">
        <w:t>In light of the recognition that trauma in older people is a complex condition, requiring multiple inputs from a variety of specialists and other professionals, some interviewees identified the need to focus on the patient, and their needs, so that the main aim of treatment is not lost. The following quote from one or the trauma coordinators in Site 01 exemplifies this approach.</w:t>
      </w:r>
    </w:p>
    <w:p w14:paraId="50346BD9" w14:textId="77777777" w:rsidR="00CA0EF0" w:rsidRPr="00361E30" w:rsidRDefault="00CA0EF0" w:rsidP="003C13F4">
      <w:pPr>
        <w:ind w:left="1440"/>
      </w:pPr>
      <w:r w:rsidRPr="00361E30">
        <w:t>“it’s not easy by any stretch, but I think that what we do have to do is be very mindful that our patient is the person that we are here for, and we are here for families and friends and carers to support them, but the patient is the person who is the key, that’s the reason everyone’s involved...” (Interviewee DR07 – Trauma Coordinator, Site 01)</w:t>
      </w:r>
    </w:p>
    <w:p w14:paraId="061A48EA" w14:textId="77777777" w:rsidR="00CA0EF0" w:rsidRPr="00361E30" w:rsidRDefault="00CA0EF0" w:rsidP="003C13F4">
      <w:r w:rsidRPr="00361E30">
        <w:t>This focus on the patient was also seen when interviewees discussed decisions on whether to resuscitate and how far to go with aggressive and invasive care in older patients with life-changing injuries. This is described in greater detail later in this chapter.</w:t>
      </w:r>
    </w:p>
    <w:p w14:paraId="396BEDC2" w14:textId="77777777" w:rsidR="00CA0EF0" w:rsidRPr="00361E30" w:rsidRDefault="00CA0EF0" w:rsidP="003C13F4">
      <w:pPr>
        <w:ind w:firstLine="720"/>
      </w:pPr>
      <w:r w:rsidRPr="00361E30">
        <w:t>In discussing care for older trauma patients, many interviewees also saw specialists as having a somewhat restricted view of the patient’s needs, focusing on their area of specialisation. This was not thought to be in the best interest of the patient, and for some interviewees strengthened the argument that a multidisciplinary team was needed for these patients.</w:t>
      </w:r>
    </w:p>
    <w:p w14:paraId="7C8D0084" w14:textId="77777777" w:rsidR="00CA0EF0" w:rsidRPr="00361E30" w:rsidRDefault="00CA0EF0" w:rsidP="003C13F4">
      <w:pPr>
        <w:ind w:left="1440"/>
      </w:pPr>
      <w:r w:rsidRPr="00361E30">
        <w:t>“[W]ell, we specialised ourselves here.  We’ve carved everything into little niches like you do, so we only have nurses on one ward that can look after a chest drain or a broken rib.  The trauma and orthopaedic wards can’t care for chest drains [laugh] so they have to go to cardiothoracics even if their major fractures or major care is pelvis, tib fib, they have to go to [laugh] the wrong ward because we haven’t done the whole training.” (Interviewee DR04 – Business Manager, Site 01)</w:t>
      </w:r>
    </w:p>
    <w:p w14:paraId="4859CE60" w14:textId="77777777" w:rsidR="00CA0EF0" w:rsidRPr="00361E30" w:rsidRDefault="00CA0EF0" w:rsidP="003C13F4">
      <w:r w:rsidRPr="00361E30">
        <w:t>Many interviewees saw the need for early geriatric or medical input in the management of older trauma patients, due to the narrow focus of trauma and surgical specialists. However, there was also a recognition that the medical specialists were not particularly experienced at handling trauma, and this could lead to serious negative consequences for patients.</w:t>
      </w:r>
    </w:p>
    <w:p w14:paraId="384F0D9F" w14:textId="77777777" w:rsidR="00CA0EF0" w:rsidRPr="00361E30" w:rsidRDefault="00CA0EF0" w:rsidP="003C13F4">
      <w:pPr>
        <w:ind w:left="1440"/>
      </w:pPr>
      <w:r w:rsidRPr="00361E30">
        <w:t xml:space="preserve">“[S]o, say, for instance, a patient who's had a collapse and has got a cervical fracture which is deemed safe, and they go to a medical ward with a collar, we have had incidents in the past where we've had patients with grade four </w:t>
      </w:r>
      <w:r w:rsidRPr="00361E30">
        <w:lastRenderedPageBreak/>
        <w:t>pressure sores from collars and braces.… and you take for granted because the staff who are used to it know how to check them, remove them, do the collar care and…but if you were put on a cardiology ward, they probably don't want to go near it because they think the head's gonna fall off when you take the collar off to change it.” (Interviewee AT04 – Trauma Coordinator, Site 02)</w:t>
      </w:r>
    </w:p>
    <w:p w14:paraId="4BCA50F2" w14:textId="77777777" w:rsidR="00CA0EF0" w:rsidRPr="00361E30" w:rsidRDefault="00CA0EF0" w:rsidP="003C13F4">
      <w:r w:rsidRPr="00361E30">
        <w:t xml:space="preserve">Interviewees generally felt that a multidisciplinary team provided the best care for patients, avoiding the risks of the specialists’ focus on their own area of expertise, while providing a holistic environment for older patients with complex management needs. </w:t>
      </w:r>
    </w:p>
    <w:p w14:paraId="2B9038FE" w14:textId="77777777" w:rsidR="00CA0EF0" w:rsidRPr="00361E30" w:rsidRDefault="00CA0EF0" w:rsidP="003C13F4">
      <w:pPr>
        <w:ind w:left="1440"/>
      </w:pPr>
      <w:r w:rsidRPr="00361E30">
        <w:t xml:space="preserve">“[Y]ou need to have more of a multidisciplinary approach, so you need to have specialised geriatricians.  You need to have specific types of therapies.  You need pharmacy.  You need social care.  You need nursing care.  You need to look at, is there anything within their life as it is that they could have…that could have caused that injury, so is it poly-pharma…are they having postural drops because they’re on too many anti-hypertensives, irrationalised </w:t>
      </w:r>
      <w:r w:rsidR="005C3FED">
        <w:rPr>
          <w:i/>
        </w:rPr>
        <w:t xml:space="preserve">(sic) </w:t>
      </w:r>
      <w:r w:rsidRPr="00361E30">
        <w:t xml:space="preserve">medications? [H]ave they got all they need at home from an occupational therapy point of view?...  [T]he psychological aspect, is their confidence knocked from an ability point of view?  Are they going to need more help at home from walking aids?” (Interviewee AT09 – Emergency Medicine Consultant, Site 02) </w:t>
      </w:r>
    </w:p>
    <w:p w14:paraId="56E74363" w14:textId="77777777" w:rsidR="00CA0EF0" w:rsidRPr="00361E30" w:rsidRDefault="00CA0EF0" w:rsidP="003C13F4">
      <w:pPr>
        <w:pStyle w:val="Heading3"/>
      </w:pPr>
      <w:r w:rsidRPr="00361E30">
        <w:t xml:space="preserve">7.4.2.3 </w:t>
      </w:r>
      <w:r w:rsidRPr="00361E30">
        <w:tab/>
        <w:t>What should the multidisciplinary team look like?</w:t>
      </w:r>
    </w:p>
    <w:p w14:paraId="01110203" w14:textId="77777777" w:rsidR="00CA0EF0" w:rsidRPr="00361E30" w:rsidRDefault="00CA0EF0" w:rsidP="003C13F4">
      <w:r w:rsidRPr="00361E30">
        <w:t>Several interviewees discussed the make-up and functioning of the multidisciplinary team needed for management of older trauma patients. This included discussion about who needs to be on the team, as well as the timing of the team’s involvement in the management process and the importance of effective communication.</w:t>
      </w:r>
    </w:p>
    <w:p w14:paraId="0486E6CA" w14:textId="77777777" w:rsidR="00CA0EF0" w:rsidRPr="00361E30" w:rsidRDefault="00CA0EF0" w:rsidP="003C13F4">
      <w:pPr>
        <w:ind w:firstLine="720"/>
      </w:pPr>
      <w:r w:rsidRPr="00361E30">
        <w:t>In relation to the make-up of the multidisciplinary team, there was some difference in responses from Site 01 and Site 02. Compared to Site 02, where there was an established trauma ward, interviewees from Site 01 did not describe a well-functioning and properly constituted team. The following quote from Site 02 shows how well structured they believed their team was.</w:t>
      </w:r>
    </w:p>
    <w:p w14:paraId="4650819D" w14:textId="77777777" w:rsidR="00CA0EF0" w:rsidRPr="00361E30" w:rsidRDefault="00CA0EF0" w:rsidP="003C13F4">
      <w:pPr>
        <w:ind w:left="1440"/>
      </w:pPr>
      <w:r w:rsidRPr="00361E30">
        <w:t xml:space="preserve">“So… the ward… is run by an orthopaedic consultant, who's got an interest and a job spec for major trauma, and an emergency general trauma surgeon..., then we have the therapists, so they have the two band seven therapists, an OT and a physio, and then their team, which are based on the ward. And then </w:t>
      </w:r>
      <w:r w:rsidRPr="00361E30">
        <w:lastRenderedPageBreak/>
        <w:t>there's a trauma nurse. And then, the ward nurses. And… in the morning, we'll go through all the previous twenty-four hours patients, speak about them. Then we go to review them, do a tertiary survey on them. And then we do a board round of everyone else, and then go and do a ward round of the rest of the patients.” (Interviewee AT04 – Trauma Coordinator, Site 02)</w:t>
      </w:r>
    </w:p>
    <w:p w14:paraId="19894C25" w14:textId="77777777" w:rsidR="00CA0EF0" w:rsidRPr="00361E30" w:rsidRDefault="00CA0EF0" w:rsidP="003C13F4">
      <w:r w:rsidRPr="00361E30">
        <w:t>Compared to this description of a well-defined and structured team, with a focus on coordinated holistic care, the interviewees in Site 01 gave less specific answers with a general impression that the multidisciplinary team at that site was less well organised, with less input from senior doctors and trauma staff.</w:t>
      </w:r>
    </w:p>
    <w:p w14:paraId="433AF571" w14:textId="77777777" w:rsidR="00CA0EF0" w:rsidRPr="00361E30" w:rsidRDefault="00CA0EF0" w:rsidP="003C13F4">
      <w:pPr>
        <w:ind w:left="1440"/>
      </w:pPr>
      <w:r w:rsidRPr="00361E30">
        <w:t>“My team, so my team is predominantly nurses, and we have an OT and a physiotherapist who work as coordinators some of the time and therapists for the rest of the time.  But as a team, we ensure that most trauma patients that are identified are on the best and most appropriate pathways that this hospital delivers,… but if it’s a multisystem injury, then actually you may have to speak to five different specialties and get them all to try liaising all together.” (Interviewee DR07 – Trauma Coordinator, Site 01)</w:t>
      </w:r>
    </w:p>
    <w:p w14:paraId="47E6CD43" w14:textId="77777777" w:rsidR="00CA0EF0" w:rsidRPr="00361E30" w:rsidRDefault="00CA0EF0" w:rsidP="003C13F4">
      <w:r w:rsidRPr="00361E30">
        <w:t>Interestingly, neither site had a geriatrician as a regular part of the multidisciplinary team, though Site 02 was piloting the regular involvement of an ortho-geriatrician in the management of patients on the trauma ward. However, even in this instance, the ortho-geriatrician’s work was not fully integrated into the working of the team, as demonstrated by the quote below from that individual.</w:t>
      </w:r>
    </w:p>
    <w:p w14:paraId="7C5D5BAD" w14:textId="77777777" w:rsidR="00CA0EF0" w:rsidRPr="00361E30" w:rsidRDefault="00CA0EF0" w:rsidP="003C13F4">
      <w:pPr>
        <w:ind w:left="1440"/>
      </w:pPr>
      <w:r w:rsidRPr="00361E30">
        <w:t>“Right, the major trauma ward they have their own ward round... with their surgeons and physios, and things. And once that has happened then twice a week I go there and anybody who’s over 65, I do a comprehensive geriatric assessment of the patients…. And they had a flaw where they did not have a geriatrician involvement in it, and the patients were quite elderly. But now because of me going there, they have got the geriatrician involved in it.” (Interviewee AT08 – Ortho-geriatrician, Site 02)</w:t>
      </w:r>
    </w:p>
    <w:p w14:paraId="249301F9" w14:textId="77777777" w:rsidR="00CA0EF0" w:rsidRPr="00361E30" w:rsidRDefault="00CA0EF0" w:rsidP="003C13F4">
      <w:r w:rsidRPr="00361E30">
        <w:t xml:space="preserve">The timing of involvement of the multidisciplinary team was also an important area of discussion with many of the interviewees. Most felt that this should occur after resuscitation and definitive care had been instituted, for example after definitive surgery was completed. </w:t>
      </w:r>
    </w:p>
    <w:p w14:paraId="36BF6654" w14:textId="77777777" w:rsidR="00CA0EF0" w:rsidRPr="00361E30" w:rsidRDefault="00CA0EF0" w:rsidP="003C13F4">
      <w:pPr>
        <w:ind w:left="1440"/>
      </w:pPr>
      <w:r w:rsidRPr="00361E30">
        <w:t xml:space="preserve">“Umm, certainly here they’re not involved in the primary survey set-up whatsoever within the emergency department. I’m not sure I’d feel their </w:t>
      </w:r>
      <w:r w:rsidRPr="00361E30">
        <w:lastRenderedPageBreak/>
        <w:t>involvement at that point… I’m not sure that that’s necessarily what’s required but what is required is then at the point of moving to the continued management phase, away from the emergency department, I think their role is critical.” (Interviewee DR06 – Emergency Medicine Registrar, Site 01)</w:t>
      </w:r>
    </w:p>
    <w:p w14:paraId="67C5792F" w14:textId="77777777" w:rsidR="00CA0EF0" w:rsidRPr="00361E30" w:rsidRDefault="00CA0EF0" w:rsidP="003C13F4">
      <w:r w:rsidRPr="00361E30">
        <w:t>However, one of the Emergency Medicine consultants from Site 02, who had a special interest in trauma</w:t>
      </w:r>
      <w:r w:rsidR="00F84EF5">
        <w:t xml:space="preserve"> in older people</w:t>
      </w:r>
      <w:r w:rsidRPr="00361E30">
        <w:t xml:space="preserve"> felt that the multidisciplinary team should have an input into the management of these patients from the resuscitation phase, as this would provide much better continuity of care. The rationale was that this would provide rehabilitation expertise from the beginning of the patient’s pathway and avoid unnecessary or inappropriate treatment decisions in older trauma patients with complex problems.</w:t>
      </w:r>
    </w:p>
    <w:p w14:paraId="1DC6E3A8" w14:textId="77777777" w:rsidR="00CA0EF0" w:rsidRPr="00361E30" w:rsidRDefault="00CA0EF0" w:rsidP="003C13F4">
      <w:pPr>
        <w:ind w:left="1440"/>
      </w:pPr>
      <w:r w:rsidRPr="00361E30">
        <w:t>“It will improve…they will all learn from it, from how the frailty team deal with those patients. We’ll learn from it from a trauma point of view, so they will all come in and have their A, B, C, D done….  But decisions… that’s being made will be a lot easier to be made if you had a frail elderly team there; discussion with the family would be a lot easier.  Planning destinations of patients will be a lot easier done.  It will be seamless.  [S]o I think they need the same trauma assessment but they need more of an input of other people, and I think that should be done from dot, er, from the very beginning.” (Interviewee AT09 – Emergency Department Consultant, Site 02)</w:t>
      </w:r>
    </w:p>
    <w:p w14:paraId="721866DD" w14:textId="77777777" w:rsidR="00CA0EF0" w:rsidRPr="00361E30" w:rsidRDefault="00CA0EF0" w:rsidP="003C13F4">
      <w:pPr>
        <w:pStyle w:val="Heading3"/>
      </w:pPr>
      <w:r w:rsidRPr="00361E30">
        <w:t xml:space="preserve">7.4.2.4 </w:t>
      </w:r>
      <w:r w:rsidRPr="00361E30">
        <w:tab/>
        <w:t>Communication and coordination of care</w:t>
      </w:r>
    </w:p>
    <w:p w14:paraId="2D2F2D63" w14:textId="77777777" w:rsidR="00CA0EF0" w:rsidRPr="00361E30" w:rsidRDefault="00CA0EF0" w:rsidP="003C13F4">
      <w:r w:rsidRPr="00361E30">
        <w:t>Communication and coordination of care was considered by many interviewees to be an important aspect of the management of older trauma patients, and a key role of the multidisciplinary team. This happened at various levels, including coordination of intra-hospital care, coordination between hospitals and coordination between the hospital and community services (particularly community rehabilitation and social services). There was some disparity between the views of interviewees from either site. At Site 01, where there was no trauma ward, the coordination of care between different specialties was described as more difficult, while at Site 02, descriptions suggested that this seemed to be more effective.</w:t>
      </w:r>
    </w:p>
    <w:p w14:paraId="05ED079C" w14:textId="77777777" w:rsidR="00CA0EF0" w:rsidRPr="00361E30" w:rsidRDefault="00CA0EF0" w:rsidP="003C13F4">
      <w:pPr>
        <w:ind w:left="1440"/>
      </w:pPr>
      <w:r w:rsidRPr="00361E30">
        <w:t xml:space="preserve">“[I]f they come to the trauma ward they’re assessed within the first twenty-four hours by the therapy team…. [T]heir… immediate needs [are] addressed and goals assessed but also short and long term so do they need referral to a rehab network?  Are we thinking… they’ll need referral to amputee services, head injury services so all that’s done in day one…. each patient gets seen every day by OT and physio…. SALT, speech and language and dietitians…. </w:t>
      </w:r>
      <w:r w:rsidRPr="00361E30">
        <w:lastRenderedPageBreak/>
        <w:t>[W]e have [ortho-geriatric] input for our ortho major trauma patients,… and we have really good input from, I say, again our mental health team if we do think it’s a dementia case.” (Interviewee AT01 – Physiotherapist, Site 02)</w:t>
      </w:r>
    </w:p>
    <w:p w14:paraId="71499A93" w14:textId="77777777" w:rsidR="00CA0EF0" w:rsidRPr="00361E30" w:rsidRDefault="00CA0EF0" w:rsidP="003C13F4">
      <w:r w:rsidRPr="00361E30">
        <w:t>Comparing the above quote to one from Site 01 (below), the interviewee at Site 02 gave a much more definitive description of how the multidisciplinary team is integrated into the care of the older trauma patient.</w:t>
      </w:r>
    </w:p>
    <w:p w14:paraId="2FBBEE5E" w14:textId="77777777" w:rsidR="00CA0EF0" w:rsidRPr="00361E30" w:rsidRDefault="00CA0EF0" w:rsidP="003C13F4">
      <w:pPr>
        <w:ind w:left="1440"/>
      </w:pPr>
      <w:r w:rsidRPr="00361E30">
        <w:t>“So we've got erm, we do have a hole in our system…. We don't have a trauma ward here. So we don't have a focused place where people can look after the multiply injured patient whether it's elderly or young…. So they'll get orthopaedics down to have a look at this or plastics to have a look at that. But you lose that orchestrated follow-up which is mitigated slightly by the roving trauma consultant… [w]ith the trauma nurse…. but they don't have junior doctors and that…” (Interviewee DR10 – Emergency Medicine Consultant, Site 01)</w:t>
      </w:r>
    </w:p>
    <w:p w14:paraId="57B45474" w14:textId="77777777" w:rsidR="00CA0EF0" w:rsidRPr="00361E30" w:rsidRDefault="00CA0EF0" w:rsidP="003C13F4">
      <w:r w:rsidRPr="00361E30">
        <w:t>The coordination of care between hospitals and between the hospital and community services appeared to be less reliable and less well developed at both sites than coordination within the trauma hospitals themselves. In relation to community services, interviewees recognised that this was due mainly to a lack of resources. Many of these services were thought to be overstretched, though providing an important role in the continuing care of older trauma patients.</w:t>
      </w:r>
    </w:p>
    <w:p w14:paraId="3C18CAD8" w14:textId="77777777" w:rsidR="00CA0EF0" w:rsidRPr="00361E30" w:rsidRDefault="00CA0EF0" w:rsidP="003C13F4">
      <w:pPr>
        <w:ind w:left="1440"/>
      </w:pPr>
      <w:r w:rsidRPr="00361E30">
        <w:t>“I think a lot of the social services in the area are under a lot of strain at the moment… In an ideal world if we had more slow stream, more slower stream rehab units for the elderly population… we might be able to get a patient to a rehab unit for two, three months if we think they have got rehab potential and rehab goals they could achieve and then that patient doesn’t need that long-term package of care. So by not putting money in just at the back door it’s costing the NHS more in the long run because I think personally we could probably do a lot more and save a lot more money in social care packages if we had more rehab facilities.” Interviewee AT01 – Physiotherapist, Site 02)</w:t>
      </w:r>
    </w:p>
    <w:p w14:paraId="1E2A9F1B" w14:textId="77777777" w:rsidR="00CA0EF0" w:rsidRPr="00361E30" w:rsidRDefault="00CA0EF0" w:rsidP="003C13F4">
      <w:r w:rsidRPr="00361E30">
        <w:t xml:space="preserve">With regard to communication between hospitals, there was a view that this was less effective and could cause difficulties with continuity of care, both with repatriation back to referring hospitals and referrals on for specialist care. There was a specific issue with referrals of patients with brain injuries to the neurosurgical centre at Site 02, which was on a separate site </w:t>
      </w:r>
      <w:r w:rsidRPr="00361E30">
        <w:lastRenderedPageBreak/>
        <w:t>from the main receiving trauma hospital. While there were clear protocols for referrals, many interviewees from this site did not fully understand why decisions were made, and some hinted that some decisions might have been made due to age bias against older patients with brain injuries.</w:t>
      </w:r>
    </w:p>
    <w:p w14:paraId="64269218" w14:textId="77777777" w:rsidR="00CA0EF0" w:rsidRPr="00361E30" w:rsidRDefault="00CA0EF0" w:rsidP="003C13F4">
      <w:pPr>
        <w:ind w:left="1440"/>
      </w:pPr>
      <w:r w:rsidRPr="00361E30">
        <w:t>“Well I think that’s a little bit of a problem here, because I think a lot of the decision-making with neurosurgery is even if they are across, they, they never attend the trauma calls…. [B]ut I think because the fact that they don’t come here, I think that also influences, even a little bit I think, the decision-making. [B]ecause I think it’s always important to see the pic…the patient as a whole….  But I think it would make us feel more comfortable… in making that decision, ‘cause well at least they’re here.” (Interviewee AT02 – Registrar in Anaesthetics and ICU, Site 02)</w:t>
      </w:r>
    </w:p>
    <w:p w14:paraId="36BF80E8" w14:textId="77777777" w:rsidR="00CA0EF0" w:rsidRPr="00361E30" w:rsidRDefault="00CA0EF0" w:rsidP="003C13F4">
      <w:r w:rsidRPr="00361E30">
        <w:t>Interviewees from Site 01 were far less likely to mention holistic care than those from Site 02, who discussed both the benefits of the trauma ward and the need for holistic care (Figure 7.3).</w:t>
      </w:r>
    </w:p>
    <w:p w14:paraId="6BC1041E" w14:textId="77777777" w:rsidR="00CA0EF0" w:rsidRPr="00361E30" w:rsidRDefault="00CA0EF0" w:rsidP="003C13F4">
      <w:r w:rsidRPr="00361E30">
        <w:rPr>
          <w:noProof/>
          <w:lang w:eastAsia="en-GB"/>
        </w:rPr>
        <w:lastRenderedPageBreak/>
        <w:drawing>
          <wp:inline distT="0" distB="0" distL="0" distR="0" wp14:anchorId="20968E35" wp14:editId="4ADA5CD2">
            <wp:extent cx="5133975" cy="52292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umaWardHolisticCare.jpg"/>
                    <pic:cNvPicPr/>
                  </pic:nvPicPr>
                  <pic:blipFill>
                    <a:blip r:embed="rId31">
                      <a:extLst>
                        <a:ext uri="{28A0092B-C50C-407E-A947-70E740481C1C}">
                          <a14:useLocalDpi xmlns:a14="http://schemas.microsoft.com/office/drawing/2010/main" val="0"/>
                        </a:ext>
                      </a:extLst>
                    </a:blip>
                    <a:stretch>
                      <a:fillRect/>
                    </a:stretch>
                  </pic:blipFill>
                  <pic:spPr>
                    <a:xfrm>
                      <a:off x="0" y="0"/>
                      <a:ext cx="5133975" cy="5229225"/>
                    </a:xfrm>
                    <a:prstGeom prst="rect">
                      <a:avLst/>
                    </a:prstGeom>
                  </pic:spPr>
                </pic:pic>
              </a:graphicData>
            </a:graphic>
          </wp:inline>
        </w:drawing>
      </w:r>
      <w:r w:rsidRPr="00361E30">
        <w:t xml:space="preserve"> </w:t>
      </w:r>
    </w:p>
    <w:p w14:paraId="66C7E9CF" w14:textId="77777777" w:rsidR="00CA0EF0" w:rsidRPr="00361E30" w:rsidRDefault="00CA0EF0" w:rsidP="003C13F4">
      <w:pPr>
        <w:pStyle w:val="FigureTitle"/>
      </w:pPr>
      <w:bookmarkStart w:id="188" w:name="_Toc529090351"/>
      <w:r w:rsidRPr="00361E30">
        <w:t>Figure 7.3: Comparison between discussion of trauma wards and discussion of holistic care. Interviewees from Site 02 (AT01 – AT09) were far more likely to discuss both, compared to those from Site 01 (DR01 – DR11), many of whom did not discuss holistic care.</w:t>
      </w:r>
      <w:bookmarkEnd w:id="188"/>
    </w:p>
    <w:p w14:paraId="1E618E3B" w14:textId="77777777" w:rsidR="00CA0EF0" w:rsidRPr="00361E30" w:rsidRDefault="00CA0EF0" w:rsidP="003C13F4">
      <w:pPr>
        <w:pStyle w:val="Heading2"/>
      </w:pPr>
      <w:bookmarkStart w:id="189" w:name="_Toc1902338"/>
      <w:r w:rsidRPr="00361E30">
        <w:t>7.4.3</w:t>
      </w:r>
      <w:r w:rsidRPr="00361E30">
        <w:tab/>
        <w:t>Resuscitation versus rehabilitation</w:t>
      </w:r>
      <w:bookmarkEnd w:id="189"/>
    </w:p>
    <w:p w14:paraId="1F9A33B8" w14:textId="77777777" w:rsidR="00CA0EF0" w:rsidRPr="00361E30" w:rsidRDefault="00CA0EF0" w:rsidP="003C13F4">
      <w:r w:rsidRPr="00361E30">
        <w:t>Interviewees included persons involved in the acute resuscitation of older major trauma patients as well as those involved in the rehabilitation of these patients. There were differences in how interviewees described the approach to and organisation of patient care in the resuscitation phase compared to the rehabilitation phase. There was also a different priority placed on each of these phases of care, and this differed between the two sites.</w:t>
      </w:r>
    </w:p>
    <w:p w14:paraId="79BEDBDA" w14:textId="77777777" w:rsidR="00CA0EF0" w:rsidRPr="00361E30" w:rsidRDefault="00CA0EF0" w:rsidP="003C13F4">
      <w:pPr>
        <w:pStyle w:val="Heading3"/>
      </w:pPr>
      <w:r w:rsidRPr="00361E30">
        <w:t xml:space="preserve">7.4.3.1 </w:t>
      </w:r>
      <w:r w:rsidRPr="00361E30">
        <w:tab/>
        <w:t>Prioritisation of Early Rehabilitation</w:t>
      </w:r>
    </w:p>
    <w:p w14:paraId="2A053B60" w14:textId="77777777" w:rsidR="00CA0EF0" w:rsidRPr="00361E30" w:rsidRDefault="00CA0EF0" w:rsidP="003C13F4">
      <w:r w:rsidRPr="00361E30">
        <w:t xml:space="preserve">At both sites, interviewees expressed the view that resuscitation and acute care of trauma patients was prioritised over rehabilitation, and that the hospitals saw themselves as predominantly acute care facilities. However, early rehabilitation services appeared to be </w:t>
      </w:r>
      <w:r w:rsidRPr="00361E30">
        <w:lastRenderedPageBreak/>
        <w:t>more pro-actively managed in Site 02 compared to Site 01. Compare the quotes from Site 02 and Site 01 below.</w:t>
      </w:r>
    </w:p>
    <w:p w14:paraId="25C38B0C" w14:textId="77777777" w:rsidR="00CA0EF0" w:rsidRPr="00361E30" w:rsidRDefault="00CA0EF0" w:rsidP="003C13F4">
      <w:pPr>
        <w:ind w:left="1440"/>
      </w:pPr>
      <w:r w:rsidRPr="00361E30">
        <w:t>“So the patients once they are stabilised or ready to move on from ED, um, they would either go to crit care... or theatre and then, they would go to the major trauma ward… [T]hey have daily multidisciplinary ward rounds and they also have input from therapists... who are based up there. Basically they’ve got an MDT room... so quite intensive support, quite a tight team.” (Interviewee AT06 – Business Manager, Emergency Medicine, Site 02)</w:t>
      </w:r>
    </w:p>
    <w:p w14:paraId="59BA158A" w14:textId="77777777" w:rsidR="00CA0EF0" w:rsidRPr="00361E30" w:rsidRDefault="00CA0EF0" w:rsidP="003C13F4">
      <w:pPr>
        <w:ind w:left="1440"/>
      </w:pPr>
      <w:r w:rsidRPr="00361E30">
        <w:t>“And the response I had was that well, we don't do rehabilitation here. That happens somewhere else…. And I think it comes back to not recognising early on the importance of getting people up and moving...” (Interviewee DR09 – Rehabilitation Consultant, Site 01)</w:t>
      </w:r>
    </w:p>
    <w:p w14:paraId="52D9223A" w14:textId="77777777" w:rsidR="00CA0EF0" w:rsidRPr="00361E30" w:rsidRDefault="00CA0EF0" w:rsidP="003C13F4">
      <w:r w:rsidRPr="00361E30">
        <w:t xml:space="preserve">As mentioned in the theme on ‘Trauma Wards’, this difference in approach seemed to be at least in part due to the ability to focus rehabilitation expertise on the Major Trauma Ward at Site 02 (bearing in mind that no such facility was available in Site 01). </w:t>
      </w:r>
    </w:p>
    <w:p w14:paraId="6F02F5C4" w14:textId="77777777" w:rsidR="00CA0EF0" w:rsidRPr="00361E30" w:rsidRDefault="00CA0EF0" w:rsidP="003C13F4">
      <w:pPr>
        <w:pStyle w:val="Heading3"/>
      </w:pPr>
      <w:r w:rsidRPr="00361E30">
        <w:t xml:space="preserve">7.4.3.2 </w:t>
      </w:r>
      <w:r w:rsidRPr="00361E30">
        <w:tab/>
        <w:t>Resuscitation to Rehabilitation – Continuity of Care</w:t>
      </w:r>
    </w:p>
    <w:p w14:paraId="5F9B5337" w14:textId="77777777" w:rsidR="00CA0EF0" w:rsidRPr="00361E30" w:rsidRDefault="00CA0EF0" w:rsidP="003C13F4">
      <w:r w:rsidRPr="00361E30">
        <w:t>Interviewees from both sites discussed the continuum of care for older trauma patients, from resuscitation through early rehabilitation to long term rehabilitation and recovery. Comparing the two sites, there seemed to be a more interconnected and seamless pathway through these stages of treatment in Site 02.</w:t>
      </w:r>
    </w:p>
    <w:p w14:paraId="64D45E4A" w14:textId="77777777" w:rsidR="00CA0EF0" w:rsidRPr="00361E30" w:rsidRDefault="00CA0EF0" w:rsidP="003C13F4">
      <w:pPr>
        <w:ind w:left="1440"/>
      </w:pPr>
      <w:r w:rsidRPr="00361E30">
        <w:t>“So with most patients there’s four pathways that the trauma team have got to sort of say this is where I want this patient to go…. [I]f they come to the trauma ward they’re assessed within the first twenty-four hours by the therapy team and we have a prescription commence and all their, you know, immediate needs addressed and goals assessed but also short and long term so do they need referral to a rehab network?” (Interviewee AT02 - Physiotherapist, Site 02)</w:t>
      </w:r>
    </w:p>
    <w:p w14:paraId="423219A5" w14:textId="77777777" w:rsidR="00CA0EF0" w:rsidRPr="00361E30" w:rsidRDefault="00CA0EF0" w:rsidP="003C13F4">
      <w:r w:rsidRPr="00361E30">
        <w:t xml:space="preserve">Interviewees from Site 02 also discussed the links between the acute hospital and </w:t>
      </w:r>
      <w:r w:rsidR="00D22926" w:rsidRPr="00361E30">
        <w:t>long-term</w:t>
      </w:r>
      <w:r w:rsidRPr="00361E30">
        <w:t xml:space="preserve"> rehabilitation units in the region, suggesting that there were good linkages between these services.  In total, the picture of services at Site 02 was one of a reasonably well coordinated approach to trauma care in older people, though with some limitations and resource constraints.</w:t>
      </w:r>
    </w:p>
    <w:p w14:paraId="170EA3D7" w14:textId="77777777" w:rsidR="00CA0EF0" w:rsidRPr="00361E30" w:rsidRDefault="00CA0EF0" w:rsidP="003C13F4">
      <w:pPr>
        <w:ind w:firstLine="720"/>
      </w:pPr>
      <w:r w:rsidRPr="00361E30">
        <w:lastRenderedPageBreak/>
        <w:t>As with Site 02, interviewees from Site 01 often understood the need for better integration of resuscitation and rehabilitative care in older trauma patients. However, they seemed to be some way from achieving this goal. A few of the respondents described a lack of integration in the care provided to older trauma patients, as exemplified in this quote from one of the Emergency Medicine Registrars.</w:t>
      </w:r>
    </w:p>
    <w:p w14:paraId="27B01ADE" w14:textId="77777777" w:rsidR="00CA0EF0" w:rsidRPr="00361E30" w:rsidRDefault="00CA0EF0" w:rsidP="003C13F4">
      <w:pPr>
        <w:ind w:left="1440"/>
      </w:pPr>
      <w:r w:rsidRPr="00361E30">
        <w:t>“It’s then getting the teams working in unison further on down the line, with respect to continued rehabilitation, continued physiotherapy, occupational therapy and the teams working together, and that has always been our problem without a dedicated trauma unit to get everything… integrated down the line. I think that’s our problem in the elderly patients.” (Interviewee DR06 – Emergency Medicine Registrar, Site 01)</w:t>
      </w:r>
    </w:p>
    <w:p w14:paraId="2A036D1F" w14:textId="77777777" w:rsidR="00CA0EF0" w:rsidRPr="00361E30" w:rsidRDefault="00CA0EF0" w:rsidP="003C13F4">
      <w:r w:rsidRPr="00361E30">
        <w:t>It should be noted that, again, this lack of coordination was ascribed to the lack of a Trauma Ward at Site 01. This was an over-arching theme throughout the interviews.</w:t>
      </w:r>
    </w:p>
    <w:p w14:paraId="607E1A1F" w14:textId="77777777" w:rsidR="00CA0EF0" w:rsidRPr="00361E30" w:rsidRDefault="00CA0EF0" w:rsidP="003C13F4">
      <w:pPr>
        <w:pStyle w:val="Heading2"/>
      </w:pPr>
      <w:bookmarkStart w:id="190" w:name="_Toc1902339"/>
      <w:r w:rsidRPr="00361E30">
        <w:t>7.4.4</w:t>
      </w:r>
      <w:r w:rsidRPr="00361E30">
        <w:tab/>
        <w:t>Decision to resuscitate</w:t>
      </w:r>
      <w:bookmarkEnd w:id="190"/>
    </w:p>
    <w:p w14:paraId="60BD0BA0" w14:textId="77777777" w:rsidR="00CA0EF0" w:rsidRPr="00361E30" w:rsidRDefault="00CA0EF0" w:rsidP="003C13F4">
      <w:r w:rsidRPr="00361E30">
        <w:t xml:space="preserve">The decision </w:t>
      </w:r>
      <w:r w:rsidR="00D22926" w:rsidRPr="00361E30">
        <w:t>whether</w:t>
      </w:r>
      <w:r w:rsidRPr="00361E30">
        <w:t xml:space="preserve"> to resuscitate seriously ill older people emerged as an area of significant concern for many interviewees. On the one hand, </w:t>
      </w:r>
      <w:r w:rsidR="00452F29" w:rsidRPr="00361E30">
        <w:t>most</w:t>
      </w:r>
      <w:r w:rsidRPr="00361E30">
        <w:t xml:space="preserve"> interviewees acknowledged that some older people might not be suitable for aggressive resuscitation, due to their pre-injury quality of life, their very low chances of survival, or the likely harm that would be done to the patient by employing aggressive resuscitation efforts. On the other, decisions to limit care or withhold resuscitation were not always easily justifiable. Interviewees discussed the factors that affect decisions to resuscitate, how these decisions are made, how they are communicated to staff and patients, and whether they are always appropriate and transparent.</w:t>
      </w:r>
    </w:p>
    <w:p w14:paraId="4F73D656" w14:textId="77777777" w:rsidR="00CA0EF0" w:rsidRPr="00361E30" w:rsidRDefault="00CA0EF0" w:rsidP="003C13F4">
      <w:pPr>
        <w:pStyle w:val="Heading3"/>
      </w:pPr>
      <w:r w:rsidRPr="00361E30">
        <w:t xml:space="preserve">7.4.4.1 </w:t>
      </w:r>
      <w:r w:rsidRPr="00361E30">
        <w:tab/>
        <w:t>What influences the decision to resuscitate?</w:t>
      </w:r>
    </w:p>
    <w:p w14:paraId="29F27996" w14:textId="77777777" w:rsidR="00CA0EF0" w:rsidRPr="00361E30" w:rsidRDefault="00CA0EF0" w:rsidP="003C13F4">
      <w:r w:rsidRPr="00361E30">
        <w:t>Interviewees saw quality of life, pre-injury health status of the patient and the likelihood of survival as key factors affecting their decision to resuscitate older patients following major trauma. There was a strong sentiment from interviewees that quality of life and probability of survival should be considered when making decisions about ‘how far to go’. This is captured in the quote below from an Emergency Department Registrar from Site 02.</w:t>
      </w:r>
    </w:p>
    <w:p w14:paraId="562F28E3" w14:textId="77777777" w:rsidR="00CA0EF0" w:rsidRPr="00361E30" w:rsidRDefault="00CA0EF0" w:rsidP="003C13F4">
      <w:pPr>
        <w:ind w:left="1440"/>
      </w:pPr>
      <w:r w:rsidRPr="00361E30">
        <w:t>“[O]ften we consider how unwell the patient is.  We consider the likely prospect of recovery and what it would take to potentially achieve that recovery.  Whether that's a feasible plan for that patient…” (Interviewee AT03 – Emergency Medicine Registrar, Site 02)</w:t>
      </w:r>
    </w:p>
    <w:p w14:paraId="6A406B8C" w14:textId="77777777" w:rsidR="00CA0EF0" w:rsidRPr="00361E30" w:rsidRDefault="00CA0EF0" w:rsidP="003C13F4">
      <w:r w:rsidRPr="00361E30">
        <w:lastRenderedPageBreak/>
        <w:t>Brain injuries were thought to specifically impact on survival and quality of life. This particular type of injury was mentioned by many interviewees as important when considering whether resuscitation of the older trauma patient was feasible and appropriate. One of the rehabilitation staff at Site 01 described the role of brain injuries and the limitations of treatment succinctly.</w:t>
      </w:r>
    </w:p>
    <w:p w14:paraId="446AC6F4" w14:textId="77777777" w:rsidR="00CA0EF0" w:rsidRPr="00361E30" w:rsidRDefault="00CA0EF0" w:rsidP="003C13F4">
      <w:pPr>
        <w:ind w:left="1440"/>
      </w:pPr>
      <w:r w:rsidRPr="00361E30">
        <w:t>“Let's say the elderly patients come in,… with potentially catastrophic injuries. Erm, often a fall from standing, they're on anticoagulants, they've got a load of blood in their head. Neurosurgery we know is dangerous and has multiple complications and isn't a fix it all.” (Interviewee DR09 – Rehabilitation Consultant, Site 01)</w:t>
      </w:r>
    </w:p>
    <w:p w14:paraId="4F5F6A76" w14:textId="77777777" w:rsidR="00CA0EF0" w:rsidRPr="00361E30" w:rsidRDefault="00CA0EF0" w:rsidP="003C13F4">
      <w:r w:rsidRPr="00361E30">
        <w:t xml:space="preserve">Most respondents described a constellation of factors that helped them make the decision not to resuscitate. However, sometimes different factors conflicted with each other, making the decision more difficult. For example, one respondent explained that some patients, who presented with severe and unsurvivable head injuries, may have been fit and well and living independently prior to the injury. Even in these patients, the decision to continue resuscitation would nevertheless be futile, as the chances of survival were minimal due to the nature of the injury. This posed particular problems when communicating with relatives, who found it hard to understand why care might be withdrawn from someone with a previously excellent quality of life. The example of a recent pre-hospital event described by one of the interviewees from Site 02 illustrates the dilemma faced by health providers. The patient had suffered a cardiac arrest following a </w:t>
      </w:r>
      <w:r w:rsidR="00452F29" w:rsidRPr="00361E30">
        <w:t>fall and</w:t>
      </w:r>
      <w:r w:rsidRPr="00361E30">
        <w:t xml:space="preserve"> had little or no chance of survival.</w:t>
      </w:r>
    </w:p>
    <w:p w14:paraId="1A841952" w14:textId="77777777" w:rsidR="00CA0EF0" w:rsidRPr="00361E30" w:rsidRDefault="00CA0EF0" w:rsidP="003C13F4">
      <w:pPr>
        <w:ind w:left="1440"/>
      </w:pPr>
      <w:r w:rsidRPr="00361E30">
        <w:t xml:space="preserve">“[B]ut he was a fit </w:t>
      </w:r>
      <w:r w:rsidR="00452F29" w:rsidRPr="00361E30">
        <w:t>ninety-four-year-old</w:t>
      </w:r>
      <w:r w:rsidRPr="00361E30">
        <w:t>, so we carried on working for him for…for, I don’t know, maybe forty minutes…. But he was fit, and healthy, and he was walking round; and his son was with us on scene, his son was saying, no, he’s just come back from the shops.” (Interviewee AT05 – Paramedic, Site 02)</w:t>
      </w:r>
    </w:p>
    <w:p w14:paraId="58CC1A35" w14:textId="77777777" w:rsidR="00CA0EF0" w:rsidRPr="00361E30" w:rsidRDefault="00CA0EF0" w:rsidP="003C13F4">
      <w:r w:rsidRPr="00361E30">
        <w:t>Apart from patient related factors that affected decision making, a few interviewees also pointed to differences in decision making between different individuals, and different specialists. Some specialists (such as geriatricians) were seen to be more comfortable making decisions about the appropriateness of resuscitation. In addition, personal experiences of staff also influenced the way they made these decisions and the decision made. For example, one interviewee drew on his own personal experience as a relative when deciding what was in the best interest of his patients.</w:t>
      </w:r>
    </w:p>
    <w:p w14:paraId="29163EAB" w14:textId="77777777" w:rsidR="00CA0EF0" w:rsidRPr="00361E30" w:rsidRDefault="00CA0EF0" w:rsidP="003C13F4">
      <w:pPr>
        <w:ind w:left="1440"/>
      </w:pPr>
      <w:r w:rsidRPr="00361E30">
        <w:lastRenderedPageBreak/>
        <w:t>“Because I knew, we all knew my nan wouldn't want to be in a home and she didn’t know who people was and everything, and, you know, if she did become ill, what are we actually doing, you know, we're just prolonging something what she didn't want.  So I find, you know, having that, you know, that background, then having those difficult conversations with the relatives is not really an issue. And I think we should be more open about it.” (Interviewee AT04 – Trauma Coordinator, Site 02)</w:t>
      </w:r>
    </w:p>
    <w:p w14:paraId="556EF0AC" w14:textId="77777777" w:rsidR="00CA0EF0" w:rsidRPr="00361E30" w:rsidRDefault="00CA0EF0" w:rsidP="003C13F4">
      <w:pPr>
        <w:pStyle w:val="Heading3"/>
      </w:pPr>
      <w:r w:rsidRPr="00361E30">
        <w:t xml:space="preserve">7.4.4.2 </w:t>
      </w:r>
      <w:r w:rsidRPr="00361E30">
        <w:tab/>
        <w:t>How are decisions made?</w:t>
      </w:r>
    </w:p>
    <w:p w14:paraId="1C13EC6D" w14:textId="77777777" w:rsidR="00CA0EF0" w:rsidRPr="00361E30" w:rsidRDefault="00CA0EF0" w:rsidP="003C13F4">
      <w:r w:rsidRPr="00361E30">
        <w:t>Decisions on whether to resuscitate older trauma patients were generally seen by interviewees as the responsibility of the multidisciplinary team (MDT). Most interviewees described a collaborative approach, involving the whole multidisciplinary team, and led by the consultant in charge of the patient, but also including the patient and their relatives.</w:t>
      </w:r>
    </w:p>
    <w:p w14:paraId="4361C154" w14:textId="77777777" w:rsidR="00CA0EF0" w:rsidRPr="00361E30" w:rsidRDefault="00CA0EF0" w:rsidP="003C13F4">
      <w:pPr>
        <w:ind w:left="1440"/>
      </w:pPr>
      <w:r w:rsidRPr="00361E30">
        <w:t>“So you’ve got the…the consultants in charge… and it is very much an MDT decision. Now it wouldn’t be pure therapy based. However, if we’ve got someone, for example, with a severe head injury and they might be in a low conscious state, there doesn’t seem to be any communication, then as therapists we might be asked to assess, do you think this patient has got any rehab potential? So, yeah, and then we will discuss that as an MDT and they will ask our opinion on that from a rehab point of view.” (Interviewee AT01 – Physiotherapist, Site 02)</w:t>
      </w:r>
    </w:p>
    <w:p w14:paraId="1842820B" w14:textId="77777777" w:rsidR="00CA0EF0" w:rsidRPr="00361E30" w:rsidRDefault="00CA0EF0" w:rsidP="003C13F4">
      <w:r w:rsidRPr="00361E30">
        <w:t xml:space="preserve">Interviewees thought that patients and their relatives should be included in the decision making, though circumstances could make this difficult (for example, if the patient was unconscious). A few interviewees felt that, while patients often knew what they wanted, </w:t>
      </w:r>
      <w:r w:rsidR="00452F29" w:rsidRPr="00361E30">
        <w:t>regarding</w:t>
      </w:r>
      <w:r w:rsidRPr="00361E30">
        <w:t xml:space="preserve"> resuscitation, the decision was more difficult for relatives. The quote below from a senior Emergency Department nurse summarises this.</w:t>
      </w:r>
    </w:p>
    <w:p w14:paraId="4A83A142" w14:textId="77777777" w:rsidR="00CA0EF0" w:rsidRPr="00361E30" w:rsidRDefault="00CA0EF0" w:rsidP="003C13F4">
      <w:pPr>
        <w:ind w:left="1440"/>
      </w:pPr>
      <w:r w:rsidRPr="00361E30">
        <w:t>“[S]o some people do not want any form of intervention…. I think, you know, sometimes it's…people don’t want to make that decision, especially family members.  Lots of family members don’t want to…to even think about that decision for anyone of any age. [But] the elderly population have more of an incentive to push to say, I do not want to be resus…I do not want to have this.” (Interviewee DR05 – Nurse Manager, Site 01)</w:t>
      </w:r>
    </w:p>
    <w:p w14:paraId="36CE42D5" w14:textId="77777777" w:rsidR="00CA0EF0" w:rsidRPr="00361E30" w:rsidRDefault="00CA0EF0" w:rsidP="003C13F4">
      <w:r w:rsidRPr="00361E30">
        <w:t xml:space="preserve">Communication with patients and their relatives was also considered an important part of the </w:t>
      </w:r>
      <w:r w:rsidR="00452F29" w:rsidRPr="00361E30">
        <w:t>decision-making</w:t>
      </w:r>
      <w:r w:rsidRPr="00361E30">
        <w:t xml:space="preserve"> process. Interviewees highlighted the need for early, realistic conversations </w:t>
      </w:r>
      <w:r w:rsidRPr="00361E30">
        <w:lastRenderedPageBreak/>
        <w:t>with patients and their relatives. This often paved the way for more difficult conversations later on. A quote from one of the trauma coordinators at Site 01 sums this up.</w:t>
      </w:r>
    </w:p>
    <w:p w14:paraId="21E6C7C3" w14:textId="77777777" w:rsidR="00CA0EF0" w:rsidRPr="00361E30" w:rsidRDefault="00CA0EF0" w:rsidP="003C13F4">
      <w:pPr>
        <w:ind w:left="1440"/>
      </w:pPr>
      <w:r w:rsidRPr="00361E30">
        <w:t>“So that I think the family communication if it’s done early and honestly and very openly, which it always is in my experience, is much easier, it gives you a much better working relationship four, five days down the line.” (Interviewee DR07 – Trauma Coordinator, Site 01)</w:t>
      </w:r>
    </w:p>
    <w:p w14:paraId="2D8A4A46" w14:textId="77777777" w:rsidR="00CA0EF0" w:rsidRPr="00361E30" w:rsidRDefault="00CA0EF0" w:rsidP="003C13F4">
      <w:r w:rsidRPr="00361E30">
        <w:t xml:space="preserve">Interviewees generally thought that the timing of the decision was important. Most agreed that decisions on resuscitation were hardly ever made during the initial phase of treatment as there was not enough known about the patient at that stage of management. In </w:t>
      </w:r>
      <w:r w:rsidR="00452F29" w:rsidRPr="00361E30">
        <w:t>addition,</w:t>
      </w:r>
      <w:r w:rsidRPr="00361E30">
        <w:t xml:space="preserve"> older patients often took several days to develop severe complications of major trauma, such as pneumonia or organ failure, and these complications were often the trigger for discussing whether or not to resuscitate. Both sites had protocols for making decisions about resuscitation when patients were admitted to hospital, but these decisions were more often made as the patient’s condition developed during their stay in hospital. </w:t>
      </w:r>
    </w:p>
    <w:p w14:paraId="2D502F61" w14:textId="77777777" w:rsidR="00CA0EF0" w:rsidRPr="00361E30" w:rsidRDefault="00CA0EF0" w:rsidP="003C13F4">
      <w:pPr>
        <w:ind w:left="1440"/>
      </w:pPr>
      <w:r w:rsidRPr="00361E30">
        <w:t>“But it’s usually what they get because of the trauma, whether it be a pneumonia, or if they pick something else up on a further assessment later down the line. It’s usually that that they succumb to as opposed to the injury itself.” (Interviewee AT09 – Emergency Medicine Consultant, Site 02)</w:t>
      </w:r>
    </w:p>
    <w:p w14:paraId="78366ECE" w14:textId="77777777" w:rsidR="00CA0EF0" w:rsidRPr="00361E30" w:rsidRDefault="00CA0EF0" w:rsidP="003C13F4">
      <w:r w:rsidRPr="00361E30">
        <w:t xml:space="preserve">Interviewees also considered the decision as more than just a dichotomous decision to resuscitate or not. Decisions were more nuanced than this and included the concept of ‘ceilings of treatment’, with specific decisions about how much treatment should be provided to individual patients and at what point treatment should be withheld. </w:t>
      </w:r>
    </w:p>
    <w:p w14:paraId="5B45DB7B" w14:textId="77777777" w:rsidR="00CA0EF0" w:rsidRPr="00361E30" w:rsidRDefault="00CA0EF0" w:rsidP="003C13F4">
      <w:pPr>
        <w:ind w:left="1440"/>
      </w:pPr>
      <w:r w:rsidRPr="00361E30">
        <w:t>“So it is resuscitation but it's also decisions about ceilings of treatment, capacity, er, discussing with relatives or discussing with a patient.” (Interviewee DR09 – Rehabilitation Consultant, Site 01)</w:t>
      </w:r>
    </w:p>
    <w:p w14:paraId="2201E742" w14:textId="77777777" w:rsidR="00CA0EF0" w:rsidRPr="00361E30" w:rsidRDefault="00CA0EF0" w:rsidP="003C13F4">
      <w:pPr>
        <w:pStyle w:val="Heading3"/>
      </w:pPr>
      <w:r w:rsidRPr="00361E30">
        <w:t xml:space="preserve">7.4.4.3 </w:t>
      </w:r>
      <w:r w:rsidRPr="00361E30">
        <w:tab/>
        <w:t>Decisions may not always be appropriate for individual patients</w:t>
      </w:r>
    </w:p>
    <w:p w14:paraId="3E11A632" w14:textId="77777777" w:rsidR="00CA0EF0" w:rsidRPr="00361E30" w:rsidRDefault="00CA0EF0" w:rsidP="003C13F4">
      <w:r w:rsidRPr="00361E30">
        <w:t xml:space="preserve">During the interviews, interviewees gave examples of potentially inappropriate care for patients. This included patients being treated less aggressively when the reasons behind the decision were not clear. Conversely, some interviewees described situations in which aggressive care was continued when this seemed futile. </w:t>
      </w:r>
    </w:p>
    <w:p w14:paraId="46219020" w14:textId="77777777" w:rsidR="00CA0EF0" w:rsidRPr="00361E30" w:rsidRDefault="00CA0EF0" w:rsidP="003C13F4">
      <w:pPr>
        <w:ind w:firstLine="720"/>
      </w:pPr>
      <w:r w:rsidRPr="00361E30">
        <w:t xml:space="preserve">At Site 02 in particular, there was concern about how decisions about older patients with brain injuries were made. There were strict criteria for admission to the neurosurgical </w:t>
      </w:r>
      <w:r w:rsidRPr="00361E30">
        <w:lastRenderedPageBreak/>
        <w:t xml:space="preserve">hospital. One of these was age, and a few interviewees thought that this was not always in the best interest of the patient. One interviewee from this site recognised that decisions were partly made based on patients’ </w:t>
      </w:r>
      <w:r w:rsidR="00452F29" w:rsidRPr="00361E30">
        <w:t>age but</w:t>
      </w:r>
      <w:r w:rsidRPr="00361E30">
        <w:t xml:space="preserve"> did not agree with this.</w:t>
      </w:r>
    </w:p>
    <w:p w14:paraId="10A2EBCD" w14:textId="77777777" w:rsidR="00CA0EF0" w:rsidRPr="00361E30" w:rsidRDefault="00CA0EF0" w:rsidP="003C13F4">
      <w:pPr>
        <w:ind w:left="1440"/>
      </w:pPr>
      <w:r w:rsidRPr="00361E30">
        <w:t>“[T]he neurosurgeons have an algorithm, a bit like an equation and it takes in considering the age, the injury and mechanisms that…now a lot of patients over the age of seventy-five, er, the (name of neurosurgical centre) if…with severe head injuries once they put that age of seventy-five in this algorithm it’s…, if a patient is a lot younger, and deemed to have a lot of rehab potential they sometimes manage to be admitted to the (name of neurosurgical centre) a lot easier than the older person.  However, in my opinion I don’t…I’m not…it doesn’t sit comfortably with me” (Interviewee AT01 – Physiotherapist, Site 02)</w:t>
      </w:r>
    </w:p>
    <w:p w14:paraId="553CD896" w14:textId="77777777" w:rsidR="00CA0EF0" w:rsidRPr="00361E30" w:rsidRDefault="00CA0EF0" w:rsidP="003C13F4">
      <w:r w:rsidRPr="00361E30">
        <w:t>Conversely, a few interviewees thought that sometimes resuscitation was continued on patients despite its obvious futility, which was also considered to be inappropriate, and not in the best interest of the patient. The example below illustrates this.</w:t>
      </w:r>
    </w:p>
    <w:p w14:paraId="1A4DC66A" w14:textId="77777777" w:rsidR="00CA0EF0" w:rsidRPr="00361E30" w:rsidRDefault="00CA0EF0" w:rsidP="003C13F4">
      <w:pPr>
        <w:ind w:left="1440"/>
      </w:pPr>
      <w:r w:rsidRPr="00361E30">
        <w:t xml:space="preserve">“[S]o like another case we had more recently, the little lady had come, fallen, it turns out she ended up a perf, and she was ninety years old, living in a residential home.  She was quite a well </w:t>
      </w:r>
      <w:r w:rsidR="00452F29" w:rsidRPr="00361E30">
        <w:t>ninety-year-old</w:t>
      </w:r>
      <w:r w:rsidRPr="00361E30">
        <w:t>, but the family insisted that she went for surgery, but unfortunately she died when she got to crit care about an hour later after theatre.  And for me I would have thought it would have been kinder just to make her palliative and have pain control and be comfortable to die.” (Interviewee AT07 – Emergency Medicine Nurse, Site 02)</w:t>
      </w:r>
    </w:p>
    <w:p w14:paraId="34C194C5" w14:textId="77777777" w:rsidR="00CA0EF0" w:rsidRPr="00361E30" w:rsidRDefault="00CA0EF0" w:rsidP="003C13F4">
      <w:pPr>
        <w:pStyle w:val="Heading3"/>
      </w:pPr>
      <w:r w:rsidRPr="00361E30">
        <w:t xml:space="preserve">7.4.4.4 </w:t>
      </w:r>
      <w:r w:rsidRPr="00361E30">
        <w:tab/>
        <w:t>What is a good outcome?</w:t>
      </w:r>
    </w:p>
    <w:p w14:paraId="01750F41" w14:textId="77777777" w:rsidR="00CA0EF0" w:rsidRPr="00361E30" w:rsidRDefault="00CA0EF0" w:rsidP="003C13F4">
      <w:r w:rsidRPr="00361E30">
        <w:t>The idea of a ‘good outcome’ for older trauma patients was discussed by several interviewees. For most, this did not mean ‘survival at any cost’. Many related a good outcome to quality of life. As expressed by one interviewee, this often meant achieving a ‘meaningful’ quality of life, given the patient’s circumstances.</w:t>
      </w:r>
    </w:p>
    <w:p w14:paraId="02D6E13F" w14:textId="77777777" w:rsidR="00CA0EF0" w:rsidRPr="00361E30" w:rsidRDefault="00CA0EF0" w:rsidP="003C13F4">
      <w:pPr>
        <w:ind w:left="1440"/>
      </w:pPr>
      <w:r w:rsidRPr="00361E30">
        <w:t>“[F]or me, for a patient to get back to some sort of quality of life that is meaningful for them I think is a great achievement.” (Interviewee DR07 - Trauma Coordinator, Site 01)</w:t>
      </w:r>
    </w:p>
    <w:p w14:paraId="088BDCF2" w14:textId="77777777" w:rsidR="00CA0EF0" w:rsidRPr="00361E30" w:rsidRDefault="00CA0EF0" w:rsidP="003C13F4">
      <w:r w:rsidRPr="00361E30">
        <w:t>Some interviewees emphasised the patient’s wishes as paramount when judging whether the outcome was good.</w:t>
      </w:r>
    </w:p>
    <w:p w14:paraId="78A7F195" w14:textId="77777777" w:rsidR="00CA0EF0" w:rsidRPr="00361E30" w:rsidRDefault="00CA0EF0" w:rsidP="003C13F4">
      <w:pPr>
        <w:ind w:left="1440"/>
      </w:pPr>
      <w:r w:rsidRPr="00361E30">
        <w:lastRenderedPageBreak/>
        <w:t>“So it comes down to the individual. I think what I would…I think what is a good outcome is what the patient would want given the situation that they find themselves in.” (Interviewee DR09 – Rehabilitation Consultant, Site 01)</w:t>
      </w:r>
    </w:p>
    <w:p w14:paraId="5DEBE57F" w14:textId="77777777" w:rsidR="00CA0EF0" w:rsidRPr="00361E30" w:rsidRDefault="00CA0EF0" w:rsidP="003C13F4">
      <w:pPr>
        <w:pStyle w:val="Heading2"/>
      </w:pPr>
      <w:bookmarkStart w:id="191" w:name="_Toc1902340"/>
      <w:r w:rsidRPr="00361E30">
        <w:t>7.4.5</w:t>
      </w:r>
      <w:r w:rsidRPr="00361E30">
        <w:tab/>
        <w:t>Guidelines and Protocols for Older Trauma Patients</w:t>
      </w:r>
      <w:bookmarkEnd w:id="191"/>
    </w:p>
    <w:p w14:paraId="3DD0307F" w14:textId="77777777" w:rsidR="00CA0EF0" w:rsidRPr="00361E30" w:rsidRDefault="00CA0EF0" w:rsidP="003C13F4">
      <w:r w:rsidRPr="00361E30">
        <w:t xml:space="preserve">Interviewees were asked explicitly about guidelines and protocols pertaining to older trauma patients. These questions did not only focus on specific written guidelines for older trauma patients, but also included discussions about other more generic guidelines which may have been particularly relevant, as well as ‘unwritten’ guidelines and practices related to this group. </w:t>
      </w:r>
    </w:p>
    <w:p w14:paraId="76E15F89" w14:textId="77777777" w:rsidR="00CA0EF0" w:rsidRPr="00361E30" w:rsidRDefault="00CA0EF0" w:rsidP="003C13F4">
      <w:pPr>
        <w:ind w:firstLine="720"/>
      </w:pPr>
      <w:r w:rsidRPr="00361E30">
        <w:t>Neither site had specific guidelines for older major trauma patients, though interviewees on both sites could identify generic guidelines and protocols that were particularly relevant to this group. Interviewees at Site 02 were more likely to identify guidelines, protocols and practices that they thought pertained to older trauma patients, whereas interviewees at Site 01 did not see many of the protocols in their hospital as relevant to this group of patients.</w:t>
      </w:r>
    </w:p>
    <w:p w14:paraId="3F1AFE16" w14:textId="77777777" w:rsidR="00CA0EF0" w:rsidRPr="00361E30" w:rsidRDefault="00CA0EF0" w:rsidP="003C13F4">
      <w:pPr>
        <w:pStyle w:val="Heading3"/>
      </w:pPr>
      <w:r w:rsidRPr="00361E30">
        <w:t xml:space="preserve">7.4.5.1 </w:t>
      </w:r>
      <w:r w:rsidRPr="00361E30">
        <w:tab/>
        <w:t>Specific Guidelines for Older Trauma Patients</w:t>
      </w:r>
    </w:p>
    <w:p w14:paraId="09925A74" w14:textId="77777777" w:rsidR="00CA0EF0" w:rsidRPr="00361E30" w:rsidRDefault="00CA0EF0" w:rsidP="003C13F4">
      <w:r w:rsidRPr="00361E30">
        <w:t xml:space="preserve">Interviewees did not identify protocols or guidelines that were specifically written for older major trauma patients. However, interviewees from both sites thought that their respective protocols pertaining to patients with rib fractures were examples of written protocols that were particularly relevant to older trauma patients. </w:t>
      </w:r>
    </w:p>
    <w:p w14:paraId="4EA4BA0E" w14:textId="77777777" w:rsidR="00CA0EF0" w:rsidRPr="00361E30" w:rsidRDefault="00CA0EF0" w:rsidP="003C13F4">
      <w:pPr>
        <w:ind w:left="1440"/>
      </w:pPr>
      <w:r w:rsidRPr="00361E30">
        <w:t>“So we, erm, created a chest pathway… with the consultants, the pain team and the respiratory doctors…. [W]e made sure that every elderly patient, even if they had only one single rib fracture, we would admit to the trauma ward… we revamped the whole pathway and, you know, that’s one thing that we’re really proud of at (name of hospital), the chest management pathway.” Interviewee AT01 – Physiotherapist, Site 02.</w:t>
      </w:r>
    </w:p>
    <w:p w14:paraId="2082817B" w14:textId="77777777" w:rsidR="00CA0EF0" w:rsidRPr="00361E30" w:rsidRDefault="00452F29" w:rsidP="003C13F4">
      <w:r w:rsidRPr="00361E30">
        <w:t>However,</w:t>
      </w:r>
      <w:r w:rsidR="00CA0EF0" w:rsidRPr="00361E30">
        <w:t xml:space="preserve"> when asked whether these chest protocols were explicitly aimed at older patients, interviewees admitted that they were not, though they seemed to fulfil the needs of this population particularly well.</w:t>
      </w:r>
    </w:p>
    <w:p w14:paraId="49AE0FB8" w14:textId="77777777" w:rsidR="00CA0EF0" w:rsidRPr="00361E30" w:rsidRDefault="00CA0EF0" w:rsidP="003C13F4">
      <w:pPr>
        <w:ind w:left="1440"/>
      </w:pPr>
      <w:r w:rsidRPr="00361E30">
        <w:t>“…but yeah, the chest trauma pathway has definitely streamlined for everybody but predominantly… our older population.” Interviewee DR07 – Trauma Coordinator, Site 01</w:t>
      </w:r>
    </w:p>
    <w:p w14:paraId="359DDCFC" w14:textId="77777777" w:rsidR="00CA0EF0" w:rsidRPr="00361E30" w:rsidRDefault="00CA0EF0" w:rsidP="003C13F4">
      <w:pPr>
        <w:pStyle w:val="Heading3"/>
      </w:pPr>
      <w:r w:rsidRPr="00361E30">
        <w:lastRenderedPageBreak/>
        <w:t xml:space="preserve">7.4.5.2 </w:t>
      </w:r>
      <w:r w:rsidRPr="00361E30">
        <w:tab/>
        <w:t>Perceived Benefits and Disadvantages of Guidelines</w:t>
      </w:r>
    </w:p>
    <w:p w14:paraId="043392E8" w14:textId="77777777" w:rsidR="00CA0EF0" w:rsidRPr="00361E30" w:rsidRDefault="00CA0EF0" w:rsidP="003C13F4">
      <w:r w:rsidRPr="00361E30">
        <w:t>A few interviewees mentioned the benefits of guidelines specific to older trauma patients. Several interviewees expressed the view that guidelines allowed more streamlined care and better outcomes for these patients. Interestingly, interviewees from Site 02 were more likely to identify protocols that were being used with older trauma patients, while for interviewees at Site 01 this was more of an aspiration. This is demonstrated by the quotes below.</w:t>
      </w:r>
    </w:p>
    <w:p w14:paraId="49977C36" w14:textId="77777777" w:rsidR="00CA0EF0" w:rsidRPr="00361E30" w:rsidRDefault="00CA0EF0" w:rsidP="003C13F4">
      <w:pPr>
        <w:ind w:left="1440"/>
      </w:pPr>
      <w:r w:rsidRPr="00361E30">
        <w:t>“I can see what you mean in terms of it's difficult to neurologically assess some of these [older] patients…. I think the NICE guidelines are quite helpful in that respect... in terms of a lot... a much lower bar for imaging in patients over the age of 65... [Y]ou're more likely to be able to get to imaging, and therefore you're more likely to be able to diagnose your bleed, than in someone who is just under that age benchmark, has exactly the same parameters” Interviewee AT02 – Emergency Medicine registrar, Site 02.</w:t>
      </w:r>
    </w:p>
    <w:p w14:paraId="53850AB8" w14:textId="77777777" w:rsidR="00CA0EF0" w:rsidRPr="00361E30" w:rsidRDefault="00CA0EF0" w:rsidP="003C13F4">
      <w:pPr>
        <w:ind w:left="1440"/>
      </w:pPr>
      <w:r w:rsidRPr="00361E30">
        <w:t>“I’d love to think it would be more streamlined,… pie in the sky…. [S]o you know it would be much more… what’s the word I’m looking for?… it’s almost a complete care, a consistent approach,” Interviewee DR01 – Trauma Coordinator, Site 01.</w:t>
      </w:r>
    </w:p>
    <w:p w14:paraId="31F90C49" w14:textId="77777777" w:rsidR="00CA0EF0" w:rsidRPr="00361E30" w:rsidRDefault="00CA0EF0" w:rsidP="003C13F4">
      <w:r w:rsidRPr="00361E30">
        <w:t>Conversely, a few interviewees from Site 01 did not see the benefit of separate protocols for older trauma patients, and in fact viewed the fact that the protocols were not ‘age specific’ as something positive as it ensured that all age groups got the same level of care when they presented with major trauma.</w:t>
      </w:r>
    </w:p>
    <w:p w14:paraId="3A592563" w14:textId="77777777" w:rsidR="00CA0EF0" w:rsidRPr="00361E30" w:rsidRDefault="00CA0EF0" w:rsidP="003C13F4">
      <w:pPr>
        <w:ind w:left="1440"/>
      </w:pPr>
      <w:r w:rsidRPr="00361E30">
        <w:t>“I think we've been very careful to not have [different protocols for older trauma patients]. So I think part of our strength is that we don't have a separate set of standards [for older trauma patients].” Interviewee DR 10 – Emergency Medicine Consultant, Site 01.</w:t>
      </w:r>
    </w:p>
    <w:p w14:paraId="08FC0AC7" w14:textId="77777777" w:rsidR="00CA0EF0" w:rsidRPr="00361E30" w:rsidRDefault="00CA0EF0" w:rsidP="003C13F4">
      <w:pPr>
        <w:pStyle w:val="Heading3"/>
      </w:pPr>
      <w:r w:rsidRPr="00361E30">
        <w:t xml:space="preserve">7.4.5.3 </w:t>
      </w:r>
      <w:r w:rsidRPr="00361E30">
        <w:tab/>
        <w:t>Comparing Major Trauma and Hip Fractures in Older People</w:t>
      </w:r>
    </w:p>
    <w:p w14:paraId="48363688" w14:textId="77777777" w:rsidR="00CA0EF0" w:rsidRPr="00361E30" w:rsidRDefault="00CA0EF0" w:rsidP="003C13F4">
      <w:r w:rsidRPr="00361E30">
        <w:t xml:space="preserve">Comparisons were made between the care provided for patients with hip fractures and that provided for older major trauma patients. These comments were made both as a response to direct questioning and as observations made spontaneously by some interviewees. In </w:t>
      </w:r>
      <w:r w:rsidR="00452F29" w:rsidRPr="00361E30">
        <w:t>general,</w:t>
      </w:r>
      <w:r w:rsidRPr="00361E30">
        <w:t xml:space="preserve"> it was thought that there were well developed guidelines and protocols for patients with hip fractures, but that these were less well developed for older major trauma patients.</w:t>
      </w:r>
    </w:p>
    <w:p w14:paraId="62D6C8C2" w14:textId="77777777" w:rsidR="00CA0EF0" w:rsidRPr="00361E30" w:rsidRDefault="00CA0EF0" w:rsidP="003C13F4">
      <w:pPr>
        <w:ind w:left="1440"/>
      </w:pPr>
      <w:r w:rsidRPr="00361E30">
        <w:t xml:space="preserve">“If it’s an isolated neck of femur fracture they’ll go from A&amp;E up to the hip fracture unit on orthopaedics but if it’s a poly trauma and there’s more going </w:t>
      </w:r>
      <w:r w:rsidRPr="00361E30">
        <w:lastRenderedPageBreak/>
        <w:t>on, more body systems then we will catch…we will see them on here as well. [T]he other group of patients who are the fractured neck of femur aren’t dealt with on major trauma.… But they’re under… the AQA (Advanced Quality Alliance) targets…. So… we do pride ourselves on meeting the AQA targets, the rehab prescription targets and the NICE guidelines for those groups of patients.” Interviewee AT01 – Physiotherapist, Site 02.</w:t>
      </w:r>
    </w:p>
    <w:p w14:paraId="64E0B402" w14:textId="77777777" w:rsidR="00CA0EF0" w:rsidRPr="00361E30" w:rsidRDefault="00CA0EF0" w:rsidP="003C13F4">
      <w:r w:rsidRPr="00361E30">
        <w:t>While many interviewees felt that the pathway for patients with fractured femoral necks was more streamlined compared to pathways for major trauma patients, one respondent from Site 01 suggested that patients with fractured femoral necks were prioritised less urgently than major trauma patients.</w:t>
      </w:r>
    </w:p>
    <w:p w14:paraId="1B66A265" w14:textId="77777777" w:rsidR="00CA0EF0" w:rsidRPr="00361E30" w:rsidRDefault="00CA0EF0" w:rsidP="003C13F4">
      <w:pPr>
        <w:ind w:left="1440"/>
      </w:pPr>
      <w:r w:rsidRPr="00361E30">
        <w:t>“I’m involved with the neck or femur project from the physio point of view and I know that they need to be operated on within 72 hours, I think, isn’t it?  Erm, however, we frequently miss that target, at the moment, because of our major traumas. So the open fractures and the major traumas will quite often bump the neck or femur fractures further and further down the list.” Interviewee DR08 - Physiotherapist, Site 01.</w:t>
      </w:r>
    </w:p>
    <w:p w14:paraId="4B70C539" w14:textId="77777777" w:rsidR="00CA0EF0" w:rsidRPr="00361E30" w:rsidRDefault="00CA0EF0" w:rsidP="003C13F4">
      <w:pPr>
        <w:pStyle w:val="Heading3"/>
      </w:pPr>
      <w:r w:rsidRPr="00361E30">
        <w:t xml:space="preserve">7.4.5.4 </w:t>
      </w:r>
      <w:r w:rsidRPr="00361E30">
        <w:tab/>
        <w:t>Informal Practices and Pathways</w:t>
      </w:r>
    </w:p>
    <w:p w14:paraId="404AEEF4" w14:textId="77777777" w:rsidR="00CA0EF0" w:rsidRPr="00361E30" w:rsidRDefault="00CA0EF0" w:rsidP="003C13F4">
      <w:r w:rsidRPr="00361E30">
        <w:t xml:space="preserve">Several interviewees from both sites mentioned ‘informal’ pathways and practices that were used to identify and prioritise older trauma patients. These spanned the whole patient experience, from pre-hospital care to discharge. For example, one of the paramedics from Site 01 explained how age might be </w:t>
      </w:r>
      <w:r w:rsidR="00452F29" w:rsidRPr="00361E30">
        <w:t>considered</w:t>
      </w:r>
      <w:r w:rsidRPr="00361E30">
        <w:t xml:space="preserve"> when deciding on the best destination for an older trauma patient.</w:t>
      </w:r>
    </w:p>
    <w:p w14:paraId="15BDD8EA" w14:textId="77777777" w:rsidR="00CA0EF0" w:rsidRPr="00361E30" w:rsidRDefault="00CA0EF0" w:rsidP="003C13F4">
      <w:pPr>
        <w:ind w:left="1440"/>
      </w:pPr>
      <w:r w:rsidRPr="00361E30">
        <w:t>“So we have what we call a special considerations box, um, and age features in there, so that’s not something that staff will, um…it’s, it’s not a tick box so it doesn’t say, if your patient is over seventy, do ‘a’, if they’re under seventy, do ‘b’.  What it says is that, please, you know, please give special consideration when, when trying to calculate whether or not a patient has, um, major trauma, er, for patients that are either older or younger…” Interviewee DR11 – Paramedic, Site 01.</w:t>
      </w:r>
    </w:p>
    <w:p w14:paraId="2F374D6B" w14:textId="77777777" w:rsidR="00CA0EF0" w:rsidRPr="00361E30" w:rsidRDefault="00CA0EF0" w:rsidP="003C13F4">
      <w:r w:rsidRPr="00361E30">
        <w:t>These informal practices extended to hospital admission and identification of major trauma patients, both in the ED and on the wards. One of the trauma coordinators from Site 01 explained how ward staff were more aware of the trauma coordinators and more inclined to identify older patients with even minor injuries to bring to their attention.</w:t>
      </w:r>
    </w:p>
    <w:p w14:paraId="77A1D57D" w14:textId="77777777" w:rsidR="00CA0EF0" w:rsidRPr="00361E30" w:rsidRDefault="00CA0EF0" w:rsidP="003C13F4">
      <w:pPr>
        <w:ind w:left="1440"/>
      </w:pPr>
      <w:r w:rsidRPr="00361E30">
        <w:lastRenderedPageBreak/>
        <w:t>“So actually if we’ve not identified somebody or they are concerned, they will raise that to us, say, I have this patient who’s just come in, will you come and look, so that’s…it’s very ad-hoc and it’s not written down so it’s not a, it’s not a, an official process but is one that very much happens…” Interviewee DR07 – Trauma Coordinator, Site 01.</w:t>
      </w:r>
    </w:p>
    <w:p w14:paraId="16881187" w14:textId="77777777" w:rsidR="00CA0EF0" w:rsidRPr="00361E30" w:rsidRDefault="00CA0EF0" w:rsidP="003C13F4">
      <w:r w:rsidRPr="00361E30">
        <w:t xml:space="preserve">These informal practices also extended to end of life decision making and decisions regarding older patients with life-limiting injuries, as demonstrated in the quote below from one of the physiotherapists from Site 02. </w:t>
      </w:r>
    </w:p>
    <w:p w14:paraId="7D1517EB" w14:textId="77777777" w:rsidR="00CA0EF0" w:rsidRPr="00361E30" w:rsidRDefault="00CA0EF0" w:rsidP="003C13F4">
      <w:pPr>
        <w:ind w:left="1440"/>
      </w:pPr>
      <w:r w:rsidRPr="00361E30">
        <w:t>“[W]e do have our own ward protocols so if we have an elderly patient who has been deemed, erm, you know, [an] unsurvivable head injury, as a Trust here at (name of hospital) what we’ve decided is that even if it’s unsurvivable we will still provide forty-eight hours of best care to the patient where they will have active therapy, occupational therapy, physio, nutrition…” Interviewee AT01 – Physiotherapist, Site 02.</w:t>
      </w:r>
    </w:p>
    <w:p w14:paraId="2D439533" w14:textId="77777777" w:rsidR="00CA0EF0" w:rsidRPr="00361E30" w:rsidRDefault="00CA0EF0" w:rsidP="003C13F4">
      <w:pPr>
        <w:pStyle w:val="Heading1"/>
      </w:pPr>
      <w:bookmarkStart w:id="192" w:name="_Toc1902341"/>
      <w:r w:rsidRPr="00361E30">
        <w:t>7.5</w:t>
      </w:r>
      <w:r w:rsidRPr="00361E30">
        <w:tab/>
        <w:t>Breaking the Code – Which Hospital was Which?</w:t>
      </w:r>
      <w:bookmarkEnd w:id="192"/>
    </w:p>
    <w:p w14:paraId="14BF7EB3" w14:textId="77777777" w:rsidR="00CA0EF0" w:rsidRPr="00361E30" w:rsidRDefault="00CA0EF0" w:rsidP="003C13F4">
      <w:r w:rsidRPr="00361E30">
        <w:tab/>
        <w:t>At the completion of the interviews and analysis, the code was broken to reveal which of the hospitals had actual survival rates for older trauma patients that were less than predicted (the ‘low performing’ hospital) and had actual survival rates higher than predicted (the ‘high performing’ hospital.</w:t>
      </w:r>
    </w:p>
    <w:p w14:paraId="116C6336" w14:textId="77777777" w:rsidR="00CA0EF0" w:rsidRPr="00361E30" w:rsidRDefault="00CA0EF0" w:rsidP="003C13F4">
      <w:r w:rsidRPr="00361E30">
        <w:tab/>
        <w:t>Surprisingly, Site 01, in which there was no trauma ward, and apparently less coordination between resuscitation and rehabilitation, was the ‘high performing’ hospital, while Site 02, with a trauma ward and what was described by interviewees as a well-coordinated system integrating resuscitation and rehabilitation, was the ‘low preforming’ hospital.</w:t>
      </w:r>
    </w:p>
    <w:p w14:paraId="0626BB5A" w14:textId="77777777" w:rsidR="00CA0EF0" w:rsidRPr="00361E30" w:rsidRDefault="00CA0EF0" w:rsidP="003C13F4">
      <w:r w:rsidRPr="00361E30">
        <w:tab/>
        <w:t xml:space="preserve">There are </w:t>
      </w:r>
      <w:r w:rsidR="00452F29" w:rsidRPr="00361E30">
        <w:t>a few</w:t>
      </w:r>
      <w:r w:rsidRPr="00361E30">
        <w:t xml:space="preserve"> potential explanations for this. First, there was a gap of two years between the period of quantitative data collection (which covered the period form 1</w:t>
      </w:r>
      <w:r w:rsidRPr="00361E30">
        <w:rPr>
          <w:vertAlign w:val="superscript"/>
        </w:rPr>
        <w:t>st</w:t>
      </w:r>
      <w:r w:rsidRPr="00361E30">
        <w:t xml:space="preserve"> June 2013 to 31</w:t>
      </w:r>
      <w:r w:rsidRPr="00361E30">
        <w:rPr>
          <w:vertAlign w:val="superscript"/>
        </w:rPr>
        <w:t>st</w:t>
      </w:r>
      <w:r w:rsidRPr="00361E30">
        <w:t xml:space="preserve"> May 2015) and the interviews (which occurred from May to August 2017). It is possible that during this time each hospital’s performance may have changed considerably. Second, there were several important factors, such as frailty, motivation, family support and community services that may have predicted hospital performance but were not included in the quantitative analysis. It is possible that these factors may have impacted on outcomes and performance in each </w:t>
      </w:r>
      <w:r w:rsidR="00452F29" w:rsidRPr="00361E30">
        <w:t>hospital but</w:t>
      </w:r>
      <w:r w:rsidRPr="00361E30">
        <w:t xml:space="preserve"> were not accounted for in the predictive model. The issues </w:t>
      </w:r>
      <w:r w:rsidRPr="00361E30">
        <w:lastRenderedPageBreak/>
        <w:t>around hospital performance and in particular the reasons why these hospitals performed the way they did will be discussed further in Chapter 9 (Discussion).</w:t>
      </w:r>
    </w:p>
    <w:p w14:paraId="16EE3008" w14:textId="77777777" w:rsidR="00CA0EF0" w:rsidRPr="00361E30" w:rsidRDefault="00CA0EF0" w:rsidP="003C13F4">
      <w:pPr>
        <w:pStyle w:val="Heading1"/>
      </w:pPr>
      <w:bookmarkStart w:id="193" w:name="_Toc1902342"/>
      <w:r w:rsidRPr="00361E30">
        <w:t>7.6</w:t>
      </w:r>
      <w:r w:rsidRPr="00361E30">
        <w:tab/>
        <w:t>Conclusion</w:t>
      </w:r>
      <w:bookmarkEnd w:id="193"/>
    </w:p>
    <w:p w14:paraId="4AB56F8F" w14:textId="77777777" w:rsidR="00CA0EF0" w:rsidRPr="00361E30" w:rsidRDefault="00CA0EF0" w:rsidP="003C13F4">
      <w:r w:rsidRPr="00361E30">
        <w:t>Analysis of the interviews conducted at the two selected hospitals revealed a wide range of factors perceived to influence outcomes in older trauma patients. These included patients’ characteristics, attitudes towards ageing, and management of patients within the hospitals. Interviewees identified frailty as a major factor influencing outcome in older people. Many interviewees recogni</w:t>
      </w:r>
      <w:r w:rsidR="0020173C">
        <w:t>s</w:t>
      </w:r>
      <w:r w:rsidRPr="00361E30">
        <w:t xml:space="preserve">ed that older trauma patients were a heterogeneous group with wide variations in health status and functionality. In addition, patients’ and relatives’ attitudes varied between individual patients. Attitudes of healthcare professionals towards ageing were also seen as critical to patient outcomes. </w:t>
      </w:r>
    </w:p>
    <w:p w14:paraId="2D8593D2" w14:textId="77777777" w:rsidR="00CA0EF0" w:rsidRPr="00361E30" w:rsidRDefault="00CA0EF0" w:rsidP="003C13F4">
      <w:pPr>
        <w:ind w:firstLine="720"/>
      </w:pPr>
      <w:r w:rsidRPr="00361E30">
        <w:t>Several care process factors were seen to be important in the outcome of older trauma patients. One specific aspect of the organisation of care that appeared critical to good care for older people was the presence of a trauma ward in the hospital. In addition, the balance between resuscitation and rehabilitation, and the continuity between these phases of care, was also highlighted as an important factor influencing outcome in older trauma patients.</w:t>
      </w:r>
    </w:p>
    <w:p w14:paraId="7884B514" w14:textId="77777777" w:rsidR="00CA0EF0" w:rsidRPr="00361E30" w:rsidRDefault="00CA0EF0" w:rsidP="003C13F4">
      <w:pPr>
        <w:ind w:firstLine="720"/>
      </w:pPr>
      <w:r w:rsidRPr="00361E30">
        <w:t>In the following chapter, some of the factors explored in these interviews were incorporated into the predictive model to determine whether they had any impact on the predictive accuracy of the model.</w:t>
      </w:r>
    </w:p>
    <w:p w14:paraId="1623BFA6" w14:textId="77777777" w:rsidR="00CA0EF0" w:rsidRPr="00361E30" w:rsidRDefault="00CA0EF0" w:rsidP="003C13F4">
      <w:pPr>
        <w:pStyle w:val="ChapterHeading"/>
      </w:pPr>
      <w:r w:rsidRPr="00361E30">
        <w:br w:type="page"/>
      </w:r>
      <w:bookmarkStart w:id="194" w:name="_Toc1902343"/>
      <w:r w:rsidRPr="00361E30">
        <w:lastRenderedPageBreak/>
        <w:t>Chapter 8: Refining the Predictive Model, Using Factors from Phase 2</w:t>
      </w:r>
      <w:bookmarkEnd w:id="194"/>
    </w:p>
    <w:p w14:paraId="747BEEAF" w14:textId="77777777" w:rsidR="00CA0EF0" w:rsidRPr="00361E30" w:rsidRDefault="00CA0EF0" w:rsidP="003C13F4">
      <w:pPr>
        <w:pStyle w:val="Heading1"/>
      </w:pPr>
      <w:bookmarkStart w:id="195" w:name="_Toc1902344"/>
      <w:r w:rsidRPr="00361E30">
        <w:t>8.1</w:t>
      </w:r>
      <w:r w:rsidRPr="00361E30">
        <w:tab/>
        <w:t>Introduction</w:t>
      </w:r>
      <w:bookmarkEnd w:id="195"/>
    </w:p>
    <w:p w14:paraId="5180B64B" w14:textId="77777777" w:rsidR="00CA0EF0" w:rsidRPr="00361E30" w:rsidRDefault="00CA0EF0" w:rsidP="003C13F4">
      <w:r w:rsidRPr="00361E30">
        <w:t xml:space="preserve">The final phase of qualitative residual analysis was to revisit the regression and test additional factors identified from the qualitative analysis </w:t>
      </w:r>
      <w:r w:rsidRPr="00361E30">
        <w:rPr>
          <w:noProof/>
        </w:rPr>
        <w:t>(Fry et al. 1981)</w:t>
      </w:r>
      <w:r w:rsidRPr="00361E30">
        <w:t xml:space="preserve">.  In this study, this involved the addition to the predictive model of factors identified during the semi-structured interviews as potentially significant to outcome in older trauma patient. </w:t>
      </w:r>
    </w:p>
    <w:p w14:paraId="51DE4BDD" w14:textId="77777777" w:rsidR="00CA0EF0" w:rsidRPr="00361E30" w:rsidRDefault="00CA0EF0" w:rsidP="003C13F4">
      <w:pPr>
        <w:pStyle w:val="Heading1"/>
      </w:pPr>
      <w:bookmarkStart w:id="196" w:name="_Toc1902345"/>
      <w:r w:rsidRPr="00361E30">
        <w:t>8.2</w:t>
      </w:r>
      <w:r w:rsidRPr="00361E30">
        <w:tab/>
        <w:t>Methods</w:t>
      </w:r>
      <w:bookmarkEnd w:id="196"/>
    </w:p>
    <w:p w14:paraId="58113759" w14:textId="77777777" w:rsidR="00CA0EF0" w:rsidRPr="00361E30" w:rsidRDefault="00CA0EF0" w:rsidP="003C13F4">
      <w:r w:rsidRPr="00361E30">
        <w:t>Table 8.1 summarises the factors identified by interviewees as important to the outcomes of older trauma patients. These have been categorised along the lines of the main themes identified, with further assessment as to whether these factors were likely to explain the differences between the two sites. In addition, the table provides suggestions of data already collected by TARN or other databases that could be used as proxies for some of the factors mentioned.</w:t>
      </w:r>
    </w:p>
    <w:p w14:paraId="278537E9" w14:textId="77777777" w:rsidR="00CA0EF0" w:rsidRPr="00361E30" w:rsidRDefault="00CA0EF0" w:rsidP="003C13F4">
      <w:pPr>
        <w:ind w:firstLine="720"/>
      </w:pPr>
      <w:r w:rsidRPr="00361E30">
        <w:t xml:space="preserve">There were four patient level variables, including frailty, motivation, family dynamics and early rehabilitation. One organisational level variable was identified in the interviews: differences in approach of different specialists. In addition, there were two variables that could potentially be included in the model at either the patient of organisational levels. Socio-economic status could be included for each patient, or as an organisation level variable as a measure of the socio-economic status of the catchment area for that hospital. Trauma wards could be included at the patient level as ‘admission to a trauma ward’, or at the organizational level as ‘presence of a trauma ward in the hospital’. </w:t>
      </w:r>
    </w:p>
    <w:p w14:paraId="3CBEB2AC" w14:textId="77777777" w:rsidR="00CA0EF0" w:rsidRPr="00361E30" w:rsidRDefault="00CA0EF0" w:rsidP="003C13F4">
      <w:pPr>
        <w:ind w:firstLine="720"/>
      </w:pPr>
      <w:r w:rsidRPr="00361E30">
        <w:t xml:space="preserve">The variables identified in the table included those where variation was seen in qualitative analysis between sites, as well as variables mentioned by both sites as </w:t>
      </w:r>
      <w:r w:rsidR="00452F29" w:rsidRPr="00361E30">
        <w:t>important,</w:t>
      </w:r>
      <w:r w:rsidRPr="00361E30">
        <w:t xml:space="preserve"> but which are not currently used in the predictive model and could reasonable account for the differences seen between the sites.  For the variables described, none were available on the TARN database, so proxy measures were considered, and are listed in Table 8.1.  </w:t>
      </w:r>
    </w:p>
    <w:p w14:paraId="7AD93FD5" w14:textId="77777777" w:rsidR="00CA0EF0" w:rsidRPr="00361E30" w:rsidRDefault="00CA0EF0" w:rsidP="003C13F4">
      <w:pPr>
        <w:pStyle w:val="Heading2"/>
      </w:pPr>
      <w:bookmarkStart w:id="197" w:name="_Toc1902346"/>
      <w:r w:rsidRPr="00361E30">
        <w:t>8.2.1</w:t>
      </w:r>
      <w:r w:rsidRPr="00361E30">
        <w:tab/>
        <w:t>Proxy measures used to further develop the predictive model</w:t>
      </w:r>
      <w:bookmarkEnd w:id="197"/>
    </w:p>
    <w:p w14:paraId="7B72B5ED" w14:textId="77777777" w:rsidR="00CA0EF0" w:rsidRPr="00361E30" w:rsidRDefault="00CA0EF0" w:rsidP="003C13F4">
      <w:r w:rsidRPr="00361E30">
        <w:t xml:space="preserve">The following factors discussed in the interviews were identified as having proxy measures in the TARN database that could be added to the predictive model: differences in approach of specialists; presence of a trauma ward; admission to a trauma ward and early rehabilitation/holistic care. </w:t>
      </w:r>
    </w:p>
    <w:p w14:paraId="7ABA467F" w14:textId="77777777" w:rsidR="00CA0EF0" w:rsidRPr="00361E30" w:rsidRDefault="00CA0EF0" w:rsidP="003C13F4">
      <w:pPr>
        <w:ind w:firstLine="720"/>
      </w:pPr>
      <w:r w:rsidRPr="00361E30">
        <w:lastRenderedPageBreak/>
        <w:t>The presence of neurosurgery on site was taken as a proxy for ‘differences in approach of specialists’, as both sites mentioned the potential difficulty of engaging neurosurgical colleagues in the management of older trauma patients, and in particular Site 02 (at which neurosurgery was managed at a different hospital site) mentioned that the involvement of neurosurgery was particularly difficult. The impact of having neurosurgery on site had already been tested in the model during Phase 1 of the study, as this had been identified as a possible care process factor in the systematic literature review (Chapter 2, Section 2.4.4.3 and Chapter 6, Sections 6.3.1.2 and 6.3.2.2).</w:t>
      </w:r>
    </w:p>
    <w:p w14:paraId="572F6AA6" w14:textId="77777777" w:rsidR="00CA0EF0" w:rsidRPr="00361E30" w:rsidRDefault="00CA0EF0" w:rsidP="003C13F4">
      <w:pPr>
        <w:ind w:firstLine="720"/>
      </w:pPr>
      <w:r w:rsidRPr="00361E30">
        <w:t>The impact of a trauma ward was investigated at two different levels: first, the impact of admission to a trauma ward on individual patients’ outcomes was explored. Secondly the impact on patient outcome of having a trauma ward on site was investigated, whether individual patients at that hospital were admitted to such a ward</w:t>
      </w:r>
      <w:r w:rsidR="00452F29">
        <w:t xml:space="preserve"> or not</w:t>
      </w:r>
      <w:r w:rsidRPr="00361E30">
        <w:t>.</w:t>
      </w:r>
    </w:p>
    <w:p w14:paraId="511B4D87" w14:textId="77777777" w:rsidR="00CA0EF0" w:rsidRPr="00361E30" w:rsidRDefault="00CA0EF0" w:rsidP="003C13F4">
      <w:pPr>
        <w:ind w:firstLine="720"/>
      </w:pPr>
      <w:r w:rsidRPr="00361E30">
        <w:t>Finally, early rehabilitation and holistic care were measured by investigating the impact of a rehabilitation prescription on outcome in older trauma patients. The British Society of Rehabilitation Medicine describes the rehabilitation prescription as:</w:t>
      </w:r>
    </w:p>
    <w:p w14:paraId="1F7A0B1D" w14:textId="77777777" w:rsidR="00CA0EF0" w:rsidRPr="00361E30" w:rsidRDefault="00CA0EF0" w:rsidP="003C13F4">
      <w:pPr>
        <w:ind w:left="1440"/>
      </w:pPr>
      <w:r w:rsidRPr="00361E30">
        <w:t>“…a rehabilitation (disability-focused) clinical record, to run in parallel with or be intertwined with the more traditional medical (disease-focused) clinical record.” (Implementing the Rehabilitation Prescription. British Society of Rehabilitation Medicine, 2013)</w:t>
      </w:r>
    </w:p>
    <w:p w14:paraId="28090D8F" w14:textId="77777777" w:rsidR="00CA0EF0" w:rsidRPr="00361E30" w:rsidRDefault="00CA0EF0" w:rsidP="003C13F4">
      <w:r w:rsidRPr="00361E30">
        <w:t xml:space="preserve">The rehabilitation prescription was thus thought to be a reasonable proxy measure of early rehabilitation and holistic care for older trauma patients. </w:t>
      </w:r>
    </w:p>
    <w:p w14:paraId="7E59FF5C" w14:textId="77777777" w:rsidR="00CA0EF0" w:rsidRPr="00361E30" w:rsidRDefault="00CA0EF0" w:rsidP="003C13F4"/>
    <w:p w14:paraId="5DA67983" w14:textId="77777777" w:rsidR="00CA0EF0" w:rsidRPr="00361E30" w:rsidRDefault="00CA0EF0" w:rsidP="003C13F4"/>
    <w:p w14:paraId="569071A0" w14:textId="77777777" w:rsidR="00CA0EF0" w:rsidRPr="00361E30" w:rsidRDefault="00CA0EF0" w:rsidP="003C13F4"/>
    <w:p w14:paraId="7E63FB8F" w14:textId="77777777" w:rsidR="00CA0EF0" w:rsidRPr="00361E30" w:rsidRDefault="00CA0EF0" w:rsidP="003C13F4"/>
    <w:p w14:paraId="5CB6A77D" w14:textId="77777777" w:rsidR="00CA0EF0" w:rsidRPr="00361E30" w:rsidRDefault="00CA0EF0" w:rsidP="003C13F4"/>
    <w:p w14:paraId="66446111" w14:textId="77777777" w:rsidR="00CA0EF0" w:rsidRPr="00361E30" w:rsidRDefault="00CA0EF0" w:rsidP="003C13F4"/>
    <w:p w14:paraId="684CB046" w14:textId="77777777" w:rsidR="00CA0EF0" w:rsidRPr="00361E30" w:rsidRDefault="00CA0EF0" w:rsidP="003C13F4"/>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2113"/>
        <w:gridCol w:w="2149"/>
        <w:gridCol w:w="2122"/>
      </w:tblGrid>
      <w:tr w:rsidR="00CA0EF0" w:rsidRPr="00361E30" w14:paraId="13721227" w14:textId="77777777" w:rsidTr="003C13F4">
        <w:trPr>
          <w:cantSplit/>
          <w:trHeight w:val="1061"/>
        </w:trPr>
        <w:tc>
          <w:tcPr>
            <w:tcW w:w="2310" w:type="dxa"/>
            <w:tcBorders>
              <w:top w:val="single" w:sz="4" w:space="0" w:color="auto"/>
              <w:bottom w:val="single" w:sz="4" w:space="0" w:color="auto"/>
            </w:tcBorders>
            <w:hideMark/>
          </w:tcPr>
          <w:p w14:paraId="61136B3C" w14:textId="77777777" w:rsidR="00CA0EF0" w:rsidRPr="00361E30" w:rsidRDefault="00CA0EF0" w:rsidP="003C13F4">
            <w:pPr>
              <w:spacing w:line="240" w:lineRule="auto"/>
              <w:rPr>
                <w:b/>
                <w:lang w:val="en-GB"/>
              </w:rPr>
            </w:pPr>
            <w:r w:rsidRPr="00361E30">
              <w:rPr>
                <w:b/>
                <w:lang w:val="en-GB"/>
              </w:rPr>
              <w:lastRenderedPageBreak/>
              <w:t>Factor</w:t>
            </w:r>
          </w:p>
        </w:tc>
        <w:tc>
          <w:tcPr>
            <w:tcW w:w="2310" w:type="dxa"/>
            <w:tcBorders>
              <w:top w:val="single" w:sz="4" w:space="0" w:color="auto"/>
              <w:bottom w:val="single" w:sz="4" w:space="0" w:color="auto"/>
            </w:tcBorders>
            <w:hideMark/>
          </w:tcPr>
          <w:p w14:paraId="4105B5A9" w14:textId="77777777" w:rsidR="00CA0EF0" w:rsidRPr="00361E30" w:rsidRDefault="00CA0EF0" w:rsidP="003C13F4">
            <w:pPr>
              <w:spacing w:line="240" w:lineRule="auto"/>
              <w:rPr>
                <w:b/>
                <w:lang w:val="en-GB"/>
              </w:rPr>
            </w:pPr>
            <w:r w:rsidRPr="00361E30">
              <w:rPr>
                <w:b/>
                <w:lang w:val="en-GB"/>
              </w:rPr>
              <w:t>Were there indications of differences between Sites 01 and 02?</w:t>
            </w:r>
          </w:p>
        </w:tc>
        <w:tc>
          <w:tcPr>
            <w:tcW w:w="2311" w:type="dxa"/>
            <w:tcBorders>
              <w:top w:val="single" w:sz="4" w:space="0" w:color="auto"/>
              <w:bottom w:val="single" w:sz="4" w:space="0" w:color="auto"/>
            </w:tcBorders>
            <w:hideMark/>
          </w:tcPr>
          <w:p w14:paraId="1316FE92" w14:textId="77777777" w:rsidR="00CA0EF0" w:rsidRPr="00361E30" w:rsidRDefault="00CA0EF0" w:rsidP="003C13F4">
            <w:pPr>
              <w:spacing w:line="240" w:lineRule="auto"/>
              <w:rPr>
                <w:b/>
                <w:lang w:val="en-GB"/>
              </w:rPr>
            </w:pPr>
            <w:r w:rsidRPr="00361E30">
              <w:rPr>
                <w:b/>
                <w:lang w:val="en-GB"/>
              </w:rPr>
              <w:t>Proxy measures recorded by TARN that may be used in the predictive model</w:t>
            </w:r>
          </w:p>
        </w:tc>
        <w:tc>
          <w:tcPr>
            <w:tcW w:w="2311" w:type="dxa"/>
            <w:tcBorders>
              <w:top w:val="single" w:sz="4" w:space="0" w:color="auto"/>
              <w:bottom w:val="single" w:sz="4" w:space="0" w:color="auto"/>
            </w:tcBorders>
            <w:hideMark/>
          </w:tcPr>
          <w:p w14:paraId="7430E946" w14:textId="77777777" w:rsidR="00CA0EF0" w:rsidRPr="00361E30" w:rsidRDefault="00CA0EF0" w:rsidP="003C13F4">
            <w:pPr>
              <w:spacing w:line="240" w:lineRule="auto"/>
              <w:rPr>
                <w:b/>
                <w:lang w:val="en-GB"/>
              </w:rPr>
            </w:pPr>
            <w:r w:rsidRPr="00361E30">
              <w:rPr>
                <w:b/>
                <w:lang w:val="en-GB"/>
              </w:rPr>
              <w:t>Comments</w:t>
            </w:r>
          </w:p>
        </w:tc>
      </w:tr>
      <w:tr w:rsidR="00CA0EF0" w:rsidRPr="00361E30" w14:paraId="1A6137FF" w14:textId="77777777" w:rsidTr="003C13F4">
        <w:trPr>
          <w:cantSplit/>
        </w:trPr>
        <w:tc>
          <w:tcPr>
            <w:tcW w:w="9242" w:type="dxa"/>
            <w:gridSpan w:val="4"/>
            <w:tcBorders>
              <w:top w:val="single" w:sz="4" w:space="0" w:color="auto"/>
              <w:bottom w:val="single" w:sz="4" w:space="0" w:color="auto"/>
            </w:tcBorders>
            <w:shd w:val="clear" w:color="auto" w:fill="D9D9D9" w:themeFill="background1" w:themeFillShade="D9"/>
            <w:hideMark/>
          </w:tcPr>
          <w:p w14:paraId="1A2F0F0D" w14:textId="77777777" w:rsidR="00CA0EF0" w:rsidRPr="00361E30" w:rsidRDefault="00CA0EF0" w:rsidP="003C13F4">
            <w:pPr>
              <w:spacing w:line="240" w:lineRule="auto"/>
              <w:rPr>
                <w:lang w:val="en-GB"/>
              </w:rPr>
            </w:pPr>
            <w:r w:rsidRPr="00361E30">
              <w:rPr>
                <w:lang w:val="en-GB"/>
              </w:rPr>
              <w:t>Characteristics of Older Trauma Patients</w:t>
            </w:r>
          </w:p>
        </w:tc>
      </w:tr>
      <w:tr w:rsidR="00CA0EF0" w:rsidRPr="00361E30" w14:paraId="679927C4" w14:textId="77777777" w:rsidTr="003C13F4">
        <w:trPr>
          <w:cantSplit/>
        </w:trPr>
        <w:tc>
          <w:tcPr>
            <w:tcW w:w="2310" w:type="dxa"/>
            <w:tcBorders>
              <w:top w:val="single" w:sz="4" w:space="0" w:color="auto"/>
            </w:tcBorders>
            <w:hideMark/>
          </w:tcPr>
          <w:p w14:paraId="1EADF60C" w14:textId="77777777" w:rsidR="00CA0EF0" w:rsidRPr="00361E30" w:rsidRDefault="00CA0EF0" w:rsidP="003C13F4">
            <w:pPr>
              <w:spacing w:line="240" w:lineRule="auto"/>
              <w:rPr>
                <w:lang w:val="en-GB"/>
              </w:rPr>
            </w:pPr>
            <w:r w:rsidRPr="00361E30">
              <w:rPr>
                <w:lang w:val="en-GB"/>
              </w:rPr>
              <w:t>Frailty</w:t>
            </w:r>
          </w:p>
        </w:tc>
        <w:tc>
          <w:tcPr>
            <w:tcW w:w="2310" w:type="dxa"/>
            <w:tcBorders>
              <w:top w:val="single" w:sz="4" w:space="0" w:color="auto"/>
            </w:tcBorders>
            <w:hideMark/>
          </w:tcPr>
          <w:p w14:paraId="12C4FDFC" w14:textId="77777777" w:rsidR="00CA0EF0" w:rsidRPr="00361E30" w:rsidRDefault="00CA0EF0" w:rsidP="003C13F4">
            <w:pPr>
              <w:spacing w:line="240" w:lineRule="auto"/>
              <w:rPr>
                <w:lang w:val="en-GB"/>
              </w:rPr>
            </w:pPr>
            <w:r w:rsidRPr="00361E30">
              <w:rPr>
                <w:lang w:val="en-GB"/>
              </w:rPr>
              <w:t>No. Interviewees at both sites commented on frailty as a factor potentially impacting on outcome. There was no suggestion that the level of frailty was different between the sites.</w:t>
            </w:r>
          </w:p>
        </w:tc>
        <w:tc>
          <w:tcPr>
            <w:tcW w:w="2311" w:type="dxa"/>
            <w:tcBorders>
              <w:top w:val="single" w:sz="4" w:space="0" w:color="auto"/>
            </w:tcBorders>
            <w:hideMark/>
          </w:tcPr>
          <w:p w14:paraId="2A5054EF" w14:textId="77777777" w:rsidR="00CA0EF0" w:rsidRPr="00361E30" w:rsidRDefault="00CA0EF0" w:rsidP="003C13F4">
            <w:pPr>
              <w:spacing w:line="240" w:lineRule="auto"/>
              <w:rPr>
                <w:lang w:val="en-GB"/>
              </w:rPr>
            </w:pPr>
            <w:r w:rsidRPr="00361E30">
              <w:rPr>
                <w:lang w:val="en-GB"/>
              </w:rPr>
              <w:t xml:space="preserve">At present there is no proxy measure on the TARN database which adequately reflects frailty. The Charlson comorbidity score (already used in the TARN model) measures one aspect of </w:t>
            </w:r>
            <w:r w:rsidR="00452F29" w:rsidRPr="00361E30">
              <w:rPr>
                <w:lang w:val="en-GB"/>
              </w:rPr>
              <w:t>frailty but</w:t>
            </w:r>
            <w:r w:rsidRPr="00361E30">
              <w:rPr>
                <w:lang w:val="en-GB"/>
              </w:rPr>
              <w:t xml:space="preserve"> does not provide a more comprehensive assessment of the phenomenon.</w:t>
            </w:r>
          </w:p>
        </w:tc>
        <w:tc>
          <w:tcPr>
            <w:tcW w:w="2311" w:type="dxa"/>
            <w:tcBorders>
              <w:top w:val="single" w:sz="4" w:space="0" w:color="auto"/>
            </w:tcBorders>
            <w:hideMark/>
          </w:tcPr>
          <w:p w14:paraId="66D72AFD" w14:textId="77777777" w:rsidR="00CA0EF0" w:rsidRPr="00361E30" w:rsidRDefault="00CA0EF0" w:rsidP="003C13F4">
            <w:pPr>
              <w:spacing w:line="240" w:lineRule="auto"/>
              <w:rPr>
                <w:lang w:val="en-GB"/>
              </w:rPr>
            </w:pPr>
            <w:r w:rsidRPr="00361E30">
              <w:rPr>
                <w:lang w:val="en-GB"/>
              </w:rPr>
              <w:t>Frailty is emerging as an important marker of outcome in older people with serious illness and injury, and it would be useful to incorporate a measure of frailty in the TARN database.</w:t>
            </w:r>
          </w:p>
        </w:tc>
      </w:tr>
      <w:tr w:rsidR="00CA0EF0" w:rsidRPr="00361E30" w14:paraId="22605952" w14:textId="77777777" w:rsidTr="003C13F4">
        <w:trPr>
          <w:cantSplit/>
        </w:trPr>
        <w:tc>
          <w:tcPr>
            <w:tcW w:w="2310" w:type="dxa"/>
            <w:tcBorders>
              <w:bottom w:val="single" w:sz="4" w:space="0" w:color="auto"/>
            </w:tcBorders>
            <w:hideMark/>
          </w:tcPr>
          <w:p w14:paraId="79976DB4" w14:textId="77777777" w:rsidR="00CA0EF0" w:rsidRPr="00361E30" w:rsidRDefault="00CA0EF0" w:rsidP="003C13F4">
            <w:pPr>
              <w:spacing w:line="240" w:lineRule="auto"/>
              <w:rPr>
                <w:lang w:val="en-GB"/>
              </w:rPr>
            </w:pPr>
            <w:r w:rsidRPr="00361E30">
              <w:rPr>
                <w:lang w:val="en-GB"/>
              </w:rPr>
              <w:t>Socio-economic status</w:t>
            </w:r>
          </w:p>
        </w:tc>
        <w:tc>
          <w:tcPr>
            <w:tcW w:w="2310" w:type="dxa"/>
            <w:tcBorders>
              <w:bottom w:val="single" w:sz="4" w:space="0" w:color="auto"/>
            </w:tcBorders>
            <w:hideMark/>
          </w:tcPr>
          <w:p w14:paraId="41589AFC" w14:textId="77777777" w:rsidR="00CA0EF0" w:rsidRPr="00361E30" w:rsidRDefault="00CA0EF0" w:rsidP="003C13F4">
            <w:pPr>
              <w:spacing w:line="240" w:lineRule="auto"/>
              <w:rPr>
                <w:lang w:val="en-GB"/>
              </w:rPr>
            </w:pPr>
            <w:r w:rsidRPr="00361E30">
              <w:rPr>
                <w:lang w:val="en-GB"/>
              </w:rPr>
              <w:t>No. Even though the interviewees at Site 01 described a clear dichotomy between ‘incomers’ and ‘natives’ there were descriptions of high levels of socio-economic deprivation at both sites.</w:t>
            </w:r>
          </w:p>
        </w:tc>
        <w:tc>
          <w:tcPr>
            <w:tcW w:w="2311" w:type="dxa"/>
            <w:tcBorders>
              <w:bottom w:val="single" w:sz="4" w:space="0" w:color="auto"/>
            </w:tcBorders>
            <w:hideMark/>
          </w:tcPr>
          <w:p w14:paraId="7F3E947A" w14:textId="77777777" w:rsidR="00CA0EF0" w:rsidRPr="00361E30" w:rsidRDefault="00CA0EF0" w:rsidP="003C13F4">
            <w:pPr>
              <w:spacing w:line="240" w:lineRule="auto"/>
              <w:rPr>
                <w:lang w:val="en-GB"/>
              </w:rPr>
            </w:pPr>
            <w:r w:rsidRPr="00361E30">
              <w:rPr>
                <w:lang w:val="en-GB"/>
              </w:rPr>
              <w:t>There is no direct measure of socio-economic status in the TARN database. However, using the patient’s postcode, it might have been possible to map this to the socio-economic status of the area from which the patient came, and use this as a proxy measure.</w:t>
            </w:r>
          </w:p>
        </w:tc>
        <w:tc>
          <w:tcPr>
            <w:tcW w:w="2311" w:type="dxa"/>
            <w:tcBorders>
              <w:bottom w:val="single" w:sz="4" w:space="0" w:color="auto"/>
            </w:tcBorders>
            <w:hideMark/>
          </w:tcPr>
          <w:p w14:paraId="1ED311D8" w14:textId="77777777" w:rsidR="00CA0EF0" w:rsidRPr="00361E30" w:rsidRDefault="00CA0EF0" w:rsidP="003C13F4">
            <w:pPr>
              <w:spacing w:line="240" w:lineRule="auto"/>
              <w:rPr>
                <w:lang w:val="en-GB"/>
              </w:rPr>
            </w:pPr>
            <w:r w:rsidRPr="00361E30">
              <w:rPr>
                <w:lang w:val="en-GB"/>
              </w:rPr>
              <w:t>There were limitations to using the socio-economic status of the area from which the patient came as a proxy for individual socio-economic status, as this ignores individual variations in this variable between patients. This variable could have been added to the model at the individual patient level, or at the institutional level if a measure of social deprivation could be estimated for the entire catchment population of each hospital included in the dataset.</w:t>
            </w:r>
          </w:p>
        </w:tc>
      </w:tr>
      <w:tr w:rsidR="00CA0EF0" w:rsidRPr="00361E30" w14:paraId="333E3C65" w14:textId="77777777" w:rsidTr="003C13F4">
        <w:trPr>
          <w:cantSplit/>
        </w:trPr>
        <w:tc>
          <w:tcPr>
            <w:tcW w:w="9242" w:type="dxa"/>
            <w:gridSpan w:val="4"/>
            <w:tcBorders>
              <w:top w:val="single" w:sz="4" w:space="0" w:color="auto"/>
              <w:bottom w:val="single" w:sz="4" w:space="0" w:color="auto"/>
            </w:tcBorders>
            <w:shd w:val="clear" w:color="auto" w:fill="D9D9D9" w:themeFill="background1" w:themeFillShade="D9"/>
            <w:hideMark/>
          </w:tcPr>
          <w:p w14:paraId="654F6E10" w14:textId="77777777" w:rsidR="00CA0EF0" w:rsidRPr="00361E30" w:rsidRDefault="00CA0EF0" w:rsidP="003C13F4">
            <w:pPr>
              <w:spacing w:line="240" w:lineRule="auto"/>
              <w:rPr>
                <w:lang w:val="en-GB"/>
              </w:rPr>
            </w:pPr>
            <w:r w:rsidRPr="00361E30">
              <w:rPr>
                <w:lang w:val="en-GB"/>
              </w:rPr>
              <w:t>Attitudes Towards Ageing</w:t>
            </w:r>
          </w:p>
        </w:tc>
      </w:tr>
      <w:tr w:rsidR="00CA0EF0" w:rsidRPr="00361E30" w14:paraId="3E163415" w14:textId="77777777" w:rsidTr="003C13F4">
        <w:trPr>
          <w:cantSplit/>
        </w:trPr>
        <w:tc>
          <w:tcPr>
            <w:tcW w:w="2310" w:type="dxa"/>
            <w:tcBorders>
              <w:top w:val="single" w:sz="4" w:space="0" w:color="auto"/>
            </w:tcBorders>
            <w:hideMark/>
          </w:tcPr>
          <w:p w14:paraId="759FCDB3" w14:textId="77777777" w:rsidR="00CA0EF0" w:rsidRPr="00361E30" w:rsidRDefault="00CA0EF0" w:rsidP="003C13F4">
            <w:pPr>
              <w:spacing w:line="240" w:lineRule="auto"/>
              <w:rPr>
                <w:lang w:val="en-GB"/>
              </w:rPr>
            </w:pPr>
            <w:r w:rsidRPr="00361E30">
              <w:rPr>
                <w:lang w:val="en-GB"/>
              </w:rPr>
              <w:t>Motivation</w:t>
            </w:r>
          </w:p>
        </w:tc>
        <w:tc>
          <w:tcPr>
            <w:tcW w:w="2310" w:type="dxa"/>
            <w:tcBorders>
              <w:top w:val="single" w:sz="4" w:space="0" w:color="auto"/>
            </w:tcBorders>
            <w:hideMark/>
          </w:tcPr>
          <w:p w14:paraId="0EA33228" w14:textId="77777777" w:rsidR="00CA0EF0" w:rsidRPr="00361E30" w:rsidRDefault="00CA0EF0" w:rsidP="003C13F4">
            <w:pPr>
              <w:spacing w:line="240" w:lineRule="auto"/>
              <w:rPr>
                <w:lang w:val="en-GB"/>
              </w:rPr>
            </w:pPr>
            <w:r w:rsidRPr="00361E30">
              <w:rPr>
                <w:lang w:val="en-GB"/>
              </w:rPr>
              <w:t>No. Both sites mentioned variations in motivation of patients as a factor affecting outcome</w:t>
            </w:r>
          </w:p>
        </w:tc>
        <w:tc>
          <w:tcPr>
            <w:tcW w:w="2311" w:type="dxa"/>
            <w:tcBorders>
              <w:top w:val="single" w:sz="4" w:space="0" w:color="auto"/>
            </w:tcBorders>
            <w:hideMark/>
          </w:tcPr>
          <w:p w14:paraId="25C7F230" w14:textId="77777777" w:rsidR="00CA0EF0" w:rsidRPr="00361E30" w:rsidRDefault="00CA0EF0" w:rsidP="003C13F4">
            <w:pPr>
              <w:spacing w:line="240" w:lineRule="auto"/>
              <w:rPr>
                <w:lang w:val="en-GB"/>
              </w:rPr>
            </w:pPr>
            <w:r w:rsidRPr="00361E30">
              <w:rPr>
                <w:lang w:val="en-GB"/>
              </w:rPr>
              <w:t>No proxy measure was identified</w:t>
            </w:r>
          </w:p>
        </w:tc>
        <w:tc>
          <w:tcPr>
            <w:tcW w:w="2311" w:type="dxa"/>
            <w:vMerge w:val="restart"/>
            <w:tcBorders>
              <w:top w:val="single" w:sz="4" w:space="0" w:color="auto"/>
            </w:tcBorders>
            <w:hideMark/>
          </w:tcPr>
          <w:p w14:paraId="02A2E41F" w14:textId="77777777" w:rsidR="00CA0EF0" w:rsidRPr="00361E30" w:rsidRDefault="00CA0EF0" w:rsidP="003C13F4">
            <w:pPr>
              <w:spacing w:line="240" w:lineRule="auto"/>
              <w:rPr>
                <w:lang w:val="en-GB"/>
              </w:rPr>
            </w:pPr>
            <w:r w:rsidRPr="00361E30">
              <w:rPr>
                <w:lang w:val="en-GB"/>
              </w:rPr>
              <w:t>There is no easy objective measure of ‘motivation</w:t>
            </w:r>
            <w:r w:rsidR="00C42581" w:rsidRPr="00361E30">
              <w:rPr>
                <w:lang w:val="en-GB"/>
              </w:rPr>
              <w:t>’ and</w:t>
            </w:r>
            <w:r w:rsidRPr="00361E30">
              <w:rPr>
                <w:lang w:val="en-GB"/>
              </w:rPr>
              <w:t xml:space="preserve"> ‘family dynamics’ that could have been </w:t>
            </w:r>
            <w:r w:rsidRPr="00361E30">
              <w:rPr>
                <w:lang w:val="en-GB"/>
              </w:rPr>
              <w:lastRenderedPageBreak/>
              <w:t>included in a dataset such as the TARN dataset</w:t>
            </w:r>
          </w:p>
        </w:tc>
      </w:tr>
      <w:tr w:rsidR="00CA0EF0" w:rsidRPr="00361E30" w14:paraId="0E6ACAD8" w14:textId="77777777" w:rsidTr="003C13F4">
        <w:trPr>
          <w:cantSplit/>
        </w:trPr>
        <w:tc>
          <w:tcPr>
            <w:tcW w:w="2310" w:type="dxa"/>
            <w:hideMark/>
          </w:tcPr>
          <w:p w14:paraId="74D8D3A8" w14:textId="77777777" w:rsidR="00CA0EF0" w:rsidRPr="00361E30" w:rsidRDefault="00CA0EF0" w:rsidP="003C13F4">
            <w:pPr>
              <w:spacing w:line="240" w:lineRule="auto"/>
              <w:rPr>
                <w:lang w:val="en-GB"/>
              </w:rPr>
            </w:pPr>
            <w:r w:rsidRPr="00361E30">
              <w:rPr>
                <w:lang w:val="en-GB"/>
              </w:rPr>
              <w:lastRenderedPageBreak/>
              <w:t>Family dynamics</w:t>
            </w:r>
          </w:p>
        </w:tc>
        <w:tc>
          <w:tcPr>
            <w:tcW w:w="2310" w:type="dxa"/>
            <w:hideMark/>
          </w:tcPr>
          <w:p w14:paraId="3D3CD68F" w14:textId="77777777" w:rsidR="00CA0EF0" w:rsidRPr="00361E30" w:rsidRDefault="00CA0EF0" w:rsidP="003C13F4">
            <w:pPr>
              <w:spacing w:line="240" w:lineRule="auto"/>
              <w:rPr>
                <w:lang w:val="en-GB"/>
              </w:rPr>
            </w:pPr>
            <w:r w:rsidRPr="00361E30">
              <w:rPr>
                <w:lang w:val="en-GB"/>
              </w:rPr>
              <w:t>No. Both sites identified family dynamics as a factor affecting recovery</w:t>
            </w:r>
          </w:p>
        </w:tc>
        <w:tc>
          <w:tcPr>
            <w:tcW w:w="2311" w:type="dxa"/>
            <w:hideMark/>
          </w:tcPr>
          <w:p w14:paraId="61FFEF9C" w14:textId="77777777" w:rsidR="00CA0EF0" w:rsidRPr="00361E30" w:rsidRDefault="00CA0EF0" w:rsidP="003C13F4">
            <w:pPr>
              <w:spacing w:line="240" w:lineRule="auto"/>
              <w:rPr>
                <w:lang w:val="en-GB"/>
              </w:rPr>
            </w:pPr>
            <w:r w:rsidRPr="00361E30">
              <w:rPr>
                <w:lang w:val="en-GB"/>
              </w:rPr>
              <w:t>No proxy measure was identified</w:t>
            </w:r>
          </w:p>
        </w:tc>
        <w:tc>
          <w:tcPr>
            <w:tcW w:w="0" w:type="auto"/>
            <w:vMerge/>
            <w:vAlign w:val="center"/>
            <w:hideMark/>
          </w:tcPr>
          <w:p w14:paraId="32980E56" w14:textId="77777777" w:rsidR="00CA0EF0" w:rsidRPr="00361E30" w:rsidRDefault="00CA0EF0" w:rsidP="003C13F4">
            <w:pPr>
              <w:spacing w:line="240" w:lineRule="auto"/>
              <w:jc w:val="left"/>
              <w:rPr>
                <w:lang w:val="en-GB"/>
              </w:rPr>
            </w:pPr>
          </w:p>
        </w:tc>
      </w:tr>
      <w:tr w:rsidR="00CA0EF0" w:rsidRPr="00361E30" w14:paraId="5A9A0BBC" w14:textId="77777777" w:rsidTr="003C13F4">
        <w:trPr>
          <w:cantSplit/>
        </w:trPr>
        <w:tc>
          <w:tcPr>
            <w:tcW w:w="2310" w:type="dxa"/>
            <w:tcBorders>
              <w:bottom w:val="single" w:sz="4" w:space="0" w:color="auto"/>
            </w:tcBorders>
            <w:hideMark/>
          </w:tcPr>
          <w:p w14:paraId="31F46C87" w14:textId="77777777" w:rsidR="00CA0EF0" w:rsidRPr="00361E30" w:rsidRDefault="00CA0EF0" w:rsidP="003C13F4">
            <w:pPr>
              <w:spacing w:line="240" w:lineRule="auto"/>
              <w:rPr>
                <w:lang w:val="en-GB"/>
              </w:rPr>
            </w:pPr>
            <w:r w:rsidRPr="00361E30">
              <w:rPr>
                <w:lang w:val="en-GB"/>
              </w:rPr>
              <w:t>Differences in approach of different specialists</w:t>
            </w:r>
          </w:p>
        </w:tc>
        <w:tc>
          <w:tcPr>
            <w:tcW w:w="2310" w:type="dxa"/>
            <w:tcBorders>
              <w:bottom w:val="single" w:sz="4" w:space="0" w:color="auto"/>
            </w:tcBorders>
            <w:hideMark/>
          </w:tcPr>
          <w:p w14:paraId="08F44965" w14:textId="77777777" w:rsidR="00CA0EF0" w:rsidRPr="00361E30" w:rsidRDefault="00CA0EF0" w:rsidP="003C13F4">
            <w:pPr>
              <w:spacing w:line="240" w:lineRule="auto"/>
              <w:rPr>
                <w:lang w:val="en-GB"/>
              </w:rPr>
            </w:pPr>
            <w:r w:rsidRPr="00361E30">
              <w:rPr>
                <w:lang w:val="en-GB"/>
              </w:rPr>
              <w:t>Yes. There was an impression from interviewees from Site 02 that it was significantly more difficult to access neurosurgical care for older people (compared to younger ones) at their site, which might result in poor outcomes for site 02.</w:t>
            </w:r>
          </w:p>
        </w:tc>
        <w:tc>
          <w:tcPr>
            <w:tcW w:w="2311" w:type="dxa"/>
            <w:tcBorders>
              <w:bottom w:val="single" w:sz="4" w:space="0" w:color="auto"/>
            </w:tcBorders>
            <w:hideMark/>
          </w:tcPr>
          <w:p w14:paraId="1EB04CB5" w14:textId="77777777" w:rsidR="00CA0EF0" w:rsidRPr="00361E30" w:rsidRDefault="00CA0EF0" w:rsidP="003C13F4">
            <w:pPr>
              <w:spacing w:line="240" w:lineRule="auto"/>
              <w:rPr>
                <w:lang w:val="en-GB"/>
              </w:rPr>
            </w:pPr>
            <w:r w:rsidRPr="00361E30">
              <w:rPr>
                <w:lang w:val="en-GB"/>
              </w:rPr>
              <w:t>The presence of on-site neurosurgery was used as a measure of ease of access to neurosurgical care for older patients. This is recorded on the TARN database.</w:t>
            </w:r>
          </w:p>
        </w:tc>
        <w:tc>
          <w:tcPr>
            <w:tcW w:w="2311" w:type="dxa"/>
            <w:tcBorders>
              <w:bottom w:val="single" w:sz="4" w:space="0" w:color="auto"/>
            </w:tcBorders>
            <w:hideMark/>
          </w:tcPr>
          <w:p w14:paraId="6C7B8B40" w14:textId="77777777" w:rsidR="00CA0EF0" w:rsidRPr="00361E30" w:rsidRDefault="00CA0EF0" w:rsidP="003C13F4">
            <w:pPr>
              <w:spacing w:line="240" w:lineRule="auto"/>
              <w:rPr>
                <w:lang w:val="en-GB"/>
              </w:rPr>
            </w:pPr>
            <w:r w:rsidRPr="00361E30">
              <w:rPr>
                <w:lang w:val="en-GB"/>
              </w:rPr>
              <w:t>This variable was added to the multi-level model at the ‘institutional’ level.</w:t>
            </w:r>
          </w:p>
        </w:tc>
      </w:tr>
      <w:tr w:rsidR="00CA0EF0" w:rsidRPr="00361E30" w14:paraId="269AAB97" w14:textId="77777777" w:rsidTr="003C13F4">
        <w:trPr>
          <w:cantSplit/>
        </w:trPr>
        <w:tc>
          <w:tcPr>
            <w:tcW w:w="9242" w:type="dxa"/>
            <w:gridSpan w:val="4"/>
            <w:tcBorders>
              <w:top w:val="single" w:sz="4" w:space="0" w:color="auto"/>
              <w:bottom w:val="single" w:sz="4" w:space="0" w:color="auto"/>
            </w:tcBorders>
            <w:shd w:val="clear" w:color="auto" w:fill="D9D9D9" w:themeFill="background1" w:themeFillShade="D9"/>
            <w:hideMark/>
          </w:tcPr>
          <w:p w14:paraId="62C1244E" w14:textId="77777777" w:rsidR="00CA0EF0" w:rsidRPr="00361E30" w:rsidRDefault="00CA0EF0" w:rsidP="003C13F4">
            <w:pPr>
              <w:spacing w:line="240" w:lineRule="auto"/>
              <w:rPr>
                <w:lang w:val="en-GB"/>
              </w:rPr>
            </w:pPr>
            <w:r w:rsidRPr="00361E30">
              <w:rPr>
                <w:lang w:val="en-GB"/>
              </w:rPr>
              <w:t>Management of Older Trauma Patients</w:t>
            </w:r>
          </w:p>
        </w:tc>
      </w:tr>
      <w:tr w:rsidR="00CA0EF0" w:rsidRPr="00361E30" w14:paraId="35C038EB" w14:textId="77777777" w:rsidTr="003C13F4">
        <w:trPr>
          <w:cantSplit/>
        </w:trPr>
        <w:tc>
          <w:tcPr>
            <w:tcW w:w="2310" w:type="dxa"/>
            <w:vMerge w:val="restart"/>
            <w:tcBorders>
              <w:top w:val="single" w:sz="4" w:space="0" w:color="auto"/>
            </w:tcBorders>
            <w:hideMark/>
          </w:tcPr>
          <w:p w14:paraId="16B57EDF" w14:textId="77777777" w:rsidR="00CA0EF0" w:rsidRPr="00361E30" w:rsidRDefault="00CA0EF0" w:rsidP="003C13F4">
            <w:pPr>
              <w:spacing w:line="240" w:lineRule="auto"/>
              <w:rPr>
                <w:lang w:val="en-GB"/>
              </w:rPr>
            </w:pPr>
            <w:r w:rsidRPr="00361E30">
              <w:rPr>
                <w:lang w:val="en-GB"/>
              </w:rPr>
              <w:t>Trauma Ward</w:t>
            </w:r>
          </w:p>
        </w:tc>
        <w:tc>
          <w:tcPr>
            <w:tcW w:w="2310" w:type="dxa"/>
            <w:vMerge w:val="restart"/>
            <w:tcBorders>
              <w:top w:val="single" w:sz="4" w:space="0" w:color="auto"/>
            </w:tcBorders>
            <w:hideMark/>
          </w:tcPr>
          <w:p w14:paraId="4BD101A2" w14:textId="77777777" w:rsidR="00CA0EF0" w:rsidRPr="00361E30" w:rsidRDefault="00CA0EF0" w:rsidP="003C13F4">
            <w:pPr>
              <w:spacing w:line="240" w:lineRule="auto"/>
              <w:rPr>
                <w:lang w:val="en-GB"/>
              </w:rPr>
            </w:pPr>
            <w:r w:rsidRPr="00361E30">
              <w:rPr>
                <w:lang w:val="en-GB"/>
              </w:rPr>
              <w:t xml:space="preserve">Yes. The presence of a trauma ward was identified as a significant factor that distinguished the sites. Site 02 had a Trauma ward while Site 01 did not. Several interviewees in Site 01 saw this as problematic and potentially impacting on outcome, while those at Site 02 described the trauma ward as a focus for trauma care, impacting positively on outcomes. </w:t>
            </w:r>
          </w:p>
        </w:tc>
        <w:tc>
          <w:tcPr>
            <w:tcW w:w="2311" w:type="dxa"/>
            <w:tcBorders>
              <w:top w:val="single" w:sz="4" w:space="0" w:color="auto"/>
            </w:tcBorders>
            <w:hideMark/>
          </w:tcPr>
          <w:p w14:paraId="2C388EC7" w14:textId="77777777" w:rsidR="00CA0EF0" w:rsidRPr="00361E30" w:rsidRDefault="00CA0EF0" w:rsidP="003C13F4">
            <w:pPr>
              <w:spacing w:line="240" w:lineRule="auto"/>
              <w:rPr>
                <w:lang w:val="en-GB"/>
              </w:rPr>
            </w:pPr>
            <w:r w:rsidRPr="00361E30">
              <w:rPr>
                <w:lang w:val="en-GB"/>
              </w:rPr>
              <w:t>Whether or not participating hospitals had a trauma ward was extrapolated from the TARN database</w:t>
            </w:r>
          </w:p>
        </w:tc>
        <w:tc>
          <w:tcPr>
            <w:tcW w:w="2311" w:type="dxa"/>
            <w:tcBorders>
              <w:top w:val="single" w:sz="4" w:space="0" w:color="auto"/>
            </w:tcBorders>
            <w:hideMark/>
          </w:tcPr>
          <w:p w14:paraId="10CA237D" w14:textId="77777777" w:rsidR="00CA0EF0" w:rsidRPr="00361E30" w:rsidRDefault="00CA0EF0" w:rsidP="003C13F4">
            <w:pPr>
              <w:spacing w:line="240" w:lineRule="auto"/>
              <w:rPr>
                <w:lang w:val="en-GB"/>
              </w:rPr>
            </w:pPr>
            <w:r w:rsidRPr="00361E30">
              <w:rPr>
                <w:lang w:val="en-GB"/>
              </w:rPr>
              <w:t>This variable was added to the multi-level model at the ‘institutional’ level.</w:t>
            </w:r>
          </w:p>
        </w:tc>
      </w:tr>
      <w:tr w:rsidR="00CA0EF0" w:rsidRPr="00361E30" w14:paraId="74D23565" w14:textId="77777777" w:rsidTr="003C13F4">
        <w:trPr>
          <w:cantSplit/>
        </w:trPr>
        <w:tc>
          <w:tcPr>
            <w:tcW w:w="0" w:type="auto"/>
            <w:vMerge/>
            <w:vAlign w:val="center"/>
            <w:hideMark/>
          </w:tcPr>
          <w:p w14:paraId="2A54664A" w14:textId="77777777" w:rsidR="00CA0EF0" w:rsidRPr="00361E30" w:rsidRDefault="00CA0EF0" w:rsidP="003C13F4">
            <w:pPr>
              <w:spacing w:line="240" w:lineRule="auto"/>
              <w:jc w:val="left"/>
              <w:rPr>
                <w:lang w:val="en-GB"/>
              </w:rPr>
            </w:pPr>
          </w:p>
        </w:tc>
        <w:tc>
          <w:tcPr>
            <w:tcW w:w="0" w:type="auto"/>
            <w:vMerge/>
            <w:vAlign w:val="center"/>
            <w:hideMark/>
          </w:tcPr>
          <w:p w14:paraId="02E4F356" w14:textId="77777777" w:rsidR="00CA0EF0" w:rsidRPr="00361E30" w:rsidRDefault="00CA0EF0" w:rsidP="003C13F4">
            <w:pPr>
              <w:spacing w:line="240" w:lineRule="auto"/>
              <w:jc w:val="left"/>
              <w:rPr>
                <w:lang w:val="en-GB"/>
              </w:rPr>
            </w:pPr>
          </w:p>
        </w:tc>
        <w:tc>
          <w:tcPr>
            <w:tcW w:w="2311" w:type="dxa"/>
            <w:hideMark/>
          </w:tcPr>
          <w:p w14:paraId="2457E48A" w14:textId="77777777" w:rsidR="00CA0EF0" w:rsidRPr="00361E30" w:rsidRDefault="00CA0EF0" w:rsidP="003C13F4">
            <w:pPr>
              <w:spacing w:line="240" w:lineRule="auto"/>
              <w:rPr>
                <w:lang w:val="en-GB"/>
              </w:rPr>
            </w:pPr>
            <w:r w:rsidRPr="00361E30">
              <w:rPr>
                <w:lang w:val="en-GB"/>
              </w:rPr>
              <w:t>At an individual patient level, the immediate admission destination of these patients (trauma ward; other ward; ICU; theatre) was used as a measure of the impact of trauma ward admission to an individual patient</w:t>
            </w:r>
            <w:r w:rsidR="00C42581">
              <w:rPr>
                <w:lang w:val="en-GB"/>
              </w:rPr>
              <w:t>’s</w:t>
            </w:r>
            <w:r w:rsidRPr="00361E30">
              <w:rPr>
                <w:lang w:val="en-GB"/>
              </w:rPr>
              <w:t xml:space="preserve"> outcomes</w:t>
            </w:r>
          </w:p>
        </w:tc>
        <w:tc>
          <w:tcPr>
            <w:tcW w:w="2311" w:type="dxa"/>
            <w:hideMark/>
          </w:tcPr>
          <w:p w14:paraId="5AE741BF" w14:textId="77777777" w:rsidR="00CA0EF0" w:rsidRPr="00361E30" w:rsidRDefault="00CA0EF0" w:rsidP="003C13F4">
            <w:pPr>
              <w:spacing w:line="240" w:lineRule="auto"/>
              <w:rPr>
                <w:lang w:val="en-GB"/>
              </w:rPr>
            </w:pPr>
            <w:r w:rsidRPr="00361E30">
              <w:rPr>
                <w:lang w:val="en-GB"/>
              </w:rPr>
              <w:t xml:space="preserve">This variable was added to the model at the level of the individual patient. </w:t>
            </w:r>
          </w:p>
        </w:tc>
      </w:tr>
      <w:tr w:rsidR="00CA0EF0" w:rsidRPr="00361E30" w14:paraId="76349B1A" w14:textId="77777777" w:rsidTr="003C13F4">
        <w:trPr>
          <w:cantSplit/>
        </w:trPr>
        <w:tc>
          <w:tcPr>
            <w:tcW w:w="2310" w:type="dxa"/>
          </w:tcPr>
          <w:p w14:paraId="3F574AF1" w14:textId="77777777" w:rsidR="00CA0EF0" w:rsidRPr="00361E30" w:rsidRDefault="00CA0EF0" w:rsidP="003C13F4">
            <w:pPr>
              <w:spacing w:line="240" w:lineRule="auto"/>
              <w:rPr>
                <w:lang w:val="en-GB"/>
              </w:rPr>
            </w:pPr>
            <w:r w:rsidRPr="00361E30">
              <w:rPr>
                <w:lang w:val="en-GB"/>
              </w:rPr>
              <w:t>Early rehabilitation</w:t>
            </w:r>
          </w:p>
          <w:p w14:paraId="12E2E515" w14:textId="77777777" w:rsidR="00CA0EF0" w:rsidRPr="00361E30" w:rsidRDefault="00CA0EF0" w:rsidP="003C13F4">
            <w:pPr>
              <w:spacing w:line="240" w:lineRule="auto"/>
              <w:rPr>
                <w:lang w:val="en-GB"/>
              </w:rPr>
            </w:pPr>
          </w:p>
          <w:p w14:paraId="257B0ED4" w14:textId="77777777" w:rsidR="00CA0EF0" w:rsidRPr="00361E30" w:rsidRDefault="00CA0EF0" w:rsidP="003C13F4">
            <w:pPr>
              <w:spacing w:line="240" w:lineRule="auto"/>
              <w:rPr>
                <w:lang w:val="en-GB"/>
              </w:rPr>
            </w:pPr>
          </w:p>
          <w:p w14:paraId="7CF49754" w14:textId="77777777" w:rsidR="00CA0EF0" w:rsidRPr="00361E30" w:rsidRDefault="00CA0EF0" w:rsidP="003C13F4">
            <w:pPr>
              <w:spacing w:line="240" w:lineRule="auto"/>
              <w:rPr>
                <w:lang w:val="en-GB"/>
              </w:rPr>
            </w:pPr>
          </w:p>
        </w:tc>
        <w:tc>
          <w:tcPr>
            <w:tcW w:w="2310" w:type="dxa"/>
            <w:vMerge w:val="restart"/>
            <w:hideMark/>
          </w:tcPr>
          <w:p w14:paraId="4E5E7A2F" w14:textId="77777777" w:rsidR="00CA0EF0" w:rsidRPr="00361E30" w:rsidRDefault="00CA0EF0" w:rsidP="003C13F4">
            <w:pPr>
              <w:spacing w:line="240" w:lineRule="auto"/>
              <w:rPr>
                <w:lang w:val="en-GB"/>
              </w:rPr>
            </w:pPr>
            <w:r w:rsidRPr="00361E30">
              <w:rPr>
                <w:lang w:val="en-GB"/>
              </w:rPr>
              <w:t>Yes. Interviewees at Site 02 described a much more integrated approach to the care of older trauma patients compared to the descriptions from Site 01, which may have resulted in poorer outcomes at Site 01.</w:t>
            </w:r>
          </w:p>
        </w:tc>
        <w:tc>
          <w:tcPr>
            <w:tcW w:w="2311" w:type="dxa"/>
            <w:vMerge w:val="restart"/>
            <w:hideMark/>
          </w:tcPr>
          <w:p w14:paraId="198242E8" w14:textId="77777777" w:rsidR="00CA0EF0" w:rsidRPr="00361E30" w:rsidRDefault="00CA0EF0" w:rsidP="003C13F4">
            <w:pPr>
              <w:spacing w:line="240" w:lineRule="auto"/>
              <w:rPr>
                <w:lang w:val="en-GB"/>
              </w:rPr>
            </w:pPr>
            <w:r w:rsidRPr="00361E30">
              <w:rPr>
                <w:lang w:val="en-GB"/>
              </w:rPr>
              <w:t xml:space="preserve">TARN records </w:t>
            </w:r>
            <w:r w:rsidR="00C42581" w:rsidRPr="00361E30">
              <w:rPr>
                <w:lang w:val="en-GB"/>
              </w:rPr>
              <w:t>whether</w:t>
            </w:r>
            <w:r w:rsidRPr="00361E30">
              <w:rPr>
                <w:lang w:val="en-GB"/>
              </w:rPr>
              <w:t xml:space="preserve"> a patient has had a rehabilitation prescription written, and this was used as an indicator of early rehabilitation and holistic care.</w:t>
            </w:r>
          </w:p>
        </w:tc>
        <w:tc>
          <w:tcPr>
            <w:tcW w:w="2311" w:type="dxa"/>
            <w:vMerge w:val="restart"/>
            <w:hideMark/>
          </w:tcPr>
          <w:p w14:paraId="354D6BFD" w14:textId="77777777" w:rsidR="00CA0EF0" w:rsidRPr="00361E30" w:rsidRDefault="00CA0EF0" w:rsidP="003C13F4">
            <w:pPr>
              <w:spacing w:line="240" w:lineRule="auto"/>
              <w:rPr>
                <w:lang w:val="en-GB"/>
              </w:rPr>
            </w:pPr>
            <w:r w:rsidRPr="00361E30">
              <w:rPr>
                <w:lang w:val="en-GB"/>
              </w:rPr>
              <w:t>Rehabilitation prescriptions are part of the best practice tariff for major trauma centres, but not for trauma units, so this information was recorded more consistently at major trauma centres.</w:t>
            </w:r>
          </w:p>
        </w:tc>
      </w:tr>
      <w:tr w:rsidR="00CA0EF0" w:rsidRPr="00361E30" w14:paraId="795CF84B" w14:textId="77777777" w:rsidTr="003C13F4">
        <w:trPr>
          <w:cantSplit/>
        </w:trPr>
        <w:tc>
          <w:tcPr>
            <w:tcW w:w="2310" w:type="dxa"/>
            <w:tcBorders>
              <w:bottom w:val="single" w:sz="4" w:space="0" w:color="auto"/>
            </w:tcBorders>
            <w:hideMark/>
          </w:tcPr>
          <w:p w14:paraId="5B2F3E9D" w14:textId="77777777" w:rsidR="00CA0EF0" w:rsidRPr="00361E30" w:rsidRDefault="00CA0EF0" w:rsidP="003C13F4">
            <w:pPr>
              <w:spacing w:line="240" w:lineRule="auto"/>
              <w:rPr>
                <w:lang w:val="en-GB"/>
              </w:rPr>
            </w:pPr>
            <w:r w:rsidRPr="00361E30">
              <w:rPr>
                <w:lang w:val="en-GB"/>
              </w:rPr>
              <w:t>Holistic care</w:t>
            </w:r>
          </w:p>
        </w:tc>
        <w:tc>
          <w:tcPr>
            <w:tcW w:w="0" w:type="auto"/>
            <w:vMerge/>
            <w:tcBorders>
              <w:bottom w:val="single" w:sz="4" w:space="0" w:color="auto"/>
            </w:tcBorders>
            <w:vAlign w:val="center"/>
            <w:hideMark/>
          </w:tcPr>
          <w:p w14:paraId="3E81E4C7" w14:textId="77777777" w:rsidR="00CA0EF0" w:rsidRPr="00361E30" w:rsidRDefault="00CA0EF0" w:rsidP="003C13F4">
            <w:pPr>
              <w:spacing w:line="240" w:lineRule="auto"/>
              <w:jc w:val="left"/>
              <w:rPr>
                <w:lang w:val="en-GB"/>
              </w:rPr>
            </w:pPr>
          </w:p>
        </w:tc>
        <w:tc>
          <w:tcPr>
            <w:tcW w:w="0" w:type="auto"/>
            <w:vMerge/>
            <w:tcBorders>
              <w:bottom w:val="single" w:sz="4" w:space="0" w:color="auto"/>
            </w:tcBorders>
            <w:vAlign w:val="center"/>
            <w:hideMark/>
          </w:tcPr>
          <w:p w14:paraId="183274AC" w14:textId="77777777" w:rsidR="00CA0EF0" w:rsidRPr="00361E30" w:rsidRDefault="00CA0EF0" w:rsidP="003C13F4">
            <w:pPr>
              <w:spacing w:line="240" w:lineRule="auto"/>
              <w:jc w:val="left"/>
              <w:rPr>
                <w:lang w:val="en-GB"/>
              </w:rPr>
            </w:pPr>
          </w:p>
        </w:tc>
        <w:tc>
          <w:tcPr>
            <w:tcW w:w="0" w:type="auto"/>
            <w:vMerge/>
            <w:tcBorders>
              <w:bottom w:val="single" w:sz="4" w:space="0" w:color="auto"/>
            </w:tcBorders>
            <w:vAlign w:val="center"/>
            <w:hideMark/>
          </w:tcPr>
          <w:p w14:paraId="62B29DCF" w14:textId="77777777" w:rsidR="00CA0EF0" w:rsidRPr="00361E30" w:rsidRDefault="00CA0EF0" w:rsidP="003C13F4">
            <w:pPr>
              <w:spacing w:line="240" w:lineRule="auto"/>
              <w:jc w:val="left"/>
              <w:rPr>
                <w:lang w:val="en-GB"/>
              </w:rPr>
            </w:pPr>
          </w:p>
        </w:tc>
      </w:tr>
    </w:tbl>
    <w:p w14:paraId="7EAE5D3D" w14:textId="77777777" w:rsidR="00CA0EF0" w:rsidRPr="00361E30" w:rsidRDefault="00CA0EF0" w:rsidP="003C13F4">
      <w:pPr>
        <w:pStyle w:val="TableTitle"/>
      </w:pPr>
      <w:bookmarkStart w:id="198" w:name="_Toc528321059"/>
      <w:r w:rsidRPr="00361E30">
        <w:t>Table 8.1: Factor identified in the interviews that could potentially be added to the predictive model.</w:t>
      </w:r>
      <w:bookmarkEnd w:id="198"/>
    </w:p>
    <w:p w14:paraId="023BE114" w14:textId="77777777" w:rsidR="00CA0EF0" w:rsidRPr="00361E30" w:rsidRDefault="00CA0EF0" w:rsidP="003C13F4">
      <w:pPr>
        <w:pStyle w:val="Heading2"/>
      </w:pPr>
      <w:bookmarkStart w:id="199" w:name="_Toc1902347"/>
      <w:r w:rsidRPr="00361E30">
        <w:lastRenderedPageBreak/>
        <w:t>8.2.2</w:t>
      </w:r>
      <w:r w:rsidRPr="00361E30">
        <w:tab/>
        <w:t>Approach to the development of the predictive model</w:t>
      </w:r>
      <w:bookmarkEnd w:id="199"/>
    </w:p>
    <w:p w14:paraId="4E366FBE" w14:textId="77777777" w:rsidR="00CA0EF0" w:rsidRPr="00361E30" w:rsidRDefault="00CA0EF0" w:rsidP="003C13F4">
      <w:r w:rsidRPr="00361E30">
        <w:t>The approach to including new variables in the predictive model is described in detail in Chapter 3. Analysis was restricted to English hospitals, which fulfilled the ‘quality filter’ criteria described in Chapter 3 (Section 3.3.3.6.1</w:t>
      </w:r>
      <w:r w:rsidR="00C42581" w:rsidRPr="00361E30">
        <w:t>). The</w:t>
      </w:r>
      <w:r w:rsidRPr="00361E30">
        <w:t xml:space="preserve"> steps in this analysis were:</w:t>
      </w:r>
    </w:p>
    <w:p w14:paraId="19699DB3" w14:textId="77777777" w:rsidR="00CA0EF0" w:rsidRPr="00361E30" w:rsidRDefault="00CA0EF0" w:rsidP="003C13F4">
      <w:pPr>
        <w:pStyle w:val="ListParagraph"/>
        <w:widowControl w:val="0"/>
        <w:numPr>
          <w:ilvl w:val="0"/>
          <w:numId w:val="34"/>
        </w:numPr>
        <w:pBdr>
          <w:top w:val="nil"/>
          <w:left w:val="nil"/>
          <w:bottom w:val="nil"/>
          <w:right w:val="nil"/>
          <w:between w:val="nil"/>
        </w:pBdr>
      </w:pPr>
      <w:r w:rsidRPr="00361E30">
        <w:t>Each variable’s ability to predict the probability of survival was examined using univariate logistic regression. Variables with a moderate univariate association with survival (p</w:t>
      </w:r>
      <w:r w:rsidR="00862E79">
        <w:rPr>
          <w:rFonts w:cstheme="minorHAnsi"/>
        </w:rPr>
        <w:t>≤</w:t>
      </w:r>
      <w:r w:rsidRPr="00361E30">
        <w:t>0.2) were tested in the multivariate model.</w:t>
      </w:r>
    </w:p>
    <w:p w14:paraId="03D3A60F" w14:textId="77777777" w:rsidR="00CA0EF0" w:rsidRPr="00361E30" w:rsidRDefault="00CA0EF0" w:rsidP="003C13F4">
      <w:pPr>
        <w:pStyle w:val="ListParagraph"/>
        <w:widowControl w:val="0"/>
        <w:numPr>
          <w:ilvl w:val="0"/>
          <w:numId w:val="34"/>
        </w:numPr>
        <w:pBdr>
          <w:top w:val="nil"/>
          <w:left w:val="nil"/>
          <w:bottom w:val="nil"/>
          <w:right w:val="nil"/>
          <w:between w:val="nil"/>
        </w:pBdr>
      </w:pPr>
      <w:r w:rsidRPr="00361E30">
        <w:t>Multilevel modelling, using a random intercept, was used to test the significance of new process variables. ‘Organisational’ variables were added in a stepwise fashion to the model as level 2 variables, using the Site ID (hospital ID) as the grouping variable.</w:t>
      </w:r>
    </w:p>
    <w:p w14:paraId="6996529B" w14:textId="77777777" w:rsidR="00CA0EF0" w:rsidRPr="00361E30" w:rsidRDefault="00CA0EF0" w:rsidP="003C13F4">
      <w:pPr>
        <w:pStyle w:val="ListParagraph"/>
        <w:widowControl w:val="0"/>
        <w:numPr>
          <w:ilvl w:val="0"/>
          <w:numId w:val="34"/>
        </w:numPr>
        <w:pBdr>
          <w:top w:val="nil"/>
          <w:left w:val="nil"/>
          <w:bottom w:val="nil"/>
          <w:right w:val="nil"/>
          <w:between w:val="nil"/>
        </w:pBdr>
      </w:pPr>
      <w:r w:rsidRPr="00361E30">
        <w:t>The impact of variables on the multilevel model was assessed by determining the significance of the association between these variables and survival in the multivariate model, and the impact of these variables on the overall performance of the model, as measured by the ‘C’ statistic and the Akaike information criteria. The performance of this new model was then compared to the model derived in Phase 1 of the study.</w:t>
      </w:r>
    </w:p>
    <w:p w14:paraId="46EBF740" w14:textId="77777777" w:rsidR="00CA0EF0" w:rsidRPr="00361E30" w:rsidRDefault="00CA0EF0" w:rsidP="003C13F4">
      <w:pPr>
        <w:pStyle w:val="ListParagraph"/>
        <w:widowControl w:val="0"/>
        <w:numPr>
          <w:ilvl w:val="0"/>
          <w:numId w:val="34"/>
        </w:numPr>
        <w:pBdr>
          <w:top w:val="nil"/>
          <w:left w:val="nil"/>
          <w:bottom w:val="nil"/>
          <w:right w:val="nil"/>
          <w:between w:val="nil"/>
        </w:pBdr>
      </w:pPr>
      <w:r w:rsidRPr="00361E30">
        <w:t xml:space="preserve">Using the best predictive model, </w:t>
      </w:r>
      <w:r w:rsidR="006C35DE">
        <w:t>outlier</w:t>
      </w:r>
      <w:r w:rsidRPr="00361E30">
        <w:t xml:space="preserve"> hospitals (those with observed survival rates significantly higher or lower than predicted) were identified. These were compared with the outliers identified in Phase 1 of the study (Section 6.5), to see if the new model had an improved predictive accuracy for the hospitals with high residuals (those with standardised Ws scores more than 2 SDs greater or less than predicted).</w:t>
      </w:r>
    </w:p>
    <w:p w14:paraId="65791E27" w14:textId="77777777" w:rsidR="00CA0EF0" w:rsidRPr="00361E30" w:rsidRDefault="00CA0EF0" w:rsidP="003C13F4">
      <w:pPr>
        <w:pStyle w:val="Heading1"/>
      </w:pPr>
      <w:bookmarkStart w:id="200" w:name="_Toc1902348"/>
      <w:r w:rsidRPr="00361E30">
        <w:t>8.</w:t>
      </w:r>
      <w:r w:rsidR="00FA37D2">
        <w:t>3</w:t>
      </w:r>
      <w:r w:rsidRPr="00361E30">
        <w:t xml:space="preserve"> </w:t>
      </w:r>
      <w:r w:rsidRPr="00361E30">
        <w:tab/>
        <w:t>Impact of new variables on the predictive model</w:t>
      </w:r>
      <w:bookmarkEnd w:id="200"/>
    </w:p>
    <w:p w14:paraId="72869814" w14:textId="77777777" w:rsidR="00CA0EF0" w:rsidRPr="00361E30" w:rsidRDefault="00CA0EF0" w:rsidP="003C13F4">
      <w:pPr>
        <w:pStyle w:val="Heading2"/>
      </w:pPr>
      <w:bookmarkStart w:id="201" w:name="_Toc1902349"/>
      <w:r w:rsidRPr="00361E30">
        <w:t>8.</w:t>
      </w:r>
      <w:r w:rsidR="00FA37D2">
        <w:t>3</w:t>
      </w:r>
      <w:r w:rsidRPr="00361E30">
        <w:t>.1</w:t>
      </w:r>
      <w:r w:rsidRPr="00361E30">
        <w:tab/>
        <w:t>Neurosurgery on site</w:t>
      </w:r>
      <w:bookmarkEnd w:id="201"/>
    </w:p>
    <w:p w14:paraId="30853645" w14:textId="77777777" w:rsidR="00CA0EF0" w:rsidRPr="00361E30" w:rsidRDefault="00CA0EF0" w:rsidP="003C13F4">
      <w:r w:rsidRPr="00361E30">
        <w:t xml:space="preserve">Of the 80 hospitals included in the analysis of hospitals in England, 17 were neurosurgical centres and 63 were not. It should be noted that all neurosurgical centres were major trauma centres (MTCs) (but not all MTCs were neurosurgical centres – for an explanation of the difference between Major Trauma Centres and Trauma Unites, please refer to Chapter 1, </w:t>
      </w:r>
      <w:r w:rsidR="00C42581" w:rsidRPr="00361E30">
        <w:t>Section</w:t>
      </w:r>
      <w:r w:rsidRPr="00361E30">
        <w:t xml:space="preserve"> 1.6). On adding this variable to the multilevel model at the institutional level, the presence of neurosurgery on site did not significantly influence survival in older trauma patients. As discussed in Chapter 6 (Section 6.3.2.2), the adjusted odds ratio for 30-day survival in hospitals with neurosurgery on site was 1.13 (95% CI 0.98 to 1.30; </w:t>
      </w:r>
      <w:r w:rsidR="00CE038B">
        <w:t>p</w:t>
      </w:r>
      <w:r w:rsidRPr="00361E30">
        <w:t xml:space="preserve"> = .092). </w:t>
      </w:r>
    </w:p>
    <w:p w14:paraId="017FCA6A" w14:textId="77777777" w:rsidR="00CA0EF0" w:rsidRPr="00361E30" w:rsidRDefault="00CA0EF0" w:rsidP="003C13F4">
      <w:pPr>
        <w:pStyle w:val="Heading2"/>
      </w:pPr>
      <w:bookmarkStart w:id="202" w:name="_Toc1902350"/>
      <w:r w:rsidRPr="00361E30">
        <w:lastRenderedPageBreak/>
        <w:t>8.</w:t>
      </w:r>
      <w:r w:rsidR="00FA37D2">
        <w:t>3</w:t>
      </w:r>
      <w:r w:rsidRPr="00361E30">
        <w:t>.2</w:t>
      </w:r>
      <w:r w:rsidRPr="00361E30">
        <w:tab/>
        <w:t>Trauma Wards</w:t>
      </w:r>
      <w:bookmarkEnd w:id="202"/>
      <w:r w:rsidRPr="00361E30">
        <w:tab/>
      </w:r>
    </w:p>
    <w:p w14:paraId="1E84F3B7" w14:textId="77777777" w:rsidR="00CA0EF0" w:rsidRPr="00361E30" w:rsidRDefault="00CA0EF0" w:rsidP="003C13F4">
      <w:r w:rsidRPr="00361E30">
        <w:t xml:space="preserve">Trauma wards were wards in trauma receiving hospitals that were specifically used for the admission of seriously injured patients (For further details, please refer to Chapter 1, Section 1.6). These were present in 44 hospitals, while 36 did not have trauma wards. Comparing MTCs with Trauma Units (TUs), 19 of 22 MTCs had trauma wards compared to 25 of 58 TUs (for an explanation of the difference between Major Trauma Centres and Trauma Unites, please refer to Chapter 1, Section 1.6). </w:t>
      </w:r>
    </w:p>
    <w:p w14:paraId="6D867797" w14:textId="77777777" w:rsidR="00CA0EF0" w:rsidRPr="00361E30" w:rsidRDefault="00CA0EF0" w:rsidP="003C13F4">
      <w:pPr>
        <w:ind w:firstLine="720"/>
      </w:pPr>
      <w:r w:rsidRPr="00361E30">
        <w:t>On adding this variable to the multilevel model at the institutional level, the presence of a trauma ward on site did not significantly influence survival in older trauma patients</w:t>
      </w:r>
      <w:r w:rsidR="00C42581">
        <w:t>.</w:t>
      </w:r>
      <w:r w:rsidRPr="00361E30">
        <w:t xml:space="preserve"> The adjusted odds ratio for 30-day survival was 0.92 (95% CI 0.81 to 1.06; </w:t>
      </w:r>
      <w:r w:rsidR="00CE038B">
        <w:t>p</w:t>
      </w:r>
      <w:r w:rsidRPr="00361E30">
        <w:t xml:space="preserve"> = .252).</w:t>
      </w:r>
    </w:p>
    <w:p w14:paraId="5AA6C577" w14:textId="77777777" w:rsidR="00CA0EF0" w:rsidRPr="00361E30" w:rsidRDefault="00CA0EF0" w:rsidP="003C13F4">
      <w:pPr>
        <w:pStyle w:val="Heading2"/>
      </w:pPr>
      <w:bookmarkStart w:id="203" w:name="_Toc1902351"/>
      <w:r w:rsidRPr="00361E30">
        <w:t>8.</w:t>
      </w:r>
      <w:r w:rsidR="00FA37D2">
        <w:t>3</w:t>
      </w:r>
      <w:r w:rsidRPr="00361E30">
        <w:t>.3</w:t>
      </w:r>
      <w:r w:rsidRPr="00361E30">
        <w:tab/>
        <w:t>Admission to a Trauma Ward</w:t>
      </w:r>
      <w:bookmarkEnd w:id="203"/>
    </w:p>
    <w:p w14:paraId="4AF25426" w14:textId="77777777" w:rsidR="00CA0EF0" w:rsidRPr="00361E30" w:rsidRDefault="00CA0EF0" w:rsidP="003C13F4">
      <w:r w:rsidRPr="00361E30">
        <w:t xml:space="preserve">In total 1,548 older trauma patients (5.98%) were admitted to a trauma ward at some time during their stay in hospital. This was significantly more likely to occur at MTCs than TUs (10.2% vs 1.9%; </w:t>
      </w:r>
      <w:r w:rsidR="00CE038B">
        <w:t>p</w:t>
      </w:r>
      <w:r w:rsidRPr="00361E30">
        <w:t xml:space="preserve"> &lt;0.01).</w:t>
      </w:r>
    </w:p>
    <w:p w14:paraId="4D93218D" w14:textId="77777777" w:rsidR="00CA0EF0" w:rsidRPr="00361E30" w:rsidRDefault="00CA0EF0" w:rsidP="003C13F4">
      <w:pPr>
        <w:ind w:firstLine="720"/>
      </w:pPr>
      <w:r w:rsidRPr="00361E30">
        <w:t xml:space="preserve">On adding admission to a trauma ward to the multilevel model at the individual patient level, the odds of survival for older trauma patients admitted to a trauma ward was significantly greater than for those not admitted to a trauma ward (AOR 1.69 [95%CI 1.35 to 2.11; </w:t>
      </w:r>
      <w:r w:rsidR="00CE038B">
        <w:t>p</w:t>
      </w:r>
      <w:r w:rsidRPr="00361E30">
        <w:t xml:space="preserve"> &lt;0.01]). However, this did not significantly change the predictive accuracy of the model (Table 8.2). The AUROC for the model with admission to a trauma ward added was 0.8246 (95% CI 0.8213 to 0.8280), compared to 0.8240 (95% CI 0.8206 to 0.8273) for the original model (Table 8.2).</w:t>
      </w:r>
    </w:p>
    <w:p w14:paraId="207AFFB5" w14:textId="77777777" w:rsidR="00CA0EF0" w:rsidRPr="00361E30" w:rsidRDefault="00CA0EF0" w:rsidP="003C13F4">
      <w:pPr>
        <w:pStyle w:val="Heading2"/>
      </w:pPr>
      <w:bookmarkStart w:id="204" w:name="_Toc1902352"/>
      <w:r w:rsidRPr="00361E30">
        <w:t>8.</w:t>
      </w:r>
      <w:r w:rsidR="00FA37D2">
        <w:t>3</w:t>
      </w:r>
      <w:r w:rsidRPr="00361E30">
        <w:t>.4</w:t>
      </w:r>
      <w:r w:rsidRPr="00361E30">
        <w:tab/>
        <w:t>Rehabilitation Prescription</w:t>
      </w:r>
      <w:bookmarkEnd w:id="204"/>
    </w:p>
    <w:p w14:paraId="29B0824B" w14:textId="77777777" w:rsidR="00CA0EF0" w:rsidRPr="00361E30" w:rsidRDefault="00CA0EF0" w:rsidP="003C13F4">
      <w:r w:rsidRPr="00361E30">
        <w:t xml:space="preserve">A rehabilitation prescription was ordered for 8,899 (34.3%) of older trauma patients in the database. Rehabilitation prescriptions were significantly more likely to be ordered for older patients admitted to MTCs compared to those admitted to TUs (69.0% vs 1.2%; </w:t>
      </w:r>
      <w:r w:rsidR="00CE038B">
        <w:t>p</w:t>
      </w:r>
      <w:r w:rsidRPr="00361E30">
        <w:t xml:space="preserve"> &lt;0.01). There was a significant positive correlation between rehabilitation prescriptions and admission to a trauma ward. Of the patients who received a rehabilitation prescription, 12.1% were admitted to a trauma ward, compared to 2.0% of those who did not receive a rehabilitation prescription (</w:t>
      </w:r>
      <w:r w:rsidR="00CE038B">
        <w:t>p</w:t>
      </w:r>
      <w:r w:rsidRPr="00361E30">
        <w:t xml:space="preserve"> &lt; 0.01).</w:t>
      </w:r>
    </w:p>
    <w:p w14:paraId="73835248" w14:textId="77777777" w:rsidR="00CA0EF0" w:rsidRPr="00361E30" w:rsidRDefault="00CA0EF0" w:rsidP="003C13F4">
      <w:pPr>
        <w:ind w:firstLine="720"/>
      </w:pPr>
      <w:r w:rsidRPr="00361E30">
        <w:t xml:space="preserve">When added to the multilevel model at the patient level, the ordering of a rehabilitation prescription was found to significantly improve 30-day survival in older trauma patients (AOR 4.29 [95% CI 3.61 to 5.09; </w:t>
      </w:r>
      <w:r w:rsidR="00CE038B">
        <w:t>p</w:t>
      </w:r>
      <w:r w:rsidRPr="00361E30">
        <w:t xml:space="preserve"> &lt;0.01]. In addition, the inclusion of this variable to the multilevel model improved the predictive accuracy of the model significantly. The AUROC </w:t>
      </w:r>
      <w:r w:rsidRPr="00361E30">
        <w:lastRenderedPageBreak/>
        <w:t>for the model with “rehabilitation prescription” added was 0.8515 (95% CI 0.8484 to 0.8546), compared to 0.8240 (95% CI 0.8206 to 0.8273) for the original model.</w:t>
      </w:r>
    </w:p>
    <w:p w14:paraId="0FF88899" w14:textId="77777777" w:rsidR="00CA0EF0" w:rsidRPr="00361E30" w:rsidRDefault="00CA0EF0" w:rsidP="003C13F4">
      <w:pPr>
        <w:ind w:firstLine="720"/>
      </w:pPr>
      <w:r w:rsidRPr="00361E30">
        <w:t>Of note, a rehabilitation prescription was deemed ‘not appropriate’ for 6,815 (26.3%) of the older trauma patients included in the analysis. The criteria used to determine whether a rehabilitation prescription was not appropriate are not clear and may have varied from one hospital to another. However, anecdotally, TARN staff suggested that many of these patients were deemed to have ‘unsurvivable’ injuries.</w:t>
      </w:r>
    </w:p>
    <w:p w14:paraId="4C9D138C" w14:textId="77777777" w:rsidR="00CA0EF0" w:rsidRPr="00361E30" w:rsidRDefault="00CA0EF0" w:rsidP="003C13F4">
      <w:pPr>
        <w:pStyle w:val="Heading2"/>
      </w:pPr>
      <w:bookmarkStart w:id="205" w:name="_Toc1902353"/>
      <w:r w:rsidRPr="00361E30">
        <w:t>8.</w:t>
      </w:r>
      <w:r w:rsidR="009C0218">
        <w:t>3</w:t>
      </w:r>
      <w:r w:rsidRPr="00361E30">
        <w:t>.5</w:t>
      </w:r>
      <w:r w:rsidRPr="00361E30">
        <w:tab/>
        <w:t>Sensitivity Analyses on Phase 3 Multilevel Models</w:t>
      </w:r>
      <w:bookmarkEnd w:id="205"/>
    </w:p>
    <w:p w14:paraId="4103C404" w14:textId="77777777" w:rsidR="00CA0EF0" w:rsidRPr="00361E30" w:rsidRDefault="00CA0EF0" w:rsidP="003C13F4">
      <w:pPr>
        <w:ind w:firstLine="720"/>
      </w:pPr>
      <w:r w:rsidRPr="00361E30">
        <w:t>For the Phase 3 models, there were two potential areas of inaccuracy in the data. First, data quality and completeness (particularly in relation to the rehabilitation prescription and the large number of participants whose rehabilitation prescription was labelled ‘not applicable). Second, there were differences in functioning and incentives for major trauma centres and trauma units. Sensitivity analyses were performed for each variable, taking these inaccuracies into account, where relevant.</w:t>
      </w:r>
    </w:p>
    <w:p w14:paraId="4883A558" w14:textId="77777777" w:rsidR="00CA0EF0" w:rsidRPr="00361E30" w:rsidRDefault="00CA0EF0" w:rsidP="003C13F4">
      <w:pPr>
        <w:pStyle w:val="Heading3"/>
      </w:pPr>
      <w:r w:rsidRPr="00361E30">
        <w:t>8.</w:t>
      </w:r>
      <w:r w:rsidR="009C0218">
        <w:t>3</w:t>
      </w:r>
      <w:r w:rsidRPr="00361E30">
        <w:t>.5.1</w:t>
      </w:r>
      <w:r w:rsidRPr="00361E30">
        <w:tab/>
        <w:t>Sensitivity Analysis (Trauma Ward)</w:t>
      </w:r>
    </w:p>
    <w:p w14:paraId="7D6AFD47" w14:textId="77777777" w:rsidR="00CA0EF0" w:rsidRPr="00361E30" w:rsidRDefault="00CA0EF0" w:rsidP="003C13F4">
      <w:r w:rsidRPr="00361E30">
        <w:t>The multilevel model including Trauma Wards as a hospital level variable (see Section 8.2.2) was rerun, on patients admitted to major trauma centres only. In this cohort of patients, there was a significant decrease in survival in hospitals with trauma wards (AOR 0.67 [95% CI 0.48 – 0.94]). However, the overall predictive accuracy of the model was no better than the original model developed in Chapter 5. The AUROC for the original model was 0.8510 (95% CI 0.8469 to 0.8552), while that for the model with Trauma Wards added was 0.8509 (95% CI 0.8467 to 0.8551).</w:t>
      </w:r>
    </w:p>
    <w:p w14:paraId="0C83849B" w14:textId="77777777" w:rsidR="00CA0EF0" w:rsidRPr="00361E30" w:rsidRDefault="00CA0EF0" w:rsidP="003C13F4">
      <w:pPr>
        <w:pStyle w:val="Heading3"/>
      </w:pPr>
      <w:r w:rsidRPr="00361E30">
        <w:t>8.</w:t>
      </w:r>
      <w:r w:rsidR="009C0218">
        <w:t>3</w:t>
      </w:r>
      <w:r w:rsidRPr="00361E30">
        <w:t>.5.2</w:t>
      </w:r>
      <w:r w:rsidRPr="00361E30">
        <w:tab/>
        <w:t>Sensitivity Analysis (Admission to Trauma Ward)</w:t>
      </w:r>
    </w:p>
    <w:p w14:paraId="2C82F2DF" w14:textId="77777777" w:rsidR="00CA0EF0" w:rsidRPr="00361E30" w:rsidRDefault="00CA0EF0" w:rsidP="003C13F4">
      <w:r w:rsidRPr="00361E30">
        <w:t>The multilevel model including admission to a Trauma Ward as a patient level variable (see Section 8.</w:t>
      </w:r>
      <w:r w:rsidR="00B87A6F">
        <w:t>3</w:t>
      </w:r>
      <w:r w:rsidRPr="00361E30">
        <w:t xml:space="preserve">.3) was rerun, on patients admitted to major trauma centres only. In this cohort of patients, admission to a trauma ward was associated with a significant increase in survival. The adjusted odds of survival were 2.03 (95% CI 1.56 – 2.62), compared to 1.69 (95% CI 1.35 to 2.11) when the model was applied to all patients (Section 8.2.3). </w:t>
      </w:r>
      <w:r w:rsidR="00C42581" w:rsidRPr="00361E30">
        <w:t>However,</w:t>
      </w:r>
      <w:r w:rsidRPr="00361E30">
        <w:t xml:space="preserve"> the performance of the model was not better. The AUROC was 0.8518 (95% CI 0.8476 to 0.8560), compared to 0.8510 (95% CI 0.8469 to 0.8552) for the original model, applied to patients admitted to MTCs only.</w:t>
      </w:r>
    </w:p>
    <w:p w14:paraId="36AC1035" w14:textId="77777777" w:rsidR="00CA0EF0" w:rsidRPr="00361E30" w:rsidRDefault="00CA0EF0" w:rsidP="003C13F4">
      <w:pPr>
        <w:pStyle w:val="Heading3"/>
      </w:pPr>
      <w:r w:rsidRPr="00361E30">
        <w:lastRenderedPageBreak/>
        <w:t>8.</w:t>
      </w:r>
      <w:r w:rsidR="009C0218">
        <w:t>3</w:t>
      </w:r>
      <w:r w:rsidRPr="00361E30">
        <w:t>.5.</w:t>
      </w:r>
      <w:r w:rsidR="009C0218">
        <w:t>3</w:t>
      </w:r>
      <w:r w:rsidRPr="00361E30">
        <w:tab/>
        <w:t>Sensitivity Analysis (Rehabilitation Prescription)</w:t>
      </w:r>
    </w:p>
    <w:p w14:paraId="01F687C4" w14:textId="77777777" w:rsidR="00CA0EF0" w:rsidRPr="00361E30" w:rsidRDefault="00CA0EF0" w:rsidP="003C13F4">
      <w:r w:rsidRPr="00361E30">
        <w:t xml:space="preserve">Sensitivity analyses were performed on this data to see if the large number of patients in whom a rehabilitation prescription was deemed ‘not appropriate’ had an impact on the correlation between having a rehabilitation prescription and 30-day survival. In the first sensitivity analysis the variable for rehabilitation prescription was modified so that patients coded ‘not appropriate’ were recoded as ‘no’. In this model, there was still a significant positive correlation between ordering a rehabilitation prescription and 30-day survival (AOR 7.73 [95% CI 6.66 to 8.98]; </w:t>
      </w:r>
      <w:r w:rsidR="00CE038B">
        <w:t>p</w:t>
      </w:r>
      <w:r w:rsidRPr="00361E30">
        <w:t xml:space="preserve"> &lt; 0.01). In this sensitivity analysis, the AUROC for the predictive model was 0.8483 (95% CI 0.8452 - 0.8514).</w:t>
      </w:r>
    </w:p>
    <w:p w14:paraId="69C31AC1" w14:textId="77777777" w:rsidR="00CA0EF0" w:rsidRPr="00361E30" w:rsidRDefault="00CA0EF0" w:rsidP="003C13F4">
      <w:pPr>
        <w:ind w:firstLine="720"/>
      </w:pPr>
      <w:r w:rsidRPr="00361E30">
        <w:t xml:space="preserve">In the second sensitivity analysis, the variable ‘rehabilitation prescription’ was coded as ‘missing’ in all patients in whom a rehabilitation prescription was coded as ‘not appropriate’. In this analysis, the significant association between having a rehabilitation prescription and survival remained but its magnitude was diminished (AOR 2.22 [95% CI 1.79 to 2.74). The AUROC for this model was 0.8297 (95% CI 0.8255 to 0.8340), marginally better than the original model. </w:t>
      </w:r>
    </w:p>
    <w:tbl>
      <w:tblPr>
        <w:tblStyle w:val="TableGrid"/>
        <w:tblW w:w="8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070"/>
        <w:gridCol w:w="1620"/>
        <w:gridCol w:w="1980"/>
      </w:tblGrid>
      <w:tr w:rsidR="00CA0EF0" w:rsidRPr="00361E30" w14:paraId="46449DE1" w14:textId="77777777" w:rsidTr="003C13F4">
        <w:tc>
          <w:tcPr>
            <w:tcW w:w="2718" w:type="dxa"/>
            <w:tcBorders>
              <w:top w:val="single" w:sz="4" w:space="0" w:color="auto"/>
              <w:bottom w:val="single" w:sz="4" w:space="0" w:color="auto"/>
            </w:tcBorders>
            <w:vAlign w:val="center"/>
          </w:tcPr>
          <w:p w14:paraId="7CE652ED" w14:textId="77777777" w:rsidR="00CA0EF0" w:rsidRPr="00361E30" w:rsidRDefault="00CA0EF0" w:rsidP="003C13F4">
            <w:pPr>
              <w:spacing w:line="240" w:lineRule="auto"/>
              <w:jc w:val="left"/>
              <w:rPr>
                <w:rFonts w:eastAsia="Times New Roman"/>
                <w:b/>
                <w:lang w:val="en-GB" w:eastAsia="en-GB"/>
              </w:rPr>
            </w:pPr>
            <w:r w:rsidRPr="00361E30">
              <w:rPr>
                <w:rFonts w:eastAsia="Times New Roman"/>
                <w:b/>
                <w:lang w:val="en-GB" w:eastAsia="en-GB"/>
              </w:rPr>
              <w:t>Model</w:t>
            </w:r>
          </w:p>
        </w:tc>
        <w:tc>
          <w:tcPr>
            <w:tcW w:w="2070" w:type="dxa"/>
            <w:tcBorders>
              <w:top w:val="single" w:sz="4" w:space="0" w:color="auto"/>
              <w:bottom w:val="single" w:sz="4" w:space="0" w:color="auto"/>
            </w:tcBorders>
            <w:vAlign w:val="center"/>
          </w:tcPr>
          <w:p w14:paraId="2B0845C2" w14:textId="77777777" w:rsidR="00CA0EF0" w:rsidRPr="00361E30" w:rsidRDefault="00CA0EF0" w:rsidP="003C13F4">
            <w:pPr>
              <w:spacing w:line="240" w:lineRule="auto"/>
              <w:jc w:val="center"/>
              <w:rPr>
                <w:rFonts w:eastAsia="Times New Roman"/>
                <w:b/>
                <w:lang w:val="en-GB" w:eastAsia="en-GB"/>
              </w:rPr>
            </w:pPr>
            <w:r w:rsidRPr="00361E30">
              <w:rPr>
                <w:rFonts w:eastAsia="Times New Roman"/>
                <w:b/>
                <w:lang w:val="en-GB" w:eastAsia="en-GB"/>
              </w:rPr>
              <w:t>AUROC (95% CI)</w:t>
            </w:r>
          </w:p>
        </w:tc>
        <w:tc>
          <w:tcPr>
            <w:tcW w:w="1620" w:type="dxa"/>
            <w:tcBorders>
              <w:top w:val="single" w:sz="4" w:space="0" w:color="auto"/>
              <w:bottom w:val="single" w:sz="4" w:space="0" w:color="auto"/>
            </w:tcBorders>
            <w:vAlign w:val="center"/>
          </w:tcPr>
          <w:p w14:paraId="77690076" w14:textId="77777777" w:rsidR="00CA0EF0" w:rsidRPr="00361E30" w:rsidRDefault="00CA0EF0" w:rsidP="003C13F4">
            <w:pPr>
              <w:spacing w:line="240" w:lineRule="auto"/>
              <w:jc w:val="center"/>
              <w:rPr>
                <w:rFonts w:eastAsia="Times New Roman"/>
                <w:b/>
                <w:lang w:val="en-GB" w:eastAsia="en-GB"/>
              </w:rPr>
            </w:pPr>
            <w:r w:rsidRPr="00361E30">
              <w:rPr>
                <w:rFonts w:eastAsia="Times New Roman"/>
                <w:b/>
                <w:lang w:val="en-GB" w:eastAsia="en-GB"/>
              </w:rPr>
              <w:t>AIC for model</w:t>
            </w:r>
          </w:p>
        </w:tc>
        <w:tc>
          <w:tcPr>
            <w:tcW w:w="1980" w:type="dxa"/>
            <w:tcBorders>
              <w:top w:val="single" w:sz="4" w:space="0" w:color="auto"/>
              <w:bottom w:val="single" w:sz="4" w:space="0" w:color="auto"/>
            </w:tcBorders>
            <w:vAlign w:val="center"/>
          </w:tcPr>
          <w:p w14:paraId="124398AB" w14:textId="77777777" w:rsidR="00CA0EF0" w:rsidRPr="00361E30" w:rsidRDefault="00CA0EF0" w:rsidP="003C13F4">
            <w:pPr>
              <w:spacing w:line="240" w:lineRule="auto"/>
              <w:jc w:val="center"/>
              <w:rPr>
                <w:b/>
                <w:lang w:val="en-GB"/>
              </w:rPr>
            </w:pPr>
            <w:r w:rsidRPr="00361E30">
              <w:rPr>
                <w:rFonts w:eastAsia="Times New Roman"/>
                <w:b/>
                <w:lang w:val="en-GB" w:eastAsia="en-GB"/>
              </w:rPr>
              <w:t>AOR for additional variable (95% CI)</w:t>
            </w:r>
          </w:p>
        </w:tc>
      </w:tr>
      <w:tr w:rsidR="00CA0EF0" w:rsidRPr="00361E30" w14:paraId="7C352005" w14:textId="77777777" w:rsidTr="003C13F4">
        <w:tc>
          <w:tcPr>
            <w:tcW w:w="2718" w:type="dxa"/>
            <w:tcBorders>
              <w:top w:val="single" w:sz="4" w:space="0" w:color="auto"/>
            </w:tcBorders>
            <w:vAlign w:val="center"/>
          </w:tcPr>
          <w:p w14:paraId="51699EB3" w14:textId="77777777" w:rsidR="00CA0EF0" w:rsidRPr="00361E30" w:rsidRDefault="00CA0EF0" w:rsidP="003C13F4">
            <w:pPr>
              <w:spacing w:line="240" w:lineRule="auto"/>
              <w:jc w:val="left"/>
              <w:rPr>
                <w:rFonts w:eastAsia="Times New Roman"/>
                <w:lang w:val="en-GB" w:eastAsia="en-GB"/>
              </w:rPr>
            </w:pPr>
            <w:r w:rsidRPr="00361E30">
              <w:rPr>
                <w:rFonts w:eastAsia="Times New Roman"/>
                <w:lang w:val="en-GB" w:eastAsia="en-GB"/>
              </w:rPr>
              <w:t>Original Multilevel Model (from Chapter 5)</w:t>
            </w:r>
          </w:p>
        </w:tc>
        <w:tc>
          <w:tcPr>
            <w:tcW w:w="2070" w:type="dxa"/>
            <w:tcBorders>
              <w:top w:val="single" w:sz="4" w:space="0" w:color="auto"/>
            </w:tcBorders>
            <w:vAlign w:val="center"/>
          </w:tcPr>
          <w:p w14:paraId="5BFA0A53"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0.8240</w:t>
            </w:r>
          </w:p>
          <w:p w14:paraId="226AEF11"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(0.8206 to 0.8273)</w:t>
            </w:r>
          </w:p>
        </w:tc>
        <w:tc>
          <w:tcPr>
            <w:tcW w:w="1620" w:type="dxa"/>
            <w:tcBorders>
              <w:top w:val="single" w:sz="4" w:space="0" w:color="auto"/>
            </w:tcBorders>
            <w:vAlign w:val="center"/>
          </w:tcPr>
          <w:p w14:paraId="7B621BA4"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14524.68</w:t>
            </w:r>
          </w:p>
        </w:tc>
        <w:tc>
          <w:tcPr>
            <w:tcW w:w="1980" w:type="dxa"/>
            <w:tcBorders>
              <w:top w:val="single" w:sz="4" w:space="0" w:color="auto"/>
            </w:tcBorders>
            <w:vAlign w:val="center"/>
          </w:tcPr>
          <w:p w14:paraId="7DCB52D1" w14:textId="77777777" w:rsidR="00CA0EF0" w:rsidRPr="00361E30" w:rsidRDefault="00CA0EF0" w:rsidP="003C13F4">
            <w:pPr>
              <w:spacing w:line="240" w:lineRule="auto"/>
              <w:jc w:val="center"/>
              <w:rPr>
                <w:lang w:val="en-GB"/>
              </w:rPr>
            </w:pPr>
            <w:r w:rsidRPr="00361E30">
              <w:rPr>
                <w:lang w:val="en-GB"/>
              </w:rPr>
              <w:t>N/A</w:t>
            </w:r>
          </w:p>
        </w:tc>
      </w:tr>
      <w:tr w:rsidR="00CA0EF0" w:rsidRPr="00361E30" w14:paraId="2C40B9C7" w14:textId="77777777" w:rsidTr="003C13F4">
        <w:tc>
          <w:tcPr>
            <w:tcW w:w="2718" w:type="dxa"/>
            <w:vAlign w:val="center"/>
          </w:tcPr>
          <w:p w14:paraId="1D1A6903" w14:textId="77777777" w:rsidR="00CA0EF0" w:rsidRPr="00361E30" w:rsidRDefault="00CA0EF0" w:rsidP="003C13F4">
            <w:pPr>
              <w:spacing w:line="240" w:lineRule="auto"/>
              <w:jc w:val="left"/>
              <w:rPr>
                <w:rFonts w:eastAsia="Times New Roman"/>
                <w:lang w:val="en-GB" w:eastAsia="en-GB"/>
              </w:rPr>
            </w:pPr>
            <w:r w:rsidRPr="00361E30">
              <w:rPr>
                <w:rFonts w:eastAsia="Times New Roman"/>
                <w:lang w:val="en-GB" w:eastAsia="en-GB"/>
              </w:rPr>
              <w:t>Multilevel Model &amp; Neurosurgery on Site</w:t>
            </w:r>
          </w:p>
        </w:tc>
        <w:tc>
          <w:tcPr>
            <w:tcW w:w="2070" w:type="dxa"/>
            <w:vAlign w:val="center"/>
          </w:tcPr>
          <w:p w14:paraId="193B620C"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0.8241</w:t>
            </w:r>
          </w:p>
          <w:p w14:paraId="162D248E"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(0.8207 to 0.8274)</w:t>
            </w:r>
          </w:p>
        </w:tc>
        <w:tc>
          <w:tcPr>
            <w:tcW w:w="1620" w:type="dxa"/>
            <w:vAlign w:val="center"/>
          </w:tcPr>
          <w:p w14:paraId="5CE005EB"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14523.82</w:t>
            </w:r>
          </w:p>
        </w:tc>
        <w:tc>
          <w:tcPr>
            <w:tcW w:w="1980" w:type="dxa"/>
            <w:vAlign w:val="center"/>
          </w:tcPr>
          <w:p w14:paraId="194FFA44" w14:textId="77777777" w:rsidR="00CA0EF0" w:rsidRPr="00361E30" w:rsidRDefault="00CA0EF0" w:rsidP="003C13F4">
            <w:pPr>
              <w:spacing w:line="240" w:lineRule="auto"/>
              <w:jc w:val="center"/>
              <w:rPr>
                <w:lang w:val="en-GB"/>
              </w:rPr>
            </w:pPr>
            <w:r w:rsidRPr="00361E30">
              <w:rPr>
                <w:lang w:val="en-GB"/>
              </w:rPr>
              <w:t>1.13 (0.98 to 1.30)</w:t>
            </w:r>
          </w:p>
        </w:tc>
      </w:tr>
      <w:tr w:rsidR="00CA0EF0" w:rsidRPr="00361E30" w14:paraId="73F43A26" w14:textId="77777777" w:rsidTr="003C13F4">
        <w:tc>
          <w:tcPr>
            <w:tcW w:w="2718" w:type="dxa"/>
            <w:vAlign w:val="center"/>
          </w:tcPr>
          <w:p w14:paraId="4A23CE2D" w14:textId="77777777" w:rsidR="00CA0EF0" w:rsidRPr="00361E30" w:rsidRDefault="00CA0EF0" w:rsidP="003C13F4">
            <w:pPr>
              <w:spacing w:line="240" w:lineRule="auto"/>
              <w:jc w:val="left"/>
              <w:rPr>
                <w:rFonts w:eastAsia="Times New Roman"/>
                <w:lang w:val="en-GB" w:eastAsia="en-GB"/>
              </w:rPr>
            </w:pPr>
            <w:r w:rsidRPr="00361E30">
              <w:rPr>
                <w:rFonts w:eastAsia="Times New Roman"/>
                <w:lang w:val="en-GB" w:eastAsia="en-GB"/>
              </w:rPr>
              <w:t>Multilevel Model &amp; Trauma Ward</w:t>
            </w:r>
          </w:p>
        </w:tc>
        <w:tc>
          <w:tcPr>
            <w:tcW w:w="2070" w:type="dxa"/>
            <w:vAlign w:val="center"/>
          </w:tcPr>
          <w:p w14:paraId="5AA967BE"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0.8239</w:t>
            </w:r>
          </w:p>
          <w:p w14:paraId="2FFDC43C"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(0.8206 to 0.8273)</w:t>
            </w:r>
          </w:p>
        </w:tc>
        <w:tc>
          <w:tcPr>
            <w:tcW w:w="1620" w:type="dxa"/>
            <w:vAlign w:val="center"/>
          </w:tcPr>
          <w:p w14:paraId="355DEDF7"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14523.41</w:t>
            </w:r>
          </w:p>
        </w:tc>
        <w:tc>
          <w:tcPr>
            <w:tcW w:w="1980" w:type="dxa"/>
            <w:vAlign w:val="center"/>
          </w:tcPr>
          <w:p w14:paraId="6F7EF119" w14:textId="77777777" w:rsidR="00CA0EF0" w:rsidRPr="00361E30" w:rsidRDefault="00CA0EF0" w:rsidP="003C13F4">
            <w:pPr>
              <w:spacing w:line="240" w:lineRule="auto"/>
              <w:jc w:val="center"/>
              <w:rPr>
                <w:lang w:val="en-GB"/>
              </w:rPr>
            </w:pPr>
            <w:r w:rsidRPr="00361E30">
              <w:rPr>
                <w:lang w:val="en-GB"/>
              </w:rPr>
              <w:t>0.92 (0.81 to 1.06)</w:t>
            </w:r>
          </w:p>
        </w:tc>
      </w:tr>
      <w:tr w:rsidR="00CA0EF0" w:rsidRPr="00361E30" w14:paraId="434C9079" w14:textId="77777777" w:rsidTr="003C13F4">
        <w:tc>
          <w:tcPr>
            <w:tcW w:w="2718" w:type="dxa"/>
            <w:vAlign w:val="center"/>
          </w:tcPr>
          <w:p w14:paraId="7B67BD8F" w14:textId="77777777" w:rsidR="00CA0EF0" w:rsidRPr="00361E30" w:rsidRDefault="00CA0EF0" w:rsidP="003C13F4">
            <w:pPr>
              <w:spacing w:line="240" w:lineRule="auto"/>
              <w:jc w:val="left"/>
              <w:rPr>
                <w:rFonts w:eastAsia="Times New Roman"/>
                <w:lang w:val="en-GB" w:eastAsia="en-GB"/>
              </w:rPr>
            </w:pPr>
            <w:r w:rsidRPr="00361E30">
              <w:rPr>
                <w:rFonts w:eastAsia="Times New Roman"/>
                <w:lang w:val="en-GB" w:eastAsia="en-GB"/>
              </w:rPr>
              <w:t xml:space="preserve">Multilevel Model &amp; Admitted </w:t>
            </w:r>
            <w:r w:rsidR="00C42581" w:rsidRPr="00361E30">
              <w:rPr>
                <w:rFonts w:eastAsia="Times New Roman"/>
                <w:lang w:val="en-GB" w:eastAsia="en-GB"/>
              </w:rPr>
              <w:t>to</w:t>
            </w:r>
            <w:r w:rsidRPr="00361E30">
              <w:rPr>
                <w:rFonts w:eastAsia="Times New Roman"/>
                <w:lang w:val="en-GB" w:eastAsia="en-GB"/>
              </w:rPr>
              <w:t xml:space="preserve"> Trauma Ward</w:t>
            </w:r>
          </w:p>
        </w:tc>
        <w:tc>
          <w:tcPr>
            <w:tcW w:w="2070" w:type="dxa"/>
            <w:vAlign w:val="center"/>
          </w:tcPr>
          <w:p w14:paraId="55E01D98"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0.8246</w:t>
            </w:r>
          </w:p>
          <w:p w14:paraId="11DC39CC"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(0.8213 to 0.8280)</w:t>
            </w:r>
          </w:p>
        </w:tc>
        <w:tc>
          <w:tcPr>
            <w:tcW w:w="1620" w:type="dxa"/>
            <w:vAlign w:val="center"/>
          </w:tcPr>
          <w:p w14:paraId="48A1F7F6"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14501.8</w:t>
            </w:r>
          </w:p>
        </w:tc>
        <w:tc>
          <w:tcPr>
            <w:tcW w:w="1980" w:type="dxa"/>
            <w:vAlign w:val="center"/>
          </w:tcPr>
          <w:p w14:paraId="08B282B2" w14:textId="77777777" w:rsidR="00CA0EF0" w:rsidRPr="00361E30" w:rsidRDefault="00CA0EF0" w:rsidP="003C13F4">
            <w:pPr>
              <w:spacing w:line="240" w:lineRule="auto"/>
              <w:jc w:val="center"/>
              <w:rPr>
                <w:lang w:val="en-GB"/>
              </w:rPr>
            </w:pPr>
            <w:r w:rsidRPr="00361E30">
              <w:rPr>
                <w:lang w:val="en-GB"/>
              </w:rPr>
              <w:t>1.69 (1.35 to 2.11)</w:t>
            </w:r>
          </w:p>
        </w:tc>
      </w:tr>
      <w:tr w:rsidR="00CA0EF0" w:rsidRPr="00361E30" w14:paraId="3ACA81D6" w14:textId="77777777" w:rsidTr="003C13F4">
        <w:tc>
          <w:tcPr>
            <w:tcW w:w="2718" w:type="dxa"/>
            <w:tcBorders>
              <w:bottom w:val="single" w:sz="4" w:space="0" w:color="auto"/>
            </w:tcBorders>
            <w:vAlign w:val="center"/>
          </w:tcPr>
          <w:p w14:paraId="6B4F596E" w14:textId="77777777" w:rsidR="00CA0EF0" w:rsidRPr="00361E30" w:rsidRDefault="00CA0EF0" w:rsidP="003C13F4">
            <w:pPr>
              <w:spacing w:line="240" w:lineRule="auto"/>
              <w:jc w:val="left"/>
              <w:rPr>
                <w:rFonts w:eastAsia="Times New Roman"/>
                <w:lang w:val="en-GB" w:eastAsia="en-GB"/>
              </w:rPr>
            </w:pPr>
            <w:r w:rsidRPr="00361E30">
              <w:rPr>
                <w:rFonts w:eastAsia="Times New Roman"/>
                <w:lang w:val="en-GB" w:eastAsia="en-GB"/>
              </w:rPr>
              <w:t>Multilevel Model &amp; Rehabilitation Prescription</w:t>
            </w:r>
          </w:p>
        </w:tc>
        <w:tc>
          <w:tcPr>
            <w:tcW w:w="2070" w:type="dxa"/>
            <w:tcBorders>
              <w:bottom w:val="single" w:sz="4" w:space="0" w:color="auto"/>
            </w:tcBorders>
            <w:vAlign w:val="center"/>
          </w:tcPr>
          <w:p w14:paraId="5E26CB3E"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0.8515</w:t>
            </w:r>
          </w:p>
          <w:p w14:paraId="114FF426"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(0.8484 to 0.8546)</w:t>
            </w:r>
          </w:p>
        </w:tc>
        <w:tc>
          <w:tcPr>
            <w:tcW w:w="1620" w:type="dxa"/>
            <w:tcBorders>
              <w:bottom w:val="single" w:sz="4" w:space="0" w:color="auto"/>
            </w:tcBorders>
            <w:vAlign w:val="center"/>
          </w:tcPr>
          <w:p w14:paraId="43561B7D"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13503.34</w:t>
            </w:r>
          </w:p>
        </w:tc>
        <w:tc>
          <w:tcPr>
            <w:tcW w:w="1980" w:type="dxa"/>
            <w:tcBorders>
              <w:bottom w:val="single" w:sz="4" w:space="0" w:color="auto"/>
            </w:tcBorders>
            <w:vAlign w:val="center"/>
          </w:tcPr>
          <w:p w14:paraId="59696167" w14:textId="77777777" w:rsidR="00CA0EF0" w:rsidRPr="00361E30" w:rsidRDefault="00CA0EF0" w:rsidP="003C13F4">
            <w:pPr>
              <w:spacing w:line="240" w:lineRule="auto"/>
              <w:jc w:val="center"/>
              <w:rPr>
                <w:lang w:val="en-GB"/>
              </w:rPr>
            </w:pPr>
            <w:r w:rsidRPr="00361E30">
              <w:rPr>
                <w:lang w:val="en-GB"/>
              </w:rPr>
              <w:t>4.29 (3.61 to 5.09)</w:t>
            </w:r>
          </w:p>
        </w:tc>
      </w:tr>
      <w:tr w:rsidR="00CA0EF0" w:rsidRPr="00361E30" w14:paraId="0EFA4926" w14:textId="77777777" w:rsidTr="003C13F4">
        <w:tc>
          <w:tcPr>
            <w:tcW w:w="8388" w:type="dxa"/>
            <w:gridSpan w:val="4"/>
            <w:tcBorders>
              <w:top w:val="single" w:sz="4" w:space="0" w:color="auto"/>
              <w:bottom w:val="single" w:sz="4" w:space="0" w:color="auto"/>
            </w:tcBorders>
            <w:vAlign w:val="center"/>
          </w:tcPr>
          <w:p w14:paraId="05E3CB48" w14:textId="77777777" w:rsidR="00CA0EF0" w:rsidRPr="00361E30" w:rsidRDefault="00CA0EF0" w:rsidP="003C13F4">
            <w:pPr>
              <w:spacing w:line="240" w:lineRule="auto"/>
              <w:jc w:val="left"/>
              <w:rPr>
                <w:b/>
                <w:lang w:val="en-GB"/>
              </w:rPr>
            </w:pPr>
            <w:r w:rsidRPr="00361E30">
              <w:rPr>
                <w:b/>
                <w:lang w:val="en-GB"/>
              </w:rPr>
              <w:t>Applying the Model to MTCs only</w:t>
            </w:r>
          </w:p>
        </w:tc>
      </w:tr>
      <w:tr w:rsidR="00CA0EF0" w:rsidRPr="00361E30" w14:paraId="5639EDEF" w14:textId="77777777" w:rsidTr="003C13F4">
        <w:tc>
          <w:tcPr>
            <w:tcW w:w="2718" w:type="dxa"/>
            <w:tcBorders>
              <w:top w:val="single" w:sz="4" w:space="0" w:color="auto"/>
            </w:tcBorders>
            <w:vAlign w:val="center"/>
          </w:tcPr>
          <w:p w14:paraId="32D4EEED" w14:textId="77777777" w:rsidR="00CA0EF0" w:rsidRPr="00361E30" w:rsidRDefault="00CA0EF0" w:rsidP="003C13F4">
            <w:pPr>
              <w:spacing w:line="240" w:lineRule="auto"/>
              <w:jc w:val="left"/>
              <w:rPr>
                <w:rFonts w:eastAsia="Times New Roman"/>
                <w:lang w:val="en-GB" w:eastAsia="en-GB"/>
              </w:rPr>
            </w:pPr>
            <w:r w:rsidRPr="00361E30">
              <w:rPr>
                <w:rFonts w:eastAsia="Times New Roman"/>
                <w:lang w:val="en-GB" w:eastAsia="en-GB"/>
              </w:rPr>
              <w:t>Original Multilevel Model (MTCs only)</w:t>
            </w:r>
          </w:p>
        </w:tc>
        <w:tc>
          <w:tcPr>
            <w:tcW w:w="2070" w:type="dxa"/>
            <w:tcBorders>
              <w:top w:val="single" w:sz="4" w:space="0" w:color="auto"/>
            </w:tcBorders>
            <w:vAlign w:val="center"/>
          </w:tcPr>
          <w:p w14:paraId="2DDED5D0"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 xml:space="preserve">0.8510 </w:t>
            </w:r>
          </w:p>
          <w:p w14:paraId="58BD4CA0"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(0.8469 to 0.8552)</w:t>
            </w:r>
          </w:p>
        </w:tc>
        <w:tc>
          <w:tcPr>
            <w:tcW w:w="1620" w:type="dxa"/>
            <w:tcBorders>
              <w:top w:val="single" w:sz="4" w:space="0" w:color="auto"/>
            </w:tcBorders>
            <w:vAlign w:val="center"/>
          </w:tcPr>
          <w:p w14:paraId="71317B93"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7158.50</w:t>
            </w:r>
          </w:p>
        </w:tc>
        <w:tc>
          <w:tcPr>
            <w:tcW w:w="1980" w:type="dxa"/>
            <w:tcBorders>
              <w:top w:val="single" w:sz="4" w:space="0" w:color="auto"/>
            </w:tcBorders>
            <w:vAlign w:val="center"/>
          </w:tcPr>
          <w:p w14:paraId="125EB45C" w14:textId="77777777" w:rsidR="00CA0EF0" w:rsidRPr="00361E30" w:rsidRDefault="00CA0EF0" w:rsidP="003C13F4">
            <w:pPr>
              <w:spacing w:line="240" w:lineRule="auto"/>
              <w:jc w:val="center"/>
              <w:rPr>
                <w:lang w:val="en-GB"/>
              </w:rPr>
            </w:pPr>
            <w:r w:rsidRPr="00361E30">
              <w:rPr>
                <w:lang w:val="en-GB"/>
              </w:rPr>
              <w:t>N/A</w:t>
            </w:r>
          </w:p>
        </w:tc>
      </w:tr>
      <w:tr w:rsidR="00CA0EF0" w:rsidRPr="00361E30" w14:paraId="693FF1F4" w14:textId="77777777" w:rsidTr="003C13F4">
        <w:tc>
          <w:tcPr>
            <w:tcW w:w="2718" w:type="dxa"/>
            <w:vAlign w:val="center"/>
          </w:tcPr>
          <w:p w14:paraId="0769D2BA" w14:textId="77777777" w:rsidR="00CA0EF0" w:rsidRPr="00361E30" w:rsidRDefault="00CA0EF0" w:rsidP="003C13F4">
            <w:pPr>
              <w:spacing w:line="240" w:lineRule="auto"/>
              <w:jc w:val="left"/>
              <w:rPr>
                <w:rFonts w:eastAsia="Times New Roman"/>
                <w:lang w:val="en-GB" w:eastAsia="en-GB"/>
              </w:rPr>
            </w:pPr>
            <w:r w:rsidRPr="00361E30">
              <w:rPr>
                <w:rFonts w:eastAsia="Times New Roman"/>
                <w:lang w:val="en-GB" w:eastAsia="en-GB"/>
              </w:rPr>
              <w:t>Multilevel Model &amp; Trauma Ward</w:t>
            </w:r>
          </w:p>
        </w:tc>
        <w:tc>
          <w:tcPr>
            <w:tcW w:w="2070" w:type="dxa"/>
            <w:vAlign w:val="center"/>
          </w:tcPr>
          <w:p w14:paraId="01C5E870"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0.8509</w:t>
            </w:r>
          </w:p>
          <w:p w14:paraId="2072D360"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(0.8467 to 0.8551)</w:t>
            </w:r>
          </w:p>
        </w:tc>
        <w:tc>
          <w:tcPr>
            <w:tcW w:w="1620" w:type="dxa"/>
            <w:vAlign w:val="center"/>
          </w:tcPr>
          <w:p w14:paraId="7023D6AD"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7155.27</w:t>
            </w:r>
          </w:p>
        </w:tc>
        <w:tc>
          <w:tcPr>
            <w:tcW w:w="1980" w:type="dxa"/>
            <w:vAlign w:val="center"/>
          </w:tcPr>
          <w:p w14:paraId="29EFA2A9" w14:textId="77777777" w:rsidR="00CA0EF0" w:rsidRPr="00361E30" w:rsidRDefault="00CA0EF0" w:rsidP="003C13F4">
            <w:pPr>
              <w:spacing w:line="240" w:lineRule="auto"/>
              <w:jc w:val="center"/>
              <w:rPr>
                <w:lang w:val="en-GB"/>
              </w:rPr>
            </w:pPr>
            <w:r w:rsidRPr="00361E30">
              <w:rPr>
                <w:lang w:val="en-GB"/>
              </w:rPr>
              <w:t>0.67 (0.48 – 0.94)</w:t>
            </w:r>
          </w:p>
        </w:tc>
      </w:tr>
      <w:tr w:rsidR="00CA0EF0" w:rsidRPr="00361E30" w14:paraId="001B513E" w14:textId="77777777" w:rsidTr="003C13F4">
        <w:tc>
          <w:tcPr>
            <w:tcW w:w="2718" w:type="dxa"/>
            <w:vAlign w:val="center"/>
          </w:tcPr>
          <w:p w14:paraId="5531FF32" w14:textId="77777777" w:rsidR="00CA0EF0" w:rsidRPr="00361E30" w:rsidRDefault="00CA0EF0" w:rsidP="003C13F4">
            <w:pPr>
              <w:spacing w:line="240" w:lineRule="auto"/>
              <w:jc w:val="left"/>
              <w:rPr>
                <w:rFonts w:eastAsia="Times New Roman"/>
                <w:lang w:val="en-GB" w:eastAsia="en-GB"/>
              </w:rPr>
            </w:pPr>
            <w:r w:rsidRPr="00361E30">
              <w:rPr>
                <w:rFonts w:eastAsia="Times New Roman"/>
                <w:lang w:val="en-GB" w:eastAsia="en-GB"/>
              </w:rPr>
              <w:t>Multilevel Model &amp; Admitted to Trauma Ward</w:t>
            </w:r>
          </w:p>
        </w:tc>
        <w:tc>
          <w:tcPr>
            <w:tcW w:w="2070" w:type="dxa"/>
            <w:vAlign w:val="center"/>
          </w:tcPr>
          <w:p w14:paraId="7A180E08"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0.8518</w:t>
            </w:r>
          </w:p>
          <w:p w14:paraId="07DF4631"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(0.8476 to 0.8560)</w:t>
            </w:r>
          </w:p>
        </w:tc>
        <w:tc>
          <w:tcPr>
            <w:tcW w:w="1620" w:type="dxa"/>
            <w:vAlign w:val="center"/>
          </w:tcPr>
          <w:p w14:paraId="1B946DE4"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7129.10</w:t>
            </w:r>
          </w:p>
        </w:tc>
        <w:tc>
          <w:tcPr>
            <w:tcW w:w="1980" w:type="dxa"/>
            <w:vAlign w:val="center"/>
          </w:tcPr>
          <w:p w14:paraId="28487E20" w14:textId="77777777" w:rsidR="00CA0EF0" w:rsidRPr="00361E30" w:rsidRDefault="00CA0EF0" w:rsidP="003C13F4">
            <w:pPr>
              <w:spacing w:line="240" w:lineRule="auto"/>
              <w:jc w:val="center"/>
              <w:rPr>
                <w:lang w:val="en-GB"/>
              </w:rPr>
            </w:pPr>
            <w:r w:rsidRPr="00361E30">
              <w:rPr>
                <w:lang w:val="en-GB"/>
              </w:rPr>
              <w:t>2.03 (1.56 – 2.62)</w:t>
            </w:r>
          </w:p>
        </w:tc>
      </w:tr>
      <w:tr w:rsidR="00CA0EF0" w:rsidRPr="00361E30" w14:paraId="5181A7BD" w14:textId="77777777" w:rsidTr="003C13F4">
        <w:tc>
          <w:tcPr>
            <w:tcW w:w="2718" w:type="dxa"/>
            <w:tcBorders>
              <w:bottom w:val="single" w:sz="4" w:space="0" w:color="auto"/>
            </w:tcBorders>
            <w:vAlign w:val="center"/>
          </w:tcPr>
          <w:p w14:paraId="3308732B" w14:textId="77777777" w:rsidR="00CA0EF0" w:rsidRPr="00361E30" w:rsidRDefault="00CA0EF0" w:rsidP="003C13F4">
            <w:pPr>
              <w:spacing w:line="240" w:lineRule="auto"/>
              <w:jc w:val="left"/>
              <w:rPr>
                <w:rFonts w:eastAsia="Times New Roman"/>
                <w:lang w:val="en-GB" w:eastAsia="en-GB"/>
              </w:rPr>
            </w:pPr>
            <w:r w:rsidRPr="00361E30">
              <w:rPr>
                <w:rFonts w:eastAsia="Times New Roman"/>
                <w:lang w:val="en-GB" w:eastAsia="en-GB"/>
              </w:rPr>
              <w:t>Multilevel Model &amp; Rehabilitation Prescription</w:t>
            </w:r>
          </w:p>
        </w:tc>
        <w:tc>
          <w:tcPr>
            <w:tcW w:w="2070" w:type="dxa"/>
            <w:tcBorders>
              <w:bottom w:val="single" w:sz="4" w:space="0" w:color="auto"/>
            </w:tcBorders>
            <w:vAlign w:val="center"/>
          </w:tcPr>
          <w:p w14:paraId="66370293"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 xml:space="preserve">0.9046 </w:t>
            </w:r>
          </w:p>
          <w:p w14:paraId="676AB457"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(0.9012 to 0.9080)</w:t>
            </w:r>
          </w:p>
        </w:tc>
        <w:tc>
          <w:tcPr>
            <w:tcW w:w="1620" w:type="dxa"/>
            <w:tcBorders>
              <w:bottom w:val="single" w:sz="4" w:space="0" w:color="auto"/>
            </w:tcBorders>
            <w:vAlign w:val="center"/>
          </w:tcPr>
          <w:p w14:paraId="03955FE0" w14:textId="77777777" w:rsidR="00CA0EF0" w:rsidRPr="00361E30" w:rsidRDefault="00CA0EF0" w:rsidP="003C13F4">
            <w:pPr>
              <w:spacing w:line="240" w:lineRule="auto"/>
              <w:jc w:val="center"/>
              <w:rPr>
                <w:rFonts w:eastAsia="Times New Roman"/>
                <w:lang w:val="en-GB" w:eastAsia="en-GB"/>
              </w:rPr>
            </w:pPr>
            <w:r w:rsidRPr="00361E30">
              <w:rPr>
                <w:rFonts w:eastAsia="Times New Roman"/>
                <w:lang w:val="en-GB" w:eastAsia="en-GB"/>
              </w:rPr>
              <w:t>5856.50</w:t>
            </w:r>
          </w:p>
        </w:tc>
        <w:tc>
          <w:tcPr>
            <w:tcW w:w="1980" w:type="dxa"/>
            <w:tcBorders>
              <w:bottom w:val="single" w:sz="4" w:space="0" w:color="auto"/>
            </w:tcBorders>
            <w:vAlign w:val="center"/>
          </w:tcPr>
          <w:p w14:paraId="148BC7EE" w14:textId="77777777" w:rsidR="00CA0EF0" w:rsidRPr="00361E30" w:rsidRDefault="00CA0EF0" w:rsidP="003C13F4">
            <w:pPr>
              <w:spacing w:line="240" w:lineRule="auto"/>
              <w:jc w:val="center"/>
              <w:rPr>
                <w:lang w:val="en-GB"/>
              </w:rPr>
            </w:pPr>
            <w:r w:rsidRPr="00361E30">
              <w:rPr>
                <w:lang w:val="en-GB"/>
              </w:rPr>
              <w:t>1.82 (1.41 to 2.36)</w:t>
            </w:r>
          </w:p>
        </w:tc>
      </w:tr>
    </w:tbl>
    <w:p w14:paraId="760CD2ED" w14:textId="77777777" w:rsidR="00CA0EF0" w:rsidRPr="00361E30" w:rsidRDefault="00CA0EF0" w:rsidP="003C13F4">
      <w:pPr>
        <w:pStyle w:val="TableTitle"/>
      </w:pPr>
      <w:bookmarkStart w:id="206" w:name="_Toc528321060"/>
      <w:r w:rsidRPr="00361E30">
        <w:t>Table 8.2: Performance of multilevel models with the addition of variables identified from the semi-structured interviews. (AIC = Akaike information criteria; AOR = adjusted odds ratio; AUROC = area under the receiver operator curve)</w:t>
      </w:r>
      <w:bookmarkEnd w:id="206"/>
      <w:r w:rsidRPr="00361E30">
        <w:t xml:space="preserve">. </w:t>
      </w:r>
    </w:p>
    <w:p w14:paraId="6504C30F" w14:textId="77777777" w:rsidR="00CA0EF0" w:rsidRPr="00361E30" w:rsidRDefault="00CA0EF0" w:rsidP="003C13F4">
      <w:pPr>
        <w:ind w:firstLine="720"/>
      </w:pPr>
      <w:r w:rsidRPr="00361E30">
        <w:t xml:space="preserve">The analysis of the association between having a rehabilitation prescription and survival was also repeated on patients admitted to MTCs only, as these patients were more </w:t>
      </w:r>
      <w:r w:rsidRPr="00361E30">
        <w:lastRenderedPageBreak/>
        <w:t xml:space="preserve">likely to have both a rehabilitation specialist and trauma ward available to them. This analysis showed a positive, though less marked, correlation between ordering a rehabilitation prescription and 30-day survival (AOR 1.83 [95% CI 1.41 to 2.36] </w:t>
      </w:r>
      <w:r w:rsidR="00CE038B">
        <w:t>p</w:t>
      </w:r>
      <w:r w:rsidRPr="00361E30">
        <w:t xml:space="preserve"> &lt; 0.01). However, the model produced on this subset of patients had a significantly higher predictive accuracy for 30-day mortality. The AUROC for this model was 0.9046 (95% CI 0.9012 to 0.9080), compared to an AUROC for the original model of 0.8510 (95% CI 0.8469 – 0.8552) when this model was applied only to MTCs. The slight difference in the AUROC for the original model in this comparison (compared to the AUROC reported in Table 8.2) is because this was applied to a sample consisting of only MTCs.</w:t>
      </w:r>
    </w:p>
    <w:p w14:paraId="02BC051F" w14:textId="77777777" w:rsidR="00CA0EF0" w:rsidRPr="00361E30" w:rsidRDefault="00CA0EF0" w:rsidP="003C13F4">
      <w:pPr>
        <w:pStyle w:val="Heading1"/>
      </w:pPr>
      <w:bookmarkStart w:id="207" w:name="_Toc1902354"/>
      <w:r w:rsidRPr="00361E30">
        <w:t>8.</w:t>
      </w:r>
      <w:r w:rsidR="009C0218">
        <w:t>4</w:t>
      </w:r>
      <w:r w:rsidRPr="00361E30">
        <w:t xml:space="preserve"> Variance in Hospital Performance Using the Refined Model</w:t>
      </w:r>
      <w:bookmarkEnd w:id="207"/>
    </w:p>
    <w:p w14:paraId="021D349B" w14:textId="77777777" w:rsidR="00CA0EF0" w:rsidRPr="00361E30" w:rsidRDefault="00CA0EF0" w:rsidP="003C13F4">
      <w:pPr>
        <w:pStyle w:val="Heading2"/>
      </w:pPr>
      <w:bookmarkStart w:id="208" w:name="_Toc1902355"/>
      <w:r w:rsidRPr="00361E30">
        <w:t>8.</w:t>
      </w:r>
      <w:r w:rsidR="009C0218">
        <w:t>4</w:t>
      </w:r>
      <w:r w:rsidRPr="00361E30">
        <w:t>.1</w:t>
      </w:r>
      <w:r w:rsidRPr="00361E30">
        <w:tab/>
        <w:t>Variance in the Model, When Applied to Eligible MTCs and TUs</w:t>
      </w:r>
      <w:bookmarkEnd w:id="208"/>
      <w:r w:rsidRPr="00361E30">
        <w:tab/>
      </w:r>
    </w:p>
    <w:p w14:paraId="3577D695" w14:textId="77777777" w:rsidR="00CA0EF0" w:rsidRPr="00361E30" w:rsidRDefault="00CA0EF0" w:rsidP="003C13F4">
      <w:r w:rsidRPr="00361E30">
        <w:t>Figure 8.1 shows the funnel plot of Ws scores for English hospitals after a quality filter was applied (the hospitals included in the refinement of the predictive model described in this chapter), compared to the 95% and 99% confidence limits for the Ws of hospitals with similar numbers of submitted cases. Hospitals with less than 50 submitted cases were excluded from the analysis.</w:t>
      </w:r>
    </w:p>
    <w:p w14:paraId="516FEC69" w14:textId="77777777" w:rsidR="00CA0EF0" w:rsidRPr="00361E30" w:rsidRDefault="00CA0EF0" w:rsidP="003C13F4">
      <w:pPr>
        <w:ind w:firstLine="720"/>
      </w:pPr>
      <w:r w:rsidRPr="00361E30">
        <w:t xml:space="preserve">The model used for this plot was the original model derived in Chapter 6, plus one additional variable: </w:t>
      </w:r>
      <w:r w:rsidR="00C42581" w:rsidRPr="00361E30">
        <w:t>whether</w:t>
      </w:r>
      <w:r w:rsidRPr="00361E30">
        <w:t xml:space="preserve"> patients received a discharge prescription (introduced into the multi-level model at the individual patient level). When compared to the funnel plot of the original model (Figure 8.2) </w:t>
      </w:r>
      <w:r w:rsidR="00C42581" w:rsidRPr="00361E30">
        <w:t>there</w:t>
      </w:r>
      <w:r w:rsidRPr="00361E30">
        <w:t xml:space="preserve"> is significantly more variance between hospitals with the refined model.</w:t>
      </w:r>
    </w:p>
    <w:p w14:paraId="4DCD6BFC" w14:textId="77777777" w:rsidR="00CA0EF0" w:rsidRPr="00361E30" w:rsidRDefault="00CA0EF0" w:rsidP="003C13F4">
      <w:r w:rsidRPr="00361E30">
        <w:rPr>
          <w:noProof/>
          <w:lang w:eastAsia="en-GB"/>
        </w:rPr>
        <w:lastRenderedPageBreak/>
        <w:drawing>
          <wp:inline distT="0" distB="0" distL="0" distR="0" wp14:anchorId="3627CEC3" wp14:editId="3033ECF3">
            <wp:extent cx="4420374" cy="3219610"/>
            <wp:effectExtent l="0" t="0" r="0" b="0"/>
            <wp:docPr id="20" name="Picture 20" descr="C:\Users\champs\Google Drive\Ian Sammy PhD Thesis 2014\TARN Dataset\TARNDataset(ImputedData)20160404\TARNDataset(MultilevelModel)20161016\FunnelPlotps24aq_rp_logit(Preci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mps\Google Drive\Ian Sammy PhD Thesis 2014\TARN Dataset\TARNDataset(ImputedData)20160404\TARNDataset(MultilevelModel)20161016\FunnelPlotps24aq_rp_logit(Precision).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4653" cy="3222727"/>
                    </a:xfrm>
                    <a:prstGeom prst="rect">
                      <a:avLst/>
                    </a:prstGeom>
                    <a:noFill/>
                    <a:ln>
                      <a:noFill/>
                    </a:ln>
                  </pic:spPr>
                </pic:pic>
              </a:graphicData>
            </a:graphic>
          </wp:inline>
        </w:drawing>
      </w:r>
    </w:p>
    <w:p w14:paraId="5CB47557" w14:textId="77777777" w:rsidR="00CA0EF0" w:rsidRPr="00361E30" w:rsidRDefault="00CA0EF0" w:rsidP="003C13F4">
      <w:pPr>
        <w:pStyle w:val="FigureTitle"/>
      </w:pPr>
      <w:bookmarkStart w:id="209" w:name="_Toc529090352"/>
      <w:r w:rsidRPr="00361E30">
        <w:t xml:space="preserve">Figure 8.1: Funnel plot of Ws of TARN hospitals, using the </w:t>
      </w:r>
      <w:r w:rsidRPr="00361E30">
        <w:rPr>
          <w:u w:val="single"/>
        </w:rPr>
        <w:t>refined</w:t>
      </w:r>
      <w:r w:rsidRPr="00361E30">
        <w:t xml:space="preserve"> predictive model (including rehabilitation prescription as a variable) and based on adjusted mortality figures for patients aged 65 and older, comparing English hospitals and excluding hospitals with inadequate data submission. Hospitals with less than 50 submissions were also excluded.</w:t>
      </w:r>
      <w:bookmarkEnd w:id="209"/>
    </w:p>
    <w:p w14:paraId="12067FCC" w14:textId="77777777" w:rsidR="00CA0EF0" w:rsidRPr="00361E30" w:rsidRDefault="00CA0EF0" w:rsidP="003C13F4">
      <w:pPr>
        <w:spacing w:line="240" w:lineRule="auto"/>
        <w:rPr>
          <w:b/>
        </w:rPr>
      </w:pPr>
    </w:p>
    <w:p w14:paraId="1E616BE2" w14:textId="77777777" w:rsidR="00CA0EF0" w:rsidRPr="00361E30" w:rsidRDefault="00CA0EF0" w:rsidP="003C13F4">
      <w:r w:rsidRPr="00361E30">
        <w:rPr>
          <w:noProof/>
          <w:lang w:eastAsia="en-GB"/>
        </w:rPr>
        <w:drawing>
          <wp:inline distT="0" distB="0" distL="0" distR="0" wp14:anchorId="53160583" wp14:editId="0EDE4743">
            <wp:extent cx="4524375" cy="3293110"/>
            <wp:effectExtent l="0" t="0" r="0" b="0"/>
            <wp:docPr id="21" name="image11.png" descr="C:\Users\champs\Google Drive\Ian Sammy PhD Thesis 2014\TARN Dataset\TARNDataset(ImputedData)20160404\TARNDataset(ImputedDataQualfilterOn)20160908\FunnelPlotQualiFilter20161024\FunnelPlotModel24aqQualFilterEnglish_mj==3(Size)20161024.tif"/>
            <wp:cNvGraphicFramePr/>
            <a:graphic xmlns:a="http://schemas.openxmlformats.org/drawingml/2006/main">
              <a:graphicData uri="http://schemas.openxmlformats.org/drawingml/2006/picture">
                <pic:pic xmlns:pic="http://schemas.openxmlformats.org/drawingml/2006/picture">
                  <pic:nvPicPr>
                    <pic:cNvPr id="0" name="image11.png" descr="C:\Users\champs\Google Drive\Ian Sammy PhD Thesis 2014\TARN Dataset\TARNDataset(ImputedData)20160404\TARNDataset(ImputedDataQualfilterOn)20160908\FunnelPlotQualiFilter20161024\FunnelPlotModel24aqQualFilterEnglish_mj==3(Size)20161024.tif"/>
                    <pic:cNvPicPr preferRelativeResize="0"/>
                  </pic:nvPicPr>
                  <pic:blipFill>
                    <a:blip r:embed="rId15"/>
                    <a:srcRect/>
                    <a:stretch>
                      <a:fillRect/>
                    </a:stretch>
                  </pic:blipFill>
                  <pic:spPr>
                    <a:xfrm>
                      <a:off x="0" y="0"/>
                      <a:ext cx="4524375" cy="3293110"/>
                    </a:xfrm>
                    <a:prstGeom prst="rect">
                      <a:avLst/>
                    </a:prstGeom>
                    <a:ln/>
                  </pic:spPr>
                </pic:pic>
              </a:graphicData>
            </a:graphic>
          </wp:inline>
        </w:drawing>
      </w:r>
    </w:p>
    <w:p w14:paraId="1A748E7A" w14:textId="77777777" w:rsidR="00CA0EF0" w:rsidRPr="00361E30" w:rsidRDefault="00CA0EF0" w:rsidP="003C13F4">
      <w:pPr>
        <w:pStyle w:val="FigureTitle"/>
      </w:pPr>
      <w:bookmarkStart w:id="210" w:name="_Toc529090353"/>
      <w:r w:rsidRPr="00361E30">
        <w:t>Figure 8.2: Funnel plot of Ws of TARN hospitals, based on adjusted mortality figures for patients aged 65 and older, comparing English hospitals and excluding hospitals with inadequate data submission. Hospitals with less than 50 submissions were also excluded.</w:t>
      </w:r>
      <w:bookmarkEnd w:id="210"/>
    </w:p>
    <w:p w14:paraId="048A9BD7" w14:textId="77777777" w:rsidR="00CA0EF0" w:rsidRPr="00361E30" w:rsidRDefault="00CA0EF0" w:rsidP="003C13F4">
      <w:pPr>
        <w:pStyle w:val="Heading2"/>
      </w:pPr>
      <w:bookmarkStart w:id="211" w:name="_Toc1902356"/>
      <w:r w:rsidRPr="00361E30">
        <w:lastRenderedPageBreak/>
        <w:t>8.</w:t>
      </w:r>
      <w:r w:rsidR="009C0218">
        <w:t>4</w:t>
      </w:r>
      <w:r w:rsidRPr="00361E30">
        <w:t>.2</w:t>
      </w:r>
      <w:r w:rsidRPr="00361E30">
        <w:tab/>
        <w:t>Variance in the Model, When Applied to MTCs Only</w:t>
      </w:r>
      <w:bookmarkEnd w:id="211"/>
    </w:p>
    <w:p w14:paraId="54893F73" w14:textId="77777777" w:rsidR="00CA0EF0" w:rsidRPr="00361E30" w:rsidRDefault="00CA0EF0" w:rsidP="003C13F4">
      <w:r w:rsidRPr="00361E30">
        <w:t>As a sensitivity analysis, the variance in standardised excess survival rates was assessed for the models which included Trauma Ward, Admission to a Trauma Ward and Rehabilitation Prescription. Each of these was compared to the funnel plot for the original model derived in Chapter 5. Figure 8.3 shows the funnel plots for the multilevel models applied to patients admitted to major trauma centres only. In this cohort of patients, the addition of ‘rehabilitation prescription’ to the model decreased the variance of the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5"/>
        <w:gridCol w:w="4241"/>
      </w:tblGrid>
      <w:tr w:rsidR="00CA0EF0" w:rsidRPr="00361E30" w14:paraId="4DCF25B1" w14:textId="77777777" w:rsidTr="003C13F4">
        <w:tc>
          <w:tcPr>
            <w:tcW w:w="4356" w:type="dxa"/>
            <w:vAlign w:val="center"/>
          </w:tcPr>
          <w:p w14:paraId="30540F65" w14:textId="77777777" w:rsidR="00CA0EF0" w:rsidRPr="00361E30" w:rsidRDefault="00CA0EF0" w:rsidP="003C13F4">
            <w:pPr>
              <w:spacing w:line="240" w:lineRule="auto"/>
              <w:jc w:val="center"/>
              <w:rPr>
                <w:lang w:val="en-GB"/>
              </w:rPr>
            </w:pPr>
            <w:r w:rsidRPr="00361E30">
              <w:rPr>
                <w:noProof/>
                <w:lang w:eastAsia="en-GB"/>
              </w:rPr>
              <w:drawing>
                <wp:inline distT="0" distB="0" distL="0" distR="0" wp14:anchorId="0060928F" wp14:editId="13E33ACA">
                  <wp:extent cx="2204912" cy="1490702"/>
                  <wp:effectExtent l="0" t="0" r="5080" b="0"/>
                  <wp:docPr id="31" name="Picture 31" descr="C:\Users\champs\Google Drive\Ian Sammy PhD Thesis 2014\TARN Dataset\TARNDataset(ImputedData)20160404\TARNDataset(MultilevelModel)20161016\Funnel Plots (MTCs only)\FunnelPlotps24aml_ph3_MTCOnly(preci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mps\Google Drive\Ian Sammy PhD Thesis 2014\TARN Dataset\TARNDataset(ImputedData)20160404\TARNDataset(MultilevelModel)20161016\Funnel Plots (MTCs only)\FunnelPlotps24aml_ph3_MTCOnly(precision).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4802" cy="1490627"/>
                          </a:xfrm>
                          <a:prstGeom prst="rect">
                            <a:avLst/>
                          </a:prstGeom>
                          <a:noFill/>
                          <a:ln>
                            <a:noFill/>
                          </a:ln>
                        </pic:spPr>
                      </pic:pic>
                    </a:graphicData>
                  </a:graphic>
                </wp:inline>
              </w:drawing>
            </w:r>
          </w:p>
        </w:tc>
        <w:tc>
          <w:tcPr>
            <w:tcW w:w="4356" w:type="dxa"/>
            <w:vAlign w:val="center"/>
          </w:tcPr>
          <w:p w14:paraId="23DF6FC2" w14:textId="77777777" w:rsidR="00CA0EF0" w:rsidRPr="00361E30" w:rsidRDefault="00CA0EF0" w:rsidP="003C13F4">
            <w:pPr>
              <w:spacing w:line="240" w:lineRule="auto"/>
              <w:jc w:val="center"/>
              <w:rPr>
                <w:lang w:val="en-GB"/>
              </w:rPr>
            </w:pPr>
            <w:r w:rsidRPr="00361E30">
              <w:rPr>
                <w:noProof/>
                <w:lang w:eastAsia="en-GB"/>
              </w:rPr>
              <w:drawing>
                <wp:inline distT="0" distB="0" distL="0" distR="0" wp14:anchorId="0F530BC3" wp14:editId="7FF6F868">
                  <wp:extent cx="2078316" cy="1513755"/>
                  <wp:effectExtent l="0" t="0" r="0" b="0"/>
                  <wp:docPr id="44" name="Picture 44" descr="C:\Users\champs\Google Drive\Ian Sammy PhD Thesis 2014\TARN Dataset\TARNDataset(ImputedData)20160404\TARNDataset(MultilevelModel)20161016\Funnel Plots (MTCs only)\FunnelPlotps24aml_ph3_rpMTC(preci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mps\Google Drive\Ian Sammy PhD Thesis 2014\TARN Dataset\TARNDataset(ImputedData)20160404\TARNDataset(MultilevelModel)20161016\Funnel Plots (MTCs only)\FunnelPlotps24aml_ph3_rpMTC(precision).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3508" cy="1517536"/>
                          </a:xfrm>
                          <a:prstGeom prst="rect">
                            <a:avLst/>
                          </a:prstGeom>
                          <a:noFill/>
                          <a:ln>
                            <a:noFill/>
                          </a:ln>
                        </pic:spPr>
                      </pic:pic>
                    </a:graphicData>
                  </a:graphic>
                </wp:inline>
              </w:drawing>
            </w:r>
          </w:p>
        </w:tc>
      </w:tr>
      <w:tr w:rsidR="00CA0EF0" w:rsidRPr="00361E30" w14:paraId="58C0DEC7" w14:textId="77777777" w:rsidTr="003C13F4">
        <w:tc>
          <w:tcPr>
            <w:tcW w:w="4356" w:type="dxa"/>
          </w:tcPr>
          <w:p w14:paraId="1EE5C454" w14:textId="77777777" w:rsidR="00CA0EF0" w:rsidRPr="00361E30" w:rsidRDefault="00CA0EF0" w:rsidP="003C13F4">
            <w:pPr>
              <w:spacing w:line="240" w:lineRule="auto"/>
              <w:jc w:val="left"/>
              <w:rPr>
                <w:lang w:val="en-GB"/>
              </w:rPr>
            </w:pPr>
            <w:r w:rsidRPr="00361E30">
              <w:rPr>
                <w:lang w:val="en-GB"/>
              </w:rPr>
              <w:t>Original model from Chapter 5</w:t>
            </w:r>
          </w:p>
        </w:tc>
        <w:tc>
          <w:tcPr>
            <w:tcW w:w="4356" w:type="dxa"/>
          </w:tcPr>
          <w:p w14:paraId="6FA999DD" w14:textId="77777777" w:rsidR="00CA0EF0" w:rsidRPr="00361E30" w:rsidRDefault="00CA0EF0" w:rsidP="003C13F4">
            <w:pPr>
              <w:spacing w:line="240" w:lineRule="auto"/>
              <w:jc w:val="left"/>
              <w:rPr>
                <w:lang w:val="en-GB"/>
              </w:rPr>
            </w:pPr>
            <w:r w:rsidRPr="00361E30">
              <w:rPr>
                <w:lang w:val="en-GB"/>
              </w:rPr>
              <w:t>Model from Chapter 5, plus ‘rehabilitation prescription’</w:t>
            </w:r>
          </w:p>
          <w:p w14:paraId="58809AD6" w14:textId="77777777" w:rsidR="00CA0EF0" w:rsidRPr="00361E30" w:rsidRDefault="00CA0EF0" w:rsidP="003C13F4">
            <w:pPr>
              <w:spacing w:line="240" w:lineRule="auto"/>
              <w:jc w:val="left"/>
              <w:rPr>
                <w:lang w:val="en-GB"/>
              </w:rPr>
            </w:pPr>
          </w:p>
        </w:tc>
      </w:tr>
      <w:tr w:rsidR="00CA0EF0" w:rsidRPr="00361E30" w14:paraId="11A1FAD5" w14:textId="77777777" w:rsidTr="003C13F4">
        <w:tc>
          <w:tcPr>
            <w:tcW w:w="4356" w:type="dxa"/>
            <w:vAlign w:val="center"/>
          </w:tcPr>
          <w:p w14:paraId="7A2F6CBA" w14:textId="77777777" w:rsidR="00CA0EF0" w:rsidRPr="00361E30" w:rsidRDefault="00CA0EF0" w:rsidP="003C13F4">
            <w:pPr>
              <w:spacing w:line="240" w:lineRule="auto"/>
              <w:jc w:val="center"/>
              <w:rPr>
                <w:lang w:val="en-GB"/>
              </w:rPr>
            </w:pPr>
            <w:r w:rsidRPr="00361E30">
              <w:rPr>
                <w:noProof/>
                <w:lang w:eastAsia="en-GB"/>
              </w:rPr>
              <w:drawing>
                <wp:inline distT="0" distB="0" distL="0" distR="0" wp14:anchorId="40A4A580" wp14:editId="076DE4F6">
                  <wp:extent cx="2067005" cy="1413862"/>
                  <wp:effectExtent l="0" t="0" r="0" b="0"/>
                  <wp:docPr id="45" name="Picture 45" descr="C:\Users\champs\Google Drive\Ian Sammy PhD Thesis 2014\TARN Dataset\TARNDataset(ImputedData)20160404\TARNDataset(MultilevelModel)20161016\Funnel Plots (MTCs only)\FunnelPlotps24aml_ph3_twMTC(preci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mps\Google Drive\Ian Sammy PhD Thesis 2014\TARN Dataset\TARNDataset(ImputedData)20160404\TARNDataset(MultilevelModel)20161016\Funnel Plots (MTCs only)\FunnelPlotps24aml_ph3_twMTC(precision).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68584" cy="1414942"/>
                          </a:xfrm>
                          <a:prstGeom prst="rect">
                            <a:avLst/>
                          </a:prstGeom>
                          <a:noFill/>
                          <a:ln>
                            <a:noFill/>
                          </a:ln>
                        </pic:spPr>
                      </pic:pic>
                    </a:graphicData>
                  </a:graphic>
                </wp:inline>
              </w:drawing>
            </w:r>
          </w:p>
        </w:tc>
        <w:tc>
          <w:tcPr>
            <w:tcW w:w="4356" w:type="dxa"/>
            <w:vAlign w:val="center"/>
          </w:tcPr>
          <w:p w14:paraId="086B261E" w14:textId="77777777" w:rsidR="00CA0EF0" w:rsidRPr="00361E30" w:rsidRDefault="00CA0EF0" w:rsidP="003C13F4">
            <w:pPr>
              <w:spacing w:line="240" w:lineRule="auto"/>
              <w:jc w:val="center"/>
              <w:rPr>
                <w:lang w:val="en-GB"/>
              </w:rPr>
            </w:pPr>
            <w:r w:rsidRPr="00361E30">
              <w:rPr>
                <w:noProof/>
                <w:lang w:eastAsia="en-GB"/>
              </w:rPr>
              <w:drawing>
                <wp:inline distT="0" distB="0" distL="0" distR="0" wp14:anchorId="1DF57375" wp14:editId="6C5B0AEB">
                  <wp:extent cx="2152164" cy="1567543"/>
                  <wp:effectExtent l="0" t="0" r="635" b="0"/>
                  <wp:docPr id="46" name="Picture 46" descr="C:\Users\champs\Google Drive\Ian Sammy PhD Thesis 2014\TARN Dataset\TARNDataset(ImputedData)20160404\TARNDataset(MultilevelModel)20161016\Funnel Plots (MTCs only)\FunnelPlotps24aml_ph3_wtwMTC(preci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mps\Google Drive\Ian Sammy PhD Thesis 2014\TARN Dataset\TARNDataset(ImputedData)20160404\TARNDataset(MultilevelModel)20161016\Funnel Plots (MTCs only)\FunnelPlotps24aml_ph3_wtwMTC(precision).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3260" cy="1568341"/>
                          </a:xfrm>
                          <a:prstGeom prst="rect">
                            <a:avLst/>
                          </a:prstGeom>
                          <a:noFill/>
                          <a:ln>
                            <a:noFill/>
                          </a:ln>
                        </pic:spPr>
                      </pic:pic>
                    </a:graphicData>
                  </a:graphic>
                </wp:inline>
              </w:drawing>
            </w:r>
          </w:p>
        </w:tc>
      </w:tr>
      <w:tr w:rsidR="00CA0EF0" w:rsidRPr="00361E30" w14:paraId="19B30E79" w14:textId="77777777" w:rsidTr="003C13F4">
        <w:tc>
          <w:tcPr>
            <w:tcW w:w="4356" w:type="dxa"/>
          </w:tcPr>
          <w:p w14:paraId="0E207E1F" w14:textId="77777777" w:rsidR="00CA0EF0" w:rsidRPr="00361E30" w:rsidRDefault="00CA0EF0" w:rsidP="003C13F4">
            <w:pPr>
              <w:spacing w:line="240" w:lineRule="auto"/>
              <w:jc w:val="left"/>
              <w:rPr>
                <w:lang w:val="en-GB"/>
              </w:rPr>
            </w:pPr>
            <w:r w:rsidRPr="00361E30">
              <w:rPr>
                <w:lang w:val="en-GB"/>
              </w:rPr>
              <w:t>Model from Chapter 5, plus ‘Trauma Ward’</w:t>
            </w:r>
          </w:p>
        </w:tc>
        <w:tc>
          <w:tcPr>
            <w:tcW w:w="4356" w:type="dxa"/>
          </w:tcPr>
          <w:p w14:paraId="0F931C58" w14:textId="77777777" w:rsidR="00CA0EF0" w:rsidRPr="00361E30" w:rsidRDefault="00CA0EF0" w:rsidP="003C13F4">
            <w:pPr>
              <w:spacing w:line="240" w:lineRule="auto"/>
              <w:jc w:val="left"/>
              <w:rPr>
                <w:lang w:val="en-GB"/>
              </w:rPr>
            </w:pPr>
            <w:r w:rsidRPr="00361E30">
              <w:rPr>
                <w:lang w:val="en-GB"/>
              </w:rPr>
              <w:t>Model from Chapter 5, plus ‘admission to Trauma Ward’</w:t>
            </w:r>
          </w:p>
        </w:tc>
      </w:tr>
    </w:tbl>
    <w:p w14:paraId="053EFBC5" w14:textId="77777777" w:rsidR="00CA0EF0" w:rsidRPr="00361E30" w:rsidRDefault="00CA0EF0" w:rsidP="003C13F4">
      <w:pPr>
        <w:pStyle w:val="FigureTitle"/>
      </w:pPr>
      <w:bookmarkStart w:id="212" w:name="_Toc529090354"/>
      <w:r w:rsidRPr="00361E30">
        <w:t>Figure 8.3: Funnel Plots of MTCs only, based on the original model from Chapter 5, plus models incorporating factors found to be significantly associated with survival, in Phase 3 of the study.</w:t>
      </w:r>
      <w:bookmarkEnd w:id="212"/>
    </w:p>
    <w:p w14:paraId="5C4D76CD" w14:textId="77777777" w:rsidR="00CA0EF0" w:rsidRPr="00361E30" w:rsidRDefault="00CA0EF0" w:rsidP="003C13F4">
      <w:pPr>
        <w:pStyle w:val="Heading1"/>
      </w:pPr>
      <w:bookmarkStart w:id="213" w:name="_Toc1902357"/>
      <w:r w:rsidRPr="00361E30">
        <w:t>8.</w:t>
      </w:r>
      <w:r w:rsidR="009C0218">
        <w:t>5</w:t>
      </w:r>
      <w:r w:rsidRPr="00361E30">
        <w:tab/>
        <w:t>Conclusion</w:t>
      </w:r>
      <w:bookmarkEnd w:id="213"/>
    </w:p>
    <w:p w14:paraId="22D38631" w14:textId="77777777" w:rsidR="00CA0EF0" w:rsidRPr="00361E30" w:rsidRDefault="00CA0EF0" w:rsidP="003C13F4">
      <w:r w:rsidRPr="00361E30">
        <w:t xml:space="preserve">Of the variables identified in the semi-structured interviews that could be included in the predictive model, admission to a trauma ward and the ordering of a rehabilitation prescription were found to have a significant correlation with 30-day survival in older trauma patients. Only the ordering of a rehabilitation prescription improved the overall predictive accuracy of the model when included. However, a rehabilitation prescription was considered ‘not appropriate’ in 26.3% of patients, which may have biased the results of this analysis. This is particularly important to note, as the definition of what constitutes an ‘appropriate’ rehabilitation prescription is not well defined and appears to be decided on an individual patient basis. Importantly, the addition of a rehabilitation prescription to the model did not improve the </w:t>
      </w:r>
      <w:r w:rsidRPr="00361E30">
        <w:lastRenderedPageBreak/>
        <w:t>variance between hospital sites, as demonstrated by the wider scatter in the funnel plot in Figure 8.1, compared to that in Figure 8.2. However, when the model which included the rehabilitation prescription was tested on patients admitted to major trauma centres only, there was a reduction in the variance of the model. Addition of the rehabilitation prescription to the model did not, therefore, improve its explanatory power in relation to predicting hospital survival rates for older trauma patients.</w:t>
      </w:r>
    </w:p>
    <w:p w14:paraId="27CFD8F9" w14:textId="77777777" w:rsidR="00CA0EF0" w:rsidRPr="00361E30" w:rsidRDefault="00CA0EF0" w:rsidP="003C13F4">
      <w:pPr>
        <w:ind w:firstLine="720"/>
      </w:pPr>
      <w:r w:rsidRPr="00361E30">
        <w:t xml:space="preserve">There was no attempt at more detailed analysis of the data, as the analysis in this chapter was primarily exploratory. More </w:t>
      </w:r>
      <w:r w:rsidR="00C42581" w:rsidRPr="00361E30">
        <w:t>in-depth</w:t>
      </w:r>
      <w:r w:rsidRPr="00361E30">
        <w:t xml:space="preserve"> analysis (such as combination of additional variables in the model) ran the risk of producing misleading results. In this regard it should be noted that the variables sometimes used were proxy measures (for example when looking at early rehabilitation), as TARN does not directly measure all the factors identified in the semi-structured interviews. </w:t>
      </w:r>
      <w:bookmarkStart w:id="214" w:name="_30j0zll" w:colFirst="0" w:colLast="0"/>
      <w:bookmarkEnd w:id="214"/>
    </w:p>
    <w:p w14:paraId="6BC393C2" w14:textId="77777777" w:rsidR="00CA0EF0" w:rsidRPr="00361E30" w:rsidRDefault="00CA0EF0">
      <w:pPr>
        <w:spacing w:line="276" w:lineRule="auto"/>
        <w:jc w:val="left"/>
      </w:pPr>
      <w:r w:rsidRPr="00361E30">
        <w:br w:type="page"/>
      </w:r>
    </w:p>
    <w:p w14:paraId="4908685F" w14:textId="77777777" w:rsidR="00CA0EF0" w:rsidRPr="00361E30" w:rsidRDefault="00CA0EF0" w:rsidP="003C13F4">
      <w:pPr>
        <w:pStyle w:val="ChapterHeading"/>
      </w:pPr>
      <w:bookmarkStart w:id="215" w:name="_Toc1902358"/>
      <w:r w:rsidRPr="00361E30">
        <w:lastRenderedPageBreak/>
        <w:t>Chapter 9: Discussion</w:t>
      </w:r>
      <w:bookmarkEnd w:id="215"/>
    </w:p>
    <w:p w14:paraId="6298D7C1" w14:textId="77777777" w:rsidR="00CA0EF0" w:rsidRPr="00361E30" w:rsidRDefault="00CA0EF0" w:rsidP="003C13F4">
      <w:pPr>
        <w:pStyle w:val="Heading1"/>
      </w:pPr>
      <w:bookmarkStart w:id="216" w:name="_Toc1902359"/>
      <w:r w:rsidRPr="00361E30">
        <w:t>9.1 Introduction</w:t>
      </w:r>
      <w:bookmarkEnd w:id="216"/>
    </w:p>
    <w:p w14:paraId="1C99FFC0" w14:textId="77777777" w:rsidR="00CA0EF0" w:rsidRPr="00361E30" w:rsidRDefault="00CA0EF0" w:rsidP="003C13F4">
      <w:r w:rsidRPr="00361E30">
        <w:t xml:space="preserve">This study confirmed the relevance of many of the factors previously shown to be important prognostically for older trauma patients, such as comorbidities, injury pattern and injury mechanism. All covariates included in the PS14 model used at TARN were found to be significant in predicting outcome in older trauma patients. Several other variables (including some patient characteristics and some care process variables, as discussed below) were found to have a significant association with outcome in older trauma patients. In addition, new patient characteristics and process factors were identified through the semi-structured interviews that warrant further investigation. These included the impact of frailty and socioeconomic deprivation on trauma outcomes in older people, and the importance of some care process factors, such as early rehabilitation and the presence of a trauma ward in trauma receiving hospitals. </w:t>
      </w:r>
    </w:p>
    <w:p w14:paraId="5AF52D29" w14:textId="77777777" w:rsidR="00CA0EF0" w:rsidRPr="00361E30" w:rsidRDefault="00CA0EF0" w:rsidP="003C13F4">
      <w:pPr>
        <w:ind w:firstLine="360"/>
      </w:pPr>
      <w:r w:rsidRPr="00361E30">
        <w:t xml:space="preserve">Ultimately, none of the additional factors (beyond those used in the PS14 model) had an impact on the accuracy of the predictive model for mortality in older trauma patients (Chapters 5 to 7), and none of the new variables tested in the model accounted for the intra-hospital variance in performance seen in hospitals on the TARN database, when applied to the entire cohort of older patients. However, when applied to patients admitted to major trauma centres only, the ordering of a rehabilitation prescription both improved the predictive accuracy of the </w:t>
      </w:r>
      <w:r w:rsidR="00C42581" w:rsidRPr="00361E30">
        <w:t>model and</w:t>
      </w:r>
      <w:r w:rsidRPr="00361E30">
        <w:t xml:space="preserve"> reduced the variance in excess survival rates (Ws statistic) between major trauma centres (Sections 8.</w:t>
      </w:r>
      <w:r w:rsidR="00B87A6F">
        <w:t>3</w:t>
      </w:r>
      <w:r w:rsidRPr="00361E30">
        <w:t>.5.3 and 8.</w:t>
      </w:r>
      <w:r w:rsidR="00B87A6F">
        <w:t>4</w:t>
      </w:r>
      <w:r w:rsidRPr="00361E30">
        <w:t>.2).</w:t>
      </w:r>
    </w:p>
    <w:p w14:paraId="0AD25185" w14:textId="77777777" w:rsidR="00CA0EF0" w:rsidRPr="00361E30" w:rsidRDefault="00CA0EF0" w:rsidP="003C13F4">
      <w:pPr>
        <w:pStyle w:val="Heading1"/>
        <w:widowControl w:val="0"/>
        <w:numPr>
          <w:ilvl w:val="1"/>
          <w:numId w:val="46"/>
        </w:numPr>
        <w:pBdr>
          <w:top w:val="nil"/>
          <w:left w:val="nil"/>
          <w:bottom w:val="nil"/>
          <w:right w:val="nil"/>
          <w:between w:val="nil"/>
        </w:pBdr>
        <w:jc w:val="left"/>
      </w:pPr>
      <w:bookmarkStart w:id="217" w:name="_Toc1902360"/>
      <w:r w:rsidRPr="00361E30">
        <w:t>Principal Findings of the Study</w:t>
      </w:r>
      <w:bookmarkEnd w:id="217"/>
    </w:p>
    <w:p w14:paraId="418E03B4" w14:textId="77777777" w:rsidR="00CA0EF0" w:rsidRPr="00361E30" w:rsidRDefault="00CA0EF0" w:rsidP="003C13F4">
      <w:pPr>
        <w:pStyle w:val="Heading2"/>
      </w:pPr>
      <w:bookmarkStart w:id="218" w:name="_Toc1902361"/>
      <w:r w:rsidRPr="00361E30">
        <w:t>9.2.1</w:t>
      </w:r>
      <w:r w:rsidRPr="00361E30">
        <w:tab/>
        <w:t>Patient Characteristics Significantly Associated with Survival</w:t>
      </w:r>
      <w:bookmarkEnd w:id="218"/>
      <w:r w:rsidRPr="00361E30">
        <w:t xml:space="preserve"> </w:t>
      </w:r>
    </w:p>
    <w:p w14:paraId="0030E690" w14:textId="77777777" w:rsidR="00CA0EF0" w:rsidRPr="00361E30" w:rsidRDefault="00CA0EF0" w:rsidP="003C13F4">
      <w:r w:rsidRPr="00361E30">
        <w:t>Despite extensive and systematic testing of a comprehensive list of potential variables linked to outcome in older trauma patient, the final predictive model derived in this thesis utili</w:t>
      </w:r>
      <w:r w:rsidR="0020173C">
        <w:t>s</w:t>
      </w:r>
      <w:r w:rsidRPr="00361E30">
        <w:t xml:space="preserve">ed the same variables used in the PS14 model, albeit with some modification of the way these variables were presented in the model. </w:t>
      </w:r>
    </w:p>
    <w:p w14:paraId="6F09D171" w14:textId="77777777" w:rsidR="00CA0EF0" w:rsidRPr="00361E30" w:rsidRDefault="00CA0EF0" w:rsidP="003C13F4">
      <w:pPr>
        <w:ind w:firstLine="720"/>
      </w:pPr>
      <w:r w:rsidRPr="00361E30">
        <w:t xml:space="preserve">Two of the factors used in the new predictive model were modified for pragmatic reasons. The injury severity score (ISS) was presented as a categorical variable rather than a continuous variable (as in the PS14 model), and age was presented as a continuous variable, rather than a categorical variable. Neither of these differences changed the predictive accuracy of the model significantly. However, presenting the ISS in categorical format allowed </w:t>
      </w:r>
      <w:r w:rsidRPr="00361E30">
        <w:lastRenderedPageBreak/>
        <w:t xml:space="preserve">for an easier understanding of this variable, as the categories were linked to severity of injury (mild, moderate, severe and </w:t>
      </w:r>
      <w:r w:rsidR="00C42581" w:rsidRPr="00361E30">
        <w:t>life-threatening</w:t>
      </w:r>
      <w:r w:rsidRPr="00361E30">
        <w:t xml:space="preserve"> injuries), which could be more easily understood by clinicians and researchers. Conversely, the relationship between age and outcome was found to be </w:t>
      </w:r>
      <w:r w:rsidR="00C42581" w:rsidRPr="00361E30">
        <w:t>linear and</w:t>
      </w:r>
      <w:r w:rsidRPr="00361E30">
        <w:t xml:space="preserve"> using age as a continuous variable produced a simpler model, which would not need further adjustment of age categories as the population continued to age. For example, in the current PS14 model used at TARN the maximum age group is ≥75 years, whereas the categories tested in this thesis had be to </w:t>
      </w:r>
      <w:r w:rsidR="00C42581" w:rsidRPr="00361E30">
        <w:t>be modified</w:t>
      </w:r>
      <w:r w:rsidRPr="00361E30">
        <w:t xml:space="preserve"> to include 75 – 84 years and ≥85 years, since as much as one third of older people in the sample were 85 years and older (see Chapter 4, Section 4.2.1.1). The predicted continuing increase in population age would require addition of further age categories to the current TARN model with time, but the use of age as a continuous variable could avoid this. However, it should be noted that, for the first time in recent years, the United Kingdom did not report an increase in average life expectancy in 2017.</w:t>
      </w:r>
    </w:p>
    <w:p w14:paraId="66B4BF8E" w14:textId="77777777" w:rsidR="00CA0EF0" w:rsidRPr="00361E30" w:rsidRDefault="00CA0EF0" w:rsidP="003C13F4">
      <w:pPr>
        <w:ind w:firstLine="720"/>
      </w:pPr>
      <w:r w:rsidRPr="00361E30">
        <w:t xml:space="preserve">Other variables that demonstrated a significant association with survival in older trauma patients when tested in the model included injury pattern (specifically the severity of traumatic brain injuries suffered); number of injuries; mechanism of injury, pre-injury medication and systolic blood pressure. These variables were identified in the systematic review as having significant associations with outcome in older trauma patients </w:t>
      </w:r>
      <w:r w:rsidR="00E84970" w:rsidRPr="00361E30">
        <w:rPr>
          <w:noProof/>
        </w:rPr>
        <w:t xml:space="preserve">(Aitken </w:t>
      </w:r>
      <w:r w:rsidRPr="00361E30">
        <w:rPr>
          <w:noProof/>
        </w:rPr>
        <w:t>et al. 2010, Berry et al. 2012, Lustenberger, Inaba et al., 2011, Sampalis et al. 2009)</w:t>
      </w:r>
      <w:r w:rsidRPr="00361E30">
        <w:t>. It should be noted that none of these improved the performance of the predictive model when added to it. Several different factors may ha</w:t>
      </w:r>
      <w:r w:rsidR="005934F7">
        <w:t>ve</w:t>
      </w:r>
      <w:r w:rsidRPr="00361E30">
        <w:t xml:space="preserve"> accounted for observation that variables having a significant association with outcome did not contribute to the predictive accuracy of the model. In some instances, the variable </w:t>
      </w:r>
      <w:r w:rsidR="00C42581" w:rsidRPr="00361E30">
        <w:t>was</w:t>
      </w:r>
      <w:r w:rsidRPr="00361E30">
        <w:t xml:space="preserve"> present in only a small percentage of the population, as was the case with pre-injury medication. In others, the quality of data collected for that variable might not </w:t>
      </w:r>
      <w:r w:rsidR="005934F7">
        <w:t xml:space="preserve">have </w:t>
      </w:r>
      <w:r w:rsidRPr="00361E30">
        <w:t>be</w:t>
      </w:r>
      <w:r w:rsidR="005934F7">
        <w:t>en</w:t>
      </w:r>
      <w:r w:rsidRPr="00361E30">
        <w:t xml:space="preserve"> sufficiently high to reflect the true impact of the variable on outcome, as was likely with the ordering of a rehabilitation prescription (see below).</w:t>
      </w:r>
    </w:p>
    <w:p w14:paraId="3F259B34" w14:textId="77777777" w:rsidR="00CA0EF0" w:rsidRPr="00361E30" w:rsidRDefault="00CA0EF0" w:rsidP="003C13F4">
      <w:pPr>
        <w:pStyle w:val="Heading2"/>
        <w:widowControl w:val="0"/>
        <w:pBdr>
          <w:top w:val="nil"/>
          <w:left w:val="nil"/>
          <w:bottom w:val="nil"/>
          <w:right w:val="nil"/>
          <w:between w:val="nil"/>
        </w:pBdr>
        <w:jc w:val="left"/>
      </w:pPr>
      <w:bookmarkStart w:id="219" w:name="_Toc1902362"/>
      <w:r w:rsidRPr="00361E30">
        <w:t>9.2.2</w:t>
      </w:r>
      <w:r w:rsidRPr="00361E30">
        <w:tab/>
        <w:t>Care Process Factors Significantly Associated with Survival in Older Trauma Patients</w:t>
      </w:r>
      <w:bookmarkEnd w:id="219"/>
    </w:p>
    <w:p w14:paraId="20BFF3F5" w14:textId="77777777" w:rsidR="00CA0EF0" w:rsidRPr="00361E30" w:rsidRDefault="00CA0EF0" w:rsidP="003C13F4">
      <w:r w:rsidRPr="00361E30">
        <w:t xml:space="preserve">Several care process factors demonstrated a univariate association with survival, including hospital status (MTC vs TU); proportion of patients with ISS&gt;15 who were admitted to ICU; proportion of patients with severe abdominal injuries (AIS ≥3) who had emergency surgery; proportion of trauma patients aged ≥ 65 years; hospital CQC rating and hip fracture mortality rates. However, when applied to the multivariate model, none of these factors retained an association with survival in older trauma patients. In </w:t>
      </w:r>
      <w:r w:rsidR="00C42581" w:rsidRPr="00361E30">
        <w:t>addition,</w:t>
      </w:r>
      <w:r w:rsidRPr="00361E30">
        <w:t xml:space="preserve"> none of them improved the predictive accuracy of the model</w:t>
      </w:r>
    </w:p>
    <w:p w14:paraId="7EFEBE37" w14:textId="77777777" w:rsidR="00CA0EF0" w:rsidRPr="00361E30" w:rsidRDefault="00CA0EF0" w:rsidP="003C13F4">
      <w:pPr>
        <w:ind w:firstLine="720"/>
      </w:pPr>
      <w:r w:rsidRPr="00361E30">
        <w:lastRenderedPageBreak/>
        <w:t>This suggests that there were other factors (either patient characteristics or care process factors or both) that influenced outcomes in older trauma patients which had not yet been identified and tested in the predictive model. The qualitative residual analysis methodology adopted for this study sought to explore these as yet unidentified variables that may have impacted on outcome in older trauma patients, as discussed further in Section 9.2.3.</w:t>
      </w:r>
    </w:p>
    <w:p w14:paraId="0DD43760" w14:textId="77777777" w:rsidR="00CA0EF0" w:rsidRPr="00361E30" w:rsidRDefault="00CA0EF0" w:rsidP="003C13F4">
      <w:pPr>
        <w:ind w:firstLine="720"/>
      </w:pPr>
      <w:r w:rsidRPr="00361E30">
        <w:t xml:space="preserve">Alternatively, the variance in outcomes seen in older trauma patients may also reflect a true diversity of patient characteristics, as older patients are a heterogeneous patient population with different states of health and wellbeing. This study and others have demonstrated the heterogeneity among older trauma patients. The risk of approaching these patients as a homogeneous group was expressed among interviewees in Phase 2 of this study. This has also been discussed by other authors </w:t>
      </w:r>
      <w:r w:rsidR="009A5594" w:rsidRPr="00361E30">
        <w:rPr>
          <w:noProof/>
        </w:rPr>
        <w:t>(Roos and Havens</w:t>
      </w:r>
      <w:r w:rsidRPr="00361E30">
        <w:rPr>
          <w:noProof/>
        </w:rPr>
        <w:t xml:space="preserve"> 1991)</w:t>
      </w:r>
      <w:r w:rsidRPr="00361E30">
        <w:t xml:space="preserve">. </w:t>
      </w:r>
    </w:p>
    <w:p w14:paraId="215D06DD" w14:textId="77777777" w:rsidR="00CA0EF0" w:rsidRPr="00361E30" w:rsidRDefault="00CA0EF0" w:rsidP="003C13F4">
      <w:pPr>
        <w:pStyle w:val="Heading2"/>
      </w:pPr>
      <w:bookmarkStart w:id="220" w:name="_Toc1902363"/>
      <w:r w:rsidRPr="00361E30">
        <w:t>9.2.3</w:t>
      </w:r>
      <w:r w:rsidRPr="00361E30">
        <w:tab/>
        <w:t>Themes from the Semi-Structured Interviews</w:t>
      </w:r>
      <w:bookmarkEnd w:id="220"/>
    </w:p>
    <w:p w14:paraId="08DD0D7A" w14:textId="77777777" w:rsidR="00CA0EF0" w:rsidRPr="00361E30" w:rsidRDefault="00CA0EF0" w:rsidP="003C13F4">
      <w:r w:rsidRPr="00361E30">
        <w:t>The semi-structured interviews revealed themes that explored patient characteristics and care process factors considered important in influencing outcomes in older trauma patients.</w:t>
      </w:r>
    </w:p>
    <w:p w14:paraId="235AB5D9" w14:textId="77777777" w:rsidR="00CA0EF0" w:rsidRPr="00361E30" w:rsidRDefault="00CA0EF0" w:rsidP="003C13F4">
      <w:pPr>
        <w:ind w:firstLine="720"/>
      </w:pPr>
      <w:r w:rsidRPr="00361E30">
        <w:t xml:space="preserve">Patient characteristics such as frailty, the heterogeneity within the older population and attitudes and motivation of older patients were considered important to recovery. Some of these characteristics also provided a possible explanation as to why current models for predicting outcome in trauma patients were not particularly accurate when applied to older patients. For example, while frailty was seen by most interviewees as an important patient characteristic, the lack of a distinct definition for this phenomenon, and the difficulty in collecting reliable data on frailty has meant that it is not measured by most trauma registries </w:t>
      </w:r>
      <w:r w:rsidRPr="00361E30">
        <w:rPr>
          <w:noProof/>
        </w:rPr>
        <w:t>(Brown et al. 1995)</w:t>
      </w:r>
      <w:r w:rsidRPr="00361E30">
        <w:t xml:space="preserve">. Similar challenges were posed by other patient characteristics, such as patients’ attitudes and motivation. </w:t>
      </w:r>
    </w:p>
    <w:p w14:paraId="69FF05F8" w14:textId="77777777" w:rsidR="00CA0EF0" w:rsidRPr="00361E30" w:rsidRDefault="00CA0EF0" w:rsidP="003C13F4">
      <w:pPr>
        <w:ind w:firstLine="720"/>
      </w:pPr>
      <w:r w:rsidRPr="00361E30">
        <w:t xml:space="preserve">The fact that this age group is not homogenous with regard to their clinical and demographic features has also posed a problem to researchers seeking to develop a predictive model for this age group. It is possible that a single predictive model for trauma in older trauma patients may not be applicable to all patients in this group, and older frail people may need to be assessed differently from older people who are fit and healthy </w:t>
      </w:r>
      <w:r w:rsidRPr="00361E30">
        <w:rPr>
          <w:noProof/>
        </w:rPr>
        <w:t>(Fhon et al. 2016)</w:t>
      </w:r>
      <w:r w:rsidRPr="00361E30">
        <w:t>.</w:t>
      </w:r>
    </w:p>
    <w:p w14:paraId="7794E783" w14:textId="77777777" w:rsidR="00CA0EF0" w:rsidRPr="00361E30" w:rsidRDefault="00CA0EF0" w:rsidP="003C13F4">
      <w:pPr>
        <w:ind w:firstLine="720"/>
      </w:pPr>
      <w:r w:rsidRPr="00361E30">
        <w:t xml:space="preserve">Care process factors thought to be important in predicting outcome included the balance between resuscitation and rehabilitation; a more holistic approach to the older trauma patient and the presence of a trauma ward in the hospital. These factors all reflected the need for a longer term, coordinated strategy in the management of older trauma patients. Deaths in older trauma patients are delayed compared to deaths in younger </w:t>
      </w:r>
      <w:r w:rsidR="00C42581" w:rsidRPr="00361E30">
        <w:t>people and</w:t>
      </w:r>
      <w:r w:rsidRPr="00361E30">
        <w:t xml:space="preserve"> </w:t>
      </w:r>
      <w:r w:rsidRPr="00361E30">
        <w:lastRenderedPageBreak/>
        <w:t xml:space="preserve">include deaths due to the injury as well as deaths due to the patient’s pre-injury health status </w:t>
      </w:r>
      <w:r w:rsidRPr="00361E30">
        <w:rPr>
          <w:noProof/>
        </w:rPr>
        <w:t>(Laupland e</w:t>
      </w:r>
      <w:r w:rsidR="00F13800" w:rsidRPr="00361E30">
        <w:rPr>
          <w:noProof/>
        </w:rPr>
        <w:t>t al.</w:t>
      </w:r>
      <w:r w:rsidRPr="00361E30">
        <w:rPr>
          <w:noProof/>
        </w:rPr>
        <w:t xml:space="preserve"> 2010, McGwin et al., 2000)</w:t>
      </w:r>
      <w:r w:rsidRPr="00361E30">
        <w:t xml:space="preserve">. In this context, holistic, coordinated care and a greater emphasis on rehabilitation is likely to improve outcomes </w:t>
      </w:r>
      <w:r w:rsidRPr="00361E30">
        <w:rPr>
          <w:noProof/>
        </w:rPr>
        <w:t>(Panno et al. 2000)</w:t>
      </w:r>
      <w:r w:rsidRPr="00361E30">
        <w:t>.</w:t>
      </w:r>
    </w:p>
    <w:p w14:paraId="2682866D" w14:textId="77777777" w:rsidR="00CA0EF0" w:rsidRPr="00361E30" w:rsidRDefault="00CA0EF0" w:rsidP="003C13F4">
      <w:pPr>
        <w:ind w:firstLine="720"/>
      </w:pPr>
      <w:r w:rsidRPr="00361E30">
        <w:t xml:space="preserve">Many interviewees considered mortality as an over-simplistic measure of outcome in older trauma patients, as there were many examples of older, frail and functionally limited patients in whom ‘survival at any cost’ may have been an inappropriate goal of treatment. This has been debated by researchers, and the </w:t>
      </w:r>
      <w:r w:rsidR="00C42581" w:rsidRPr="00361E30">
        <w:t>consensus</w:t>
      </w:r>
      <w:r w:rsidRPr="00361E30">
        <w:t xml:space="preserve"> is that, as patients age, there is a need to consider both quantity and quality of life when considering what constitutes a ‘successful’ outcome </w:t>
      </w:r>
      <w:r w:rsidRPr="00361E30">
        <w:rPr>
          <w:noProof/>
        </w:rPr>
        <w:t>(Gabbe et al. 2005</w:t>
      </w:r>
      <w:r w:rsidR="000E2AF4" w:rsidRPr="00361E30">
        <w:rPr>
          <w:noProof/>
        </w:rPr>
        <w:t>b</w:t>
      </w:r>
      <w:r w:rsidRPr="00361E30">
        <w:rPr>
          <w:noProof/>
        </w:rPr>
        <w:t>)</w:t>
      </w:r>
      <w:r w:rsidRPr="00361E30">
        <w:t xml:space="preserve">. Traditionally, quality of life has not been measured by trauma registries </w:t>
      </w:r>
      <w:r w:rsidRPr="00361E30">
        <w:rPr>
          <w:noProof/>
        </w:rPr>
        <w:t>(Lecky</w:t>
      </w:r>
      <w:r w:rsidR="00B249F5" w:rsidRPr="00361E30">
        <w:rPr>
          <w:noProof/>
        </w:rPr>
        <w:t xml:space="preserve"> et al.</w:t>
      </w:r>
      <w:r w:rsidRPr="00361E30">
        <w:rPr>
          <w:noProof/>
        </w:rPr>
        <w:t xml:space="preserve"> 2014)</w:t>
      </w:r>
      <w:r w:rsidRPr="00361E30">
        <w:t xml:space="preserve">. However, some authors have discussed the need to look at quality of life and functional recovery after trauma, and TARN is currently collecting data on quality of life, functional capacity and patient experience from a limited number of hospital sites, as a pilot study </w:t>
      </w:r>
      <w:r w:rsidRPr="00361E30">
        <w:rPr>
          <w:noProof/>
        </w:rPr>
        <w:t>(Ardolino et al. 2012)</w:t>
      </w:r>
      <w:r w:rsidRPr="00361E30">
        <w:t>.</w:t>
      </w:r>
    </w:p>
    <w:p w14:paraId="786BC48F" w14:textId="77777777" w:rsidR="00CA0EF0" w:rsidRPr="00361E30" w:rsidRDefault="00CA0EF0" w:rsidP="003C13F4">
      <w:pPr>
        <w:ind w:firstLine="720"/>
      </w:pPr>
      <w:r w:rsidRPr="00361E30">
        <w:t>While some of the themes mentioned differentiated between the two sites, others were common to both, but seemed important enough to explore further to determine the effect on the predictive model. Site 02, which had a trauma ward on site seemed to be better organi</w:t>
      </w:r>
      <w:r w:rsidR="0020173C">
        <w:t>s</w:t>
      </w:r>
      <w:r w:rsidRPr="00361E30">
        <w:t>ed to provide older trauma patients with early rehabilitation care, and more able to provide holistic care than Site 01 which did not have a dedicated trauma ward. The trauma ward appeared to be a focal point for the organisation and coordination of care, particularly beyond the initial resuscitation phase. This provided an interesting narrative for explaining differences in care between the two hospitals. However, as discussed below, this did not correlate with differences in outcome.</w:t>
      </w:r>
    </w:p>
    <w:p w14:paraId="59608E4B" w14:textId="77777777" w:rsidR="00CA0EF0" w:rsidRPr="00361E30" w:rsidRDefault="00CA0EF0" w:rsidP="003C13F4">
      <w:pPr>
        <w:ind w:firstLine="720"/>
      </w:pPr>
      <w:r w:rsidRPr="00361E30">
        <w:t>Once the code was broken (after analysis of the interviews) it turned out that the hospital with the trauma ward, which appeared to be more pro-active with regard to early rehabilitation was the one with worse outcomes in their older trauma patients. There are a few possible explanations for this apparently contradictory finding. Due to difficulties in obtaining ethical approval for the semi-structured interviews, the time difference between the data collection for the quantitative analysis (Phases 1 and 3 of the study) and the semi-structured interviews (Phase 2) was 2 years. The data used for the quantitative analysis was collected between 1</w:t>
      </w:r>
      <w:r w:rsidRPr="00361E30">
        <w:rPr>
          <w:vertAlign w:val="superscript"/>
        </w:rPr>
        <w:t>st</w:t>
      </w:r>
      <w:r w:rsidRPr="00361E30">
        <w:t xml:space="preserve"> June 2013 and 31</w:t>
      </w:r>
      <w:r w:rsidRPr="00361E30">
        <w:rPr>
          <w:vertAlign w:val="superscript"/>
        </w:rPr>
        <w:t>st</w:t>
      </w:r>
      <w:r w:rsidRPr="00361E30">
        <w:t xml:space="preserve"> May 2015. </w:t>
      </w:r>
      <w:r w:rsidR="00C42581" w:rsidRPr="00361E30">
        <w:t>However,</w:t>
      </w:r>
      <w:r w:rsidRPr="00361E30">
        <w:t xml:space="preserve"> the semi-structure interviews occurred between </w:t>
      </w:r>
      <w:r w:rsidR="00853D64">
        <w:t>May</w:t>
      </w:r>
      <w:r w:rsidRPr="00361E30">
        <w:t xml:space="preserve"> and August 2017. The practices and procedures at both hospitals may have changed significantly during this time. Interviewees at Site 02 admitted that when they first gained major trauma centre (MTC) status in 2013, their outcomes for older trauma patients may have been less than ideal, particularly as there were serious shortcomings in the </w:t>
      </w:r>
      <w:r w:rsidRPr="00361E30">
        <w:lastRenderedPageBreak/>
        <w:t>management of patients with chest injuries at the time, and many of these patients were older people.</w:t>
      </w:r>
    </w:p>
    <w:p w14:paraId="683FC642" w14:textId="77777777" w:rsidR="00CA0EF0" w:rsidRPr="00361E30" w:rsidRDefault="00CA0EF0" w:rsidP="003C13F4">
      <w:pPr>
        <w:pStyle w:val="Heading2"/>
      </w:pPr>
      <w:bookmarkStart w:id="221" w:name="_Toc1902364"/>
      <w:r w:rsidRPr="00361E30">
        <w:t>9.2.4</w:t>
      </w:r>
      <w:r w:rsidRPr="00361E30">
        <w:tab/>
        <w:t>Refining the Model – Adding Factors Identified in the Semi-Structured Interviews</w:t>
      </w:r>
      <w:bookmarkEnd w:id="221"/>
    </w:p>
    <w:p w14:paraId="71A5CB35" w14:textId="77777777" w:rsidR="00CA0EF0" w:rsidRPr="00361E30" w:rsidRDefault="00CA0EF0" w:rsidP="003C13F4">
      <w:r w:rsidRPr="00361E30">
        <w:t xml:space="preserve">Of the factors identified in the semi-structured interviews and tested in the model (Phase 3 of the study), admission to a trauma ward and the ordering of a rehabilitation prescription had a positive association with survival in older trauma patients. However, only the ordering of a rehabilitation prescription had an impact on the predictive model, with a small improvement in predictive accuracy. Even then, inclusion of this variable in the model did not reduce the variance between individual hospitals’ performances. </w:t>
      </w:r>
    </w:p>
    <w:p w14:paraId="0071AC6A" w14:textId="77777777" w:rsidR="00CA0EF0" w:rsidRPr="00361E30" w:rsidRDefault="00CA0EF0" w:rsidP="003C13F4">
      <w:pPr>
        <w:ind w:firstLine="720"/>
      </w:pPr>
      <w:r w:rsidRPr="00361E30">
        <w:t xml:space="preserve">The limited impact of these factors on the predictive model may reflect the quality and completeness of the available data. In addition to this, many of the additional variables tested in Phase 3 of the study were proxy measures for the actual variable identified in the semi-structured interview. For example, the ordering of a rehabilitation prescription was used as a proxy for ‘holistic care’ and ‘early rehabilitation’. </w:t>
      </w:r>
      <w:r w:rsidR="00C42581" w:rsidRPr="00361E30">
        <w:t>However,</w:t>
      </w:r>
      <w:r w:rsidRPr="00361E30">
        <w:t xml:space="preserve"> a large number of patients were considered ‘not appropriate’ for a rehabilitation prescription, but there was no uniform agreement on the definition of ‘not appropriate’. This meant that a large proportion of patients (26.3% of all patients in the study) were omitted from this analysis. However, due to the funding incentives for major trauma centres (which include a tariff for the ordering of a rehabilitation prescription), these prescriptions are much more likely to be used in MTCs compared to TUs, and application of the model to MTCs only did demonstrate an improvement in model accuracy and a reduction in variance in excess survival rates (Ws statistics) between MTCs (Sections 8.</w:t>
      </w:r>
      <w:r w:rsidR="00B87A6F">
        <w:t>3</w:t>
      </w:r>
      <w:r w:rsidRPr="00361E30">
        <w:t>.4 and 8.</w:t>
      </w:r>
      <w:r w:rsidR="00B87A6F">
        <w:t>4</w:t>
      </w:r>
      <w:r w:rsidRPr="00361E30">
        <w:t>.2).</w:t>
      </w:r>
    </w:p>
    <w:p w14:paraId="23F0113C" w14:textId="77777777" w:rsidR="00CA0EF0" w:rsidRPr="00361E30" w:rsidRDefault="00CA0EF0" w:rsidP="003C13F4">
      <w:pPr>
        <w:pStyle w:val="Heading1"/>
      </w:pPr>
      <w:bookmarkStart w:id="222" w:name="_Toc1902365"/>
      <w:r w:rsidRPr="00361E30">
        <w:t xml:space="preserve">9.3 </w:t>
      </w:r>
      <w:r w:rsidRPr="00361E30">
        <w:tab/>
        <w:t>Comparisons with other research and previous scientific literature</w:t>
      </w:r>
      <w:bookmarkEnd w:id="222"/>
    </w:p>
    <w:p w14:paraId="4BD20383" w14:textId="77777777" w:rsidR="00CA0EF0" w:rsidRPr="00361E30" w:rsidRDefault="00CA0EF0" w:rsidP="003C13F4">
      <w:r w:rsidRPr="00361E30">
        <w:t>The findings of this study have broadly reflected current and previous research on major trauma in older people, while further explaining the role of patient characteristics and care process factors in determining outcomes this age group.</w:t>
      </w:r>
    </w:p>
    <w:p w14:paraId="52DDA054" w14:textId="77777777" w:rsidR="00CA0EF0" w:rsidRPr="00361E30" w:rsidRDefault="00CA0EF0" w:rsidP="003C13F4">
      <w:pPr>
        <w:pStyle w:val="Heading2"/>
      </w:pPr>
      <w:bookmarkStart w:id="223" w:name="_Toc1902366"/>
      <w:r w:rsidRPr="00361E30">
        <w:t>9.3.1</w:t>
      </w:r>
      <w:r w:rsidRPr="00361E30">
        <w:tab/>
        <w:t>Patient Characteristics Affecting Outcome in Older Trauma Patients</w:t>
      </w:r>
      <w:bookmarkEnd w:id="223"/>
    </w:p>
    <w:p w14:paraId="1B5C8FAF" w14:textId="77777777" w:rsidR="00CA0EF0" w:rsidRPr="00361E30" w:rsidRDefault="00CA0EF0" w:rsidP="003C13F4">
      <w:pPr>
        <w:pStyle w:val="Heading3"/>
      </w:pPr>
      <w:r w:rsidRPr="00361E30">
        <w:t xml:space="preserve">9.3.1.1 </w:t>
      </w:r>
      <w:r w:rsidRPr="00361E30">
        <w:tab/>
        <w:t>Demographic Variables: Age and Gender</w:t>
      </w:r>
    </w:p>
    <w:p w14:paraId="4900E5E5" w14:textId="77777777" w:rsidR="00CA0EF0" w:rsidRPr="00361E30" w:rsidRDefault="00CA0EF0" w:rsidP="003C13F4">
      <w:r w:rsidRPr="00361E30">
        <w:t>This thesis confirmed the interaction between age and gender, with older women having better survival odds than older men, but younger women have worse survival odd</w:t>
      </w:r>
      <w:r w:rsidR="00F11F14">
        <w:t>s</w:t>
      </w:r>
      <w:r w:rsidRPr="00361E30">
        <w:t xml:space="preserve"> than men. This was previous</w:t>
      </w:r>
      <w:r w:rsidR="00D94F92" w:rsidRPr="00361E30">
        <w:t>ly demonstrated by Bouamra</w:t>
      </w:r>
      <w:r w:rsidRPr="00361E30">
        <w:t xml:space="preserve"> in the current PS14 model and the </w:t>
      </w:r>
      <w:r w:rsidR="003C3531" w:rsidRPr="00361E30">
        <w:t>previous</w:t>
      </w:r>
      <w:r w:rsidRPr="00361E30">
        <w:t xml:space="preserve"> PS model used in TARN </w:t>
      </w:r>
      <w:r w:rsidRPr="00361E30">
        <w:rPr>
          <w:noProof/>
        </w:rPr>
        <w:t>(Bouamra et al. 2015, Bouamra et al. 2006a)</w:t>
      </w:r>
      <w:r w:rsidRPr="00361E30">
        <w:t xml:space="preserve">. </w:t>
      </w:r>
    </w:p>
    <w:p w14:paraId="42805A4F" w14:textId="77777777" w:rsidR="00CA0EF0" w:rsidRPr="00361E30" w:rsidRDefault="00CA0EF0" w:rsidP="003C13F4">
      <w:r w:rsidRPr="00361E30">
        <w:lastRenderedPageBreak/>
        <w:tab/>
        <w:t xml:space="preserve">The linear relationship between age and outcome demonstrated in this thesis has been found by other authors, and better predictive accuracy of models using age as a continuous variable in major trauma has also been demonstrated </w:t>
      </w:r>
      <w:r w:rsidRPr="00361E30">
        <w:rPr>
          <w:noProof/>
        </w:rPr>
        <w:t>(Frankema</w:t>
      </w:r>
      <w:r w:rsidR="00347F8B" w:rsidRPr="00361E30">
        <w:rPr>
          <w:noProof/>
        </w:rPr>
        <w:t xml:space="preserve"> et al.</w:t>
      </w:r>
      <w:r w:rsidRPr="00361E30">
        <w:rPr>
          <w:noProof/>
        </w:rPr>
        <w:t xml:space="preserve"> 2005, Gabbe et al. 2005)</w:t>
      </w:r>
      <w:r w:rsidRPr="00361E30">
        <w:t xml:space="preserve">. The ASCOT methodology applied age as a continuous variable to trauma outcomes for patients on the National Trauma Database (NTDB) in the United States and found that this produced a better predictive model than TRISS </w:t>
      </w:r>
      <w:r w:rsidR="00347F8B" w:rsidRPr="00361E30">
        <w:rPr>
          <w:noProof/>
        </w:rPr>
        <w:t>(Frankema</w:t>
      </w:r>
      <w:r w:rsidRPr="00361E30">
        <w:rPr>
          <w:noProof/>
        </w:rPr>
        <w:t xml:space="preserve"> </w:t>
      </w:r>
      <w:r w:rsidR="00347F8B" w:rsidRPr="00361E30">
        <w:rPr>
          <w:noProof/>
        </w:rPr>
        <w:t>et al.</w:t>
      </w:r>
      <w:r w:rsidRPr="00361E30">
        <w:rPr>
          <w:noProof/>
        </w:rPr>
        <w:t xml:space="preserve"> 2005)</w:t>
      </w:r>
      <w:r w:rsidRPr="00361E30">
        <w:t xml:space="preserve">. However, these results </w:t>
      </w:r>
      <w:r w:rsidR="003153CC">
        <w:t>were</w:t>
      </w:r>
      <w:r w:rsidRPr="00361E30">
        <w:t xml:space="preserve"> not reproducible outside of the United States </w:t>
      </w:r>
      <w:r w:rsidR="00103094" w:rsidRPr="00361E30">
        <w:rPr>
          <w:noProof/>
        </w:rPr>
        <w:t>(Hannan</w:t>
      </w:r>
      <w:r w:rsidRPr="00361E30">
        <w:rPr>
          <w:noProof/>
        </w:rPr>
        <w:t xml:space="preserve"> et al. 1995b)</w:t>
      </w:r>
      <w:r w:rsidRPr="00361E30">
        <w:t xml:space="preserve">. </w:t>
      </w:r>
    </w:p>
    <w:p w14:paraId="5115538D" w14:textId="77777777" w:rsidR="00CA0EF0" w:rsidRPr="00361E30" w:rsidRDefault="00CA0EF0" w:rsidP="003C13F4">
      <w:pPr>
        <w:pStyle w:val="Heading3"/>
      </w:pPr>
      <w:r w:rsidRPr="00361E30">
        <w:t>9.3.1.2</w:t>
      </w:r>
      <w:r w:rsidRPr="00361E30">
        <w:tab/>
        <w:t>Pre-injury Characteristics of Patients</w:t>
      </w:r>
    </w:p>
    <w:p w14:paraId="3A3333AC" w14:textId="77777777" w:rsidR="00CA0EF0" w:rsidRPr="00361E30" w:rsidRDefault="00CA0EF0" w:rsidP="003C13F4">
      <w:r w:rsidRPr="00361E30">
        <w:t xml:space="preserve">The association between comorbidities and outcome in trauma seen in this thesis has been demonstrated by other authors </w:t>
      </w:r>
      <w:r w:rsidRPr="00361E30">
        <w:rPr>
          <w:noProof/>
        </w:rPr>
        <w:t>(Grossman et al. 2002, Yeung et al., 2008)</w:t>
      </w:r>
      <w:r w:rsidRPr="00361E30">
        <w:t xml:space="preserve">. However, this has not always translated to a better predictive model. While Gabbe et al in Australia demonstrated an association between the CCI and outcome from trauma, they were not able to improve the accuracy of the predictive model when the CCI added </w:t>
      </w:r>
      <w:r w:rsidRPr="00361E30">
        <w:rPr>
          <w:noProof/>
        </w:rPr>
        <w:t>(Gabbe et al., 2005</w:t>
      </w:r>
      <w:r w:rsidR="000E2AF4" w:rsidRPr="00361E30">
        <w:rPr>
          <w:noProof/>
        </w:rPr>
        <w:t>a</w:t>
      </w:r>
      <w:r w:rsidRPr="00361E30">
        <w:rPr>
          <w:noProof/>
        </w:rPr>
        <w:t>)</w:t>
      </w:r>
      <w:r w:rsidRPr="00361E30">
        <w:t xml:space="preserve">. In contrast, the PS14 currently used at TARN (which includes a modified version of the CCI) was found to be significantly better at predicting survival than the older PS model, which did not include the modified CCI </w:t>
      </w:r>
      <w:r w:rsidRPr="00361E30">
        <w:rPr>
          <w:noProof/>
        </w:rPr>
        <w:t>(Bouamra et al. 2015)</w:t>
      </w:r>
      <w:r w:rsidRPr="00361E30">
        <w:t xml:space="preserve">. The difference between the CCI used by Gabbe and the mCCI was that the comorbidities used in the mCCI and the weightings applied to each comorbidity were derived directly from the TARN database, and so were more relevant to this dataset, while the CCI used by Gabbe was not specifically derived for trauma patients </w:t>
      </w:r>
      <w:r w:rsidRPr="00361E30">
        <w:rPr>
          <w:noProof/>
        </w:rPr>
        <w:t>(Charlson et al. 1987)</w:t>
      </w:r>
      <w:r w:rsidRPr="00361E30">
        <w:t xml:space="preserve">. In addition, the Victoria State Trauma Registry (the database used in Gabbe’s study) uses different inclusion criteria to TARN, including patients with an ISS of 12 and over, or those admitted to the intensive care unit </w:t>
      </w:r>
      <w:r w:rsidRPr="00361E30">
        <w:rPr>
          <w:noProof/>
        </w:rPr>
        <w:t>(Cameron et al. 2005)</w:t>
      </w:r>
      <w:r w:rsidRPr="00361E30">
        <w:t>. These differences in inclusion criteria may have also contributed to the differences in the impact of the CCI on survival.</w:t>
      </w:r>
    </w:p>
    <w:p w14:paraId="59521317" w14:textId="77777777" w:rsidR="00CA0EF0" w:rsidRPr="00361E30" w:rsidRDefault="00CA0EF0" w:rsidP="003C13F4">
      <w:r w:rsidRPr="00361E30">
        <w:tab/>
        <w:t xml:space="preserve">There was a decrease in survival in older trauma patient who had been using warfarin prior to being injured. This concurs with the findings of several previous studies </w:t>
      </w:r>
      <w:r w:rsidR="00103094" w:rsidRPr="00361E30">
        <w:rPr>
          <w:noProof/>
        </w:rPr>
        <w:t>(Grossman</w:t>
      </w:r>
      <w:r w:rsidRPr="00361E30">
        <w:rPr>
          <w:noProof/>
        </w:rPr>
        <w:t xml:space="preserve"> et al. 2002, Howard</w:t>
      </w:r>
      <w:r w:rsidR="00A62187" w:rsidRPr="00361E30">
        <w:rPr>
          <w:noProof/>
        </w:rPr>
        <w:t xml:space="preserve"> et al.</w:t>
      </w:r>
      <w:r w:rsidRPr="00361E30">
        <w:rPr>
          <w:noProof/>
        </w:rPr>
        <w:t xml:space="preserve"> 2009)</w:t>
      </w:r>
      <w:r w:rsidRPr="00361E30">
        <w:t>. Recently, a large, multicent</w:t>
      </w:r>
      <w:r w:rsidR="003153CC">
        <w:t>re</w:t>
      </w:r>
      <w:r w:rsidRPr="00361E30">
        <w:t xml:space="preserve"> study on the impact of warfarin on survival, using the TARN database, demonstrated that the adjusted odds ratio for mortality in patients using warfarin was 2.14 (95% CI 1.66 to 2.76; p&lt;0.001) </w:t>
      </w:r>
      <w:r w:rsidRPr="00361E30">
        <w:rPr>
          <w:noProof/>
        </w:rPr>
        <w:t>(Lecky et al. 2015)</w:t>
      </w:r>
      <w:r w:rsidRPr="00361E30">
        <w:t xml:space="preserve">. </w:t>
      </w:r>
      <w:r w:rsidR="005F4556" w:rsidRPr="00361E30">
        <w:t>However, as discussed in Chapter 5 (Section 5.3.2.2), the percentage of patients reported to be on warfarin was very low, suggesting significant under-reporting of warfarin use. This concurs with previous findings at TARN and other databases, that pre-injury medications are often under-recorded in patients’ clinical records. It would be useful to either use linkages with HES data, or improvements in data collection pertaining to pre-injury medication</w:t>
      </w:r>
      <w:r w:rsidR="00F67562" w:rsidRPr="00361E30">
        <w:t xml:space="preserve"> (particularly </w:t>
      </w:r>
      <w:r w:rsidR="00F67562" w:rsidRPr="00361E30">
        <w:lastRenderedPageBreak/>
        <w:t>ant</w:t>
      </w:r>
      <w:r w:rsidR="003153CC">
        <w:t>i</w:t>
      </w:r>
      <w:r w:rsidR="00F67562" w:rsidRPr="00361E30">
        <w:t>co</w:t>
      </w:r>
      <w:r w:rsidR="003153CC">
        <w:t>a</w:t>
      </w:r>
      <w:r w:rsidR="00F67562" w:rsidRPr="00361E30">
        <w:t>gulants)</w:t>
      </w:r>
      <w:r w:rsidR="005F4556" w:rsidRPr="00361E30">
        <w:t xml:space="preserve">, as this is possibly a significant contributor to mortality and morbidity </w:t>
      </w:r>
      <w:r w:rsidR="00F67562" w:rsidRPr="00361E30">
        <w:t>in older trauma patients.</w:t>
      </w:r>
    </w:p>
    <w:p w14:paraId="3CB34FBE" w14:textId="77777777" w:rsidR="00CA0EF0" w:rsidRPr="00361E30" w:rsidRDefault="00CA0EF0" w:rsidP="003C13F4">
      <w:r w:rsidRPr="00361E30">
        <w:tab/>
        <w:t xml:space="preserve">Several authors have demonstrated the association between various pre-injury medications and outcome in older trauma patients. These have included steroids, statins and beta-blockers </w:t>
      </w:r>
      <w:r w:rsidRPr="00361E30">
        <w:rPr>
          <w:noProof/>
        </w:rPr>
        <w:t>(Efron et al. 2008, Grossman et al. 2002, Neideen</w:t>
      </w:r>
      <w:r w:rsidR="00FC3457" w:rsidRPr="00361E30">
        <w:rPr>
          <w:noProof/>
        </w:rPr>
        <w:t xml:space="preserve"> et al.</w:t>
      </w:r>
      <w:r w:rsidRPr="00361E30">
        <w:rPr>
          <w:noProof/>
        </w:rPr>
        <w:t xml:space="preserve"> 2008, Redelmeier et al. 2001)</w:t>
      </w:r>
      <w:r w:rsidRPr="00361E30">
        <w:t>. The impact of pre-injury use of any of these medications</w:t>
      </w:r>
      <w:r w:rsidR="003153CC">
        <w:t xml:space="preserve"> </w:t>
      </w:r>
      <w:r w:rsidRPr="00361E30">
        <w:t xml:space="preserve">(including warfarin) could not be properly assessed in this thesis because the percentage of patients documented as using them was &lt;1%. </w:t>
      </w:r>
      <w:r w:rsidR="009038A0">
        <w:t>As seen with warfarin, t</w:t>
      </w:r>
      <w:r w:rsidRPr="00361E30">
        <w:t>he recording of pre-injury medication needs to be more complete and reliable before the impact of these drugs on trauma outcomes can be tested robustly.</w:t>
      </w:r>
    </w:p>
    <w:p w14:paraId="46070590" w14:textId="77777777" w:rsidR="00CA0EF0" w:rsidRPr="00361E30" w:rsidRDefault="00CA0EF0" w:rsidP="003C13F4">
      <w:pPr>
        <w:pStyle w:val="Heading3"/>
      </w:pPr>
      <w:r w:rsidRPr="00361E30">
        <w:t xml:space="preserve">9.3.1.3 </w:t>
      </w:r>
      <w:r w:rsidRPr="00361E30">
        <w:tab/>
        <w:t>Injury Characteristics</w:t>
      </w:r>
    </w:p>
    <w:p w14:paraId="166D417A" w14:textId="77777777" w:rsidR="00CA0EF0" w:rsidRPr="00361E30" w:rsidRDefault="00CA0EF0" w:rsidP="003C13F4">
      <w:r w:rsidRPr="00361E30">
        <w:t>Traditionally the only variable pertaining to patient’s injuries that has</w:t>
      </w:r>
      <w:r w:rsidR="00D57583">
        <w:t xml:space="preserve"> </w:t>
      </w:r>
      <w:r w:rsidRPr="00361E30">
        <w:t xml:space="preserve">been included in models used to predict outcome in major trauma has been injury severity. The most common of these is the injury severity score (ISS), but other scores such as the new injury severity score (NISS) or the ICD derived ISS score (ICISS) have also been included in some trauma registries </w:t>
      </w:r>
      <w:r w:rsidR="0052214F" w:rsidRPr="00361E30">
        <w:rPr>
          <w:noProof/>
        </w:rPr>
        <w:t>(Champion</w:t>
      </w:r>
      <w:r w:rsidRPr="00361E30">
        <w:rPr>
          <w:noProof/>
        </w:rPr>
        <w:t xml:space="preserve"> et al. 1990, Lavoie</w:t>
      </w:r>
      <w:r w:rsidR="00F13800" w:rsidRPr="00361E30">
        <w:rPr>
          <w:noProof/>
        </w:rPr>
        <w:t xml:space="preserve"> et al.</w:t>
      </w:r>
      <w:r w:rsidRPr="00361E30">
        <w:rPr>
          <w:noProof/>
        </w:rPr>
        <w:t xml:space="preserve"> 2004, Rutledge et al. 1998)</w:t>
      </w:r>
      <w:r w:rsidRPr="00361E30">
        <w:t xml:space="preserve">. The TARN database has used the ISS in its various predictive models, including the TRISS model, the probability of survival (PS) model and the updated 2014 version of the PS (the PS14). Its inclusion has consistently produced models with a high level of predictive accuracy </w:t>
      </w:r>
      <w:r w:rsidRPr="00361E30">
        <w:rPr>
          <w:noProof/>
        </w:rPr>
        <w:t>(Bouamra</w:t>
      </w:r>
      <w:r w:rsidR="00D94F92" w:rsidRPr="00361E30">
        <w:rPr>
          <w:noProof/>
        </w:rPr>
        <w:t xml:space="preserve"> et al.</w:t>
      </w:r>
      <w:r w:rsidRPr="00361E30">
        <w:rPr>
          <w:noProof/>
        </w:rPr>
        <w:t xml:space="preserve"> 2015, Bouamra et al. 2006a)</w:t>
      </w:r>
      <w:r w:rsidRPr="00361E30">
        <w:t xml:space="preserve">. In light of this, the ISS was used in the predictive model tested in this </w:t>
      </w:r>
      <w:r w:rsidR="00F507BD" w:rsidRPr="00361E30">
        <w:t>thesis and</w:t>
      </w:r>
      <w:r w:rsidRPr="00361E30">
        <w:t xml:space="preserve"> contributed significantly to the predictive accuracy of the model.</w:t>
      </w:r>
    </w:p>
    <w:p w14:paraId="7875A8D4" w14:textId="77777777" w:rsidR="00CA0EF0" w:rsidRPr="00361E30" w:rsidRDefault="00CA0EF0" w:rsidP="003C13F4">
      <w:r w:rsidRPr="00361E30">
        <w:tab/>
        <w:t xml:space="preserve">Other injury characteristics were also assessed for their association with outcome in older trauma patients, including injury pattern, mechanism of injury and number of injuries. These were identified as potentially significant variables from the systematic review of patient characteristics reported on in Chapter 2 </w:t>
      </w:r>
      <w:r w:rsidRPr="00361E30">
        <w:rPr>
          <w:noProof/>
        </w:rPr>
        <w:t>(Aitken et al. 2010, Richmond et al. 2002, Sam</w:t>
      </w:r>
      <w:r w:rsidR="009A5594" w:rsidRPr="00361E30">
        <w:rPr>
          <w:noProof/>
        </w:rPr>
        <w:t>palis</w:t>
      </w:r>
      <w:r w:rsidRPr="00361E30">
        <w:rPr>
          <w:noProof/>
        </w:rPr>
        <w:t xml:space="preserve"> et al. 2009)</w:t>
      </w:r>
      <w:r w:rsidRPr="00361E30">
        <w:t xml:space="preserve">. While both injury pattern (particularly the presence of severe traumatic brain injury) and number of injuries both had a significant association with outcomes in older trauma patients, they were ultimately found to have significant collinearity with ISS, so were excluded from the predictive model. None of the other commonly used models for predicting outcome in major trauma have included either of these variables </w:t>
      </w:r>
      <w:r w:rsidRPr="00361E30">
        <w:rPr>
          <w:noProof/>
        </w:rPr>
        <w:t>(Bouamra et al. 2015, Champion et al. 1996)</w:t>
      </w:r>
      <w:r w:rsidRPr="00361E30">
        <w:t xml:space="preserve">. Several studies have identified low falls as a particularly significant injury mechanism </w:t>
      </w:r>
      <w:r w:rsidRPr="00361E30">
        <w:rPr>
          <w:noProof/>
        </w:rPr>
        <w:t>(Aitken et al. 2010, Sampalis et al. 2009)</w:t>
      </w:r>
      <w:r w:rsidRPr="00361E30">
        <w:t xml:space="preserve">. Sampalis specifically compared ground level falls to road traffic collisions and found that falls were associated with higher adjusted mortality rates than road traffic collisions </w:t>
      </w:r>
      <w:r w:rsidRPr="00361E30">
        <w:rPr>
          <w:noProof/>
        </w:rPr>
        <w:t>(Sampalis et al. 2009)</w:t>
      </w:r>
      <w:r w:rsidRPr="00361E30">
        <w:t xml:space="preserve">. The association between falls and reduced </w:t>
      </w:r>
      <w:r w:rsidRPr="00361E30">
        <w:lastRenderedPageBreak/>
        <w:t xml:space="preserve">survival may have been due to the recognised relationship between falls and frailty in older patients, thus reflecting the impact of frailty on trauma outcomes, rather than the impact of falls per se </w:t>
      </w:r>
      <w:r w:rsidRPr="00361E30">
        <w:rPr>
          <w:noProof/>
        </w:rPr>
        <w:t>(Ensrud</w:t>
      </w:r>
      <w:r w:rsidR="00C36882" w:rsidRPr="00361E30">
        <w:rPr>
          <w:noProof/>
        </w:rPr>
        <w:t xml:space="preserve"> et al.</w:t>
      </w:r>
      <w:r w:rsidRPr="00361E30">
        <w:rPr>
          <w:noProof/>
        </w:rPr>
        <w:t xml:space="preserve"> 2007, Fang et al. 2012)</w:t>
      </w:r>
      <w:r w:rsidRPr="00361E30">
        <w:t xml:space="preserve">. However, while injury mechanism was significantly associated with outcome in the multivariate analysis conducted in this thesis, its inclusion did not increase the model’s predictive accuracy. </w:t>
      </w:r>
    </w:p>
    <w:p w14:paraId="54DAC01B" w14:textId="77777777" w:rsidR="00CA0EF0" w:rsidRPr="00361E30" w:rsidRDefault="00CA0EF0" w:rsidP="003C13F4">
      <w:pPr>
        <w:pStyle w:val="Heading3"/>
      </w:pPr>
      <w:r w:rsidRPr="00361E30">
        <w:t xml:space="preserve">9.3.1.4 </w:t>
      </w:r>
      <w:r w:rsidRPr="00361E30">
        <w:tab/>
        <w:t xml:space="preserve">Physiological State </w:t>
      </w:r>
    </w:p>
    <w:p w14:paraId="6708A5A5" w14:textId="77777777" w:rsidR="00CA0EF0" w:rsidRPr="00361E30" w:rsidRDefault="00CA0EF0" w:rsidP="003C13F4">
      <w:r w:rsidRPr="00361E30">
        <w:t>An extensive systematic review of physiological variables affecting outcome in older trauma patients by Hashmi et al</w:t>
      </w:r>
      <w:r w:rsidR="00AE610D" w:rsidRPr="00361E30">
        <w:t xml:space="preserve"> (2014)</w:t>
      </w:r>
      <w:r w:rsidRPr="00361E30">
        <w:t xml:space="preserve"> demonstrated that mortality increased in older trauma patients when systolic blood pressure fell below 100 – 110 mmHg. In this thesis, mortality was seen to increase in patients with a blood pressure below 110 mmHg. While this data is important for understanding the presentation of older patients in shock, the inclusion of systolic blood pressure did not improve the predictive accuracy of the model. Therefore, systolic blood pressure was not included in the predictive model developed in this thesis. It should be noted that neither TARN model (the PS and the PS14) includes systolic blood pressure as a variable </w:t>
      </w:r>
      <w:r w:rsidRPr="00361E30">
        <w:rPr>
          <w:noProof/>
        </w:rPr>
        <w:t>(Bouamra</w:t>
      </w:r>
      <w:r w:rsidR="00D94F92" w:rsidRPr="00361E30">
        <w:rPr>
          <w:noProof/>
        </w:rPr>
        <w:t xml:space="preserve"> et al.</w:t>
      </w:r>
      <w:r w:rsidRPr="00361E30">
        <w:rPr>
          <w:noProof/>
        </w:rPr>
        <w:t xml:space="preserve"> 2015, Bouamra et al. 2006a)</w:t>
      </w:r>
      <w:r w:rsidRPr="00361E30">
        <w:t xml:space="preserve">. </w:t>
      </w:r>
    </w:p>
    <w:p w14:paraId="51C7A2FA" w14:textId="77777777" w:rsidR="00CA0EF0" w:rsidRPr="00361E30" w:rsidRDefault="00CA0EF0" w:rsidP="003C13F4">
      <w:pPr>
        <w:ind w:firstLine="720"/>
      </w:pPr>
      <w:r w:rsidRPr="00361E30">
        <w:t xml:space="preserve">As with other studies, and as demonstrated in the PS14 model from TARN, Glasgow Coma Score had a significant inverse relationship with mortality in older trauma patients </w:t>
      </w:r>
      <w:r w:rsidRPr="00361E30">
        <w:rPr>
          <w:noProof/>
        </w:rPr>
        <w:t>(Bouamra et al. 2015, Richmond et al. 2011)</w:t>
      </w:r>
      <w:r w:rsidRPr="00361E30">
        <w:t xml:space="preserve">. This is not surprising, given the prevalence and importance of brain injuries in older trauma patients </w:t>
      </w:r>
      <w:r w:rsidRPr="00361E30">
        <w:rPr>
          <w:noProof/>
        </w:rPr>
        <w:t>(Kehoe</w:t>
      </w:r>
      <w:r w:rsidR="00B75D7B" w:rsidRPr="00361E30">
        <w:rPr>
          <w:noProof/>
        </w:rPr>
        <w:t xml:space="preserve"> et</w:t>
      </w:r>
      <w:r w:rsidRPr="00361E30">
        <w:rPr>
          <w:noProof/>
        </w:rPr>
        <w:t xml:space="preserve"> al. 2015</w:t>
      </w:r>
      <w:r w:rsidR="00B75D7B" w:rsidRPr="00361E30">
        <w:rPr>
          <w:noProof/>
        </w:rPr>
        <w:t>a</w:t>
      </w:r>
      <w:r w:rsidRPr="00361E30">
        <w:rPr>
          <w:noProof/>
        </w:rPr>
        <w:t>, Patel et al. 2010)</w:t>
      </w:r>
      <w:r w:rsidRPr="00361E30">
        <w:t>.</w:t>
      </w:r>
    </w:p>
    <w:p w14:paraId="72C42A35" w14:textId="77777777" w:rsidR="00CA0EF0" w:rsidRPr="00361E30" w:rsidRDefault="00CA0EF0" w:rsidP="003C13F4">
      <w:pPr>
        <w:pStyle w:val="Heading2"/>
      </w:pPr>
      <w:bookmarkStart w:id="224" w:name="_Toc1902367"/>
      <w:r w:rsidRPr="00361E30">
        <w:t>9.3.2</w:t>
      </w:r>
      <w:r w:rsidRPr="00361E30">
        <w:tab/>
        <w:t>Process Factors Affecting Outcome in Older Trauma Patients</w:t>
      </w:r>
      <w:bookmarkEnd w:id="224"/>
    </w:p>
    <w:p w14:paraId="6A9427D7" w14:textId="77777777" w:rsidR="00CA0EF0" w:rsidRPr="00361E30" w:rsidRDefault="00CA0EF0" w:rsidP="003C13F4">
      <w:r w:rsidRPr="00361E30">
        <w:t>Process factors tested in the predictive model fell into two categories:</w:t>
      </w:r>
    </w:p>
    <w:p w14:paraId="50C95538" w14:textId="77777777" w:rsidR="00CA0EF0" w:rsidRPr="00361E30" w:rsidRDefault="00CA0EF0" w:rsidP="003C13F4">
      <w:pPr>
        <w:pStyle w:val="ListParagraph"/>
        <w:widowControl w:val="0"/>
        <w:numPr>
          <w:ilvl w:val="1"/>
          <w:numId w:val="45"/>
        </w:numPr>
        <w:pBdr>
          <w:top w:val="nil"/>
          <w:left w:val="nil"/>
          <w:bottom w:val="nil"/>
          <w:right w:val="nil"/>
          <w:between w:val="nil"/>
        </w:pBdr>
      </w:pPr>
      <w:r w:rsidRPr="00361E30">
        <w:t>Those associated with specific care processes (such as percentage of patients admitted to ICU or having emergency surgery, their ratings on the National Hip Fracture Database (NHFD) and percentage of trauma patients that were aged ≥65 years)</w:t>
      </w:r>
    </w:p>
    <w:p w14:paraId="56D737AF" w14:textId="77777777" w:rsidR="00CA0EF0" w:rsidRPr="00361E30" w:rsidRDefault="00CA0EF0" w:rsidP="003C13F4">
      <w:pPr>
        <w:pStyle w:val="ListParagraph"/>
        <w:widowControl w:val="0"/>
        <w:numPr>
          <w:ilvl w:val="1"/>
          <w:numId w:val="45"/>
        </w:numPr>
        <w:pBdr>
          <w:top w:val="nil"/>
          <w:left w:val="nil"/>
          <w:bottom w:val="nil"/>
          <w:right w:val="nil"/>
          <w:between w:val="nil"/>
        </w:pBdr>
      </w:pPr>
      <w:r w:rsidRPr="00361E30">
        <w:t>Those that reflected the performance of the hospital as a whole (such as whether hospitals were MTCs or TUs and their Hospital and Emergency Department CQC ratings).</w:t>
      </w:r>
    </w:p>
    <w:p w14:paraId="19801576" w14:textId="77777777" w:rsidR="00CA0EF0" w:rsidRPr="00361E30" w:rsidRDefault="00CA0EF0" w:rsidP="003C13F4">
      <w:r w:rsidRPr="00361E30">
        <w:t xml:space="preserve">The existing literature on trauma in older patients included far fewer studies investigating the association between any of these factors and survival (Chapter 2). </w:t>
      </w:r>
    </w:p>
    <w:p w14:paraId="61C3FE05" w14:textId="77777777" w:rsidR="00CA0EF0" w:rsidRPr="00361E30" w:rsidRDefault="00CA0EF0" w:rsidP="003C13F4">
      <w:pPr>
        <w:pStyle w:val="Heading3"/>
      </w:pPr>
      <w:r w:rsidRPr="00361E30">
        <w:t xml:space="preserve">9.3.2.1 </w:t>
      </w:r>
      <w:r w:rsidRPr="00361E30">
        <w:tab/>
        <w:t>Variables Reflecting Specific Process Factors or Patient Conditions</w:t>
      </w:r>
    </w:p>
    <w:p w14:paraId="36F501D3" w14:textId="77777777" w:rsidR="00CA0EF0" w:rsidRPr="00361E30" w:rsidRDefault="00CA0EF0" w:rsidP="003C13F4">
      <w:r w:rsidRPr="00361E30">
        <w:t xml:space="preserve">Many of the studies that mentioned the impact of process factors on outcomes in older trauma patients produced results that were either equivocal or counter-intuitive. For example, </w:t>
      </w:r>
      <w:r w:rsidRPr="00361E30">
        <w:lastRenderedPageBreak/>
        <w:t xml:space="preserve">the two studies that investigated the impact of ICU admission on mortality of older trauma patients found that patients admitted to ICU had higher mortality rates, even after adjusting for confounding factors such as injury severity, age and physiological variables </w:t>
      </w:r>
      <w:r w:rsidR="00E84970" w:rsidRPr="00361E30">
        <w:rPr>
          <w:noProof/>
        </w:rPr>
        <w:t>(Aitken</w:t>
      </w:r>
      <w:r w:rsidRPr="00361E30">
        <w:rPr>
          <w:noProof/>
        </w:rPr>
        <w:t xml:space="preserve"> et al., 2010, Giannoudis et al. 2009)</w:t>
      </w:r>
      <w:r w:rsidRPr="00361E30">
        <w:t>. While this may represent the inevitability of death in some seriously injured older people and the possible futility of ICU treatment in these patients, more work needs to be done to better understand this paradox. The findings of the current PhD thesis concurred with previous research. In this thesis, hospitals that admitted higher percentages of seriously injured older trauma patients to the ICU had lower survival rates for these patients (Chapter 6, Section 6.3.1.3).</w:t>
      </w:r>
    </w:p>
    <w:p w14:paraId="7053C6BA" w14:textId="77777777" w:rsidR="00CA0EF0" w:rsidRPr="00361E30" w:rsidRDefault="00CA0EF0" w:rsidP="003C13F4">
      <w:pPr>
        <w:ind w:firstLine="720"/>
      </w:pPr>
      <w:r w:rsidRPr="00361E30">
        <w:t xml:space="preserve">It was surprising that there was no correlation between hospitals’ performance in relation to hip fracture patients and their survival rates for older major trauma people. Many clinicians and researchers assume that both conditions require similar care processes </w:t>
      </w:r>
      <w:r w:rsidRPr="00361E30">
        <w:rPr>
          <w:noProof/>
        </w:rPr>
        <w:t>(Hannan</w:t>
      </w:r>
      <w:r w:rsidR="00103094" w:rsidRPr="00361E30">
        <w:rPr>
          <w:noProof/>
        </w:rPr>
        <w:t xml:space="preserve"> et al.</w:t>
      </w:r>
      <w:r w:rsidRPr="00361E30">
        <w:rPr>
          <w:noProof/>
        </w:rPr>
        <w:t xml:space="preserve"> 2001, Roche et al. 2005)</w:t>
      </w:r>
      <w:r w:rsidRPr="00361E30">
        <w:t xml:space="preserve">. However, in the semi-structured interviews conducted in Phase 2 of this study, interviewees highlighted the differences between these two patient groups: the hip fracture patients tended to be a more homogenous group with similar care needs and well thought through clinical pathways, while the major trauma group was much more diverse and often not considered a distinct group patient group with specific care needs. This is a critical differentiating feature between these two groups of patients. Previous research into hip fracture management has demonstrated that focused care pathways driven by the incentive of best practice tariffs have been able to improve the outcomes of these patients in the United Kingdom </w:t>
      </w:r>
      <w:r w:rsidRPr="00361E30">
        <w:rPr>
          <w:noProof/>
        </w:rPr>
        <w:t>(Khan</w:t>
      </w:r>
      <w:r w:rsidR="00B75D7B" w:rsidRPr="00361E30">
        <w:rPr>
          <w:noProof/>
        </w:rPr>
        <w:t xml:space="preserve"> et al.</w:t>
      </w:r>
      <w:r w:rsidRPr="00361E30">
        <w:rPr>
          <w:noProof/>
        </w:rPr>
        <w:t xml:space="preserve"> 2013)</w:t>
      </w:r>
      <w:r w:rsidRPr="00361E30">
        <w:t>. Given the lack of a specific incentive for management of older trauma patients, combined with the fact that older major trauma patients constitute a more diverse group, it is perhaps unsurprising that a greater association between hospitals’ ability to manage hip fractures and their survival rates for older major trauma patients was not seen.</w:t>
      </w:r>
    </w:p>
    <w:p w14:paraId="58FBCDEC" w14:textId="77777777" w:rsidR="00CA0EF0" w:rsidRPr="00361E30" w:rsidRDefault="00CA0EF0" w:rsidP="003C13F4">
      <w:pPr>
        <w:pStyle w:val="Heading3"/>
      </w:pPr>
      <w:r w:rsidRPr="00361E30">
        <w:t>9.3.2.2</w:t>
      </w:r>
      <w:r w:rsidRPr="00361E30">
        <w:tab/>
        <w:t>Variables Reflecting the Overall Functioning and Quality of individual Hospitals</w:t>
      </w:r>
    </w:p>
    <w:p w14:paraId="4F17B66B" w14:textId="77777777" w:rsidR="00CA0EF0" w:rsidRPr="00361E30" w:rsidRDefault="00CA0EF0" w:rsidP="003C13F4">
      <w:r w:rsidRPr="00361E30">
        <w:t xml:space="preserve">Since a holistic approach to older major trauma patients was considered an important factor in determining the outcome of these patients, it might be assumed that general measures of hospital quality would therefore be predictive of better outcome. However, the measures used to reflect quality (including Care Quality Commission [CQC] Hospital and Emergency Department ratings) did not have any association with survival rates for older major trauma patients. This may reflect the type of data collected by some of these measures. For </w:t>
      </w:r>
      <w:r w:rsidR="00F507BD" w:rsidRPr="00361E30">
        <w:t>example,</w:t>
      </w:r>
      <w:r w:rsidRPr="00361E30">
        <w:t xml:space="preserve"> the CQC ratings tend to be more focussed on patient satisfaction </w:t>
      </w:r>
      <w:r w:rsidRPr="00361E30">
        <w:rPr>
          <w:noProof/>
        </w:rPr>
        <w:t>(</w:t>
      </w:r>
      <w:r w:rsidR="00A670AA" w:rsidRPr="00361E30">
        <w:rPr>
          <w:noProof/>
        </w:rPr>
        <w:t>Care Quality Commission</w:t>
      </w:r>
      <w:r w:rsidRPr="00361E30">
        <w:rPr>
          <w:noProof/>
        </w:rPr>
        <w:t xml:space="preserve"> 2012)</w:t>
      </w:r>
      <w:r w:rsidRPr="00361E30">
        <w:t xml:space="preserve">. In contrast, the complexity of major trauma in older people means that improved outcomes may depend on a variety of process factors, some of which may not have been </w:t>
      </w:r>
      <w:r w:rsidRPr="00361E30">
        <w:lastRenderedPageBreak/>
        <w:t xml:space="preserve">reflected in the CQC ratings. </w:t>
      </w:r>
      <w:r w:rsidR="005F4556" w:rsidRPr="00361E30">
        <w:t>Additionally, the CQC ratings of a hospital provide an overview of the quality of care provided, using a much broader sense of quality to include patient satisfaction, communication and interactions with staff and patient comfort, as opposed to the more specific factors that might impact on mortality in older trauma patients, such as the organisation, timeliness and appropriateness of care.</w:t>
      </w:r>
    </w:p>
    <w:p w14:paraId="5BBDFEFC" w14:textId="77777777" w:rsidR="00CA0EF0" w:rsidRPr="00361E30" w:rsidRDefault="00CA0EF0" w:rsidP="003C13F4">
      <w:pPr>
        <w:ind w:firstLine="720"/>
      </w:pPr>
      <w:r w:rsidRPr="00361E30">
        <w:t>The lack of an association between MTC designation and outcome in older trauma patients is less surprising. Previous studies by other authors, particularly in North America, have demonstrated that the link between Trauma Centre designation and outcome in older trauma patients is not clear-cut and may be difficult to prove. Indeed, Moore et al</w:t>
      </w:r>
      <w:r w:rsidR="007F7E67" w:rsidRPr="00361E30">
        <w:t xml:space="preserve"> (2012)</w:t>
      </w:r>
      <w:r w:rsidRPr="00361E30">
        <w:t xml:space="preserve"> could not demonstrate any significant correlation between hospitals’ survival rates for all ages of trauma patients and their survival rates for older trauma patients. In the same study, the authors did not find a survival advantage for older patients with severe head injuries admitted to neurosurgical centres, compared to those admitted to other trauma receiving hospitals.</w:t>
      </w:r>
    </w:p>
    <w:p w14:paraId="22EBFAC4" w14:textId="77777777" w:rsidR="00CA0EF0" w:rsidRPr="00361E30" w:rsidRDefault="00CA0EF0" w:rsidP="003C13F4">
      <w:pPr>
        <w:pStyle w:val="Heading2"/>
      </w:pPr>
      <w:bookmarkStart w:id="225" w:name="_Toc1902368"/>
      <w:r w:rsidRPr="00361E30">
        <w:t>9.3.3</w:t>
      </w:r>
      <w:r w:rsidRPr="00361E30">
        <w:tab/>
        <w:t>Factors Identified in the Semi-Structured Interviews</w:t>
      </w:r>
      <w:bookmarkEnd w:id="225"/>
    </w:p>
    <w:p w14:paraId="51FFF649" w14:textId="77777777" w:rsidR="00CA0EF0" w:rsidRPr="00361E30" w:rsidRDefault="00CA0EF0" w:rsidP="003C13F4">
      <w:r w:rsidRPr="00361E30">
        <w:t xml:space="preserve">Some of the factors identified in the semi-structured interviews have been explored by other researchers in relation to major trauma in older patients. Trauma in older people is a complex clinical entity, influenced by the patient’s general health, their functional status, motivation and psychosocial support as well as the specific injuries suffered </w:t>
      </w:r>
      <w:r w:rsidRPr="00361E30">
        <w:rPr>
          <w:noProof/>
        </w:rPr>
        <w:t>(Faes et al.</w:t>
      </w:r>
      <w:r w:rsidR="00347F8B" w:rsidRPr="00361E30">
        <w:rPr>
          <w:noProof/>
        </w:rPr>
        <w:t xml:space="preserve"> 2010, Fhon</w:t>
      </w:r>
      <w:r w:rsidRPr="00361E30">
        <w:rPr>
          <w:noProof/>
        </w:rPr>
        <w:t xml:space="preserve"> et al. 2016)</w:t>
      </w:r>
      <w:r w:rsidRPr="00361E30">
        <w:t xml:space="preserve">. This requires a holistic approach in which the general wellbeing of the patient is </w:t>
      </w:r>
      <w:r w:rsidR="00F507BD" w:rsidRPr="00361E30">
        <w:t>considered,</w:t>
      </w:r>
      <w:r w:rsidRPr="00361E30">
        <w:t xml:space="preserve"> and early rehabilitation is at least as important as aggressive resuscitation. Some authors have advocated that older patients admitted with major trauma should have a comprehensive geriatric assessment (CGA) as part of their routine evaluation </w:t>
      </w:r>
      <w:r w:rsidRPr="00361E30">
        <w:rPr>
          <w:noProof/>
        </w:rPr>
        <w:t>(Fisher et al. 2017)</w:t>
      </w:r>
      <w:r w:rsidRPr="00361E30">
        <w:t xml:space="preserve">. </w:t>
      </w:r>
      <w:r w:rsidR="00F507BD" w:rsidRPr="00361E30">
        <w:t>However,</w:t>
      </w:r>
      <w:r w:rsidRPr="00361E30">
        <w:t xml:space="preserve"> in the acute hospital setting the CGA may not be as effective as in other more long term care settings. Conroy et al</w:t>
      </w:r>
      <w:r w:rsidR="0081796A" w:rsidRPr="00361E30">
        <w:t>. (2011)</w:t>
      </w:r>
      <w:r w:rsidRPr="00361E30">
        <w:t xml:space="preserve"> conducted a systematic review of the impact of the CGA on frail patients admitted acutely to hospital and discharged within 72 hours and could not find any compelling evidence that it benefited this population in terms of mortality, readmissions or subsequent institutionalisation, functional ability, quality-of-life or cognition. However, a subsequent study by the same authors showed that the use of the CGA in a controlled environment within the Emergency Department (the ‘Frailty Unit’) reduced the need for admission and the risk of readmission in patients aged </w:t>
      </w:r>
      <w:r w:rsidRPr="00361E30">
        <w:rPr>
          <w:rFonts w:cstheme="minorHAnsi"/>
        </w:rPr>
        <w:t>≥</w:t>
      </w:r>
      <w:r w:rsidRPr="00361E30">
        <w:t xml:space="preserve">85 years </w:t>
      </w:r>
      <w:r w:rsidR="0081796A" w:rsidRPr="00361E30">
        <w:rPr>
          <w:noProof/>
        </w:rPr>
        <w:t>(Conroy et al.</w:t>
      </w:r>
      <w:r w:rsidRPr="00361E30">
        <w:rPr>
          <w:noProof/>
        </w:rPr>
        <w:t xml:space="preserve"> 2013)</w:t>
      </w:r>
      <w:r w:rsidRPr="00361E30">
        <w:t>.</w:t>
      </w:r>
    </w:p>
    <w:p w14:paraId="63983A7D" w14:textId="77777777" w:rsidR="00CA0EF0" w:rsidRPr="00361E30" w:rsidRDefault="00CA0EF0" w:rsidP="003C13F4">
      <w:r w:rsidRPr="00361E30">
        <w:t xml:space="preserve">In addition, there is general agreement in the literature that researchers and clinicians should be looking beyond the simple dichotomy of survival or death when determining outcome in these patients </w:t>
      </w:r>
      <w:r w:rsidRPr="00361E30">
        <w:rPr>
          <w:noProof/>
        </w:rPr>
        <w:t>(Ardolino et al. 2012, Gabbe, Williamson et al., 2005, Khan et al. 2012)</w:t>
      </w:r>
      <w:r w:rsidRPr="00361E30">
        <w:t>. The findings of the semi-structured interviews in this thesis supported this view.</w:t>
      </w:r>
    </w:p>
    <w:p w14:paraId="6208C3CC" w14:textId="77777777" w:rsidR="00CA0EF0" w:rsidRPr="00361E30" w:rsidRDefault="00CA0EF0" w:rsidP="003C13F4">
      <w:pPr>
        <w:ind w:firstLine="720"/>
      </w:pPr>
      <w:r w:rsidRPr="00361E30">
        <w:lastRenderedPageBreak/>
        <w:t xml:space="preserve">Several researchers have investigated the impact of frailty on outcomes in acutely ill and injured older </w:t>
      </w:r>
      <w:r w:rsidR="00F507BD" w:rsidRPr="00361E30">
        <w:t>people and</w:t>
      </w:r>
      <w:r w:rsidRPr="00361E30">
        <w:t xml:space="preserve"> concluded that it is one of the most important predictors of functional outcome and survival in these patients </w:t>
      </w:r>
      <w:r w:rsidRPr="00361E30">
        <w:rPr>
          <w:noProof/>
        </w:rPr>
        <w:t>(Cawthon et al. 2007, Xue 2011)</w:t>
      </w:r>
      <w:r w:rsidRPr="00361E30">
        <w:t xml:space="preserve">. However, this has not been studied as rigorously in major trauma, partly because a precise definition of frailty that is widely accepted internationally has evaded researchers, and partly because most trauma registries (including TARN) have not yet started recording frailty as part of their routine dataset </w:t>
      </w:r>
      <w:r w:rsidRPr="00361E30">
        <w:rPr>
          <w:noProof/>
        </w:rPr>
        <w:t>(McDonald et al., 2016, Rockwood 2005, Rodriguez-Manas et al., 2013)</w:t>
      </w:r>
      <w:r w:rsidRPr="00361E30">
        <w:t>.</w:t>
      </w:r>
    </w:p>
    <w:p w14:paraId="054C42A7" w14:textId="77777777" w:rsidR="00CA0EF0" w:rsidRPr="00361E30" w:rsidRDefault="00CA0EF0" w:rsidP="003C13F4">
      <w:pPr>
        <w:ind w:firstLine="720"/>
      </w:pPr>
      <w:r w:rsidRPr="00361E30">
        <w:t xml:space="preserve">Early rehabilitation has been widely investigated as a factor influencing outcome in older people. A systematic review by Khan et al (2012) concluded that early rehabilitation improved functional outcome in older trauma </w:t>
      </w:r>
      <w:r w:rsidR="00F507BD" w:rsidRPr="00361E30">
        <w:t>patients but</w:t>
      </w:r>
      <w:r w:rsidRPr="00361E30">
        <w:t xml:space="preserve"> did not comment on its impact on survival. There has been a paucity of research into the impact of early rehabilitation on survival after major trauma, partly because this data is not collected routinely by most trauma registries. Where it is (as in the case of TARN), the quality of the data being collected may not be of the standard required to support robust research conclusions. However, this thesis was able to demonstrate a strong association between ordering of a rehabilitation prescription and survival. </w:t>
      </w:r>
    </w:p>
    <w:p w14:paraId="59A5B677" w14:textId="77777777" w:rsidR="00CA0EF0" w:rsidRPr="00361E30" w:rsidRDefault="00CA0EF0" w:rsidP="003C13F4">
      <w:pPr>
        <w:ind w:firstLine="720"/>
      </w:pPr>
      <w:r w:rsidRPr="00361E30">
        <w:t xml:space="preserve">While the presence of a trauma ward as a focus for the care of older trauma patients emerged as a theme in the semi-structured interviews, there were no previous studies specifically investigating this. Ultimately this did not prove to be a significant factor in predicting outcome when added to the multivariate model in this PhD thesis. One of the main perceived benefits of the trauma ward was the coordination of care and early involvement of rehabilitation and geriatric specialists.  Early geriatric consultation has been shown to be of benefit to older trauma patients. In 2006, Fallon et al described the input of geriatricians in the care of older multiple trauma patients, noting that significant clinical contributions were made by the geriatric team in a large percentage of patients. These included medication adjustment (65%), pain management (42%) and decisions on disposition in relation to function (49%) </w:t>
      </w:r>
      <w:r w:rsidRPr="00361E30">
        <w:rPr>
          <w:noProof/>
        </w:rPr>
        <w:t>(Fallon et al. 2006)</w:t>
      </w:r>
      <w:r w:rsidRPr="00361E30">
        <w:t xml:space="preserve">. </w:t>
      </w:r>
    </w:p>
    <w:p w14:paraId="4555DD1B" w14:textId="77777777" w:rsidR="00CA0EF0" w:rsidRPr="00361E30" w:rsidRDefault="00CA0EF0" w:rsidP="003C13F4">
      <w:pPr>
        <w:ind w:firstLine="720"/>
      </w:pPr>
      <w:r w:rsidRPr="00361E30">
        <w:t>Previous research identified brain injuries as an important cause of mortality in older trauma patients. Working with data from the TARN database, Kehoe et al demonstrated that older patients with severe brain injuries presented with less symptoms than younger patients, while Kirkman et al</w:t>
      </w:r>
      <w:r w:rsidR="00F13800" w:rsidRPr="00361E30">
        <w:t>. (2013)</w:t>
      </w:r>
      <w:r w:rsidRPr="00361E30">
        <w:t xml:space="preserve"> showed that older patients with brain contusions were less likely to receive specialist neurosurgical care than younger patients with similar injuries, leading to worse outcomes </w:t>
      </w:r>
      <w:r w:rsidRPr="00361E30">
        <w:rPr>
          <w:noProof/>
        </w:rPr>
        <w:t>(Kehoe et al. 2015</w:t>
      </w:r>
      <w:r w:rsidR="00B75D7B" w:rsidRPr="00361E30">
        <w:rPr>
          <w:noProof/>
        </w:rPr>
        <w:t>a</w:t>
      </w:r>
      <w:r w:rsidRPr="00361E30">
        <w:rPr>
          <w:noProof/>
        </w:rPr>
        <w:t>)</w:t>
      </w:r>
      <w:r w:rsidRPr="00361E30">
        <w:t xml:space="preserve">. Other authors have also found that older people with brain injuries are less likely to receive neurosurgical care </w:t>
      </w:r>
      <w:r w:rsidR="00132576" w:rsidRPr="00361E30">
        <w:rPr>
          <w:noProof/>
        </w:rPr>
        <w:t>(Grant</w:t>
      </w:r>
      <w:r w:rsidRPr="00361E30">
        <w:rPr>
          <w:noProof/>
        </w:rPr>
        <w:t xml:space="preserve"> et al. 2000, Moore et al. 201</w:t>
      </w:r>
      <w:r w:rsidR="007F7E67" w:rsidRPr="00361E30">
        <w:rPr>
          <w:noProof/>
        </w:rPr>
        <w:t>0</w:t>
      </w:r>
      <w:r w:rsidRPr="00361E30">
        <w:rPr>
          <w:noProof/>
        </w:rPr>
        <w:t>)</w:t>
      </w:r>
      <w:r w:rsidRPr="00361E30">
        <w:t xml:space="preserve">. </w:t>
      </w:r>
      <w:r w:rsidRPr="00361E30">
        <w:lastRenderedPageBreak/>
        <w:t xml:space="preserve">However, the link between neurosurgical care and improved survival in older patients is somewhat tenuous. As mentioned earlier, Moore et al in Canada failed to demonstrate a survival benefit for older patients with brain injuries who were treated at a neurosurgical centre </w:t>
      </w:r>
      <w:r w:rsidRPr="00361E30">
        <w:rPr>
          <w:noProof/>
        </w:rPr>
        <w:t>(Moore et al. 2010)</w:t>
      </w:r>
      <w:r w:rsidRPr="00361E30">
        <w:t xml:space="preserve">. Similarly, this thesis could not demonstrate an association between the presence of neurosurgery on site and survival of older trauma patients. This disparity may be at least partly </w:t>
      </w:r>
      <w:r w:rsidR="00F507BD" w:rsidRPr="00361E30">
        <w:t>because</w:t>
      </w:r>
      <w:r w:rsidRPr="00361E30">
        <w:t xml:space="preserve"> older patients with severe traumatic brain injuries may be less amenable to neurosurgical intervention than younger patients.</w:t>
      </w:r>
    </w:p>
    <w:p w14:paraId="0A10218A" w14:textId="77777777" w:rsidR="001A0D61" w:rsidRPr="00361E30" w:rsidRDefault="001A0D61" w:rsidP="001A0D61">
      <w:pPr>
        <w:pStyle w:val="Heading2"/>
      </w:pPr>
      <w:bookmarkStart w:id="226" w:name="_Toc1902369"/>
      <w:r w:rsidRPr="00361E30">
        <w:t>9.3.4</w:t>
      </w:r>
      <w:r w:rsidRPr="00361E30">
        <w:tab/>
        <w:t>Factors Affecting Recovery – a Holistic View</w:t>
      </w:r>
      <w:bookmarkEnd w:id="226"/>
    </w:p>
    <w:p w14:paraId="27E35E9C" w14:textId="77777777" w:rsidR="001A0D61" w:rsidRPr="00361E30" w:rsidRDefault="001A0D61" w:rsidP="001A0D61">
      <w:r w:rsidRPr="00361E30">
        <w:t>Utilising the approach to health services evaluation adopted by Donabedi</w:t>
      </w:r>
      <w:r w:rsidR="006E3A7B" w:rsidRPr="00361E30">
        <w:t>a</w:t>
      </w:r>
      <w:r w:rsidRPr="00361E30">
        <w:t xml:space="preserve">n, the factors affecting outcome in older trauma patients can be </w:t>
      </w:r>
      <w:r w:rsidR="00361E30" w:rsidRPr="00361E30">
        <w:t>categorised</w:t>
      </w:r>
      <w:r w:rsidRPr="00361E30">
        <w:t xml:space="preserve"> into factors affecting structure, process or outcome of care</w:t>
      </w:r>
      <w:r w:rsidR="009621E3" w:rsidRPr="00361E30">
        <w:t xml:space="preserve"> (</w:t>
      </w:r>
      <w:r w:rsidR="00F95E3D" w:rsidRPr="00361E30">
        <w:t>Donabedian, A. 2005)</w:t>
      </w:r>
      <w:r w:rsidRPr="00361E30">
        <w:t xml:space="preserve">. Moreover, the inter-relationships between these factors can also be </w:t>
      </w:r>
      <w:r w:rsidR="00F95E3D" w:rsidRPr="00361E30">
        <w:t>considered</w:t>
      </w:r>
      <w:r w:rsidRPr="00361E30">
        <w:t>.</w:t>
      </w:r>
    </w:p>
    <w:p w14:paraId="58B15858" w14:textId="77777777" w:rsidR="001A0D61" w:rsidRPr="00361E30" w:rsidRDefault="001A0D61" w:rsidP="001A0D61">
      <w:r w:rsidRPr="00361E30">
        <w:tab/>
        <w:t xml:space="preserve">Starting with process, the need for a more holistic approach to the management of older trauma patients was evident from many of the Phase 2 interviews (Section 9.3.3), including more of an emphasis on rehabilitation. However, this new approach to process appears to have been intimately linked to the structure of the </w:t>
      </w:r>
      <w:r w:rsidR="009621E3" w:rsidRPr="00361E30">
        <w:t>healthcare environment. Specifically, the need for a Trauma Ward was mentioned repeatedly as an essential element of care to allow coordination of holistic care for older people. Finally, the simple dichotomy of survival versus death was mentioned by several interviewees as being inadequate to assess the effectiveness of care to older trauma patients. Quality of care was seen as at least as important as survival. In addition, decisions on when to resuscitate and when to limit care were also viewed as very important in the care of older people, including those presented after major trauma.</w:t>
      </w:r>
    </w:p>
    <w:p w14:paraId="2697015C" w14:textId="77777777" w:rsidR="00CA0EF0" w:rsidRPr="00361E30" w:rsidRDefault="00CA0EF0" w:rsidP="003C13F4">
      <w:pPr>
        <w:pStyle w:val="Heading1"/>
      </w:pPr>
      <w:bookmarkStart w:id="227" w:name="_Toc1902370"/>
      <w:r w:rsidRPr="00361E30">
        <w:t>9.4</w:t>
      </w:r>
      <w:r w:rsidRPr="00361E30">
        <w:tab/>
        <w:t>Strengths and Limitations of the Study Design</w:t>
      </w:r>
      <w:bookmarkEnd w:id="227"/>
    </w:p>
    <w:p w14:paraId="0A1BF4A7" w14:textId="77777777" w:rsidR="00CA0EF0" w:rsidRPr="00361E30" w:rsidRDefault="00CA0EF0" w:rsidP="003C13F4">
      <w:r w:rsidRPr="00361E30">
        <w:t>This was the first large scale study that attempted to identify the factors impacting on survival in older trauma patients through a process of comprehensive systematic analysis. The study sought to construct a model that improved predictive accuracy for outcomes in older trauma patients, and to use this as the basis for identifying additional factors impacting on survival in this age group.</w:t>
      </w:r>
    </w:p>
    <w:p w14:paraId="6D85500E" w14:textId="77777777" w:rsidR="00CA0EF0" w:rsidRPr="00361E30" w:rsidRDefault="00CA0EF0" w:rsidP="003C13F4">
      <w:pPr>
        <w:ind w:firstLine="720"/>
      </w:pPr>
      <w:r w:rsidRPr="00361E30">
        <w:t>Qualitative Residual Analysis was used to allow exploration of variables not previously considered as important and assess their impact on the predictive model. This approach was ideal for identifying such variables and testing them in the predictive model (this is discussed further in Section 9.4.1.2).</w:t>
      </w:r>
    </w:p>
    <w:p w14:paraId="2E5D1B6E" w14:textId="77777777" w:rsidR="00CA0EF0" w:rsidRPr="00361E30" w:rsidRDefault="00CA0EF0" w:rsidP="003C13F4">
      <w:pPr>
        <w:pStyle w:val="Heading2"/>
      </w:pPr>
      <w:bookmarkStart w:id="228" w:name="_Toc1902371"/>
      <w:r w:rsidRPr="00361E30">
        <w:lastRenderedPageBreak/>
        <w:t>9.4.1</w:t>
      </w:r>
      <w:r w:rsidRPr="00361E30">
        <w:tab/>
        <w:t>Strengths of the Study: Assuring Quality in Research</w:t>
      </w:r>
      <w:bookmarkEnd w:id="228"/>
    </w:p>
    <w:p w14:paraId="44F205A1" w14:textId="77777777" w:rsidR="00CA0EF0" w:rsidRPr="00361E30" w:rsidRDefault="00CA0EF0" w:rsidP="003C13F4">
      <w:pPr>
        <w:pStyle w:val="Heading3"/>
      </w:pPr>
      <w:r w:rsidRPr="00361E30">
        <w:t>9.4.1.1</w:t>
      </w:r>
      <w:r w:rsidRPr="00361E30">
        <w:tab/>
        <w:t>Assuring Quality in the Quantitative Research</w:t>
      </w:r>
    </w:p>
    <w:p w14:paraId="13CED3F2" w14:textId="77777777" w:rsidR="00CA0EF0" w:rsidRPr="00361E30" w:rsidRDefault="00CA0EF0" w:rsidP="003C13F4">
      <w:r w:rsidRPr="00361E30">
        <w:t xml:space="preserve">While developing the initial predictive model for this study, it was important to take a comprehensive approach to identifying factors affecting survival in older trauma patients, to ensure that no important variables were overlooked (selection bias). To this end systematic reviews were undertaken to identify patient characteristics and care process factors that had been the subject of research in previous studies. This ensured a thorough but objective review of the literature. In addition, in the case of patient characteristics, the studies were limited to </w:t>
      </w:r>
      <w:r w:rsidR="00F507BD" w:rsidRPr="00361E30">
        <w:t>multicentre</w:t>
      </w:r>
      <w:r w:rsidRPr="00361E30">
        <w:t xml:space="preserve"> observational studies that reported on adjusted survival rates, thus ensuring comparability of outcomes between studies. For some variables this also allowed for the pooling of results through meta-analysis. This systematic approach provided a complete list of potential variables for testing in the model. It also allowed objective comparisons between the multivariate results obtained in this thesis and those obtained in previous research.</w:t>
      </w:r>
    </w:p>
    <w:p w14:paraId="00A5B852" w14:textId="77777777" w:rsidR="00CA0EF0" w:rsidRPr="00361E30" w:rsidRDefault="00CA0EF0" w:rsidP="003C13F4">
      <w:r w:rsidRPr="00361E30">
        <w:tab/>
        <w:t>When testing variables in the model, a systematic approach was adopted. Each variable was initially tested for univariate association with survival, then assessed for collinearity and linearity before being added to the multivariate model. A specific series of statistical tests for predictive accuracy and model performance were used to assess the predictive accuracy of the multivariate model (including the area under the receiver-operator curve (AUROC), the Hosmer–Lemeshow statistic and the Akaike Information Criteria). This structured approach ensured objective assessment of the model, and minimised interpretation bias on the part of the researcher.</w:t>
      </w:r>
    </w:p>
    <w:p w14:paraId="709CC740" w14:textId="77777777" w:rsidR="00CA0EF0" w:rsidRPr="00361E30" w:rsidRDefault="00CA0EF0" w:rsidP="003C13F4">
      <w:r w:rsidRPr="00361E30">
        <w:tab/>
        <w:t>The use of the TARN dataset allowed testing of the model on a large well-established trauma database that has been collecting standardi</w:t>
      </w:r>
      <w:r w:rsidR="0020173C">
        <w:t>s</w:t>
      </w:r>
      <w:r w:rsidRPr="00361E30">
        <w:t xml:space="preserve">ed data on major trauma patients in England and Wales for the past 25 years. TARN is the oldest continually running trauma database in the world, and has data on 766,045 patients in total, of which 673,569 meet the current TARN inclusion criteria. The use of this large systematically collected and quality assured dataset provided reliable and accurate data on major trauma patients in England. In addition, for analyses at the hospital level (for example, in multilevel </w:t>
      </w:r>
      <w:r w:rsidR="00F507BD" w:rsidRPr="00361E30">
        <w:t>modelling</w:t>
      </w:r>
      <w:r w:rsidRPr="00361E30">
        <w:t xml:space="preserve"> using Hospital Site ID as the second level variable, and when comparing survival rates between hospitals), only English hospitals, with good quality data were included in the analysis. The quality filter used was that used routinely at TARN when </w:t>
      </w:r>
      <w:r w:rsidR="00F507BD" w:rsidRPr="00361E30">
        <w:t>analysing</w:t>
      </w:r>
      <w:r w:rsidRPr="00361E30">
        <w:t xml:space="preserve"> data, and is described in detail in Chapter 3, Section 3.3.6.1.</w:t>
      </w:r>
    </w:p>
    <w:p w14:paraId="4994DB8F" w14:textId="77777777" w:rsidR="00CA0EF0" w:rsidRPr="00361E30" w:rsidRDefault="00CA0EF0" w:rsidP="003C13F4">
      <w:pPr>
        <w:pStyle w:val="Heading3"/>
      </w:pPr>
      <w:r w:rsidRPr="00361E30">
        <w:lastRenderedPageBreak/>
        <w:t>9.4.1.2</w:t>
      </w:r>
      <w:r w:rsidRPr="00361E30">
        <w:tab/>
        <w:t>The Applicability of Qualitative Residual Analysis to this Thesis</w:t>
      </w:r>
    </w:p>
    <w:p w14:paraId="6EB7E552" w14:textId="77777777" w:rsidR="00CA0EF0" w:rsidRPr="00361E30" w:rsidRDefault="00CA0EF0" w:rsidP="003C13F4">
      <w:r w:rsidRPr="00361E30">
        <w:t>As discussed in Chapter 3 (Section 3.2), Qualitative Residual Analysis (QRA) was specifically chosen as a research method for this thesis. It allowed the development of a new predictive model for major trauma in older people which tested known variables in the model, and identified potential new variables using qualitative methods.</w:t>
      </w:r>
    </w:p>
    <w:p w14:paraId="1FE57BF8" w14:textId="77777777" w:rsidR="00CA0EF0" w:rsidRPr="00361E30" w:rsidRDefault="00CA0EF0" w:rsidP="00C9320A">
      <w:pPr>
        <w:jc w:val="left"/>
      </w:pPr>
      <w:r w:rsidRPr="00361E30">
        <w:tab/>
        <w:t>QRA, as described by Fry</w:t>
      </w:r>
      <w:r w:rsidR="00B04AF3" w:rsidRPr="00361E30">
        <w:t xml:space="preserve"> et al.</w:t>
      </w:r>
      <w:r w:rsidRPr="00361E30">
        <w:t xml:space="preserve"> (1981) and Onwuegbuzie</w:t>
      </w:r>
      <w:r w:rsidR="00C9320A" w:rsidRPr="00361E30">
        <w:t xml:space="preserve"> and Teddlie</w:t>
      </w:r>
      <w:r w:rsidRPr="00361E30">
        <w:t xml:space="preserve"> (2003), has been used in Health Services Research by O’Cathain</w:t>
      </w:r>
      <w:r w:rsidR="00C9320A" w:rsidRPr="00361E30">
        <w:t xml:space="preserve"> (2013)</w:t>
      </w:r>
      <w:r w:rsidRPr="00361E30">
        <w:t xml:space="preserve"> and </w:t>
      </w:r>
      <w:r w:rsidR="00C9320A" w:rsidRPr="00361E30">
        <w:t>Locker (2005)</w:t>
      </w:r>
      <w:r w:rsidRPr="00361E30">
        <w:t>, when investigating the utilization of urgent and emergency services in the NHS, and Emergency Department waiting times, respectively. This mixed methods approach was well suited for the current PhD thesis. There is a wealth of information regarding the variables that impact on outcomes in older trauma patients, and it was sensible to start by using these to develop a model that most accurately predicts outcomes in these patients (the initial quantitative phase of the research).</w:t>
      </w:r>
    </w:p>
    <w:p w14:paraId="41D19244" w14:textId="77777777" w:rsidR="00CA0EF0" w:rsidRPr="00361E30" w:rsidRDefault="00CA0EF0" w:rsidP="003C13F4">
      <w:pPr>
        <w:ind w:firstLine="720"/>
      </w:pPr>
      <w:r w:rsidRPr="00361E30">
        <w:t>The semi-structured interviews undertaken in Phase 2 of the study, at ‘outlier’ hospitals allowed for exploration the factors in each hospital that might account for the discrepancy between predicted and actual outcomes. Most researchers recogni</w:t>
      </w:r>
      <w:r w:rsidR="0020173C">
        <w:t>s</w:t>
      </w:r>
      <w:r w:rsidRPr="00361E30">
        <w:t xml:space="preserve">e that trauma in older people is a complex phenomenon with multiple factors influencing outcome </w:t>
      </w:r>
      <w:r w:rsidRPr="00361E30">
        <w:rPr>
          <w:noProof/>
        </w:rPr>
        <w:t>(Kehoe et al. 2015</w:t>
      </w:r>
      <w:r w:rsidR="00B75D7B" w:rsidRPr="00361E30">
        <w:rPr>
          <w:noProof/>
        </w:rPr>
        <w:t>b</w:t>
      </w:r>
      <w:r w:rsidRPr="00361E30">
        <w:rPr>
          <w:noProof/>
        </w:rPr>
        <w:t>, Soles and Tornetta 2011)</w:t>
      </w:r>
      <w:r w:rsidRPr="00361E30">
        <w:t xml:space="preserve">. The use of qualitative research methods focused on factors that were likely to explain the variance in the model, by concentrating on hospitals with larger residuals. This was particularly powerful approach to identifying additional variables that might explain variations in hospital survival rates for older trauma patients. Unlike the more classical approach of QRA, which tends to focus on differences between institutions, the interviews in this thesis explored differences between the hospitals as well as shared characteristics that might explain the variations in survival rates. </w:t>
      </w:r>
    </w:p>
    <w:p w14:paraId="1FE504E2" w14:textId="77777777" w:rsidR="00CA0EF0" w:rsidRPr="00361E30" w:rsidRDefault="00CA0EF0" w:rsidP="003C13F4">
      <w:pPr>
        <w:ind w:firstLine="720"/>
      </w:pPr>
      <w:r w:rsidRPr="00361E30">
        <w:t xml:space="preserve">QRA seemed particularly suitable to healthcare research that seeks to measure quality and standards of care. Many of the standards and quality measures used in health are based on a narrow set of factors, which may not fully explain the variability between healthcare institutions. QRA allows for a focused exploration of new and alternative explanations for the variance in outcomes between providers. The approach may thus identify new variables that could improve the predictive accuracy of traditionally used models. As mentioned above, this approach has been used to explain variance in hospital performance with regard to use of urgent care facilities and ED waiting times, and (in this PhD thesis) major trauma in older people </w:t>
      </w:r>
      <w:r w:rsidRPr="00361E30">
        <w:rPr>
          <w:noProof/>
        </w:rPr>
        <w:t>(Locker et al. 2005, O'Cathain et al. 2013)</w:t>
      </w:r>
      <w:r w:rsidRPr="00361E30">
        <w:t>.</w:t>
      </w:r>
    </w:p>
    <w:p w14:paraId="2FF92533" w14:textId="77777777" w:rsidR="00CA0EF0" w:rsidRPr="00361E30" w:rsidRDefault="00CA0EF0" w:rsidP="003C13F4">
      <w:pPr>
        <w:pStyle w:val="Heading3"/>
      </w:pPr>
      <w:r w:rsidRPr="00361E30">
        <w:lastRenderedPageBreak/>
        <w:t>9.4.1.3</w:t>
      </w:r>
      <w:r w:rsidRPr="00361E30">
        <w:tab/>
        <w:t>Reflexivity – the Role of the Researcher in Qualitative Research</w:t>
      </w:r>
    </w:p>
    <w:p w14:paraId="0414D9DE" w14:textId="77777777" w:rsidR="00CA0EF0" w:rsidRPr="00361E30" w:rsidRDefault="00CA0EF0" w:rsidP="003C13F4">
      <w:pPr>
        <w:ind w:firstLine="720"/>
      </w:pPr>
      <w:r w:rsidRPr="00361E30">
        <w:t xml:space="preserve">There were specific challenges posed by my role as an interviewer, particularly in interviews with junior staff members. As an experienced Emergency Physician, I have my own views on many potentially controversial topics that were discussed in these interviews. For example, I hold strong views on the appropriateness of resuscitation of patients in relation to the anticipated quality of life following treatment, and I am aware that these views were not shared by some of the research participants. It was important to remain open to all views expressed on topics such as this, and to be careful not to influence the expression of such views by participants through my verbal and non-verbal cues. </w:t>
      </w:r>
    </w:p>
    <w:p w14:paraId="2EF6BFF0" w14:textId="77777777" w:rsidR="00CA0EF0" w:rsidRPr="00361E30" w:rsidRDefault="00CA0EF0" w:rsidP="003C13F4">
      <w:pPr>
        <w:ind w:firstLine="720"/>
      </w:pPr>
      <w:r w:rsidRPr="00361E30">
        <w:t xml:space="preserve">As a consultant in Emergency Medicine, there was a potential power dynamic between me and the more junior staff taking part in the interview. Again, I attempted to minimise this by clearly stating my position as a PhD student (rather than an ED consultant) and was careful to try not to influence the discussion through my own input. Finally, with years of experience, there was a risk of assuming knowledge of both the subject matter and the views of participants. To avoid the trap of over-assumption I constantly sought clarification of statements made by participants, to ensure that there was a shared understanding of any issues discussed and opinions voiced. While this slowed down the interview process at times, it was essential to prevent misinterpretation of data during the analysis phase of the study. </w:t>
      </w:r>
    </w:p>
    <w:p w14:paraId="4B2E2D0F" w14:textId="77777777" w:rsidR="00CA0EF0" w:rsidRPr="00361E30" w:rsidRDefault="00CA0EF0" w:rsidP="003C13F4">
      <w:pPr>
        <w:pStyle w:val="Heading2"/>
      </w:pPr>
      <w:bookmarkStart w:id="229" w:name="_Toc1902372"/>
      <w:r w:rsidRPr="00361E30">
        <w:t>9.4.2</w:t>
      </w:r>
      <w:r w:rsidRPr="00361E30">
        <w:tab/>
        <w:t>Limitations of the Study</w:t>
      </w:r>
      <w:bookmarkEnd w:id="229"/>
    </w:p>
    <w:p w14:paraId="45836E3E" w14:textId="77777777" w:rsidR="00CA0EF0" w:rsidRPr="00361E30" w:rsidRDefault="00CA0EF0" w:rsidP="003C13F4">
      <w:pPr>
        <w:pStyle w:val="Heading3"/>
      </w:pPr>
      <w:r w:rsidRPr="00361E30">
        <w:t>9.4.2.1</w:t>
      </w:r>
      <w:r w:rsidRPr="00361E30">
        <w:tab/>
        <w:t>Limitations of the TARN dataset</w:t>
      </w:r>
    </w:p>
    <w:p w14:paraId="5E291989" w14:textId="77777777" w:rsidR="00CA0EF0" w:rsidRPr="00361E30" w:rsidRDefault="00CA0EF0" w:rsidP="003C13F4">
      <w:r w:rsidRPr="00361E30">
        <w:t>The TARN dataset represents the largest and most comprehensive major trauma dataset in Europe, and as such provided extensive, appropriate and relevant data for this study. However, there were limitations to the use of this dataset.</w:t>
      </w:r>
    </w:p>
    <w:p w14:paraId="69C594E1" w14:textId="77777777" w:rsidR="00CA0EF0" w:rsidRPr="00361E30" w:rsidRDefault="00CA0EF0" w:rsidP="003C13F4">
      <w:pPr>
        <w:ind w:firstLine="360"/>
      </w:pPr>
      <w:r w:rsidRPr="00361E30">
        <w:t xml:space="preserve">Missing </w:t>
      </w:r>
      <w:r w:rsidR="008A51FC">
        <w:t>data were</w:t>
      </w:r>
      <w:r w:rsidRPr="00361E30">
        <w:t xml:space="preserve"> an issue for some variables used in the predictive model, in particular physiological variables such as Glasgow coma score, systolic blood pressure and respiratory rate. For some of these variables, multiple imputation techniques were used to complete the dataset and avoid large numbers of missing variables. However, this approach was not always appropriate or possible, for example for the 12.4% of patients in whom final outcome was unknown (these patients were omitted from the analysis, see Chapter 4 for a comparison of included and omitted patients).</w:t>
      </w:r>
    </w:p>
    <w:p w14:paraId="5BED5C18" w14:textId="77777777" w:rsidR="00CA0EF0" w:rsidRPr="00361E30" w:rsidRDefault="00CA0EF0" w:rsidP="003C13F4">
      <w:pPr>
        <w:ind w:firstLine="360"/>
      </w:pPr>
      <w:r w:rsidRPr="00361E30">
        <w:t xml:space="preserve">Some variables thought to be important to the development of the model were not recorded on the TARN dataset. For some of these variables proxy measures were used, but for others, such as frailty, no acceptable proxy measure was available to substitute for them. </w:t>
      </w:r>
      <w:r w:rsidRPr="00361E30">
        <w:lastRenderedPageBreak/>
        <w:t xml:space="preserve">Other variables tested in the predictive model were not precisely defined and this may have allowed for inaccuracy in data entry. For example, the term ‘trauma ward’ was not precisely defined and the functions of trauma wards may vary from one hospital to another within the trauma registry. Thus ‘admission to a trauma ward’ may have had significantly different implications for patient care in different hospitals. </w:t>
      </w:r>
      <w:r w:rsidR="00F507BD" w:rsidRPr="00361E30">
        <w:t>Similarly,</w:t>
      </w:r>
      <w:r w:rsidRPr="00361E30">
        <w:t xml:space="preserve"> the definition of a ‘rehabilitation prescription’ for the purposes of TARN data entry was also imprecise, as was the definition of patients who were considered ‘not appropriate’ for one. Again, variations of interpretation of these definitions by different hospitals might have led to significant variations in the data entry for this variable in the TARN dataset.</w:t>
      </w:r>
    </w:p>
    <w:p w14:paraId="3BF2F530" w14:textId="77777777" w:rsidR="00810355" w:rsidRPr="00361E30" w:rsidRDefault="00810355" w:rsidP="003C13F4">
      <w:pPr>
        <w:ind w:firstLine="360"/>
      </w:pPr>
      <w:r w:rsidRPr="00361E30">
        <w:t xml:space="preserve">The exclusion of patients with hip fractures from the analysis of major trauma in older people may, at first glance, </w:t>
      </w:r>
      <w:r w:rsidR="00837B4F">
        <w:t>have led</w:t>
      </w:r>
      <w:r w:rsidRPr="00361E30">
        <w:t xml:space="preserve"> to omission of a significant proportion of older patients presenting to the ED with trauma (Hannan, E.L., et al 2005). However, trauma registries have traditionally excluded these patients from their databases as they are seen as unique in their presentation and </w:t>
      </w:r>
      <w:r w:rsidR="003F4690" w:rsidRPr="00361E30">
        <w:t>care needs, compared to other patients with major trauma. In addition,</w:t>
      </w:r>
      <w:r w:rsidRPr="00361E30">
        <w:t xml:space="preserve"> patients with hip fractures have a long history of organised care within the NHS, and, as discussed in Chapter 7 (Section 7.4.5.3) tend to be a much more homogenous group than other older trauma patients. In this context, the inclusion of these patients</w:t>
      </w:r>
      <w:r w:rsidR="003F4690" w:rsidRPr="00361E30">
        <w:t xml:space="preserve"> may have risked skewing the findings of this study. However, a comparison between patients with hip fractures and other older trauma patients would be useful in finding similarities and differences in their care and </w:t>
      </w:r>
      <w:r w:rsidR="00F507BD" w:rsidRPr="00361E30">
        <w:t>outcomes and</w:t>
      </w:r>
      <w:r w:rsidR="003F4690" w:rsidRPr="00361E30">
        <w:t xml:space="preserve"> could form the basis of a future study.</w:t>
      </w:r>
    </w:p>
    <w:p w14:paraId="72B4FE90" w14:textId="77777777" w:rsidR="00D80751" w:rsidRPr="00361E30" w:rsidRDefault="00D80751" w:rsidP="00D80751">
      <w:pPr>
        <w:ind w:firstLine="360"/>
      </w:pPr>
      <w:r w:rsidRPr="00361E30">
        <w:t xml:space="preserve">There was a potential for selection bias when analysing the performance of individual hospitals in relation to their predicted survival rates. First, the hospitals for this section of the study were limited to English hospitals. Second, of the 175 English hospitals included in TARN, only 80 were eligible for inclusion after excluding hospitals with low numbers of returns and those that did not fulfil the TARN criteria for quality of submissions (See Section 3.3.3.6). While this would have ensured comparing only hospitals with good quality data, the large number of excluded hospitals does raise the question of potential selection bias with regard to individual hospitals. Interestingly all ‘outlying’ hospitals selected for Phase 2 of the study (those whose actual survival rates were </w:t>
      </w:r>
      <w:r w:rsidRPr="00361E30">
        <w:rPr>
          <w:rFonts w:cstheme="minorHAnsi"/>
        </w:rPr>
        <w:t>≥</w:t>
      </w:r>
      <w:r w:rsidRPr="00361E30">
        <w:t xml:space="preserve">2SDs greater than or less than that predicted by the model) were Major Trauma Centres, suggesting that MTCs were more likely to be submitting high quality data and were </w:t>
      </w:r>
      <w:r w:rsidR="001C094A" w:rsidRPr="00361E30">
        <w:t xml:space="preserve">also </w:t>
      </w:r>
      <w:r w:rsidRPr="00361E30">
        <w:t>more likely to be submitting larger numbers of patients to TARN.</w:t>
      </w:r>
    </w:p>
    <w:p w14:paraId="2496C922" w14:textId="77777777" w:rsidR="00CA0EF0" w:rsidRPr="00361E30" w:rsidRDefault="00CA0EF0" w:rsidP="003C13F4">
      <w:pPr>
        <w:pStyle w:val="Heading3"/>
      </w:pPr>
      <w:r w:rsidRPr="00361E30">
        <w:t>9.4.2.2</w:t>
      </w:r>
      <w:r w:rsidRPr="00361E30">
        <w:tab/>
        <w:t>Limitations of the Semi-Structured Interviews</w:t>
      </w:r>
    </w:p>
    <w:p w14:paraId="47AEE9B4" w14:textId="77777777" w:rsidR="00CA0EF0" w:rsidRPr="00361E30" w:rsidRDefault="00CA0EF0" w:rsidP="003C13F4">
      <w:r w:rsidRPr="00361E30">
        <w:t xml:space="preserve">For the qualitative aspect of this study, semi-structured interviews with staff were chosen as these were thought to be a way of yielding important insights into the way trauma services are </w:t>
      </w:r>
      <w:r w:rsidRPr="00361E30">
        <w:lastRenderedPageBreak/>
        <w:t xml:space="preserve">run and how this impacts on older patients. Staff interviews were chosen as they were likely to yield more of an insight into the functioning of the service than interviews with patients. Individual interviews were thought to be more appropriate, as focus groups were more likely to suppress the views of less dominant group members. Ethnographic techniques such as observational studies were considered but given the time and staffing constraints of the study, it was thought that more information would have been obtained through interviews rather than observation, particularly as the care of older trauma patients takes place over a variety of settings and would have required observations in all of these setting, which would have been impossible for a single researcher. </w:t>
      </w:r>
      <w:r w:rsidRPr="00361E30">
        <w:tab/>
      </w:r>
    </w:p>
    <w:p w14:paraId="1C487BC1" w14:textId="77777777" w:rsidR="007F7DEB" w:rsidRPr="00361E30" w:rsidRDefault="007F7DEB" w:rsidP="007F7DEB">
      <w:pPr>
        <w:ind w:firstLine="720"/>
      </w:pPr>
      <w:r w:rsidRPr="00361E30">
        <w:t xml:space="preserve">Ethical considerations meant that initial contact with potential interviewees was made through the trauma lead at the selected hospital site (Section 3.3.4.5). This could have potentially influenced the interviewees selected, as it is likely that these ‘gatekeepers’ would have, consciously or unconsciously, selected participants who they considered ‘good’ interviewees. It is impossible to know what that might have meant the </w:t>
      </w:r>
      <w:r w:rsidR="00474676" w:rsidRPr="00361E30">
        <w:t>trauma.</w:t>
      </w:r>
      <w:r w:rsidRPr="00361E30">
        <w:t xml:space="preserve"> They could have selected participants they thought had good institutional knowledge, or possibly those who they thought would provide a ‘good’ opinion of the hospital site. In addition, other factors may have come in to play when selecting interviewees, such as availability of staff.</w:t>
      </w:r>
    </w:p>
    <w:p w14:paraId="23C05B07" w14:textId="77777777" w:rsidR="00CA0EF0" w:rsidRPr="00361E30" w:rsidRDefault="00CA0EF0" w:rsidP="003C13F4">
      <w:pPr>
        <w:ind w:firstLine="720"/>
      </w:pPr>
      <w:r w:rsidRPr="00361E30">
        <w:t>There was a risk that interviewees’ perceptions may not have coincided with actual clinical practice. However, it was felt that interviewees’ perceptions and opinions were valid data from which to work, as these perceptions, opinions and attitudes would have also shaped the approach to the care of older trauma patients.</w:t>
      </w:r>
    </w:p>
    <w:p w14:paraId="2570F310" w14:textId="77777777" w:rsidR="00CA0EF0" w:rsidRPr="00361E30" w:rsidRDefault="00CA0EF0" w:rsidP="003C13F4">
      <w:pPr>
        <w:ind w:firstLine="720"/>
      </w:pPr>
      <w:r w:rsidRPr="00361E30">
        <w:t>The grouping of staff into ‘operational’ and ‘strategic’ staff was, to some extent, artificial, as many staff members fulfilled both roles. However, this did not impact on the validity of the interviews, as the information gathered still provided an important insight to both operational realities and strategic goals. In situations where roles coincided, these interviews also provided information about the potential synergies and conflicts between the strategic goals and operational realities of the organisation.</w:t>
      </w:r>
    </w:p>
    <w:p w14:paraId="79296648" w14:textId="77777777" w:rsidR="00CA0EF0" w:rsidRPr="00361E30" w:rsidRDefault="00CA0EF0" w:rsidP="003C13F4">
      <w:pPr>
        <w:ind w:firstLine="720"/>
      </w:pPr>
      <w:r w:rsidRPr="00361E30">
        <w:t>Ideally, it would have been best to conduct interviews at several sites rather than two for the semi-structured interviews. However, constraints of time and personnel meant that only two sites could have been used, as all interviews were conducted by the chief investigator, the PhD student.</w:t>
      </w:r>
    </w:p>
    <w:p w14:paraId="4445BE35" w14:textId="77777777" w:rsidR="00CA0EF0" w:rsidRPr="00361E30" w:rsidRDefault="00CA0EF0" w:rsidP="003C13F4">
      <w:pPr>
        <w:ind w:firstLine="720"/>
      </w:pPr>
      <w:r w:rsidRPr="00361E30">
        <w:lastRenderedPageBreak/>
        <w:t>As the sole interviewer for the qualitative phase of the study, I was aware of my potential impact on the interview process, as an experienced Emergency Medicine consultant. This has been discussed in more detail in Section 9.4.1.3 (Reflexivity).</w:t>
      </w:r>
    </w:p>
    <w:p w14:paraId="429EE061" w14:textId="77777777" w:rsidR="00CA0EF0" w:rsidRPr="00361E30" w:rsidRDefault="00CA0EF0" w:rsidP="003C13F4">
      <w:pPr>
        <w:ind w:firstLine="720"/>
      </w:pPr>
      <w:r w:rsidRPr="00361E30">
        <w:t>Due to delays in obtaining ethical (IRAS and institutional) approval for conducting the semi-structured interviews, there was a significant time difference between time period covered by the TARN data used in this study (June 2013 to May 2015) and the conduct of the interviews (May 2017 to July 2017). Conditions in the hospitals selected may have changed between the collection of quantitative (TARN) data and conduct of the interviews. Interviewees in both hospitals alluded to this. At Site 01 (the ‘high performing’ hospital from the TARN analysis), several interviewees complained that there seemed to be a worsening of rehabilitation provision for trauma patients since they were designated major trauma centre in 2013. In addition, despite the perceived need for a trauma ward, interviewees thought that there was a lack of will on the part of the hospital administration to develop and implement one. The impression was that these two factors in conjunction may have led to a decline in the services offered to older trauma patients over the past few years. Conversely, at Site 02 (the ‘low performing’ hospital) interviewees admitted that there were serious deficiencies in the management of some types of trauma patients (for example older patients with chest injuries). This was reflected in their survival rates for these patients, as measured by TARN. However, this had improved considerably with the development of specific pathways and protocols to deal with these patients within the past few years.</w:t>
      </w:r>
    </w:p>
    <w:p w14:paraId="6412BD02" w14:textId="77777777" w:rsidR="00CA0EF0" w:rsidRPr="00361E30" w:rsidRDefault="00CA0EF0" w:rsidP="003C13F4">
      <w:pPr>
        <w:pStyle w:val="Heading1"/>
      </w:pPr>
      <w:bookmarkStart w:id="230" w:name="_Toc1902373"/>
      <w:r w:rsidRPr="00361E30">
        <w:t xml:space="preserve">9.5 </w:t>
      </w:r>
      <w:r w:rsidRPr="00361E30">
        <w:tab/>
        <w:t>Implications for Further Research and Clinical Practice</w:t>
      </w:r>
      <w:bookmarkEnd w:id="230"/>
      <w:r w:rsidRPr="00361E30">
        <w:t xml:space="preserve"> </w:t>
      </w:r>
    </w:p>
    <w:p w14:paraId="3DE9D26A" w14:textId="77777777" w:rsidR="00CA0EF0" w:rsidRPr="00361E30" w:rsidRDefault="00CA0EF0" w:rsidP="003C13F4">
      <w:r w:rsidRPr="00361E30">
        <w:t xml:space="preserve">This study demonstrated that the current PS14 model for predicting outcomes in trauma patients did not perform as well when applied to older patients with major trauma as with younger patients. </w:t>
      </w:r>
    </w:p>
    <w:p w14:paraId="4E39FA6F" w14:textId="77777777" w:rsidR="00CA0EF0" w:rsidRPr="00361E30" w:rsidRDefault="00CA0EF0" w:rsidP="003C13F4">
      <w:pPr>
        <w:pStyle w:val="Heading2"/>
      </w:pPr>
      <w:bookmarkStart w:id="231" w:name="_Toc1902374"/>
      <w:r w:rsidRPr="00361E30">
        <w:t>9.5.1</w:t>
      </w:r>
      <w:r w:rsidRPr="00361E30">
        <w:tab/>
        <w:t>Implications for Clinical Practice</w:t>
      </w:r>
      <w:bookmarkEnd w:id="231"/>
    </w:p>
    <w:p w14:paraId="21494A92" w14:textId="77777777" w:rsidR="00CA0EF0" w:rsidRPr="00361E30" w:rsidRDefault="00CA0EF0" w:rsidP="003C13F4">
      <w:r w:rsidRPr="00361E30">
        <w:t xml:space="preserve">Throughout the study, trauma in older people was found to be more complex than in younger people. A broader range of variables impacted on survival after trauma, including the patient’s health and functional status as well as the mechanism and pattern of injuries sustained. These findings have important implications for clinicians treating older people with major trauma. It suggests that the approach to older trauma patients may need to be redesigned to provide more multi-disciplinary care, with a greater emphasis on rehabilitation and holistic care, as described by previous authors </w:t>
      </w:r>
      <w:r w:rsidRPr="00361E30">
        <w:rPr>
          <w:noProof/>
        </w:rPr>
        <w:t>(Khan</w:t>
      </w:r>
      <w:r w:rsidR="00B75D7B" w:rsidRPr="00361E30">
        <w:rPr>
          <w:noProof/>
        </w:rPr>
        <w:t xml:space="preserve"> et al.</w:t>
      </w:r>
      <w:r w:rsidRPr="00361E30">
        <w:rPr>
          <w:noProof/>
        </w:rPr>
        <w:t xml:space="preserve"> 2012, Panno et al. 2000)</w:t>
      </w:r>
      <w:r w:rsidRPr="00361E30">
        <w:t>.</w:t>
      </w:r>
    </w:p>
    <w:p w14:paraId="13BE7924" w14:textId="77777777" w:rsidR="00CA0EF0" w:rsidRPr="00361E30" w:rsidRDefault="00CA0EF0" w:rsidP="003C13F4">
      <w:r w:rsidRPr="00361E30">
        <w:lastRenderedPageBreak/>
        <w:tab/>
        <w:t>The argument that age should be, in itself, a criterion for admission to a major trauma centre following serious injuries in older people has not been supported by the findings of this study. In this thesis, admission to a major trauma centre was not shown to improve survival in older trauma patients. This would also be logistically challenging, as major trauma centres would be overwhelmed by older patients if all were transferred to them, since data from this study showed that half of all trauma patients are 65 years and older. A more sensible approach, in line with the findings of this study might be to provide shared care for older trauma patients between major trauma centres and trauma units, based on a holistic, multidisciplinary model of care, with outreach by certain specialists for specific groups of patients (for example, an outreach neurosurgical service for older patients with brain injuries that do not require surgical intervention).</w:t>
      </w:r>
    </w:p>
    <w:p w14:paraId="0D3A131A" w14:textId="77777777" w:rsidR="00CA0EF0" w:rsidRPr="00361E30" w:rsidRDefault="00CA0EF0" w:rsidP="003C13F4">
      <w:r w:rsidRPr="00361E30">
        <w:tab/>
        <w:t xml:space="preserve">There is a need for wider consultation on the way forward with regard to trauma in older people. This has been commenced at TARN with the formation of a working group on trauma in older people, and the publication of the TARN 2017 Report on Major Trauma in Older People </w:t>
      </w:r>
      <w:r w:rsidRPr="00361E30">
        <w:rPr>
          <w:noProof/>
        </w:rPr>
        <w:t>(</w:t>
      </w:r>
      <w:r w:rsidR="002F446A" w:rsidRPr="00361E30">
        <w:rPr>
          <w:noProof/>
        </w:rPr>
        <w:t>Trauma Audit and Research Network</w:t>
      </w:r>
      <w:r w:rsidRPr="00361E30">
        <w:rPr>
          <w:noProof/>
        </w:rPr>
        <w:t xml:space="preserve"> 2017)</w:t>
      </w:r>
      <w:r w:rsidRPr="00361E30">
        <w:t>.</w:t>
      </w:r>
    </w:p>
    <w:p w14:paraId="07FB88B1" w14:textId="77777777" w:rsidR="00CA0EF0" w:rsidRPr="00361E30" w:rsidRDefault="00CA0EF0" w:rsidP="003C13F4">
      <w:pPr>
        <w:pStyle w:val="Heading2"/>
      </w:pPr>
      <w:bookmarkStart w:id="232" w:name="_Toc1902375"/>
      <w:r w:rsidRPr="00361E30">
        <w:t>9.5.1</w:t>
      </w:r>
      <w:r w:rsidRPr="00361E30">
        <w:tab/>
        <w:t>Implications for Further Research</w:t>
      </w:r>
      <w:bookmarkEnd w:id="232"/>
      <w:r w:rsidRPr="00361E30">
        <w:t xml:space="preserve"> </w:t>
      </w:r>
    </w:p>
    <w:p w14:paraId="57B7A346" w14:textId="77777777" w:rsidR="00CA0EF0" w:rsidRPr="00361E30" w:rsidRDefault="00CA0EF0" w:rsidP="003C13F4">
      <w:pPr>
        <w:ind w:firstLine="720"/>
      </w:pPr>
      <w:r w:rsidRPr="00361E30">
        <w:t>This thesis identified factors currently not recorded in the TARN database that are likely to be contributing to the probability of survival in older trauma patients and that need to be incorporated into any new predictive model. Data on these potentially important variables need to be prospectively collected so that their impact on survival after major trauma can be more rigorously tested. Of the variables tested, data on some patient characteristics, particularly frailty, need to be collected by major trauma registries such as TARN and tested more rigorously to determine its impact on survival in older trauma patients. In addition, data on care process factors, in particular early rehabilitation and holistic care, also need to be prospectively collected so that their impact on survival in older trauma patients can be determined with more certainty.</w:t>
      </w:r>
    </w:p>
    <w:p w14:paraId="3AFF9E61" w14:textId="77777777" w:rsidR="008A3250" w:rsidRPr="00361E30" w:rsidRDefault="008A3250" w:rsidP="003C13F4">
      <w:pPr>
        <w:ind w:firstLine="720"/>
      </w:pPr>
      <w:r w:rsidRPr="00361E30">
        <w:tab/>
        <w:t xml:space="preserve">Frailty emerged as an important phenomenon impacting on outcome in older trauma patients, as well as influencing the approach to treatment of these patients. While frailty is recognised as a strong influencing factor in older patients who have suffered major trauma, there is little research into the association between frailty and outcome in these patients. This is an important area for </w:t>
      </w:r>
      <w:r w:rsidR="00474676" w:rsidRPr="00361E30">
        <w:t>research and</w:t>
      </w:r>
      <w:r w:rsidRPr="00361E30">
        <w:t xml:space="preserve"> should start with the identification of a diagnostic tool which would allow the reliable identification of older frail patients in the Emergency Department.</w:t>
      </w:r>
    </w:p>
    <w:p w14:paraId="7B6BC2EE" w14:textId="77777777" w:rsidR="00CA0EF0" w:rsidRPr="00361E30" w:rsidRDefault="00CA0EF0" w:rsidP="003C13F4">
      <w:pPr>
        <w:ind w:firstLine="720"/>
      </w:pPr>
      <w:r w:rsidRPr="00361E30">
        <w:lastRenderedPageBreak/>
        <w:t xml:space="preserve">Finally, there is a need to redefine what constitutes a ‘satisfactory outcome’ for older patients who have suffered major trauma, as the simple dichotomous outcome of death versus survival does not capture important variations in quality of life following serious injuries, particularly in older people. TARN is currently collecting data on functional outcomes and quality of life in a pilot study to determine if these outcomes can be incorporated into the measurement of hospital performance with regard to major trauma </w:t>
      </w:r>
      <w:r w:rsidRPr="00361E30">
        <w:rPr>
          <w:noProof/>
        </w:rPr>
        <w:t>(Ardolino et al. 2012)</w:t>
      </w:r>
      <w:r w:rsidRPr="00361E30">
        <w:t>.</w:t>
      </w:r>
    </w:p>
    <w:p w14:paraId="7022208A" w14:textId="77777777" w:rsidR="00CA0EF0" w:rsidRPr="00361E30" w:rsidRDefault="00CA0EF0" w:rsidP="003C13F4">
      <w:pPr>
        <w:ind w:firstLine="720"/>
      </w:pPr>
      <w:r w:rsidRPr="00361E30">
        <w:t xml:space="preserve">With the marked differences between older and younger major trauma patients, it can be argued that older trauma patients should have their own predictive model for survival after </w:t>
      </w:r>
      <w:r w:rsidR="00474676" w:rsidRPr="00361E30">
        <w:t>trauma and</w:t>
      </w:r>
      <w:r w:rsidRPr="00361E30">
        <w:t xml:space="preserve"> should be treated as a separate entity. Some researchers have already proposed this, citing the significant differences in physiology, injury characteristics and health status between the age groups </w:t>
      </w:r>
      <w:r w:rsidRPr="00361E30">
        <w:rPr>
          <w:noProof/>
        </w:rPr>
        <w:t>(Hildebrand et al. 2016)</w:t>
      </w:r>
      <w:r w:rsidRPr="00361E30">
        <w:t xml:space="preserve">. It should be noted, however, that if current trends continue older patients (aged ≥65 years) will soon make up the majority of patients on many trauma registries (including the TARN dataset) and any new predictive model will reflect the characteristics of older patients more than those of younger patients </w:t>
      </w:r>
      <w:r w:rsidRPr="00361E30">
        <w:rPr>
          <w:noProof/>
        </w:rPr>
        <w:t>(Kehoe</w:t>
      </w:r>
      <w:r w:rsidR="00B75D7B" w:rsidRPr="00361E30">
        <w:rPr>
          <w:noProof/>
        </w:rPr>
        <w:t xml:space="preserve"> et al.</w:t>
      </w:r>
      <w:r w:rsidRPr="00361E30">
        <w:rPr>
          <w:noProof/>
        </w:rPr>
        <w:t xml:space="preserve"> 2015</w:t>
      </w:r>
      <w:r w:rsidR="00B75D7B" w:rsidRPr="00361E30">
        <w:rPr>
          <w:noProof/>
        </w:rPr>
        <w:t>a</w:t>
      </w:r>
      <w:r w:rsidRPr="00361E30">
        <w:rPr>
          <w:noProof/>
        </w:rPr>
        <w:t>, Sammy et al. 2016a)</w:t>
      </w:r>
      <w:r w:rsidRPr="00361E30">
        <w:t>.</w:t>
      </w:r>
    </w:p>
    <w:p w14:paraId="6847468A" w14:textId="77777777" w:rsidR="00C90C39" w:rsidRPr="00361E30" w:rsidRDefault="00C90C39" w:rsidP="00C90C39">
      <w:pPr>
        <w:pStyle w:val="Heading1"/>
      </w:pPr>
      <w:bookmarkStart w:id="233" w:name="_Toc1902376"/>
      <w:r w:rsidRPr="00361E30">
        <w:t>9.6</w:t>
      </w:r>
      <w:r w:rsidRPr="00361E30">
        <w:tab/>
        <w:t>Conclusion</w:t>
      </w:r>
      <w:bookmarkEnd w:id="233"/>
    </w:p>
    <w:p w14:paraId="116A1871" w14:textId="77777777" w:rsidR="00747370" w:rsidRPr="00361E30" w:rsidRDefault="00C90C39" w:rsidP="00C90C39">
      <w:r w:rsidRPr="00361E30">
        <w:t xml:space="preserve">This study confirmed the importance of that the factors currently used in modelling survival in major trauma patients are also important in older patients suffering serious injuries. These included demographic factors (age and gender); injury related factors (injury severity score) pre-injury characteristics of patients (Charlson comorbidity index) and physiological variables (Glasgow coma score). </w:t>
      </w:r>
      <w:r w:rsidRPr="00361E30">
        <w:tab/>
        <w:t xml:space="preserve">Other patient characteristics, including number of injuries, injury mechanism (particularly falls), number of injuries and systolic blood pressure were also found </w:t>
      </w:r>
      <w:r w:rsidR="00474676" w:rsidRPr="00361E30">
        <w:t>to be</w:t>
      </w:r>
      <w:r w:rsidRPr="00361E30">
        <w:t xml:space="preserve"> associated with survival in older patients, but did not improve the predictive accuracy of the model. </w:t>
      </w:r>
      <w:r w:rsidR="00747370" w:rsidRPr="00361E30">
        <w:t>Addition of known care process factors, including rate of admission to ICU, rate of emergency laparotomy, hospital designation (MTC vs TU), hospital CQC rating and survival rates for patients with hip fractures did not demonstrate a significant multivariate association with survival in older patients.</w:t>
      </w:r>
    </w:p>
    <w:p w14:paraId="2E3867A4" w14:textId="77777777" w:rsidR="00C90C39" w:rsidRPr="00361E30" w:rsidRDefault="00747370" w:rsidP="00C90C39">
      <w:r w:rsidRPr="00361E30">
        <w:tab/>
      </w:r>
      <w:r w:rsidR="00C90C39" w:rsidRPr="00361E30">
        <w:t xml:space="preserve"> </w:t>
      </w:r>
      <w:r w:rsidRPr="00361E30">
        <w:t>The semi-structured interviews highlighted a few factors that merit further investigation. Frailty emerged as an important patient characteristic which could not be tested using the current dataset. Holistic care (as measured by the use of the rehabilitation prescription) and admission to a trauma ward both had significant associations with survival in older patients, and the use of the rehabilitation prescription also improved the predictive accuracy of the model, when applied to major trauma centres only. More work is needed in determining the relevance of these factors to outcome in older trauma patients.</w:t>
      </w:r>
    </w:p>
    <w:p w14:paraId="44ECC815" w14:textId="77777777" w:rsidR="00CA0EF0" w:rsidRPr="00361E30" w:rsidRDefault="00CA0EF0" w:rsidP="003C13F4">
      <w:pPr>
        <w:pStyle w:val="ChapterHeading"/>
      </w:pPr>
      <w:bookmarkStart w:id="234" w:name="_Toc1902377"/>
      <w:r w:rsidRPr="00361E30">
        <w:lastRenderedPageBreak/>
        <w:t>References</w:t>
      </w:r>
      <w:bookmarkEnd w:id="234"/>
    </w:p>
    <w:p w14:paraId="4AC4AEBC" w14:textId="77777777" w:rsidR="00CA0EF0" w:rsidRPr="00361E30" w:rsidRDefault="00CA0EF0" w:rsidP="003C13F4">
      <w:pPr>
        <w:pStyle w:val="ListParagraph"/>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88" w:type="dxa"/>
          <w:right w:w="115" w:type="dxa"/>
        </w:tblCellMar>
        <w:tblLook w:val="04A0" w:firstRow="1" w:lastRow="0" w:firstColumn="1" w:lastColumn="0" w:noHBand="0" w:noVBand="1"/>
      </w:tblPr>
      <w:tblGrid>
        <w:gridCol w:w="8496"/>
      </w:tblGrid>
      <w:tr w:rsidR="00051908" w:rsidRPr="00361E30" w14:paraId="4D15C17D" w14:textId="77777777" w:rsidTr="008F67FE">
        <w:trPr>
          <w:cantSplit/>
        </w:trPr>
        <w:tc>
          <w:tcPr>
            <w:tcW w:w="8726" w:type="dxa"/>
          </w:tcPr>
          <w:p w14:paraId="76704BB8" w14:textId="77777777" w:rsidR="00051908" w:rsidRPr="00361E30" w:rsidRDefault="00051908" w:rsidP="00A84367">
            <w:pPr>
              <w:pStyle w:val="ListParagraph"/>
              <w:spacing w:line="240" w:lineRule="auto"/>
              <w:rPr>
                <w:rFonts w:cstheme="minorHAnsi"/>
                <w:noProof/>
                <w:lang w:val="en-GB"/>
              </w:rPr>
            </w:pPr>
            <w:bookmarkStart w:id="235" w:name="_ENREF_6"/>
            <w:r w:rsidRPr="00361E30">
              <w:rPr>
                <w:rFonts w:cstheme="minorHAnsi"/>
                <w:noProof/>
                <w:lang w:val="en-GB"/>
              </w:rPr>
              <w:t>Adams, S. D., et al. (2013). Do not resuscitate status, not age, affects outcomes after injury: An evaluation of 15,227 consecutive trauma patients.</w:t>
            </w:r>
            <w:r w:rsidRPr="00361E30">
              <w:rPr>
                <w:rFonts w:cstheme="minorHAnsi"/>
                <w:i/>
                <w:noProof/>
                <w:lang w:val="en-GB"/>
              </w:rPr>
              <w:t xml:space="preserve"> Journal of Trauma and Acute Care Surgery</w:t>
            </w:r>
            <w:r w:rsidRPr="00361E30">
              <w:rPr>
                <w:rFonts w:cstheme="minorHAnsi"/>
                <w:noProof/>
                <w:lang w:val="en-GB"/>
              </w:rPr>
              <w:t xml:space="preserve"> 74(5) 1327-1330.</w:t>
            </w:r>
            <w:bookmarkEnd w:id="235"/>
          </w:p>
        </w:tc>
      </w:tr>
      <w:tr w:rsidR="00051908" w:rsidRPr="00361E30" w14:paraId="3839AA34" w14:textId="77777777" w:rsidTr="008F67FE">
        <w:trPr>
          <w:cantSplit/>
        </w:trPr>
        <w:tc>
          <w:tcPr>
            <w:tcW w:w="8726" w:type="dxa"/>
          </w:tcPr>
          <w:p w14:paraId="56ACA4C3" w14:textId="77777777" w:rsidR="00051908" w:rsidRPr="00361E30" w:rsidRDefault="00051908" w:rsidP="00A84367">
            <w:pPr>
              <w:pStyle w:val="ListParagraph"/>
              <w:spacing w:line="240" w:lineRule="auto"/>
              <w:rPr>
                <w:rFonts w:cstheme="minorHAnsi"/>
                <w:noProof/>
                <w:lang w:val="en-GB"/>
              </w:rPr>
            </w:pPr>
            <w:bookmarkStart w:id="236" w:name="_ENREF_7"/>
            <w:r w:rsidRPr="00361E30">
              <w:rPr>
                <w:rFonts w:cstheme="minorHAnsi"/>
                <w:noProof/>
                <w:lang w:val="en-GB"/>
              </w:rPr>
              <w:t>Aitken, L. M., et al. (2010). Characteristics and outcomes of injured older adults after hospital admission.</w:t>
            </w:r>
            <w:r w:rsidRPr="00361E30">
              <w:rPr>
                <w:rFonts w:cstheme="minorHAnsi"/>
                <w:i/>
                <w:noProof/>
                <w:lang w:val="en-GB"/>
              </w:rPr>
              <w:t xml:space="preserve"> Journal of the American Geriatric Society</w:t>
            </w:r>
            <w:r w:rsidRPr="00361E30">
              <w:rPr>
                <w:rFonts w:cstheme="minorHAnsi"/>
                <w:noProof/>
                <w:lang w:val="en-GB"/>
              </w:rPr>
              <w:t xml:space="preserve"> 58(3) 442-449.</w:t>
            </w:r>
            <w:bookmarkEnd w:id="236"/>
          </w:p>
        </w:tc>
      </w:tr>
      <w:tr w:rsidR="00051908" w:rsidRPr="00361E30" w14:paraId="0BE6525B" w14:textId="77777777" w:rsidTr="008F67FE">
        <w:trPr>
          <w:cantSplit/>
        </w:trPr>
        <w:tc>
          <w:tcPr>
            <w:tcW w:w="8726" w:type="dxa"/>
          </w:tcPr>
          <w:p w14:paraId="17434CCF" w14:textId="77777777" w:rsidR="00051908" w:rsidRPr="00361E30" w:rsidRDefault="00051908" w:rsidP="00A84367">
            <w:pPr>
              <w:pStyle w:val="ListParagraph"/>
              <w:spacing w:line="240" w:lineRule="auto"/>
              <w:rPr>
                <w:rFonts w:cstheme="minorHAnsi"/>
                <w:noProof/>
                <w:lang w:val="en-GB"/>
              </w:rPr>
            </w:pPr>
            <w:bookmarkStart w:id="237" w:name="_ENREF_8"/>
            <w:r w:rsidRPr="00361E30">
              <w:rPr>
                <w:rFonts w:cstheme="minorHAnsi"/>
                <w:noProof/>
                <w:lang w:val="en-GB"/>
              </w:rPr>
              <w:t>Ardolino, A., G. Sleat and K. Willett (2012). Outcome measurements in major trauma--results of a consensus meeting.</w:t>
            </w:r>
            <w:r w:rsidRPr="00361E30">
              <w:rPr>
                <w:rFonts w:cstheme="minorHAnsi"/>
                <w:i/>
                <w:noProof/>
                <w:lang w:val="en-GB"/>
              </w:rPr>
              <w:t xml:space="preserve"> Injury</w:t>
            </w:r>
            <w:r w:rsidRPr="00361E30">
              <w:rPr>
                <w:rFonts w:cstheme="minorHAnsi"/>
                <w:noProof/>
                <w:lang w:val="en-GB"/>
              </w:rPr>
              <w:t xml:space="preserve"> 43(10) 1662-1666.</w:t>
            </w:r>
            <w:bookmarkEnd w:id="237"/>
          </w:p>
        </w:tc>
      </w:tr>
      <w:tr w:rsidR="00051908" w:rsidRPr="00361E30" w14:paraId="6DBCEF18" w14:textId="77777777" w:rsidTr="008F67FE">
        <w:trPr>
          <w:cantSplit/>
        </w:trPr>
        <w:tc>
          <w:tcPr>
            <w:tcW w:w="8726" w:type="dxa"/>
          </w:tcPr>
          <w:p w14:paraId="1DF22688" w14:textId="77777777" w:rsidR="00051908" w:rsidRPr="00361E30" w:rsidRDefault="00051908" w:rsidP="00A84367">
            <w:pPr>
              <w:pStyle w:val="ListParagraph"/>
              <w:spacing w:line="240" w:lineRule="auto"/>
              <w:rPr>
                <w:rFonts w:cstheme="minorHAnsi"/>
                <w:noProof/>
                <w:lang w:val="en-GB"/>
              </w:rPr>
            </w:pPr>
            <w:bookmarkStart w:id="238" w:name="_ENREF_223"/>
            <w:r w:rsidRPr="00361E30">
              <w:rPr>
                <w:rFonts w:cstheme="minorHAnsi"/>
                <w:noProof/>
                <w:lang w:val="en-GB"/>
              </w:rPr>
              <w:t>Ärnlöv, J. and A. Larsson (2014). Global, regional, and national age-sex specific all-cause and cause-specific mortality for 240 causes of death, 1990-2013: a systematic analysis for the Global Burden of Disease Study 2013.</w:t>
            </w:r>
            <w:r w:rsidRPr="00361E30">
              <w:rPr>
                <w:rFonts w:cstheme="minorHAnsi"/>
                <w:i/>
                <w:noProof/>
                <w:lang w:val="en-GB"/>
              </w:rPr>
              <w:t xml:space="preserve"> The Lancet</w:t>
            </w:r>
            <w:r w:rsidRPr="00361E30">
              <w:rPr>
                <w:rFonts w:cstheme="minorHAnsi"/>
                <w:noProof/>
                <w:lang w:val="en-GB"/>
              </w:rPr>
              <w:t>.</w:t>
            </w:r>
            <w:bookmarkEnd w:id="238"/>
          </w:p>
        </w:tc>
      </w:tr>
      <w:tr w:rsidR="00051908" w:rsidRPr="00361E30" w14:paraId="5A16F692" w14:textId="77777777" w:rsidTr="008F67FE">
        <w:trPr>
          <w:cantSplit/>
        </w:trPr>
        <w:tc>
          <w:tcPr>
            <w:tcW w:w="8726" w:type="dxa"/>
          </w:tcPr>
          <w:p w14:paraId="042D54B3" w14:textId="77777777" w:rsidR="00051908" w:rsidRPr="00361E30" w:rsidRDefault="00051908" w:rsidP="00A84367">
            <w:pPr>
              <w:pStyle w:val="ListParagraph"/>
              <w:spacing w:line="240" w:lineRule="auto"/>
              <w:rPr>
                <w:rFonts w:cstheme="minorHAnsi"/>
                <w:noProof/>
                <w:lang w:val="en-GB"/>
              </w:rPr>
            </w:pPr>
            <w:bookmarkStart w:id="239" w:name="_ENREF_9"/>
            <w:r w:rsidRPr="00361E30">
              <w:rPr>
                <w:rFonts w:cstheme="minorHAnsi"/>
                <w:noProof/>
                <w:lang w:val="en-GB"/>
              </w:rPr>
              <w:t>Ayoung-Chee, P., et al. (2014). Long-term outcomes of ground-level falls in the elderly.</w:t>
            </w:r>
            <w:r w:rsidRPr="00361E30">
              <w:rPr>
                <w:rFonts w:cstheme="minorHAnsi"/>
                <w:i/>
                <w:noProof/>
                <w:lang w:val="en-GB"/>
              </w:rPr>
              <w:t xml:space="preserve"> Journal of Trauma and Acute Care Surgery</w:t>
            </w:r>
            <w:r w:rsidRPr="00361E30">
              <w:rPr>
                <w:rFonts w:cstheme="minorHAnsi"/>
                <w:noProof/>
                <w:lang w:val="en-GB"/>
              </w:rPr>
              <w:t xml:space="preserve"> 76(2) 498-503.</w:t>
            </w:r>
            <w:bookmarkEnd w:id="239"/>
          </w:p>
        </w:tc>
      </w:tr>
      <w:tr w:rsidR="00051908" w:rsidRPr="00361E30" w14:paraId="5AC2023E" w14:textId="77777777" w:rsidTr="008F67FE">
        <w:trPr>
          <w:cantSplit/>
        </w:trPr>
        <w:tc>
          <w:tcPr>
            <w:tcW w:w="8726" w:type="dxa"/>
          </w:tcPr>
          <w:p w14:paraId="3DFE2AF0" w14:textId="77777777" w:rsidR="00051908" w:rsidRPr="00361E30" w:rsidRDefault="00051908" w:rsidP="00A84367">
            <w:pPr>
              <w:pStyle w:val="ListParagraph"/>
              <w:spacing w:line="240" w:lineRule="auto"/>
              <w:rPr>
                <w:rFonts w:cstheme="minorHAnsi"/>
                <w:noProof/>
                <w:lang w:val="en-GB"/>
              </w:rPr>
            </w:pPr>
            <w:bookmarkStart w:id="240" w:name="_ENREF_11"/>
            <w:r w:rsidRPr="00361E30">
              <w:rPr>
                <w:rFonts w:cstheme="minorHAnsi"/>
                <w:noProof/>
                <w:lang w:val="en-GB"/>
              </w:rPr>
              <w:t>Ballard, J., M. Mooney and O. Dempsey (2013). Prevalence of frailty-related risk factors in older adults seen by community nurses.</w:t>
            </w:r>
            <w:r w:rsidRPr="00361E30">
              <w:rPr>
                <w:rFonts w:cstheme="minorHAnsi"/>
                <w:i/>
                <w:noProof/>
                <w:lang w:val="en-GB"/>
              </w:rPr>
              <w:t xml:space="preserve"> Journal of Advanced Nursing</w:t>
            </w:r>
            <w:r w:rsidRPr="00361E30">
              <w:rPr>
                <w:rFonts w:cstheme="minorHAnsi"/>
                <w:noProof/>
                <w:lang w:val="en-GB"/>
              </w:rPr>
              <w:t xml:space="preserve"> 69(3) 675-684.</w:t>
            </w:r>
            <w:bookmarkEnd w:id="240"/>
          </w:p>
        </w:tc>
      </w:tr>
      <w:tr w:rsidR="00051908" w:rsidRPr="00361E30" w14:paraId="37DE00DD" w14:textId="77777777" w:rsidTr="008F67FE">
        <w:trPr>
          <w:cantSplit/>
        </w:trPr>
        <w:tc>
          <w:tcPr>
            <w:tcW w:w="8726" w:type="dxa"/>
          </w:tcPr>
          <w:p w14:paraId="5FDCE22F" w14:textId="77777777" w:rsidR="00051908" w:rsidRPr="00361E30" w:rsidRDefault="00051908" w:rsidP="00A84367">
            <w:pPr>
              <w:pStyle w:val="ListParagraph"/>
              <w:spacing w:line="240" w:lineRule="auto"/>
              <w:rPr>
                <w:rFonts w:cstheme="minorHAnsi"/>
                <w:noProof/>
                <w:lang w:val="en-GB"/>
              </w:rPr>
            </w:pPr>
            <w:bookmarkStart w:id="241" w:name="_ENREF_13"/>
            <w:r w:rsidRPr="00361E30">
              <w:rPr>
                <w:rFonts w:cstheme="minorHAnsi"/>
                <w:noProof/>
                <w:lang w:val="en-GB"/>
              </w:rPr>
              <w:t>Baraff, L. J., et al. (1992). Perceptions of emergency care by the elderly: Results of multicenter focus group interviews.</w:t>
            </w:r>
            <w:r w:rsidRPr="00361E30">
              <w:rPr>
                <w:rFonts w:cstheme="minorHAnsi"/>
                <w:i/>
                <w:noProof/>
                <w:lang w:val="en-GB"/>
              </w:rPr>
              <w:t xml:space="preserve"> Annals of Emergency Medicine</w:t>
            </w:r>
            <w:r w:rsidRPr="00361E30">
              <w:rPr>
                <w:rFonts w:cstheme="minorHAnsi"/>
                <w:noProof/>
                <w:lang w:val="en-GB"/>
              </w:rPr>
              <w:t xml:space="preserve"> 21(7) 814-818.</w:t>
            </w:r>
            <w:bookmarkEnd w:id="241"/>
          </w:p>
        </w:tc>
      </w:tr>
      <w:tr w:rsidR="00051908" w:rsidRPr="00361E30" w14:paraId="0E1135C3" w14:textId="77777777" w:rsidTr="008F67FE">
        <w:trPr>
          <w:cantSplit/>
        </w:trPr>
        <w:tc>
          <w:tcPr>
            <w:tcW w:w="8726" w:type="dxa"/>
          </w:tcPr>
          <w:p w14:paraId="5AD3E551" w14:textId="77777777" w:rsidR="00051908" w:rsidRPr="00361E30" w:rsidRDefault="00051908" w:rsidP="00A84367">
            <w:pPr>
              <w:pStyle w:val="ListParagraph"/>
              <w:spacing w:line="240" w:lineRule="auto"/>
              <w:rPr>
                <w:rFonts w:cstheme="minorHAnsi"/>
                <w:noProof/>
                <w:lang w:val="en-GB"/>
              </w:rPr>
            </w:pPr>
            <w:bookmarkStart w:id="242" w:name="_ENREF_14"/>
            <w:r w:rsidRPr="00361E30">
              <w:rPr>
                <w:rFonts w:cstheme="minorHAnsi"/>
                <w:noProof/>
                <w:lang w:val="en-GB"/>
              </w:rPr>
              <w:t>Batchelor, J. S. and A. Grayson (2012). A meta-analysis to determine the effect of anticoagulation on mortality in patients with blunt head trauma.</w:t>
            </w:r>
            <w:r w:rsidRPr="00361E30">
              <w:rPr>
                <w:rFonts w:cstheme="minorHAnsi"/>
                <w:i/>
                <w:noProof/>
                <w:lang w:val="en-GB"/>
              </w:rPr>
              <w:t xml:space="preserve"> British Journal of Neurosurgery</w:t>
            </w:r>
            <w:r w:rsidRPr="00361E30">
              <w:rPr>
                <w:rFonts w:cstheme="minorHAnsi"/>
                <w:noProof/>
                <w:lang w:val="en-GB"/>
              </w:rPr>
              <w:t xml:space="preserve"> 26(4) 525-530.</w:t>
            </w:r>
            <w:bookmarkEnd w:id="242"/>
          </w:p>
        </w:tc>
      </w:tr>
      <w:tr w:rsidR="00051908" w:rsidRPr="00361E30" w14:paraId="7CB77154" w14:textId="77777777" w:rsidTr="008F67FE">
        <w:trPr>
          <w:cantSplit/>
        </w:trPr>
        <w:tc>
          <w:tcPr>
            <w:tcW w:w="8726" w:type="dxa"/>
          </w:tcPr>
          <w:p w14:paraId="45482B71" w14:textId="77777777" w:rsidR="00051908" w:rsidRPr="00361E30" w:rsidRDefault="00051908" w:rsidP="00A84367">
            <w:pPr>
              <w:pStyle w:val="ListParagraph"/>
              <w:spacing w:line="240" w:lineRule="auto"/>
              <w:rPr>
                <w:rFonts w:cstheme="minorHAnsi"/>
                <w:noProof/>
                <w:lang w:val="en-GB"/>
              </w:rPr>
            </w:pPr>
            <w:bookmarkStart w:id="243" w:name="_ENREF_15"/>
            <w:r w:rsidRPr="00361E30">
              <w:rPr>
                <w:rFonts w:cstheme="minorHAnsi"/>
                <w:noProof/>
                <w:lang w:val="en-GB"/>
              </w:rPr>
              <w:t>Beauchet, O., et al. (2011). How to manage recurrent falls in clinical practice: guidelines of the French Society of Geriatrics and Gerontology.</w:t>
            </w:r>
            <w:r w:rsidRPr="00361E30">
              <w:rPr>
                <w:rFonts w:cstheme="minorHAnsi"/>
                <w:i/>
                <w:noProof/>
                <w:lang w:val="en-GB"/>
              </w:rPr>
              <w:t xml:space="preserve"> Journal of Nutrition Health and Aging</w:t>
            </w:r>
            <w:r w:rsidRPr="00361E30">
              <w:rPr>
                <w:rFonts w:cstheme="minorHAnsi"/>
                <w:noProof/>
                <w:lang w:val="en-GB"/>
              </w:rPr>
              <w:t xml:space="preserve"> 15(1) 79-84.</w:t>
            </w:r>
            <w:bookmarkEnd w:id="243"/>
          </w:p>
        </w:tc>
      </w:tr>
      <w:tr w:rsidR="00051908" w:rsidRPr="00361E30" w14:paraId="674C911C" w14:textId="77777777" w:rsidTr="008F67FE">
        <w:trPr>
          <w:cantSplit/>
        </w:trPr>
        <w:tc>
          <w:tcPr>
            <w:tcW w:w="8726" w:type="dxa"/>
          </w:tcPr>
          <w:p w14:paraId="24839735" w14:textId="77777777" w:rsidR="00051908" w:rsidRPr="00361E30" w:rsidRDefault="00051908" w:rsidP="00A84367">
            <w:pPr>
              <w:pStyle w:val="ListParagraph"/>
              <w:spacing w:line="240" w:lineRule="auto"/>
              <w:rPr>
                <w:rFonts w:cstheme="minorHAnsi"/>
                <w:noProof/>
                <w:lang w:val="en-GB"/>
              </w:rPr>
            </w:pPr>
            <w:bookmarkStart w:id="244" w:name="_ENREF_16"/>
            <w:r w:rsidRPr="00361E30">
              <w:rPr>
                <w:rFonts w:cstheme="minorHAnsi"/>
                <w:noProof/>
                <w:lang w:val="en-GB"/>
              </w:rPr>
              <w:t>Belzunegui, T., et al. (2013). Major trauma registry of Navarre (Spain): the accuracy of different survival prediction models.</w:t>
            </w:r>
            <w:r w:rsidRPr="00361E30">
              <w:rPr>
                <w:rFonts w:cstheme="minorHAnsi"/>
                <w:i/>
                <w:noProof/>
                <w:lang w:val="en-GB"/>
              </w:rPr>
              <w:t xml:space="preserve"> American Journal of Emergency Medicine</w:t>
            </w:r>
            <w:r w:rsidRPr="00361E30">
              <w:rPr>
                <w:rFonts w:cstheme="minorHAnsi"/>
                <w:noProof/>
                <w:lang w:val="en-GB"/>
              </w:rPr>
              <w:t xml:space="preserve"> 31(9) 1382-1388.</w:t>
            </w:r>
            <w:bookmarkEnd w:id="244"/>
          </w:p>
        </w:tc>
      </w:tr>
      <w:tr w:rsidR="00051908" w:rsidRPr="00361E30" w14:paraId="4E86DC55" w14:textId="77777777" w:rsidTr="008F67FE">
        <w:trPr>
          <w:cantSplit/>
        </w:trPr>
        <w:tc>
          <w:tcPr>
            <w:tcW w:w="8726" w:type="dxa"/>
          </w:tcPr>
          <w:p w14:paraId="7F67DC99" w14:textId="77777777" w:rsidR="00051908" w:rsidRPr="00361E30" w:rsidRDefault="00051908" w:rsidP="00A84367">
            <w:pPr>
              <w:pStyle w:val="ListParagraph"/>
              <w:spacing w:line="240" w:lineRule="auto"/>
              <w:rPr>
                <w:rFonts w:cstheme="minorHAnsi"/>
                <w:noProof/>
                <w:lang w:val="en-GB"/>
              </w:rPr>
            </w:pPr>
            <w:bookmarkStart w:id="245" w:name="_ENREF_17"/>
            <w:r w:rsidRPr="00361E30">
              <w:rPr>
                <w:rFonts w:cstheme="minorHAnsi"/>
                <w:noProof/>
                <w:lang w:val="en-GB"/>
              </w:rPr>
              <w:t>Bergeron, E., et al. (2003). Elderly trauma patients with rib fractures are at greater risk of death and pneumonia.</w:t>
            </w:r>
            <w:r w:rsidRPr="00361E30">
              <w:rPr>
                <w:rFonts w:cstheme="minorHAnsi"/>
                <w:i/>
                <w:noProof/>
                <w:lang w:val="en-GB"/>
              </w:rPr>
              <w:t xml:space="preserve"> Journal of Trauma and Acute Care Surgery</w:t>
            </w:r>
            <w:r w:rsidRPr="00361E30">
              <w:rPr>
                <w:rFonts w:cstheme="minorHAnsi"/>
                <w:noProof/>
                <w:lang w:val="en-GB"/>
              </w:rPr>
              <w:t xml:space="preserve"> 54(3) 478-485.</w:t>
            </w:r>
            <w:bookmarkEnd w:id="245"/>
          </w:p>
        </w:tc>
      </w:tr>
      <w:tr w:rsidR="00051908" w:rsidRPr="00361E30" w14:paraId="1BD2E0D9" w14:textId="77777777" w:rsidTr="008F67FE">
        <w:trPr>
          <w:cantSplit/>
        </w:trPr>
        <w:tc>
          <w:tcPr>
            <w:tcW w:w="8726" w:type="dxa"/>
          </w:tcPr>
          <w:p w14:paraId="26BF815F" w14:textId="77777777" w:rsidR="00051908" w:rsidRPr="00361E30" w:rsidRDefault="00051908" w:rsidP="00A84367">
            <w:pPr>
              <w:pStyle w:val="ListParagraph"/>
              <w:spacing w:line="240" w:lineRule="auto"/>
              <w:rPr>
                <w:rFonts w:cstheme="minorHAnsi"/>
                <w:noProof/>
                <w:lang w:val="en-GB"/>
              </w:rPr>
            </w:pPr>
            <w:bookmarkStart w:id="246" w:name="_ENREF_18"/>
            <w:r w:rsidRPr="00361E30">
              <w:rPr>
                <w:rFonts w:cstheme="minorHAnsi"/>
                <w:noProof/>
                <w:lang w:val="en-GB"/>
              </w:rPr>
              <w:t>Bergeron, E., et al. (2004). Improving the TRISS methodology by restructuring age categories and adding comorbidities.</w:t>
            </w:r>
            <w:r w:rsidRPr="00361E30">
              <w:rPr>
                <w:rFonts w:cstheme="minorHAnsi"/>
                <w:i/>
                <w:noProof/>
                <w:lang w:val="en-GB"/>
              </w:rPr>
              <w:t xml:space="preserve"> Journal of Trauma and Acute Care Surgery</w:t>
            </w:r>
            <w:r w:rsidRPr="00361E30">
              <w:rPr>
                <w:rFonts w:cstheme="minorHAnsi"/>
                <w:noProof/>
                <w:lang w:val="en-GB"/>
              </w:rPr>
              <w:t xml:space="preserve"> 56(4) 760-767.</w:t>
            </w:r>
            <w:bookmarkEnd w:id="246"/>
          </w:p>
        </w:tc>
      </w:tr>
      <w:tr w:rsidR="00051908" w:rsidRPr="00361E30" w14:paraId="5854E58B" w14:textId="77777777" w:rsidTr="008F67FE">
        <w:trPr>
          <w:cantSplit/>
        </w:trPr>
        <w:tc>
          <w:tcPr>
            <w:tcW w:w="8726" w:type="dxa"/>
          </w:tcPr>
          <w:p w14:paraId="04089551" w14:textId="77777777" w:rsidR="00051908" w:rsidRPr="00361E30" w:rsidRDefault="00051908" w:rsidP="00A84367">
            <w:pPr>
              <w:pStyle w:val="ListParagraph"/>
              <w:spacing w:line="240" w:lineRule="auto"/>
              <w:rPr>
                <w:rFonts w:cstheme="minorHAnsi"/>
                <w:noProof/>
                <w:lang w:val="en-GB"/>
              </w:rPr>
            </w:pPr>
            <w:bookmarkStart w:id="247" w:name="_ENREF_19"/>
            <w:r w:rsidRPr="00361E30">
              <w:rPr>
                <w:rFonts w:cstheme="minorHAnsi"/>
                <w:noProof/>
                <w:lang w:val="en-GB"/>
              </w:rPr>
              <w:t>Berland, A., D. Gundersen and S. B. Bentsen (2012). Patient safety and falls: A qualitative study of home care nurses in N orway.</w:t>
            </w:r>
            <w:r w:rsidRPr="00361E30">
              <w:rPr>
                <w:rFonts w:cstheme="minorHAnsi"/>
                <w:i/>
                <w:noProof/>
                <w:lang w:val="en-GB"/>
              </w:rPr>
              <w:t xml:space="preserve"> Nursing and health sciences</w:t>
            </w:r>
            <w:r w:rsidRPr="00361E30">
              <w:rPr>
                <w:rFonts w:cstheme="minorHAnsi"/>
                <w:noProof/>
                <w:lang w:val="en-GB"/>
              </w:rPr>
              <w:t xml:space="preserve"> 14(4) 452-457.</w:t>
            </w:r>
            <w:bookmarkEnd w:id="247"/>
          </w:p>
        </w:tc>
      </w:tr>
      <w:tr w:rsidR="00051908" w:rsidRPr="00361E30" w14:paraId="5A866508" w14:textId="77777777" w:rsidTr="008F67FE">
        <w:trPr>
          <w:cantSplit/>
        </w:trPr>
        <w:tc>
          <w:tcPr>
            <w:tcW w:w="8726" w:type="dxa"/>
          </w:tcPr>
          <w:p w14:paraId="4BF6EA46" w14:textId="77777777" w:rsidR="00051908" w:rsidRPr="00361E30" w:rsidRDefault="00051908" w:rsidP="00A84367">
            <w:pPr>
              <w:pStyle w:val="ListParagraph"/>
              <w:spacing w:line="240" w:lineRule="auto"/>
              <w:rPr>
                <w:rFonts w:cstheme="minorHAnsi"/>
                <w:noProof/>
                <w:lang w:val="en-GB"/>
              </w:rPr>
            </w:pPr>
            <w:bookmarkStart w:id="248" w:name="_ENREF_20"/>
            <w:r w:rsidRPr="00361E30">
              <w:rPr>
                <w:rFonts w:cstheme="minorHAnsi"/>
                <w:noProof/>
                <w:lang w:val="en-GB"/>
              </w:rPr>
              <w:t>Berry, C., et al. (2012). Redefining hypotension in traumatic brain injury.</w:t>
            </w:r>
            <w:r w:rsidRPr="00361E30">
              <w:rPr>
                <w:rFonts w:cstheme="minorHAnsi"/>
                <w:i/>
                <w:noProof/>
                <w:lang w:val="en-GB"/>
              </w:rPr>
              <w:t xml:space="preserve"> Injury</w:t>
            </w:r>
            <w:r w:rsidRPr="00361E30">
              <w:rPr>
                <w:rFonts w:cstheme="minorHAnsi"/>
                <w:noProof/>
                <w:lang w:val="en-GB"/>
              </w:rPr>
              <w:t xml:space="preserve"> 43(11) 1833-1837.</w:t>
            </w:r>
            <w:bookmarkEnd w:id="248"/>
          </w:p>
        </w:tc>
      </w:tr>
      <w:tr w:rsidR="00051908" w:rsidRPr="00361E30" w14:paraId="2DE285E3" w14:textId="77777777" w:rsidTr="008F67FE">
        <w:trPr>
          <w:cantSplit/>
        </w:trPr>
        <w:tc>
          <w:tcPr>
            <w:tcW w:w="8726" w:type="dxa"/>
          </w:tcPr>
          <w:p w14:paraId="70DEC96E" w14:textId="77777777" w:rsidR="00051908" w:rsidRPr="00361E30" w:rsidRDefault="00051908" w:rsidP="00A84367">
            <w:pPr>
              <w:pStyle w:val="ListParagraph"/>
              <w:spacing w:line="240" w:lineRule="auto"/>
              <w:rPr>
                <w:rFonts w:cstheme="minorHAnsi"/>
                <w:noProof/>
                <w:lang w:val="en-GB"/>
              </w:rPr>
            </w:pPr>
            <w:bookmarkStart w:id="249" w:name="_ENREF_21"/>
            <w:r w:rsidRPr="00361E30">
              <w:rPr>
                <w:rFonts w:cstheme="minorHAnsi"/>
                <w:noProof/>
                <w:lang w:val="en-GB"/>
              </w:rPr>
              <w:t xml:space="preserve">Blaikie, N. (2009). </w:t>
            </w:r>
            <w:r w:rsidRPr="00361E30">
              <w:rPr>
                <w:rFonts w:cstheme="minorHAnsi"/>
                <w:i/>
                <w:noProof/>
                <w:lang w:val="en-GB"/>
              </w:rPr>
              <w:t>Designing social research</w:t>
            </w:r>
            <w:r w:rsidRPr="00361E30">
              <w:rPr>
                <w:rFonts w:cstheme="minorHAnsi"/>
                <w:noProof/>
                <w:lang w:val="en-GB"/>
              </w:rPr>
              <w:t>. Cambridge: Polity Press.</w:t>
            </w:r>
            <w:bookmarkEnd w:id="249"/>
          </w:p>
        </w:tc>
      </w:tr>
      <w:tr w:rsidR="00051908" w:rsidRPr="00361E30" w14:paraId="69B7C7B4" w14:textId="77777777" w:rsidTr="008F67FE">
        <w:trPr>
          <w:cantSplit/>
        </w:trPr>
        <w:tc>
          <w:tcPr>
            <w:tcW w:w="8726" w:type="dxa"/>
          </w:tcPr>
          <w:p w14:paraId="663711EE" w14:textId="77777777" w:rsidR="00051908" w:rsidRPr="00361E30" w:rsidRDefault="00051908" w:rsidP="00A84367">
            <w:pPr>
              <w:pStyle w:val="ListParagraph"/>
              <w:spacing w:line="240" w:lineRule="auto"/>
              <w:rPr>
                <w:rFonts w:cstheme="minorHAnsi"/>
                <w:noProof/>
                <w:lang w:val="en-GB"/>
              </w:rPr>
            </w:pPr>
            <w:bookmarkStart w:id="250" w:name="_ENREF_22"/>
            <w:r w:rsidRPr="00361E30">
              <w:rPr>
                <w:rFonts w:cstheme="minorHAnsi"/>
                <w:noProof/>
                <w:lang w:val="en-GB"/>
              </w:rPr>
              <w:lastRenderedPageBreak/>
              <w:t>Bloch, F., et al. (2010). Episodes of falling among elderly people: a systematic review and meta-analysis of social and demographic pre-disposing characteristics.</w:t>
            </w:r>
            <w:r w:rsidRPr="00361E30">
              <w:rPr>
                <w:rFonts w:cstheme="minorHAnsi"/>
                <w:i/>
                <w:noProof/>
                <w:lang w:val="en-GB"/>
              </w:rPr>
              <w:t xml:space="preserve"> Clinics (Sao Paulo)</w:t>
            </w:r>
            <w:r w:rsidRPr="00361E30">
              <w:rPr>
                <w:rFonts w:cstheme="minorHAnsi"/>
                <w:noProof/>
                <w:lang w:val="en-GB"/>
              </w:rPr>
              <w:t xml:space="preserve"> 65(9) 895-903.</w:t>
            </w:r>
            <w:bookmarkEnd w:id="250"/>
          </w:p>
        </w:tc>
      </w:tr>
      <w:tr w:rsidR="00051908" w:rsidRPr="00361E30" w14:paraId="0AA548A5" w14:textId="77777777" w:rsidTr="008F67FE">
        <w:trPr>
          <w:cantSplit/>
        </w:trPr>
        <w:tc>
          <w:tcPr>
            <w:tcW w:w="8726" w:type="dxa"/>
          </w:tcPr>
          <w:p w14:paraId="4A7521FA" w14:textId="77777777" w:rsidR="00051908" w:rsidRPr="00361E30" w:rsidRDefault="00651884" w:rsidP="00A84367">
            <w:pPr>
              <w:pStyle w:val="ListParagraph"/>
              <w:spacing w:line="240" w:lineRule="auto"/>
              <w:rPr>
                <w:rFonts w:cstheme="minorHAnsi"/>
                <w:noProof/>
                <w:lang w:val="en-GB"/>
              </w:rPr>
            </w:pPr>
            <w:bookmarkStart w:id="251" w:name="_ENREF_26"/>
            <w:r w:rsidRPr="00361E30">
              <w:rPr>
                <w:rFonts w:cstheme="minorHAnsi"/>
                <w:noProof/>
                <w:lang w:val="en-GB"/>
              </w:rPr>
              <w:t>Bouamra, O.</w:t>
            </w:r>
            <w:r w:rsidR="00051908" w:rsidRPr="00361E30">
              <w:rPr>
                <w:rFonts w:cstheme="minorHAnsi"/>
                <w:noProof/>
                <w:lang w:val="en-GB"/>
              </w:rPr>
              <w:t>, et al. (2006c). A New Approach to Outcome Prediction in Trauma: A Comparison With the TRISS Model.</w:t>
            </w:r>
            <w:r w:rsidR="00051908" w:rsidRPr="00361E30">
              <w:rPr>
                <w:rFonts w:cstheme="minorHAnsi"/>
                <w:i/>
                <w:noProof/>
                <w:lang w:val="en-GB"/>
              </w:rPr>
              <w:t xml:space="preserve"> Journal of Trauma-Injury Infection and Critical Care</w:t>
            </w:r>
            <w:r w:rsidR="00051908" w:rsidRPr="00361E30">
              <w:rPr>
                <w:rFonts w:cstheme="minorHAnsi"/>
                <w:noProof/>
                <w:lang w:val="en-GB"/>
              </w:rPr>
              <w:t xml:space="preserve"> 61(3) 701-710.</w:t>
            </w:r>
            <w:bookmarkEnd w:id="251"/>
          </w:p>
        </w:tc>
      </w:tr>
      <w:tr w:rsidR="00051908" w:rsidRPr="00361E30" w14:paraId="1D9D94E5" w14:textId="77777777" w:rsidTr="008F67FE">
        <w:trPr>
          <w:cantSplit/>
        </w:trPr>
        <w:tc>
          <w:tcPr>
            <w:tcW w:w="8726" w:type="dxa"/>
          </w:tcPr>
          <w:p w14:paraId="01E086BC" w14:textId="77777777" w:rsidR="00051908" w:rsidRPr="00361E30" w:rsidRDefault="00051908" w:rsidP="00A84367">
            <w:pPr>
              <w:pStyle w:val="ListParagraph"/>
              <w:spacing w:line="240" w:lineRule="auto"/>
              <w:rPr>
                <w:rFonts w:cstheme="minorHAnsi"/>
                <w:noProof/>
                <w:lang w:val="en-GB"/>
              </w:rPr>
            </w:pPr>
            <w:bookmarkStart w:id="252" w:name="_ENREF_24"/>
            <w:r w:rsidRPr="00361E30">
              <w:rPr>
                <w:rFonts w:cstheme="minorHAnsi"/>
                <w:noProof/>
                <w:lang w:val="en-GB"/>
              </w:rPr>
              <w:t>Bouamra, O., et al. (2006a). A new approach to outcome prediction in trauma: A comparison with the TRISS model.</w:t>
            </w:r>
            <w:r w:rsidRPr="00361E30">
              <w:rPr>
                <w:rFonts w:cstheme="minorHAnsi"/>
                <w:i/>
                <w:noProof/>
                <w:lang w:val="en-GB"/>
              </w:rPr>
              <w:t xml:space="preserve"> Journal of Trauma and Acute Care Surgery</w:t>
            </w:r>
            <w:r w:rsidRPr="00361E30">
              <w:rPr>
                <w:rFonts w:cstheme="minorHAnsi"/>
                <w:noProof/>
                <w:lang w:val="en-GB"/>
              </w:rPr>
              <w:t xml:space="preserve"> 61(3) 701-710.</w:t>
            </w:r>
            <w:bookmarkEnd w:id="252"/>
          </w:p>
        </w:tc>
      </w:tr>
      <w:tr w:rsidR="00051908" w:rsidRPr="00361E30" w14:paraId="790F6DF3" w14:textId="77777777" w:rsidTr="008F67FE">
        <w:trPr>
          <w:cantSplit/>
        </w:trPr>
        <w:tc>
          <w:tcPr>
            <w:tcW w:w="8726" w:type="dxa"/>
          </w:tcPr>
          <w:p w14:paraId="4165CA51" w14:textId="77777777" w:rsidR="00051908" w:rsidRPr="00361E30" w:rsidRDefault="00051908" w:rsidP="00A84367">
            <w:pPr>
              <w:pStyle w:val="ListParagraph"/>
              <w:spacing w:line="240" w:lineRule="auto"/>
              <w:rPr>
                <w:rFonts w:cstheme="minorHAnsi"/>
                <w:noProof/>
                <w:lang w:val="en-GB"/>
              </w:rPr>
            </w:pPr>
            <w:bookmarkStart w:id="253" w:name="_ENREF_25"/>
            <w:r w:rsidRPr="00361E30">
              <w:rPr>
                <w:rFonts w:cstheme="minorHAnsi"/>
                <w:noProof/>
                <w:lang w:val="en-GB"/>
              </w:rPr>
              <w:t>Bouamra, O., et al. (2006b). Outcome prediction in trauma.</w:t>
            </w:r>
            <w:r w:rsidRPr="00361E30">
              <w:rPr>
                <w:rFonts w:cstheme="minorHAnsi"/>
                <w:i/>
                <w:noProof/>
                <w:lang w:val="en-GB"/>
              </w:rPr>
              <w:t xml:space="preserve"> Injury</w:t>
            </w:r>
            <w:r w:rsidRPr="00361E30">
              <w:rPr>
                <w:rFonts w:cstheme="minorHAnsi"/>
                <w:noProof/>
                <w:lang w:val="en-GB"/>
              </w:rPr>
              <w:t xml:space="preserve"> 37(12) 1092-1097.</w:t>
            </w:r>
            <w:bookmarkEnd w:id="253"/>
          </w:p>
        </w:tc>
      </w:tr>
      <w:tr w:rsidR="00051908" w:rsidRPr="00361E30" w14:paraId="11E09FFD" w14:textId="77777777" w:rsidTr="008F67FE">
        <w:trPr>
          <w:cantSplit/>
        </w:trPr>
        <w:tc>
          <w:tcPr>
            <w:tcW w:w="8726" w:type="dxa"/>
          </w:tcPr>
          <w:p w14:paraId="5FF9EC07" w14:textId="77777777" w:rsidR="00051908" w:rsidRPr="00361E30" w:rsidRDefault="00051908" w:rsidP="00A84367">
            <w:pPr>
              <w:pStyle w:val="ListParagraph"/>
              <w:spacing w:line="240" w:lineRule="auto"/>
              <w:rPr>
                <w:rFonts w:cstheme="minorHAnsi"/>
                <w:noProof/>
                <w:lang w:val="en-GB"/>
              </w:rPr>
            </w:pPr>
            <w:bookmarkStart w:id="254" w:name="_ENREF_23"/>
            <w:r w:rsidRPr="00361E30">
              <w:rPr>
                <w:rFonts w:cstheme="minorHAnsi"/>
                <w:noProof/>
                <w:lang w:val="en-GB"/>
              </w:rPr>
              <w:t>Bouamra, O., et al. (2015). Prediction modelling for trauma using comorbidity and ‘true’ 30-day outcome.</w:t>
            </w:r>
            <w:r w:rsidRPr="00361E30">
              <w:rPr>
                <w:rFonts w:cstheme="minorHAnsi"/>
                <w:i/>
                <w:noProof/>
                <w:lang w:val="en-GB"/>
              </w:rPr>
              <w:t xml:space="preserve"> Emergency Medicine Journal</w:t>
            </w:r>
            <w:r w:rsidRPr="00361E30">
              <w:rPr>
                <w:rFonts w:cstheme="minorHAnsi"/>
                <w:noProof/>
                <w:lang w:val="en-GB"/>
              </w:rPr>
              <w:t xml:space="preserve"> 32(12) 933-938.</w:t>
            </w:r>
            <w:bookmarkEnd w:id="254"/>
          </w:p>
        </w:tc>
      </w:tr>
      <w:tr w:rsidR="00051908" w:rsidRPr="00361E30" w14:paraId="7F672950" w14:textId="77777777" w:rsidTr="008F67FE">
        <w:trPr>
          <w:cantSplit/>
        </w:trPr>
        <w:tc>
          <w:tcPr>
            <w:tcW w:w="8726" w:type="dxa"/>
          </w:tcPr>
          <w:p w14:paraId="71665F69" w14:textId="77777777" w:rsidR="00051908" w:rsidRPr="00361E30" w:rsidRDefault="00051908" w:rsidP="00A84367">
            <w:pPr>
              <w:pStyle w:val="ListParagraph"/>
              <w:spacing w:line="240" w:lineRule="auto"/>
              <w:rPr>
                <w:rFonts w:cstheme="minorHAnsi"/>
                <w:noProof/>
                <w:lang w:val="en-GB"/>
              </w:rPr>
            </w:pPr>
            <w:bookmarkStart w:id="255" w:name="_ENREF_27"/>
            <w:r w:rsidRPr="00361E30">
              <w:rPr>
                <w:rFonts w:cstheme="minorHAnsi"/>
                <w:noProof/>
                <w:lang w:val="en-GB"/>
              </w:rPr>
              <w:t>Bouman, A. I., et al. (2017). Effects of an Integrated 'Fast Track' Rehabilitation Service for Multi-Trauma Patients: A Non-Randomized Clinical Trial in the Netherlands.</w:t>
            </w:r>
            <w:r w:rsidRPr="00361E30">
              <w:rPr>
                <w:rFonts w:cstheme="minorHAnsi"/>
                <w:i/>
                <w:noProof/>
                <w:lang w:val="en-GB"/>
              </w:rPr>
              <w:t xml:space="preserve"> PLoS One</w:t>
            </w:r>
            <w:r w:rsidRPr="00361E30">
              <w:rPr>
                <w:rFonts w:cstheme="minorHAnsi"/>
                <w:noProof/>
                <w:lang w:val="en-GB"/>
              </w:rPr>
              <w:t xml:space="preserve"> 12(1) e0170047.</w:t>
            </w:r>
            <w:bookmarkEnd w:id="255"/>
          </w:p>
        </w:tc>
      </w:tr>
      <w:tr w:rsidR="00051908" w:rsidRPr="00361E30" w14:paraId="733642D7" w14:textId="77777777" w:rsidTr="008F67FE">
        <w:trPr>
          <w:cantSplit/>
        </w:trPr>
        <w:tc>
          <w:tcPr>
            <w:tcW w:w="8726" w:type="dxa"/>
          </w:tcPr>
          <w:p w14:paraId="33A8F11A" w14:textId="77777777" w:rsidR="00051908" w:rsidRPr="00361E30" w:rsidRDefault="00051908" w:rsidP="00A84367">
            <w:pPr>
              <w:pStyle w:val="ListParagraph"/>
              <w:spacing w:line="240" w:lineRule="auto"/>
              <w:rPr>
                <w:rFonts w:cstheme="minorHAnsi"/>
                <w:noProof/>
                <w:lang w:val="en-GB"/>
              </w:rPr>
            </w:pPr>
            <w:bookmarkStart w:id="256" w:name="_ENREF_28"/>
            <w:r w:rsidRPr="00361E30">
              <w:rPr>
                <w:rFonts w:cstheme="minorHAnsi"/>
                <w:noProof/>
                <w:lang w:val="en-GB"/>
              </w:rPr>
              <w:t>Boyd, C. R., M. A. Tolson and W. S. Copes (1987). Evaluating trauma care: the TRISS method. Trauma Score and the Injury Severity Score.</w:t>
            </w:r>
            <w:r w:rsidRPr="00361E30">
              <w:rPr>
                <w:rFonts w:cstheme="minorHAnsi"/>
                <w:i/>
                <w:noProof/>
                <w:lang w:val="en-GB"/>
              </w:rPr>
              <w:t xml:space="preserve"> Journal of Trauma and Acute Care Surgery</w:t>
            </w:r>
            <w:r w:rsidRPr="00361E30">
              <w:rPr>
                <w:rFonts w:cstheme="minorHAnsi"/>
                <w:noProof/>
                <w:lang w:val="en-GB"/>
              </w:rPr>
              <w:t xml:space="preserve"> 27(4) 370-378.</w:t>
            </w:r>
            <w:bookmarkEnd w:id="256"/>
          </w:p>
        </w:tc>
      </w:tr>
      <w:tr w:rsidR="00051908" w:rsidRPr="00361E30" w14:paraId="729738F7" w14:textId="77777777" w:rsidTr="008F67FE">
        <w:trPr>
          <w:cantSplit/>
        </w:trPr>
        <w:tc>
          <w:tcPr>
            <w:tcW w:w="8726" w:type="dxa"/>
          </w:tcPr>
          <w:p w14:paraId="03AF2E7E" w14:textId="77777777" w:rsidR="00051908" w:rsidRPr="00361E30" w:rsidRDefault="00051908" w:rsidP="00A84367">
            <w:pPr>
              <w:pStyle w:val="ListParagraph"/>
              <w:spacing w:line="240" w:lineRule="auto"/>
              <w:rPr>
                <w:rFonts w:cstheme="minorHAnsi"/>
                <w:noProof/>
                <w:lang w:val="en-GB"/>
              </w:rPr>
            </w:pPr>
            <w:bookmarkStart w:id="257" w:name="_ENREF_201"/>
            <w:r w:rsidRPr="00361E30">
              <w:rPr>
                <w:rFonts w:cstheme="minorHAnsi"/>
                <w:noProof/>
                <w:lang w:val="en-GB"/>
              </w:rPr>
              <w:t xml:space="preserve">British Geriatric Society. (2014). </w:t>
            </w:r>
            <w:r w:rsidRPr="00361E30">
              <w:rPr>
                <w:rFonts w:cstheme="minorHAnsi"/>
                <w:i/>
                <w:noProof/>
                <w:lang w:val="en-GB"/>
              </w:rPr>
              <w:t>Fit for Frailty: Consensus Best Practice Guidance for the Care of Older People Living with Frailty in Community and Outpatient Settings.</w:t>
            </w:r>
            <w:r w:rsidRPr="00361E30">
              <w:rPr>
                <w:rFonts w:cstheme="minorHAnsi"/>
                <w:noProof/>
                <w:lang w:val="en-GB"/>
              </w:rPr>
              <w:t xml:space="preserve"> London: British Geriatrics Society.</w:t>
            </w:r>
            <w:bookmarkEnd w:id="257"/>
          </w:p>
        </w:tc>
      </w:tr>
      <w:tr w:rsidR="00051908" w:rsidRPr="00361E30" w14:paraId="4ACFF4F4" w14:textId="77777777" w:rsidTr="008F67FE">
        <w:trPr>
          <w:cantSplit/>
        </w:trPr>
        <w:tc>
          <w:tcPr>
            <w:tcW w:w="8726" w:type="dxa"/>
          </w:tcPr>
          <w:p w14:paraId="2E71477B" w14:textId="77777777" w:rsidR="00051908" w:rsidRPr="00361E30" w:rsidRDefault="00051908" w:rsidP="00A84367">
            <w:pPr>
              <w:pStyle w:val="ListParagraph"/>
              <w:spacing w:line="240" w:lineRule="auto"/>
              <w:rPr>
                <w:rFonts w:cstheme="minorHAnsi"/>
                <w:noProof/>
                <w:lang w:val="en-GB"/>
              </w:rPr>
            </w:pPr>
            <w:bookmarkStart w:id="258" w:name="_ENREF_29"/>
            <w:r w:rsidRPr="00361E30">
              <w:rPr>
                <w:rFonts w:cstheme="minorHAnsi"/>
                <w:noProof/>
                <w:lang w:val="en-GB"/>
              </w:rPr>
              <w:t>Broos, P. L., et al. (1988). Polytrauma in patients of 65 and over. Injury patterns and outcome.</w:t>
            </w:r>
            <w:r w:rsidRPr="00361E30">
              <w:rPr>
                <w:rFonts w:cstheme="minorHAnsi"/>
                <w:i/>
                <w:noProof/>
                <w:lang w:val="en-GB"/>
              </w:rPr>
              <w:t xml:space="preserve"> International Surgery</w:t>
            </w:r>
            <w:r w:rsidRPr="00361E30">
              <w:rPr>
                <w:rFonts w:cstheme="minorHAnsi"/>
                <w:noProof/>
                <w:lang w:val="en-GB"/>
              </w:rPr>
              <w:t xml:space="preserve"> 73(2) 119-122.</w:t>
            </w:r>
            <w:bookmarkEnd w:id="258"/>
          </w:p>
        </w:tc>
      </w:tr>
      <w:tr w:rsidR="00051908" w:rsidRPr="00361E30" w14:paraId="205F0BB2" w14:textId="77777777" w:rsidTr="008F67FE">
        <w:trPr>
          <w:cantSplit/>
        </w:trPr>
        <w:tc>
          <w:tcPr>
            <w:tcW w:w="8726" w:type="dxa"/>
          </w:tcPr>
          <w:p w14:paraId="26F5021E" w14:textId="77777777" w:rsidR="00051908" w:rsidRPr="00361E30" w:rsidRDefault="00051908" w:rsidP="00A84367">
            <w:pPr>
              <w:pStyle w:val="ListParagraph"/>
              <w:spacing w:line="240" w:lineRule="auto"/>
              <w:rPr>
                <w:rFonts w:cstheme="minorHAnsi"/>
                <w:noProof/>
                <w:lang w:val="en-GB"/>
              </w:rPr>
            </w:pPr>
            <w:bookmarkStart w:id="259" w:name="_ENREF_30"/>
            <w:r w:rsidRPr="00361E30">
              <w:rPr>
                <w:rFonts w:cstheme="minorHAnsi"/>
                <w:noProof/>
                <w:lang w:val="en-GB"/>
              </w:rPr>
              <w:t>Brown, I., R. Renwick and D. Raphael (1995). Frailty: constructing a common meaning, definition, and conceptual framework.</w:t>
            </w:r>
            <w:r w:rsidRPr="00361E30">
              <w:rPr>
                <w:rFonts w:cstheme="minorHAnsi"/>
                <w:i/>
                <w:noProof/>
                <w:lang w:val="en-GB"/>
              </w:rPr>
              <w:t xml:space="preserve"> International Journal of Rehabilitation Research</w:t>
            </w:r>
            <w:r w:rsidRPr="00361E30">
              <w:rPr>
                <w:rFonts w:cstheme="minorHAnsi"/>
                <w:noProof/>
                <w:lang w:val="en-GB"/>
              </w:rPr>
              <w:t xml:space="preserve"> 18(2) 93-102.</w:t>
            </w:r>
            <w:bookmarkEnd w:id="259"/>
          </w:p>
        </w:tc>
      </w:tr>
      <w:tr w:rsidR="00051908" w:rsidRPr="00361E30" w14:paraId="1F77EA8C" w14:textId="77777777" w:rsidTr="008F67FE">
        <w:trPr>
          <w:cantSplit/>
        </w:trPr>
        <w:tc>
          <w:tcPr>
            <w:tcW w:w="8726" w:type="dxa"/>
          </w:tcPr>
          <w:p w14:paraId="79507A7C" w14:textId="77777777" w:rsidR="00051908" w:rsidRPr="00361E30" w:rsidRDefault="00051908" w:rsidP="00A84367">
            <w:pPr>
              <w:pStyle w:val="ListParagraph"/>
              <w:spacing w:line="240" w:lineRule="auto"/>
              <w:rPr>
                <w:rFonts w:cstheme="minorHAnsi"/>
                <w:noProof/>
                <w:lang w:val="en-GB"/>
              </w:rPr>
            </w:pPr>
            <w:bookmarkStart w:id="260" w:name="_ENREF_31"/>
            <w:r w:rsidRPr="00361E30">
              <w:rPr>
                <w:rFonts w:cstheme="minorHAnsi"/>
                <w:noProof/>
                <w:lang w:val="en-GB"/>
              </w:rPr>
              <w:t>Brown, J. B., et al. (2015). Systolic blood pressure criteria in the National Trauma Triage Protocol for geriatric trauma: 110 is the new 90.</w:t>
            </w:r>
            <w:r w:rsidRPr="00361E30">
              <w:rPr>
                <w:rFonts w:cstheme="minorHAnsi"/>
                <w:i/>
                <w:noProof/>
                <w:lang w:val="en-GB"/>
              </w:rPr>
              <w:t xml:space="preserve"> Journal of Trauma and Acute Care Surgery</w:t>
            </w:r>
            <w:r w:rsidRPr="00361E30">
              <w:rPr>
                <w:rFonts w:cstheme="minorHAnsi"/>
                <w:noProof/>
                <w:lang w:val="en-GB"/>
              </w:rPr>
              <w:t xml:space="preserve"> 78(2) 352-359.</w:t>
            </w:r>
            <w:bookmarkEnd w:id="260"/>
          </w:p>
        </w:tc>
      </w:tr>
      <w:tr w:rsidR="00051908" w:rsidRPr="00361E30" w14:paraId="4D90712F" w14:textId="77777777" w:rsidTr="008F67FE">
        <w:trPr>
          <w:cantSplit/>
        </w:trPr>
        <w:tc>
          <w:tcPr>
            <w:tcW w:w="8726" w:type="dxa"/>
          </w:tcPr>
          <w:p w14:paraId="566DCE4E" w14:textId="77777777" w:rsidR="00051908" w:rsidRPr="00361E30" w:rsidRDefault="00051908" w:rsidP="00A84367">
            <w:pPr>
              <w:pStyle w:val="ListParagraph"/>
              <w:spacing w:line="240" w:lineRule="auto"/>
              <w:rPr>
                <w:rFonts w:cstheme="minorHAnsi"/>
                <w:noProof/>
                <w:lang w:val="en-GB"/>
              </w:rPr>
            </w:pPr>
            <w:bookmarkStart w:id="261" w:name="_ENREF_32"/>
            <w:r w:rsidRPr="00361E30">
              <w:rPr>
                <w:rFonts w:cstheme="minorHAnsi"/>
                <w:noProof/>
                <w:lang w:val="en-GB"/>
              </w:rPr>
              <w:t xml:space="preserve">Burls, A. (2009). </w:t>
            </w:r>
            <w:r w:rsidRPr="00361E30">
              <w:rPr>
                <w:rFonts w:cstheme="minorHAnsi"/>
                <w:i/>
                <w:noProof/>
                <w:lang w:val="en-GB"/>
              </w:rPr>
              <w:t xml:space="preserve">What is critical appraisal? </w:t>
            </w:r>
            <w:r w:rsidRPr="00361E30">
              <w:rPr>
                <w:rFonts w:cstheme="minorHAnsi"/>
                <w:noProof/>
                <w:lang w:val="en-GB"/>
              </w:rPr>
              <w:t>Oxford: Hayward Medical Communications.</w:t>
            </w:r>
            <w:bookmarkEnd w:id="261"/>
          </w:p>
        </w:tc>
      </w:tr>
      <w:tr w:rsidR="00051908" w:rsidRPr="00361E30" w14:paraId="3E342E63" w14:textId="77777777" w:rsidTr="008F67FE">
        <w:trPr>
          <w:cantSplit/>
        </w:trPr>
        <w:tc>
          <w:tcPr>
            <w:tcW w:w="8726" w:type="dxa"/>
          </w:tcPr>
          <w:p w14:paraId="3952F2AA" w14:textId="77777777" w:rsidR="00051908" w:rsidRPr="00361E30" w:rsidRDefault="00051908" w:rsidP="00A84367">
            <w:pPr>
              <w:pStyle w:val="ListParagraph"/>
              <w:spacing w:line="240" w:lineRule="auto"/>
              <w:rPr>
                <w:rFonts w:cstheme="minorHAnsi"/>
                <w:noProof/>
                <w:lang w:val="en-GB"/>
              </w:rPr>
            </w:pPr>
            <w:bookmarkStart w:id="262" w:name="_ENREF_33"/>
            <w:r w:rsidRPr="00361E30">
              <w:rPr>
                <w:rFonts w:cstheme="minorHAnsi"/>
                <w:noProof/>
                <w:lang w:val="en-GB"/>
              </w:rPr>
              <w:t>Cameron, P. A., et al. (2005). The trauma registry as a statewide quality improvement tool.</w:t>
            </w:r>
            <w:r w:rsidRPr="00361E30">
              <w:rPr>
                <w:rFonts w:cstheme="minorHAnsi"/>
                <w:i/>
                <w:noProof/>
                <w:lang w:val="en-GB"/>
              </w:rPr>
              <w:t xml:space="preserve"> Journal of Trauma and Acute Care Surgery</w:t>
            </w:r>
            <w:r w:rsidRPr="00361E30">
              <w:rPr>
                <w:rFonts w:cstheme="minorHAnsi"/>
                <w:noProof/>
                <w:lang w:val="en-GB"/>
              </w:rPr>
              <w:t xml:space="preserve"> 59(6) 1469-1476.</w:t>
            </w:r>
            <w:bookmarkEnd w:id="262"/>
          </w:p>
        </w:tc>
      </w:tr>
      <w:tr w:rsidR="00051908" w:rsidRPr="00361E30" w14:paraId="3EA3E733" w14:textId="77777777" w:rsidTr="008F67FE">
        <w:trPr>
          <w:cantSplit/>
        </w:trPr>
        <w:tc>
          <w:tcPr>
            <w:tcW w:w="8726" w:type="dxa"/>
          </w:tcPr>
          <w:p w14:paraId="72E46281" w14:textId="77777777" w:rsidR="00051908" w:rsidRPr="00361E30" w:rsidRDefault="00051908" w:rsidP="00A84367">
            <w:pPr>
              <w:pStyle w:val="ListParagraph"/>
              <w:spacing w:line="240" w:lineRule="auto"/>
              <w:rPr>
                <w:rFonts w:cstheme="minorHAnsi"/>
                <w:noProof/>
                <w:lang w:val="en-GB"/>
              </w:rPr>
            </w:pPr>
            <w:bookmarkStart w:id="263" w:name="_ENREF_34"/>
            <w:r w:rsidRPr="00361E30">
              <w:rPr>
                <w:rFonts w:cstheme="minorHAnsi"/>
                <w:noProof/>
                <w:lang w:val="en-GB"/>
              </w:rPr>
              <w:t xml:space="preserve">Campbell, M. J. (2006). </w:t>
            </w:r>
            <w:r w:rsidRPr="00361E30">
              <w:rPr>
                <w:rFonts w:cstheme="minorHAnsi"/>
                <w:i/>
                <w:noProof/>
                <w:lang w:val="en-GB"/>
              </w:rPr>
              <w:t>Statistics at square two : understanding modern statistical applications in medicine</w:t>
            </w:r>
            <w:r w:rsidRPr="00361E30">
              <w:rPr>
                <w:rFonts w:cstheme="minorHAnsi"/>
                <w:noProof/>
                <w:lang w:val="en-GB"/>
              </w:rPr>
              <w:t>. 2nd ed. Oxford: Blackwell.</w:t>
            </w:r>
            <w:bookmarkEnd w:id="263"/>
          </w:p>
        </w:tc>
      </w:tr>
      <w:tr w:rsidR="00051908" w:rsidRPr="00361E30" w14:paraId="03DE1F72" w14:textId="77777777" w:rsidTr="008F67FE">
        <w:trPr>
          <w:cantSplit/>
        </w:trPr>
        <w:tc>
          <w:tcPr>
            <w:tcW w:w="8726" w:type="dxa"/>
          </w:tcPr>
          <w:p w14:paraId="30E95E94" w14:textId="77777777" w:rsidR="00051908" w:rsidRPr="00361E30" w:rsidRDefault="00051908" w:rsidP="00A84367">
            <w:pPr>
              <w:pStyle w:val="ListParagraph"/>
              <w:spacing w:line="240" w:lineRule="auto"/>
              <w:rPr>
                <w:rFonts w:cstheme="minorHAnsi"/>
                <w:noProof/>
                <w:lang w:val="en-GB"/>
              </w:rPr>
            </w:pPr>
            <w:bookmarkStart w:id="264" w:name="_ENREF_35"/>
            <w:r w:rsidRPr="00361E30">
              <w:rPr>
                <w:rFonts w:cstheme="minorHAnsi"/>
                <w:noProof/>
                <w:lang w:val="en-GB"/>
              </w:rPr>
              <w:t xml:space="preserve">Campbell, M. J., D. Machin and S. J. Walters (2010). </w:t>
            </w:r>
            <w:r w:rsidRPr="00361E30">
              <w:rPr>
                <w:rFonts w:cstheme="minorHAnsi"/>
                <w:i/>
                <w:noProof/>
                <w:lang w:val="en-GB"/>
              </w:rPr>
              <w:t>Medical statistics: a textbook for the health sciences</w:t>
            </w:r>
            <w:r w:rsidRPr="00361E30">
              <w:rPr>
                <w:rFonts w:cstheme="minorHAnsi"/>
                <w:noProof/>
                <w:lang w:val="en-GB"/>
              </w:rPr>
              <w:t>: Chichester: John Wiley &amp; Sons.</w:t>
            </w:r>
            <w:bookmarkEnd w:id="264"/>
          </w:p>
        </w:tc>
      </w:tr>
      <w:tr w:rsidR="00051908" w:rsidRPr="00361E30" w14:paraId="0A9A9D3E" w14:textId="77777777" w:rsidTr="008F67FE">
        <w:trPr>
          <w:cantSplit/>
        </w:trPr>
        <w:tc>
          <w:tcPr>
            <w:tcW w:w="8726" w:type="dxa"/>
          </w:tcPr>
          <w:p w14:paraId="7B691D6B" w14:textId="77777777" w:rsidR="00051908" w:rsidRPr="00361E30" w:rsidRDefault="00051908" w:rsidP="00A84367">
            <w:pPr>
              <w:pStyle w:val="ListParagraph"/>
              <w:spacing w:line="240" w:lineRule="auto"/>
              <w:rPr>
                <w:rFonts w:cstheme="minorHAnsi"/>
                <w:noProof/>
                <w:lang w:val="en-GB"/>
              </w:rPr>
            </w:pPr>
            <w:bookmarkStart w:id="265" w:name="_ENREF_51"/>
            <w:r w:rsidRPr="00361E30">
              <w:rPr>
                <w:rFonts w:cstheme="minorHAnsi"/>
                <w:noProof/>
                <w:lang w:val="en-GB"/>
              </w:rPr>
              <w:t xml:space="preserve">Care Quality Commission., (2012). </w:t>
            </w:r>
            <w:r w:rsidRPr="00361E30">
              <w:rPr>
                <w:rFonts w:cstheme="minorHAnsi"/>
                <w:i/>
                <w:noProof/>
                <w:lang w:val="en-GB"/>
              </w:rPr>
              <w:t xml:space="preserve">The state of health care and adult social care in England in 2011/12. </w:t>
            </w:r>
            <w:r w:rsidRPr="00361E30">
              <w:rPr>
                <w:rFonts w:cstheme="minorHAnsi"/>
                <w:noProof/>
                <w:lang w:val="en-GB"/>
              </w:rPr>
              <w:t>London: The Stationery Office.</w:t>
            </w:r>
            <w:bookmarkEnd w:id="265"/>
          </w:p>
        </w:tc>
      </w:tr>
      <w:tr w:rsidR="00051908" w:rsidRPr="00361E30" w14:paraId="5131E680" w14:textId="77777777" w:rsidTr="008F67FE">
        <w:trPr>
          <w:cantSplit/>
        </w:trPr>
        <w:tc>
          <w:tcPr>
            <w:tcW w:w="8726" w:type="dxa"/>
          </w:tcPr>
          <w:p w14:paraId="688F014D" w14:textId="77777777" w:rsidR="00051908" w:rsidRPr="00361E30" w:rsidRDefault="00051908" w:rsidP="00A84367">
            <w:pPr>
              <w:pStyle w:val="ListParagraph"/>
              <w:spacing w:line="240" w:lineRule="auto"/>
              <w:rPr>
                <w:rFonts w:cstheme="minorHAnsi"/>
                <w:noProof/>
                <w:lang w:val="en-GB"/>
              </w:rPr>
            </w:pPr>
            <w:bookmarkStart w:id="266" w:name="_ENREF_36"/>
            <w:r w:rsidRPr="00361E30">
              <w:rPr>
                <w:rFonts w:cstheme="minorHAnsi"/>
                <w:noProof/>
                <w:lang w:val="en-GB"/>
              </w:rPr>
              <w:lastRenderedPageBreak/>
              <w:t>Caterino, J. M., T. Valasek and H. A. Werman (2010). Identification of an age cutoff for increased mortality in patients with elderly trauma.</w:t>
            </w:r>
            <w:r w:rsidRPr="00361E30">
              <w:rPr>
                <w:rFonts w:cstheme="minorHAnsi"/>
                <w:i/>
                <w:noProof/>
                <w:lang w:val="en-GB"/>
              </w:rPr>
              <w:t xml:space="preserve"> The American Journal of Emergency Medicine</w:t>
            </w:r>
            <w:r w:rsidRPr="00361E30">
              <w:rPr>
                <w:rFonts w:cstheme="minorHAnsi"/>
                <w:noProof/>
                <w:lang w:val="en-GB"/>
              </w:rPr>
              <w:t xml:space="preserve"> 28(2) 151-158.</w:t>
            </w:r>
            <w:bookmarkEnd w:id="266"/>
          </w:p>
        </w:tc>
      </w:tr>
      <w:tr w:rsidR="00051908" w:rsidRPr="00361E30" w14:paraId="68C88F30" w14:textId="77777777" w:rsidTr="008F67FE">
        <w:trPr>
          <w:cantSplit/>
        </w:trPr>
        <w:tc>
          <w:tcPr>
            <w:tcW w:w="8726" w:type="dxa"/>
          </w:tcPr>
          <w:p w14:paraId="02649C30" w14:textId="77777777" w:rsidR="00051908" w:rsidRPr="00361E30" w:rsidRDefault="00051908" w:rsidP="00A84367">
            <w:pPr>
              <w:pStyle w:val="ListParagraph"/>
              <w:spacing w:line="240" w:lineRule="auto"/>
              <w:rPr>
                <w:rFonts w:cstheme="minorHAnsi"/>
                <w:noProof/>
                <w:lang w:val="en-GB"/>
              </w:rPr>
            </w:pPr>
            <w:bookmarkStart w:id="267" w:name="_ENREF_37"/>
            <w:r w:rsidRPr="00361E30">
              <w:rPr>
                <w:rFonts w:cstheme="minorHAnsi"/>
                <w:noProof/>
                <w:lang w:val="en-GB"/>
              </w:rPr>
              <w:t>Cawthon, P. M., et al. (2007). Frailty in older men: prevalence, progression, and relationship with mortality.</w:t>
            </w:r>
            <w:r w:rsidRPr="00361E30">
              <w:rPr>
                <w:rFonts w:cstheme="minorHAnsi"/>
                <w:i/>
                <w:noProof/>
                <w:lang w:val="en-GB"/>
              </w:rPr>
              <w:t xml:space="preserve"> Journal of the American Geriatrics Society</w:t>
            </w:r>
            <w:r w:rsidRPr="00361E30">
              <w:rPr>
                <w:rFonts w:cstheme="minorHAnsi"/>
                <w:noProof/>
                <w:lang w:val="en-GB"/>
              </w:rPr>
              <w:t xml:space="preserve"> 55(8) 1216-1223.</w:t>
            </w:r>
            <w:bookmarkEnd w:id="267"/>
          </w:p>
        </w:tc>
      </w:tr>
      <w:tr w:rsidR="00051908" w:rsidRPr="00361E30" w14:paraId="768DAA1D" w14:textId="77777777" w:rsidTr="008F67FE">
        <w:trPr>
          <w:cantSplit/>
        </w:trPr>
        <w:tc>
          <w:tcPr>
            <w:tcW w:w="8726" w:type="dxa"/>
          </w:tcPr>
          <w:p w14:paraId="712A15A7" w14:textId="77777777" w:rsidR="00051908" w:rsidRPr="00361E30" w:rsidRDefault="00051908" w:rsidP="00A84367">
            <w:pPr>
              <w:pStyle w:val="ListParagraph"/>
              <w:spacing w:line="240" w:lineRule="auto"/>
              <w:rPr>
                <w:rFonts w:cstheme="minorHAnsi"/>
                <w:noProof/>
                <w:lang w:val="en-GB"/>
              </w:rPr>
            </w:pPr>
            <w:bookmarkStart w:id="268" w:name="_ENREF_38"/>
            <w:r w:rsidRPr="00361E30">
              <w:rPr>
                <w:rFonts w:cstheme="minorHAnsi"/>
                <w:noProof/>
                <w:lang w:val="en-GB"/>
              </w:rPr>
              <w:t>Celso, B., et al. (2006). A systematic review and meta-analysis comparing outcome of severely injured patients treated in trauma centers following the establishment of trauma systems.</w:t>
            </w:r>
            <w:r w:rsidRPr="00361E30">
              <w:rPr>
                <w:rFonts w:cstheme="minorHAnsi"/>
                <w:i/>
                <w:noProof/>
                <w:lang w:val="en-GB"/>
              </w:rPr>
              <w:t xml:space="preserve"> Journal of Trauma and Acute Care Surgery</w:t>
            </w:r>
            <w:r w:rsidRPr="00361E30">
              <w:rPr>
                <w:rFonts w:cstheme="minorHAnsi"/>
                <w:noProof/>
                <w:lang w:val="en-GB"/>
              </w:rPr>
              <w:t xml:space="preserve"> 60(2) 371-378.</w:t>
            </w:r>
            <w:bookmarkEnd w:id="268"/>
          </w:p>
        </w:tc>
      </w:tr>
      <w:tr w:rsidR="00051908" w:rsidRPr="00361E30" w14:paraId="06A146A2" w14:textId="77777777" w:rsidTr="008F67FE">
        <w:trPr>
          <w:cantSplit/>
        </w:trPr>
        <w:tc>
          <w:tcPr>
            <w:tcW w:w="8726" w:type="dxa"/>
          </w:tcPr>
          <w:p w14:paraId="33C423E1" w14:textId="77777777" w:rsidR="00051908" w:rsidRPr="00361E30" w:rsidRDefault="00051908" w:rsidP="00A84367">
            <w:pPr>
              <w:pStyle w:val="ListParagraph"/>
              <w:spacing w:line="240" w:lineRule="auto"/>
              <w:rPr>
                <w:rFonts w:cstheme="minorHAnsi"/>
                <w:noProof/>
                <w:lang w:val="en-GB"/>
              </w:rPr>
            </w:pPr>
            <w:bookmarkStart w:id="269" w:name="_ENREF_39"/>
            <w:r w:rsidRPr="00361E30">
              <w:rPr>
                <w:rFonts w:cstheme="minorHAnsi"/>
                <w:noProof/>
                <w:lang w:val="en-GB"/>
              </w:rPr>
              <w:t>Champion, H. R. (2002). Trauma scoring.</w:t>
            </w:r>
            <w:r w:rsidRPr="00361E30">
              <w:rPr>
                <w:rFonts w:cstheme="minorHAnsi"/>
                <w:i/>
                <w:noProof/>
                <w:lang w:val="en-GB"/>
              </w:rPr>
              <w:t xml:space="preserve"> Scandinavian Journal of Surgery</w:t>
            </w:r>
            <w:r w:rsidRPr="00361E30">
              <w:rPr>
                <w:rFonts w:cstheme="minorHAnsi"/>
                <w:noProof/>
                <w:lang w:val="en-GB"/>
              </w:rPr>
              <w:t xml:space="preserve"> 91(1) 12-22.</w:t>
            </w:r>
            <w:bookmarkEnd w:id="269"/>
          </w:p>
        </w:tc>
      </w:tr>
      <w:tr w:rsidR="00051908" w:rsidRPr="00361E30" w14:paraId="74510BEB" w14:textId="77777777" w:rsidTr="008F67FE">
        <w:trPr>
          <w:cantSplit/>
        </w:trPr>
        <w:tc>
          <w:tcPr>
            <w:tcW w:w="8726" w:type="dxa"/>
          </w:tcPr>
          <w:p w14:paraId="741F6ACC" w14:textId="77777777" w:rsidR="00051908" w:rsidRPr="00361E30" w:rsidRDefault="00051908" w:rsidP="00A84367">
            <w:pPr>
              <w:pStyle w:val="ListParagraph"/>
              <w:spacing w:line="240" w:lineRule="auto"/>
              <w:rPr>
                <w:rFonts w:cstheme="minorHAnsi"/>
                <w:noProof/>
                <w:lang w:val="en-GB"/>
              </w:rPr>
            </w:pPr>
            <w:bookmarkStart w:id="270" w:name="_ENREF_40"/>
            <w:r w:rsidRPr="00361E30">
              <w:rPr>
                <w:rFonts w:cstheme="minorHAnsi"/>
                <w:noProof/>
                <w:lang w:val="en-GB"/>
              </w:rPr>
              <w:t>Champion, H. R., et al. (1989a). Major trauma in geriatric patients.</w:t>
            </w:r>
            <w:r w:rsidRPr="00361E30">
              <w:rPr>
                <w:rFonts w:cstheme="minorHAnsi"/>
                <w:i/>
                <w:noProof/>
                <w:lang w:val="en-GB"/>
              </w:rPr>
              <w:t xml:space="preserve"> American Journal of Public Health</w:t>
            </w:r>
            <w:r w:rsidRPr="00361E30">
              <w:rPr>
                <w:rFonts w:cstheme="minorHAnsi"/>
                <w:noProof/>
                <w:lang w:val="en-GB"/>
              </w:rPr>
              <w:t xml:space="preserve"> 79(9) 1278-1282.</w:t>
            </w:r>
            <w:bookmarkEnd w:id="270"/>
          </w:p>
        </w:tc>
      </w:tr>
      <w:tr w:rsidR="00051908" w:rsidRPr="00361E30" w14:paraId="7E611BE0" w14:textId="77777777" w:rsidTr="008F67FE">
        <w:trPr>
          <w:cantSplit/>
        </w:trPr>
        <w:tc>
          <w:tcPr>
            <w:tcW w:w="8726" w:type="dxa"/>
          </w:tcPr>
          <w:p w14:paraId="6443214B" w14:textId="77777777" w:rsidR="00051908" w:rsidRPr="00361E30" w:rsidRDefault="00051908" w:rsidP="00A84367">
            <w:pPr>
              <w:pStyle w:val="ListParagraph"/>
              <w:spacing w:line="240" w:lineRule="auto"/>
              <w:rPr>
                <w:rFonts w:cstheme="minorHAnsi"/>
                <w:noProof/>
                <w:lang w:val="en-GB"/>
              </w:rPr>
            </w:pPr>
            <w:bookmarkStart w:id="271" w:name="_ENREF_43"/>
            <w:r w:rsidRPr="00361E30">
              <w:rPr>
                <w:rFonts w:cstheme="minorHAnsi"/>
                <w:noProof/>
                <w:lang w:val="en-GB"/>
              </w:rPr>
              <w:t>Champion, H. R., et al. (1989b). A revision of the Trauma Score.</w:t>
            </w:r>
            <w:r w:rsidRPr="00361E30">
              <w:rPr>
                <w:rFonts w:cstheme="minorHAnsi"/>
                <w:i/>
                <w:noProof/>
                <w:lang w:val="en-GB"/>
              </w:rPr>
              <w:t xml:space="preserve"> Journal of Trauma and Acute Care Surgery</w:t>
            </w:r>
            <w:r w:rsidRPr="00361E30">
              <w:rPr>
                <w:rFonts w:cstheme="minorHAnsi"/>
                <w:noProof/>
                <w:lang w:val="en-GB"/>
              </w:rPr>
              <w:t xml:space="preserve"> 29(5) 623-629.</w:t>
            </w:r>
            <w:bookmarkEnd w:id="271"/>
          </w:p>
        </w:tc>
      </w:tr>
      <w:tr w:rsidR="00051908" w:rsidRPr="00361E30" w14:paraId="72E694EC" w14:textId="77777777" w:rsidTr="008F67FE">
        <w:trPr>
          <w:cantSplit/>
        </w:trPr>
        <w:tc>
          <w:tcPr>
            <w:tcW w:w="8726" w:type="dxa"/>
          </w:tcPr>
          <w:p w14:paraId="6E775436" w14:textId="77777777" w:rsidR="00051908" w:rsidRPr="00361E30" w:rsidRDefault="00051908" w:rsidP="00A84367">
            <w:pPr>
              <w:pStyle w:val="ListParagraph"/>
              <w:spacing w:line="240" w:lineRule="auto"/>
              <w:rPr>
                <w:rFonts w:cstheme="minorHAnsi"/>
                <w:noProof/>
                <w:lang w:val="en-GB"/>
              </w:rPr>
            </w:pPr>
            <w:bookmarkStart w:id="272" w:name="_ENREF_42"/>
            <w:r w:rsidRPr="00361E30">
              <w:rPr>
                <w:rFonts w:cstheme="minorHAnsi"/>
                <w:noProof/>
                <w:lang w:val="en-GB"/>
              </w:rPr>
              <w:t>Champion, H. R., et al. (1990). The Major Trauma Outcome Study: establishing national norms for trauma care.</w:t>
            </w:r>
            <w:r w:rsidRPr="00361E30">
              <w:rPr>
                <w:rFonts w:cstheme="minorHAnsi"/>
                <w:i/>
                <w:noProof/>
                <w:lang w:val="en-GB"/>
              </w:rPr>
              <w:t xml:space="preserve"> Journal of Trauma and Acute Care Surgery</w:t>
            </w:r>
            <w:r w:rsidRPr="00361E30">
              <w:rPr>
                <w:rFonts w:cstheme="minorHAnsi"/>
                <w:noProof/>
                <w:lang w:val="en-GB"/>
              </w:rPr>
              <w:t xml:space="preserve"> 30(11) 1356-1365.</w:t>
            </w:r>
            <w:bookmarkEnd w:id="272"/>
          </w:p>
        </w:tc>
      </w:tr>
      <w:tr w:rsidR="00051908" w:rsidRPr="00361E30" w14:paraId="0851C0C4" w14:textId="77777777" w:rsidTr="008F67FE">
        <w:trPr>
          <w:cantSplit/>
        </w:trPr>
        <w:tc>
          <w:tcPr>
            <w:tcW w:w="8726" w:type="dxa"/>
          </w:tcPr>
          <w:p w14:paraId="12EC24F0" w14:textId="77777777" w:rsidR="00051908" w:rsidRPr="00361E30" w:rsidRDefault="00051908" w:rsidP="00A84367">
            <w:pPr>
              <w:pStyle w:val="ListParagraph"/>
              <w:spacing w:line="240" w:lineRule="auto"/>
              <w:rPr>
                <w:rFonts w:cstheme="minorHAnsi"/>
                <w:noProof/>
                <w:lang w:val="en-GB"/>
              </w:rPr>
            </w:pPr>
            <w:bookmarkStart w:id="273" w:name="_ENREF_41"/>
            <w:r w:rsidRPr="00361E30">
              <w:rPr>
                <w:rFonts w:cstheme="minorHAnsi"/>
                <w:noProof/>
                <w:lang w:val="en-GB"/>
              </w:rPr>
              <w:t>Champion, H. R., et al. (1996). Improved predictions from a severity characterization of trauma (ASCOT) over Trauma and Injury Severity Score (TRISS): results of an independent evaluation.</w:t>
            </w:r>
            <w:r w:rsidRPr="00361E30">
              <w:rPr>
                <w:rFonts w:cstheme="minorHAnsi"/>
                <w:i/>
                <w:noProof/>
                <w:lang w:val="en-GB"/>
              </w:rPr>
              <w:t xml:space="preserve"> Journal of Trauma-Injury, Infection, and Critical Care</w:t>
            </w:r>
            <w:r w:rsidRPr="00361E30">
              <w:rPr>
                <w:rFonts w:cstheme="minorHAnsi"/>
                <w:noProof/>
                <w:lang w:val="en-GB"/>
              </w:rPr>
              <w:t xml:space="preserve"> 40(1) 42-49.</w:t>
            </w:r>
            <w:bookmarkEnd w:id="273"/>
          </w:p>
        </w:tc>
      </w:tr>
      <w:tr w:rsidR="00051908" w:rsidRPr="00361E30" w14:paraId="5A50574A" w14:textId="77777777" w:rsidTr="008F67FE">
        <w:trPr>
          <w:cantSplit/>
        </w:trPr>
        <w:tc>
          <w:tcPr>
            <w:tcW w:w="8726" w:type="dxa"/>
          </w:tcPr>
          <w:p w14:paraId="435CCDCF" w14:textId="77777777" w:rsidR="00051908" w:rsidRPr="00361E30" w:rsidRDefault="00051908" w:rsidP="00A84367">
            <w:pPr>
              <w:pStyle w:val="ListParagraph"/>
              <w:spacing w:line="240" w:lineRule="auto"/>
              <w:rPr>
                <w:rFonts w:cstheme="minorHAnsi"/>
                <w:noProof/>
                <w:lang w:val="en-GB"/>
              </w:rPr>
            </w:pPr>
            <w:bookmarkStart w:id="274" w:name="_ENREF_44"/>
            <w:r w:rsidRPr="00361E30">
              <w:rPr>
                <w:rFonts w:cstheme="minorHAnsi"/>
                <w:noProof/>
                <w:lang w:val="en-GB"/>
              </w:rPr>
              <w:t>Charlson, M. E., et al. (1987). A new method of classifying prognostic comorbidity in longitudinal studies: development and validation.</w:t>
            </w:r>
            <w:r w:rsidRPr="00361E30">
              <w:rPr>
                <w:rFonts w:cstheme="minorHAnsi"/>
                <w:i/>
                <w:noProof/>
                <w:lang w:val="en-GB"/>
              </w:rPr>
              <w:t xml:space="preserve"> Journal of Chronic Diseases</w:t>
            </w:r>
            <w:r w:rsidRPr="00361E30">
              <w:rPr>
                <w:rFonts w:cstheme="minorHAnsi"/>
                <w:noProof/>
                <w:lang w:val="en-GB"/>
              </w:rPr>
              <w:t xml:space="preserve"> 40(5) 373-383.</w:t>
            </w:r>
            <w:bookmarkEnd w:id="274"/>
          </w:p>
        </w:tc>
      </w:tr>
      <w:tr w:rsidR="00051908" w:rsidRPr="00361E30" w14:paraId="229EEBD2" w14:textId="77777777" w:rsidTr="008F67FE">
        <w:trPr>
          <w:cantSplit/>
        </w:trPr>
        <w:tc>
          <w:tcPr>
            <w:tcW w:w="8726" w:type="dxa"/>
          </w:tcPr>
          <w:p w14:paraId="57318A99" w14:textId="77777777" w:rsidR="00051908" w:rsidRPr="00361E30" w:rsidRDefault="00051908" w:rsidP="00A84367">
            <w:pPr>
              <w:pStyle w:val="ListParagraph"/>
              <w:spacing w:line="240" w:lineRule="auto"/>
              <w:rPr>
                <w:rFonts w:cstheme="minorHAnsi"/>
                <w:noProof/>
                <w:lang w:val="en-GB"/>
              </w:rPr>
            </w:pPr>
            <w:bookmarkStart w:id="275" w:name="_ENREF_45"/>
            <w:r w:rsidRPr="00361E30">
              <w:rPr>
                <w:rFonts w:cstheme="minorHAnsi"/>
                <w:noProof/>
                <w:lang w:val="en-GB"/>
              </w:rPr>
              <w:t>Clarke, A., E. Jane Hanson and H. Ross (2003). Seeing the person behind the patient: enhancing the care of older people using a biographical approach.</w:t>
            </w:r>
            <w:r w:rsidRPr="00361E30">
              <w:rPr>
                <w:rFonts w:cstheme="minorHAnsi"/>
                <w:i/>
                <w:noProof/>
                <w:lang w:val="en-GB"/>
              </w:rPr>
              <w:t xml:space="preserve"> Journal of Clinical Nursing</w:t>
            </w:r>
            <w:r w:rsidRPr="00361E30">
              <w:rPr>
                <w:rFonts w:cstheme="minorHAnsi"/>
                <w:noProof/>
                <w:lang w:val="en-GB"/>
              </w:rPr>
              <w:t xml:space="preserve"> 12(5) 697-706.</w:t>
            </w:r>
            <w:bookmarkEnd w:id="275"/>
          </w:p>
        </w:tc>
      </w:tr>
      <w:tr w:rsidR="00051908" w:rsidRPr="00361E30" w14:paraId="634FCB2C" w14:textId="77777777" w:rsidTr="008F67FE">
        <w:trPr>
          <w:cantSplit/>
        </w:trPr>
        <w:tc>
          <w:tcPr>
            <w:tcW w:w="8726" w:type="dxa"/>
          </w:tcPr>
          <w:p w14:paraId="45C9A1C5" w14:textId="77777777" w:rsidR="00051908" w:rsidRPr="00361E30" w:rsidRDefault="00051908" w:rsidP="00A84367">
            <w:pPr>
              <w:pStyle w:val="ListParagraph"/>
              <w:spacing w:line="240" w:lineRule="auto"/>
              <w:rPr>
                <w:rFonts w:cstheme="minorHAnsi"/>
                <w:noProof/>
                <w:lang w:val="en-GB"/>
              </w:rPr>
            </w:pPr>
            <w:bookmarkStart w:id="276" w:name="_ENREF_46"/>
            <w:r w:rsidRPr="00361E30">
              <w:rPr>
                <w:rFonts w:cstheme="minorHAnsi"/>
                <w:noProof/>
                <w:lang w:val="en-GB"/>
              </w:rPr>
              <w:t xml:space="preserve">Coggon, D., D. Barker and G. Rose (2009). </w:t>
            </w:r>
            <w:r w:rsidRPr="00361E30">
              <w:rPr>
                <w:rFonts w:cstheme="minorHAnsi"/>
                <w:i/>
                <w:noProof/>
                <w:lang w:val="en-GB"/>
              </w:rPr>
              <w:t>Epidemiology for the Uninitiated.</w:t>
            </w:r>
            <w:r w:rsidRPr="00361E30">
              <w:rPr>
                <w:rFonts w:cstheme="minorHAnsi"/>
                <w:noProof/>
                <w:lang w:val="en-GB"/>
              </w:rPr>
              <w:t xml:space="preserve"> Chichester:John Wiley &amp; Sons.</w:t>
            </w:r>
            <w:bookmarkEnd w:id="276"/>
          </w:p>
        </w:tc>
      </w:tr>
      <w:tr w:rsidR="00051908" w:rsidRPr="00361E30" w14:paraId="2B963FAE" w14:textId="77777777" w:rsidTr="008F67FE">
        <w:trPr>
          <w:cantSplit/>
        </w:trPr>
        <w:tc>
          <w:tcPr>
            <w:tcW w:w="8726" w:type="dxa"/>
          </w:tcPr>
          <w:p w14:paraId="07323134" w14:textId="77777777" w:rsidR="00051908" w:rsidRPr="00361E30" w:rsidRDefault="00051908" w:rsidP="00A84367">
            <w:pPr>
              <w:pStyle w:val="ListParagraph"/>
              <w:spacing w:line="240" w:lineRule="auto"/>
              <w:rPr>
                <w:rFonts w:cstheme="minorHAnsi"/>
                <w:noProof/>
                <w:lang w:val="en-GB"/>
              </w:rPr>
            </w:pPr>
            <w:bookmarkStart w:id="277" w:name="_ENREF_47"/>
            <w:r w:rsidRPr="00361E30">
              <w:rPr>
                <w:rFonts w:cstheme="minorHAnsi"/>
                <w:noProof/>
                <w:lang w:val="en-GB"/>
              </w:rPr>
              <w:t>Cohen, J. L. (1986). Pharmacokinetic changes in aging.</w:t>
            </w:r>
            <w:r w:rsidRPr="00361E30">
              <w:rPr>
                <w:rFonts w:cstheme="minorHAnsi"/>
                <w:i/>
                <w:noProof/>
                <w:lang w:val="en-GB"/>
              </w:rPr>
              <w:t xml:space="preserve"> American Journal of Medicine</w:t>
            </w:r>
            <w:r w:rsidRPr="00361E30">
              <w:rPr>
                <w:rFonts w:cstheme="minorHAnsi"/>
                <w:noProof/>
                <w:lang w:val="en-GB"/>
              </w:rPr>
              <w:t xml:space="preserve"> 80(5a) 31-38.</w:t>
            </w:r>
            <w:bookmarkEnd w:id="277"/>
          </w:p>
        </w:tc>
      </w:tr>
      <w:tr w:rsidR="00051908" w:rsidRPr="00361E30" w14:paraId="62B398BC" w14:textId="77777777" w:rsidTr="008F67FE">
        <w:trPr>
          <w:cantSplit/>
        </w:trPr>
        <w:tc>
          <w:tcPr>
            <w:tcW w:w="8726" w:type="dxa"/>
          </w:tcPr>
          <w:p w14:paraId="3E15BAFF" w14:textId="77777777" w:rsidR="00051908" w:rsidRPr="00361E30" w:rsidRDefault="00051908" w:rsidP="00A84367">
            <w:pPr>
              <w:pStyle w:val="ListParagraph"/>
              <w:spacing w:line="240" w:lineRule="auto"/>
              <w:rPr>
                <w:rFonts w:cstheme="minorHAnsi"/>
                <w:noProof/>
                <w:lang w:val="en-GB"/>
              </w:rPr>
            </w:pPr>
            <w:bookmarkStart w:id="278" w:name="_ENREF_48"/>
            <w:r w:rsidRPr="00361E30">
              <w:rPr>
                <w:rFonts w:cstheme="minorHAnsi"/>
                <w:noProof/>
                <w:lang w:val="en-GB"/>
              </w:rPr>
              <w:t>Cole, E. and N. Crichton (2006). The culture of a trauma team in relation to human factors.</w:t>
            </w:r>
            <w:r w:rsidRPr="00361E30">
              <w:rPr>
                <w:rFonts w:cstheme="minorHAnsi"/>
                <w:i/>
                <w:noProof/>
                <w:lang w:val="en-GB"/>
              </w:rPr>
              <w:t xml:space="preserve"> Journal of Clinical Nursing</w:t>
            </w:r>
            <w:r w:rsidRPr="00361E30">
              <w:rPr>
                <w:rFonts w:cstheme="minorHAnsi"/>
                <w:noProof/>
                <w:lang w:val="en-GB"/>
              </w:rPr>
              <w:t xml:space="preserve"> 15(10) 1257-1266.</w:t>
            </w:r>
            <w:bookmarkEnd w:id="278"/>
          </w:p>
        </w:tc>
      </w:tr>
      <w:tr w:rsidR="00051908" w:rsidRPr="00361E30" w14:paraId="0F176AE1" w14:textId="77777777" w:rsidTr="008F67FE">
        <w:trPr>
          <w:cantSplit/>
        </w:trPr>
        <w:tc>
          <w:tcPr>
            <w:tcW w:w="8726" w:type="dxa"/>
          </w:tcPr>
          <w:p w14:paraId="1EF744CF" w14:textId="77777777" w:rsidR="00051908" w:rsidRPr="00361E30" w:rsidRDefault="00051908" w:rsidP="00A84367">
            <w:pPr>
              <w:pStyle w:val="ListParagraph"/>
              <w:spacing w:line="240" w:lineRule="auto"/>
              <w:rPr>
                <w:rFonts w:cstheme="minorHAnsi"/>
                <w:noProof/>
                <w:lang w:val="en-GB"/>
              </w:rPr>
            </w:pPr>
            <w:bookmarkStart w:id="279" w:name="_ENREF_49"/>
            <w:r w:rsidRPr="00361E30">
              <w:rPr>
                <w:rFonts w:cstheme="minorHAnsi"/>
                <w:noProof/>
                <w:lang w:val="en-GB"/>
              </w:rPr>
              <w:t>Cole, E., et al. (2016). The impact of a pan-regional inclusive trauma system on quality of care.</w:t>
            </w:r>
            <w:r w:rsidRPr="00361E30">
              <w:rPr>
                <w:rFonts w:cstheme="minorHAnsi"/>
                <w:i/>
                <w:noProof/>
                <w:lang w:val="en-GB"/>
              </w:rPr>
              <w:t xml:space="preserve"> Annals of Surgery</w:t>
            </w:r>
            <w:r w:rsidRPr="00361E30">
              <w:rPr>
                <w:rFonts w:cstheme="minorHAnsi"/>
                <w:noProof/>
                <w:lang w:val="en-GB"/>
              </w:rPr>
              <w:t xml:space="preserve"> 264(1) 188-194.</w:t>
            </w:r>
            <w:bookmarkEnd w:id="279"/>
          </w:p>
        </w:tc>
      </w:tr>
      <w:tr w:rsidR="00051908" w:rsidRPr="00361E30" w14:paraId="19EDAC55" w14:textId="77777777" w:rsidTr="008F67FE">
        <w:trPr>
          <w:cantSplit/>
        </w:trPr>
        <w:tc>
          <w:tcPr>
            <w:tcW w:w="8726" w:type="dxa"/>
          </w:tcPr>
          <w:p w14:paraId="106BFDA0" w14:textId="77777777" w:rsidR="00051908" w:rsidRPr="00361E30" w:rsidRDefault="00051908" w:rsidP="00A84367">
            <w:pPr>
              <w:pStyle w:val="ListParagraph"/>
              <w:spacing w:line="240" w:lineRule="auto"/>
              <w:rPr>
                <w:rFonts w:cstheme="minorHAnsi"/>
                <w:noProof/>
                <w:lang w:val="en-GB"/>
              </w:rPr>
            </w:pPr>
            <w:bookmarkStart w:id="280" w:name="_ENREF_50"/>
            <w:r w:rsidRPr="00361E30">
              <w:rPr>
                <w:rFonts w:cstheme="minorHAnsi"/>
                <w:noProof/>
                <w:lang w:val="en-GB"/>
              </w:rPr>
              <w:t>Collard, R. M., et al. (2012). Prevalence of Frailty in Community-Dwelling Older Persons: A Systematic Review.</w:t>
            </w:r>
            <w:r w:rsidRPr="00361E30">
              <w:rPr>
                <w:rFonts w:cstheme="minorHAnsi"/>
                <w:i/>
                <w:noProof/>
                <w:lang w:val="en-GB"/>
              </w:rPr>
              <w:t xml:space="preserve"> Journal of the American Geriatrics Society</w:t>
            </w:r>
            <w:r w:rsidRPr="00361E30">
              <w:rPr>
                <w:rFonts w:cstheme="minorHAnsi"/>
                <w:noProof/>
                <w:lang w:val="en-GB"/>
              </w:rPr>
              <w:t xml:space="preserve"> 60(8) 1487-1492.</w:t>
            </w:r>
            <w:bookmarkEnd w:id="280"/>
          </w:p>
        </w:tc>
      </w:tr>
      <w:tr w:rsidR="00051908" w:rsidRPr="00361E30" w14:paraId="64397214" w14:textId="77777777" w:rsidTr="008F67FE">
        <w:trPr>
          <w:cantSplit/>
        </w:trPr>
        <w:tc>
          <w:tcPr>
            <w:tcW w:w="8726" w:type="dxa"/>
          </w:tcPr>
          <w:p w14:paraId="4DF8FE1D" w14:textId="77777777" w:rsidR="00051908" w:rsidRPr="00361E30" w:rsidRDefault="00051908" w:rsidP="00A84367">
            <w:pPr>
              <w:pStyle w:val="ListParagraph"/>
              <w:spacing w:line="240" w:lineRule="auto"/>
              <w:rPr>
                <w:rFonts w:cstheme="minorHAnsi"/>
                <w:noProof/>
                <w:lang w:val="en-GB"/>
              </w:rPr>
            </w:pPr>
            <w:bookmarkStart w:id="281" w:name="_ENREF_52"/>
            <w:r w:rsidRPr="00361E30">
              <w:rPr>
                <w:rFonts w:cstheme="minorHAnsi"/>
                <w:noProof/>
                <w:lang w:val="en-GB"/>
              </w:rPr>
              <w:t>Connell, B. R., S. L. Wolf and A. F. Group (1997). Environmental and behavioral circumstances associated with falls at home among healthy elderly individuals.</w:t>
            </w:r>
            <w:r w:rsidRPr="00361E30">
              <w:rPr>
                <w:rFonts w:cstheme="minorHAnsi"/>
                <w:i/>
                <w:noProof/>
                <w:lang w:val="en-GB"/>
              </w:rPr>
              <w:t xml:space="preserve"> Archives of Physical Medicine and Rehabilitation</w:t>
            </w:r>
            <w:r w:rsidRPr="00361E30">
              <w:rPr>
                <w:rFonts w:cstheme="minorHAnsi"/>
                <w:noProof/>
                <w:lang w:val="en-GB"/>
              </w:rPr>
              <w:t xml:space="preserve"> 78(2) 179-186.</w:t>
            </w:r>
            <w:bookmarkEnd w:id="281"/>
          </w:p>
        </w:tc>
      </w:tr>
      <w:tr w:rsidR="00051908" w:rsidRPr="00361E30" w14:paraId="7558316E" w14:textId="77777777" w:rsidTr="008F67FE">
        <w:trPr>
          <w:cantSplit/>
        </w:trPr>
        <w:tc>
          <w:tcPr>
            <w:tcW w:w="8726" w:type="dxa"/>
          </w:tcPr>
          <w:p w14:paraId="0ADA576A" w14:textId="77777777" w:rsidR="00051908" w:rsidRPr="00361E30" w:rsidRDefault="00051908" w:rsidP="00A84367">
            <w:pPr>
              <w:pStyle w:val="ListParagraph"/>
              <w:spacing w:line="240" w:lineRule="auto"/>
              <w:rPr>
                <w:rFonts w:cstheme="minorHAnsi"/>
                <w:noProof/>
                <w:lang w:val="en-GB"/>
              </w:rPr>
            </w:pPr>
            <w:bookmarkStart w:id="282" w:name="_ENREF_54"/>
            <w:r w:rsidRPr="00361E30">
              <w:rPr>
                <w:rFonts w:cstheme="minorHAnsi"/>
                <w:noProof/>
                <w:lang w:val="en-GB"/>
              </w:rPr>
              <w:lastRenderedPageBreak/>
              <w:t>Conroy, S. P., et al. (2011). A systematic review of comprehensive geriatric assessment to improve outcomes for frail older people being rapidly discharged from acute hospital:‘interface geriatrics’.</w:t>
            </w:r>
            <w:r w:rsidRPr="00361E30">
              <w:rPr>
                <w:rFonts w:cstheme="minorHAnsi"/>
                <w:i/>
                <w:noProof/>
                <w:lang w:val="en-GB"/>
              </w:rPr>
              <w:t xml:space="preserve"> Age and Ageing</w:t>
            </w:r>
            <w:r w:rsidRPr="00361E30">
              <w:rPr>
                <w:rFonts w:cstheme="minorHAnsi"/>
                <w:noProof/>
                <w:lang w:val="en-GB"/>
              </w:rPr>
              <w:t xml:space="preserve"> 40(4) 436-443.</w:t>
            </w:r>
            <w:bookmarkEnd w:id="282"/>
          </w:p>
        </w:tc>
      </w:tr>
      <w:tr w:rsidR="00051908" w:rsidRPr="00361E30" w14:paraId="21E78A14" w14:textId="77777777" w:rsidTr="008F67FE">
        <w:trPr>
          <w:cantSplit/>
        </w:trPr>
        <w:tc>
          <w:tcPr>
            <w:tcW w:w="8726" w:type="dxa"/>
          </w:tcPr>
          <w:p w14:paraId="536D4471" w14:textId="77777777" w:rsidR="00051908" w:rsidRPr="00361E30" w:rsidRDefault="00051908" w:rsidP="00A84367">
            <w:pPr>
              <w:pStyle w:val="ListParagraph"/>
              <w:spacing w:line="240" w:lineRule="auto"/>
              <w:rPr>
                <w:rFonts w:cstheme="minorHAnsi"/>
                <w:noProof/>
                <w:lang w:val="en-GB"/>
              </w:rPr>
            </w:pPr>
            <w:bookmarkStart w:id="283" w:name="_ENREF_53"/>
            <w:r w:rsidRPr="00361E30">
              <w:rPr>
                <w:rFonts w:cstheme="minorHAnsi"/>
                <w:noProof/>
                <w:lang w:val="en-GB"/>
              </w:rPr>
              <w:t>Conroy, S. P., et al. (2013). A controlled evaluation of comprehensive geriatric assessment in the emergency department: the ‘Emergency Frailty Unit’.</w:t>
            </w:r>
            <w:r w:rsidRPr="00361E30">
              <w:rPr>
                <w:rFonts w:cstheme="minorHAnsi"/>
                <w:i/>
                <w:noProof/>
                <w:lang w:val="en-GB"/>
              </w:rPr>
              <w:t xml:space="preserve"> Age and Ageing</w:t>
            </w:r>
            <w:r w:rsidRPr="00361E30">
              <w:rPr>
                <w:rFonts w:cstheme="minorHAnsi"/>
                <w:noProof/>
                <w:lang w:val="en-GB"/>
              </w:rPr>
              <w:t xml:space="preserve"> 43(1) 109-114.</w:t>
            </w:r>
            <w:bookmarkEnd w:id="283"/>
          </w:p>
        </w:tc>
      </w:tr>
      <w:tr w:rsidR="00051908" w:rsidRPr="00361E30" w14:paraId="4E4EBCA5" w14:textId="77777777" w:rsidTr="008F67FE">
        <w:trPr>
          <w:cantSplit/>
        </w:trPr>
        <w:tc>
          <w:tcPr>
            <w:tcW w:w="8726" w:type="dxa"/>
          </w:tcPr>
          <w:p w14:paraId="4AA8F1BD" w14:textId="77777777" w:rsidR="00051908" w:rsidRPr="00361E30" w:rsidRDefault="00051908" w:rsidP="00A84367">
            <w:pPr>
              <w:pStyle w:val="ListParagraph"/>
              <w:spacing w:line="240" w:lineRule="auto"/>
              <w:rPr>
                <w:rFonts w:cstheme="minorHAnsi"/>
                <w:noProof/>
                <w:lang w:val="en-GB"/>
              </w:rPr>
            </w:pPr>
            <w:bookmarkStart w:id="284" w:name="_ENREF_55"/>
            <w:r w:rsidRPr="00361E30">
              <w:rPr>
                <w:rFonts w:cstheme="minorHAnsi"/>
                <w:noProof/>
                <w:lang w:val="en-GB"/>
              </w:rPr>
              <w:t>Courtney, M., S. Tong and A. Walsh (2000). Acute‐care nurses’ attitudes towards older patients: A literature review.</w:t>
            </w:r>
            <w:r w:rsidRPr="00361E30">
              <w:rPr>
                <w:rFonts w:cstheme="minorHAnsi"/>
                <w:i/>
                <w:noProof/>
                <w:lang w:val="en-GB"/>
              </w:rPr>
              <w:t xml:space="preserve"> International Journal of Nursing Practice</w:t>
            </w:r>
            <w:r w:rsidRPr="00361E30">
              <w:rPr>
                <w:rFonts w:cstheme="minorHAnsi"/>
                <w:noProof/>
                <w:lang w:val="en-GB"/>
              </w:rPr>
              <w:t xml:space="preserve"> 6(2) 62-69.</w:t>
            </w:r>
            <w:bookmarkEnd w:id="284"/>
          </w:p>
        </w:tc>
      </w:tr>
      <w:tr w:rsidR="00051908" w:rsidRPr="00361E30" w14:paraId="6EA511C7" w14:textId="77777777" w:rsidTr="008F67FE">
        <w:trPr>
          <w:cantSplit/>
        </w:trPr>
        <w:tc>
          <w:tcPr>
            <w:tcW w:w="8726" w:type="dxa"/>
          </w:tcPr>
          <w:p w14:paraId="3DA7EFBE" w14:textId="77777777" w:rsidR="00051908" w:rsidRPr="00361E30" w:rsidRDefault="00051908" w:rsidP="00A84367">
            <w:pPr>
              <w:pStyle w:val="ListParagraph"/>
              <w:spacing w:line="240" w:lineRule="auto"/>
              <w:rPr>
                <w:rFonts w:cstheme="minorHAnsi"/>
                <w:noProof/>
                <w:lang w:val="en-GB"/>
              </w:rPr>
            </w:pPr>
            <w:bookmarkStart w:id="285" w:name="_ENREF_56"/>
            <w:r w:rsidRPr="00361E30">
              <w:rPr>
                <w:rFonts w:cstheme="minorHAnsi"/>
                <w:noProof/>
                <w:lang w:val="en-GB"/>
              </w:rPr>
              <w:t>Curtis, K. A., et al. (2012). Injury trends and mortality in adult patients with major trauma in New South Wales.</w:t>
            </w:r>
            <w:r w:rsidRPr="00361E30">
              <w:rPr>
                <w:rFonts w:cstheme="minorHAnsi"/>
                <w:i/>
                <w:noProof/>
                <w:lang w:val="en-GB"/>
              </w:rPr>
              <w:t xml:space="preserve"> Med J Aust</w:t>
            </w:r>
            <w:r w:rsidRPr="00361E30">
              <w:rPr>
                <w:rFonts w:cstheme="minorHAnsi"/>
                <w:noProof/>
                <w:lang w:val="en-GB"/>
              </w:rPr>
              <w:t xml:space="preserve"> 197(4) 233-237.</w:t>
            </w:r>
            <w:bookmarkEnd w:id="285"/>
          </w:p>
        </w:tc>
      </w:tr>
      <w:tr w:rsidR="00051908" w:rsidRPr="00361E30" w14:paraId="419F95D9" w14:textId="77777777" w:rsidTr="008F67FE">
        <w:trPr>
          <w:cantSplit/>
        </w:trPr>
        <w:tc>
          <w:tcPr>
            <w:tcW w:w="8726" w:type="dxa"/>
          </w:tcPr>
          <w:p w14:paraId="4DA8039E" w14:textId="77777777" w:rsidR="00051908" w:rsidRPr="00361E30" w:rsidRDefault="00051908" w:rsidP="00A84367">
            <w:pPr>
              <w:pStyle w:val="ListParagraph"/>
              <w:spacing w:line="240" w:lineRule="auto"/>
              <w:rPr>
                <w:rFonts w:cstheme="minorHAnsi"/>
                <w:noProof/>
                <w:lang w:val="en-GB"/>
              </w:rPr>
            </w:pPr>
            <w:bookmarkStart w:id="286" w:name="_ENREF_57"/>
            <w:r w:rsidRPr="00361E30">
              <w:rPr>
                <w:rFonts w:cstheme="minorHAnsi"/>
                <w:noProof/>
                <w:lang w:val="en-GB"/>
              </w:rPr>
              <w:t>DeMaria, E. J., et al. (1987). Aggressive trauma care benefits the elderly.</w:t>
            </w:r>
            <w:r w:rsidRPr="00361E30">
              <w:rPr>
                <w:rFonts w:cstheme="minorHAnsi"/>
                <w:i/>
                <w:noProof/>
                <w:lang w:val="en-GB"/>
              </w:rPr>
              <w:t xml:space="preserve"> Journal of Trauma and Acute Care Surgery</w:t>
            </w:r>
            <w:r w:rsidRPr="00361E30">
              <w:rPr>
                <w:rFonts w:cstheme="minorHAnsi"/>
                <w:noProof/>
                <w:lang w:val="en-GB"/>
              </w:rPr>
              <w:t xml:space="preserve"> 27(11) 1200-1206.</w:t>
            </w:r>
            <w:bookmarkEnd w:id="286"/>
          </w:p>
        </w:tc>
      </w:tr>
      <w:tr w:rsidR="00051908" w:rsidRPr="00361E30" w14:paraId="35AF8004" w14:textId="77777777" w:rsidTr="008F67FE">
        <w:trPr>
          <w:cantSplit/>
        </w:trPr>
        <w:tc>
          <w:tcPr>
            <w:tcW w:w="8726" w:type="dxa"/>
          </w:tcPr>
          <w:p w14:paraId="22446A52" w14:textId="77777777" w:rsidR="00051908" w:rsidRPr="00361E30" w:rsidRDefault="00051908" w:rsidP="00A84367">
            <w:pPr>
              <w:pStyle w:val="ListParagraph"/>
              <w:spacing w:line="240" w:lineRule="auto"/>
              <w:rPr>
                <w:rFonts w:cstheme="minorHAnsi"/>
                <w:noProof/>
                <w:lang w:val="en-GB"/>
              </w:rPr>
            </w:pPr>
            <w:bookmarkStart w:id="287" w:name="_ENREF_58"/>
            <w:r w:rsidRPr="00361E30">
              <w:rPr>
                <w:rFonts w:cstheme="minorHAnsi"/>
                <w:noProof/>
                <w:lang w:val="en-GB"/>
              </w:rPr>
              <w:t>Demetriades, D., et al. (1998). TRISS methodology in trauma: the need for alternatives.</w:t>
            </w:r>
            <w:r w:rsidRPr="00361E30">
              <w:rPr>
                <w:rFonts w:cstheme="minorHAnsi"/>
                <w:i/>
                <w:noProof/>
                <w:lang w:val="en-GB"/>
              </w:rPr>
              <w:t xml:space="preserve"> British Journal of Surgery</w:t>
            </w:r>
            <w:r w:rsidRPr="00361E30">
              <w:rPr>
                <w:rFonts w:cstheme="minorHAnsi"/>
                <w:noProof/>
                <w:lang w:val="en-GB"/>
              </w:rPr>
              <w:t xml:space="preserve"> 85(3) 379-384.</w:t>
            </w:r>
            <w:bookmarkEnd w:id="287"/>
          </w:p>
        </w:tc>
      </w:tr>
      <w:tr w:rsidR="00051908" w:rsidRPr="00361E30" w14:paraId="2410D02C" w14:textId="77777777" w:rsidTr="008F67FE">
        <w:trPr>
          <w:cantSplit/>
        </w:trPr>
        <w:tc>
          <w:tcPr>
            <w:tcW w:w="8726" w:type="dxa"/>
          </w:tcPr>
          <w:p w14:paraId="28CEE415" w14:textId="77777777" w:rsidR="00051908" w:rsidRPr="00361E30" w:rsidRDefault="00051908" w:rsidP="00A84367">
            <w:pPr>
              <w:pStyle w:val="ListParagraph"/>
              <w:spacing w:line="240" w:lineRule="auto"/>
              <w:rPr>
                <w:rFonts w:cstheme="minorHAnsi"/>
                <w:noProof/>
                <w:lang w:val="en-GB"/>
              </w:rPr>
            </w:pPr>
            <w:bookmarkStart w:id="288" w:name="_ENREF_59"/>
            <w:r w:rsidRPr="00361E30">
              <w:rPr>
                <w:rFonts w:cstheme="minorHAnsi"/>
                <w:noProof/>
                <w:lang w:val="en-GB"/>
              </w:rPr>
              <w:t>Demetriades, D., et al. (2002). Effect on outcome of early intensive management of geriatric trauma patients.</w:t>
            </w:r>
            <w:r w:rsidRPr="00361E30">
              <w:rPr>
                <w:rFonts w:cstheme="minorHAnsi"/>
                <w:i/>
                <w:noProof/>
                <w:lang w:val="en-GB"/>
              </w:rPr>
              <w:t xml:space="preserve"> British Journal of Surgery</w:t>
            </w:r>
            <w:r w:rsidRPr="00361E30">
              <w:rPr>
                <w:rFonts w:cstheme="minorHAnsi"/>
                <w:noProof/>
                <w:lang w:val="en-GB"/>
              </w:rPr>
              <w:t xml:space="preserve"> 89(10) 1319-1322.</w:t>
            </w:r>
            <w:bookmarkEnd w:id="288"/>
          </w:p>
        </w:tc>
      </w:tr>
      <w:tr w:rsidR="00051908" w:rsidRPr="00361E30" w14:paraId="3D97FAE7" w14:textId="77777777" w:rsidTr="008F67FE">
        <w:trPr>
          <w:cantSplit/>
        </w:trPr>
        <w:tc>
          <w:tcPr>
            <w:tcW w:w="8726" w:type="dxa"/>
          </w:tcPr>
          <w:p w14:paraId="340EF9F5" w14:textId="77777777" w:rsidR="00051908" w:rsidRPr="00361E30" w:rsidRDefault="00051908" w:rsidP="00A84367">
            <w:pPr>
              <w:pStyle w:val="ListParagraph"/>
              <w:spacing w:line="240" w:lineRule="auto"/>
              <w:rPr>
                <w:rFonts w:cstheme="minorHAnsi"/>
                <w:noProof/>
                <w:lang w:val="en-GB"/>
              </w:rPr>
            </w:pPr>
            <w:bookmarkStart w:id="289" w:name="_ENREF_60"/>
            <w:r w:rsidRPr="00361E30">
              <w:rPr>
                <w:rFonts w:cstheme="minorHAnsi"/>
                <w:noProof/>
                <w:lang w:val="en-GB"/>
              </w:rPr>
              <w:t>Dinh, M. M., et al. (2013). Growing trend in older patients with severe injuries: mortality and mechanisms of injury between 1991 and 2010 at an inner city major trauma centre.</w:t>
            </w:r>
            <w:r w:rsidRPr="00361E30">
              <w:rPr>
                <w:rFonts w:cstheme="minorHAnsi"/>
                <w:i/>
                <w:noProof/>
                <w:lang w:val="en-GB"/>
              </w:rPr>
              <w:t xml:space="preserve"> Australia and New Zealand Journal of Surgery</w:t>
            </w:r>
            <w:r w:rsidRPr="00361E30">
              <w:rPr>
                <w:rFonts w:cstheme="minorHAnsi"/>
                <w:noProof/>
                <w:lang w:val="en-GB"/>
              </w:rPr>
              <w:t xml:space="preserve"> 83(1-2) 65-69.</w:t>
            </w:r>
            <w:bookmarkEnd w:id="289"/>
          </w:p>
        </w:tc>
      </w:tr>
      <w:tr w:rsidR="00051908" w:rsidRPr="00361E30" w14:paraId="1E81376F" w14:textId="77777777" w:rsidTr="008F67FE">
        <w:trPr>
          <w:cantSplit/>
        </w:trPr>
        <w:tc>
          <w:tcPr>
            <w:tcW w:w="8726" w:type="dxa"/>
          </w:tcPr>
          <w:p w14:paraId="0A815407" w14:textId="77777777" w:rsidR="00051908" w:rsidRPr="00361E30" w:rsidRDefault="00051908" w:rsidP="00A84367">
            <w:pPr>
              <w:pStyle w:val="ListParagraph"/>
              <w:spacing w:line="240" w:lineRule="auto"/>
              <w:rPr>
                <w:rFonts w:cstheme="minorHAnsi"/>
                <w:noProof/>
                <w:lang w:val="en-GB"/>
              </w:rPr>
            </w:pPr>
            <w:bookmarkStart w:id="290" w:name="_ENREF_61"/>
            <w:r w:rsidRPr="00361E30">
              <w:rPr>
                <w:rFonts w:cstheme="minorHAnsi"/>
                <w:noProof/>
                <w:lang w:val="en-GB"/>
              </w:rPr>
              <w:t>Doherty, T. J. (2003). Invited review: aging and sarcopenia.</w:t>
            </w:r>
            <w:r w:rsidRPr="00361E30">
              <w:rPr>
                <w:rFonts w:cstheme="minorHAnsi"/>
                <w:i/>
                <w:noProof/>
                <w:lang w:val="en-GB"/>
              </w:rPr>
              <w:t xml:space="preserve"> Journal of Applied Physiology</w:t>
            </w:r>
            <w:r w:rsidRPr="00361E30">
              <w:rPr>
                <w:rFonts w:cstheme="minorHAnsi"/>
                <w:noProof/>
                <w:lang w:val="en-GB"/>
              </w:rPr>
              <w:t xml:space="preserve"> 95(4) 1717-1727.</w:t>
            </w:r>
            <w:bookmarkEnd w:id="290"/>
          </w:p>
        </w:tc>
      </w:tr>
      <w:tr w:rsidR="006E3A7B" w:rsidRPr="00361E30" w14:paraId="3310282B" w14:textId="77777777" w:rsidTr="008F67FE">
        <w:trPr>
          <w:cantSplit/>
        </w:trPr>
        <w:tc>
          <w:tcPr>
            <w:tcW w:w="8726" w:type="dxa"/>
          </w:tcPr>
          <w:p w14:paraId="5E385B37" w14:textId="77777777" w:rsidR="006E3A7B" w:rsidRPr="00361E30" w:rsidRDefault="006E3A7B" w:rsidP="00A84367">
            <w:pPr>
              <w:pStyle w:val="ListParagraph"/>
              <w:spacing w:line="240" w:lineRule="auto"/>
              <w:rPr>
                <w:rFonts w:cstheme="minorHAnsi"/>
                <w:noProof/>
                <w:lang w:val="en-GB"/>
              </w:rPr>
            </w:pPr>
            <w:r w:rsidRPr="00361E30">
              <w:rPr>
                <w:rFonts w:cstheme="minorHAnsi"/>
                <w:noProof/>
                <w:lang w:val="en-GB"/>
              </w:rPr>
              <w:t>Donabedian, A (2005). Evaluating the quality of medical care. The Milbank Quarterly 83 (4): 691–729. doi:10.1111/j.1468-0009.2005.00397.x. Reprinted from The Milbank Memorial Fund Quarterly,1966, 44, (3), 166–203.</w:t>
            </w:r>
          </w:p>
        </w:tc>
      </w:tr>
      <w:tr w:rsidR="00051908" w:rsidRPr="00361E30" w14:paraId="2BCD83CA" w14:textId="77777777" w:rsidTr="008F67FE">
        <w:trPr>
          <w:cantSplit/>
        </w:trPr>
        <w:tc>
          <w:tcPr>
            <w:tcW w:w="8726" w:type="dxa"/>
          </w:tcPr>
          <w:p w14:paraId="0DE1D5A3" w14:textId="77777777" w:rsidR="00051908" w:rsidRPr="00361E30" w:rsidRDefault="00051908" w:rsidP="00A84367">
            <w:pPr>
              <w:pStyle w:val="ListParagraph"/>
              <w:spacing w:line="240" w:lineRule="auto"/>
              <w:rPr>
                <w:rFonts w:cstheme="minorHAnsi"/>
                <w:noProof/>
                <w:lang w:val="en-GB"/>
              </w:rPr>
            </w:pPr>
            <w:bookmarkStart w:id="291" w:name="_ENREF_62"/>
            <w:r w:rsidRPr="00361E30">
              <w:rPr>
                <w:rFonts w:cstheme="minorHAnsi"/>
                <w:noProof/>
                <w:lang w:val="en-GB"/>
              </w:rPr>
              <w:t>Dutton, R. P., et al. (2010). Trauma mortality in mature trauma systems: are we doing better? An analysis of trauma mortality patterns, 1997–2008.</w:t>
            </w:r>
            <w:r w:rsidRPr="00361E30">
              <w:rPr>
                <w:rFonts w:cstheme="minorHAnsi"/>
                <w:i/>
                <w:noProof/>
                <w:lang w:val="en-GB"/>
              </w:rPr>
              <w:t xml:space="preserve"> Journal of Trauma-Injury, Infection, and Critical Care</w:t>
            </w:r>
            <w:r w:rsidRPr="00361E30">
              <w:rPr>
                <w:rFonts w:cstheme="minorHAnsi"/>
                <w:noProof/>
                <w:lang w:val="en-GB"/>
              </w:rPr>
              <w:t xml:space="preserve"> 69(3) 620-626.</w:t>
            </w:r>
            <w:bookmarkEnd w:id="291"/>
          </w:p>
        </w:tc>
      </w:tr>
      <w:tr w:rsidR="00051908" w:rsidRPr="00361E30" w14:paraId="3AB1A2C9" w14:textId="77777777" w:rsidTr="008F67FE">
        <w:trPr>
          <w:cantSplit/>
        </w:trPr>
        <w:tc>
          <w:tcPr>
            <w:tcW w:w="8726" w:type="dxa"/>
          </w:tcPr>
          <w:p w14:paraId="0645B15B" w14:textId="77777777" w:rsidR="00051908" w:rsidRPr="00361E30" w:rsidRDefault="00051908" w:rsidP="00A84367">
            <w:pPr>
              <w:pStyle w:val="ListParagraph"/>
              <w:spacing w:line="240" w:lineRule="auto"/>
              <w:rPr>
                <w:rFonts w:cstheme="minorHAnsi"/>
                <w:noProof/>
                <w:lang w:val="en-GB"/>
              </w:rPr>
            </w:pPr>
            <w:bookmarkStart w:id="292" w:name="_ENREF_63"/>
            <w:r w:rsidRPr="00361E30">
              <w:rPr>
                <w:rFonts w:cstheme="minorHAnsi"/>
                <w:noProof/>
                <w:lang w:val="en-GB"/>
              </w:rPr>
              <w:t>Edwards, A., et al. (2007). A comparison of European Trauma Registries. The first report from the EuroTARN Group.</w:t>
            </w:r>
            <w:r w:rsidRPr="00361E30">
              <w:rPr>
                <w:rFonts w:cstheme="minorHAnsi"/>
                <w:i/>
                <w:noProof/>
                <w:lang w:val="en-GB"/>
              </w:rPr>
              <w:t xml:space="preserve"> Resuscitation</w:t>
            </w:r>
            <w:r w:rsidRPr="00361E30">
              <w:rPr>
                <w:rFonts w:cstheme="minorHAnsi"/>
                <w:noProof/>
                <w:lang w:val="en-GB"/>
              </w:rPr>
              <w:t xml:space="preserve"> 75(2) 286-297.</w:t>
            </w:r>
            <w:bookmarkEnd w:id="292"/>
          </w:p>
        </w:tc>
      </w:tr>
      <w:tr w:rsidR="00051908" w:rsidRPr="00361E30" w14:paraId="7280F588" w14:textId="77777777" w:rsidTr="008F67FE">
        <w:trPr>
          <w:cantSplit/>
        </w:trPr>
        <w:tc>
          <w:tcPr>
            <w:tcW w:w="8726" w:type="dxa"/>
          </w:tcPr>
          <w:p w14:paraId="4BBED1BC" w14:textId="77777777" w:rsidR="00051908" w:rsidRPr="00361E30" w:rsidRDefault="00051908" w:rsidP="00A84367">
            <w:pPr>
              <w:pStyle w:val="ListParagraph"/>
              <w:spacing w:line="240" w:lineRule="auto"/>
              <w:rPr>
                <w:rFonts w:cstheme="minorHAnsi"/>
                <w:noProof/>
                <w:lang w:val="en-GB"/>
              </w:rPr>
            </w:pPr>
            <w:bookmarkStart w:id="293" w:name="_ENREF_64"/>
            <w:r w:rsidRPr="00361E30">
              <w:rPr>
                <w:rFonts w:cstheme="minorHAnsi"/>
                <w:noProof/>
                <w:lang w:val="en-GB"/>
              </w:rPr>
              <w:t>Efron, D. T., et al. (2008). Preinjury statin use is associated with improved in-hospital survival in elderly trauma patients.</w:t>
            </w:r>
            <w:r w:rsidRPr="00361E30">
              <w:rPr>
                <w:rFonts w:cstheme="minorHAnsi"/>
                <w:i/>
                <w:noProof/>
                <w:lang w:val="en-GB"/>
              </w:rPr>
              <w:t xml:space="preserve"> Journal of Trauma and Acute Care Surgery</w:t>
            </w:r>
            <w:r w:rsidRPr="00361E30">
              <w:rPr>
                <w:rFonts w:cstheme="minorHAnsi"/>
                <w:noProof/>
                <w:lang w:val="en-GB"/>
              </w:rPr>
              <w:t xml:space="preserve"> 64(1) 66-73.</w:t>
            </w:r>
            <w:bookmarkEnd w:id="293"/>
          </w:p>
        </w:tc>
      </w:tr>
      <w:tr w:rsidR="008A3250" w:rsidRPr="00361E30" w14:paraId="4F7E8701" w14:textId="77777777" w:rsidTr="008F67FE">
        <w:trPr>
          <w:cantSplit/>
        </w:trPr>
        <w:tc>
          <w:tcPr>
            <w:tcW w:w="8726" w:type="dxa"/>
          </w:tcPr>
          <w:p w14:paraId="5858533F" w14:textId="77777777" w:rsidR="008A3250" w:rsidRPr="00361E30" w:rsidRDefault="008A3250" w:rsidP="00A84367">
            <w:pPr>
              <w:pStyle w:val="ListParagraph"/>
              <w:spacing w:line="240" w:lineRule="auto"/>
              <w:rPr>
                <w:rFonts w:cstheme="minorHAnsi"/>
                <w:noProof/>
                <w:lang w:val="en-GB"/>
              </w:rPr>
            </w:pPr>
            <w:r w:rsidRPr="00361E30">
              <w:rPr>
                <w:rFonts w:cstheme="minorHAnsi"/>
                <w:noProof/>
                <w:lang w:val="en-GB"/>
              </w:rPr>
              <w:t>Elliott, A., Hull. L., Conroy, S.P. Frailty identification in the emergency department—a systematic review focussing on feasibility Age and Ageing 2017; 46: 509–513 doi: 10.1093/ageing/afx019</w:t>
            </w:r>
          </w:p>
        </w:tc>
      </w:tr>
      <w:tr w:rsidR="00051908" w:rsidRPr="00361E30" w14:paraId="6BF5A2DC" w14:textId="77777777" w:rsidTr="008F67FE">
        <w:trPr>
          <w:cantSplit/>
        </w:trPr>
        <w:tc>
          <w:tcPr>
            <w:tcW w:w="8726" w:type="dxa"/>
          </w:tcPr>
          <w:p w14:paraId="440E1984" w14:textId="77777777" w:rsidR="00051908" w:rsidRPr="00361E30" w:rsidRDefault="00051908" w:rsidP="00A84367">
            <w:pPr>
              <w:pStyle w:val="ListParagraph"/>
              <w:spacing w:line="240" w:lineRule="auto"/>
              <w:rPr>
                <w:rFonts w:cstheme="minorHAnsi"/>
                <w:noProof/>
                <w:lang w:val="en-GB"/>
              </w:rPr>
            </w:pPr>
            <w:bookmarkStart w:id="294" w:name="_ENREF_65"/>
            <w:r w:rsidRPr="00361E30">
              <w:rPr>
                <w:rFonts w:cstheme="minorHAnsi"/>
                <w:noProof/>
                <w:lang w:val="en-GB"/>
              </w:rPr>
              <w:t>Ensrud, K. E., et al. (2007). Frailty and Risk of Falls, Fracture, and Mortality in Older Women: The Study of Osteoporotic Fractures.</w:t>
            </w:r>
            <w:r w:rsidRPr="00361E30">
              <w:rPr>
                <w:rFonts w:cstheme="minorHAnsi"/>
                <w:i/>
                <w:noProof/>
                <w:lang w:val="en-GB"/>
              </w:rPr>
              <w:t xml:space="preserve"> The Journals of Gerontology Series A: Biological Sciences and Medical Sciences</w:t>
            </w:r>
            <w:r w:rsidRPr="00361E30">
              <w:rPr>
                <w:rFonts w:cstheme="minorHAnsi"/>
                <w:noProof/>
                <w:lang w:val="en-GB"/>
              </w:rPr>
              <w:t xml:space="preserve"> 62(7) 744-751.</w:t>
            </w:r>
            <w:bookmarkEnd w:id="294"/>
          </w:p>
        </w:tc>
      </w:tr>
      <w:tr w:rsidR="00051908" w:rsidRPr="00361E30" w14:paraId="44FFEA58" w14:textId="77777777" w:rsidTr="008F67FE">
        <w:trPr>
          <w:cantSplit/>
        </w:trPr>
        <w:tc>
          <w:tcPr>
            <w:tcW w:w="8726" w:type="dxa"/>
          </w:tcPr>
          <w:p w14:paraId="4975BDD2" w14:textId="77777777" w:rsidR="00051908" w:rsidRPr="00361E30" w:rsidRDefault="00051908" w:rsidP="00A84367">
            <w:pPr>
              <w:pStyle w:val="ListParagraph"/>
              <w:spacing w:line="240" w:lineRule="auto"/>
              <w:rPr>
                <w:rFonts w:cstheme="minorHAnsi"/>
                <w:noProof/>
                <w:lang w:val="en-GB"/>
              </w:rPr>
            </w:pPr>
            <w:bookmarkStart w:id="295" w:name="_ENREF_66"/>
            <w:r w:rsidRPr="00361E30">
              <w:rPr>
                <w:rFonts w:cstheme="minorHAnsi"/>
                <w:noProof/>
                <w:lang w:val="en-GB"/>
              </w:rPr>
              <w:lastRenderedPageBreak/>
              <w:t>Faes, M. C., et al. (2010). Qualitative study on the impact of falling in frail older persons and family caregivers: foundations for an intervention to prevent falls.</w:t>
            </w:r>
            <w:r w:rsidRPr="00361E30">
              <w:rPr>
                <w:rFonts w:cstheme="minorHAnsi"/>
                <w:i/>
                <w:noProof/>
                <w:lang w:val="en-GB"/>
              </w:rPr>
              <w:t xml:space="preserve"> Aging &amp; Mental Health</w:t>
            </w:r>
            <w:r w:rsidRPr="00361E30">
              <w:rPr>
                <w:rFonts w:cstheme="minorHAnsi"/>
                <w:noProof/>
                <w:lang w:val="en-GB"/>
              </w:rPr>
              <w:t xml:space="preserve"> 14(7) 834-842.</w:t>
            </w:r>
            <w:bookmarkEnd w:id="295"/>
          </w:p>
        </w:tc>
      </w:tr>
      <w:tr w:rsidR="00051908" w:rsidRPr="00361E30" w14:paraId="043A6F48" w14:textId="77777777" w:rsidTr="008F67FE">
        <w:trPr>
          <w:cantSplit/>
        </w:trPr>
        <w:tc>
          <w:tcPr>
            <w:tcW w:w="8726" w:type="dxa"/>
          </w:tcPr>
          <w:p w14:paraId="28CE0FA1" w14:textId="77777777" w:rsidR="00051908" w:rsidRPr="00361E30" w:rsidRDefault="00051908" w:rsidP="00A84367">
            <w:pPr>
              <w:pStyle w:val="ListParagraph"/>
              <w:spacing w:line="240" w:lineRule="auto"/>
              <w:rPr>
                <w:rFonts w:cstheme="minorHAnsi"/>
                <w:noProof/>
                <w:lang w:val="en-GB"/>
              </w:rPr>
            </w:pPr>
            <w:bookmarkStart w:id="296" w:name="_ENREF_67"/>
            <w:r w:rsidRPr="00361E30">
              <w:rPr>
                <w:rFonts w:cstheme="minorHAnsi"/>
                <w:noProof/>
                <w:lang w:val="en-GB"/>
              </w:rPr>
              <w:t>Fallon, W. F. J., et al. (2006). Geriatric Outcomes Are Improved by a Geriatric Trauma Consultation Service.</w:t>
            </w:r>
            <w:r w:rsidRPr="00361E30">
              <w:rPr>
                <w:rFonts w:cstheme="minorHAnsi"/>
                <w:i/>
                <w:noProof/>
                <w:lang w:val="en-GB"/>
              </w:rPr>
              <w:t xml:space="preserve"> Journal of Trauma and Acute Care Surgery</w:t>
            </w:r>
            <w:r w:rsidRPr="00361E30">
              <w:rPr>
                <w:rFonts w:cstheme="minorHAnsi"/>
                <w:noProof/>
                <w:lang w:val="en-GB"/>
              </w:rPr>
              <w:t xml:space="preserve"> 61(5) 1040-1046.</w:t>
            </w:r>
            <w:bookmarkEnd w:id="296"/>
          </w:p>
        </w:tc>
      </w:tr>
      <w:tr w:rsidR="00051908" w:rsidRPr="00361E30" w14:paraId="333E28FC" w14:textId="77777777" w:rsidTr="008F67FE">
        <w:trPr>
          <w:cantSplit/>
        </w:trPr>
        <w:tc>
          <w:tcPr>
            <w:tcW w:w="8726" w:type="dxa"/>
          </w:tcPr>
          <w:p w14:paraId="50CBBDD3" w14:textId="77777777" w:rsidR="00051908" w:rsidRPr="00361E30" w:rsidRDefault="00051908" w:rsidP="00A84367">
            <w:pPr>
              <w:pStyle w:val="ListParagraph"/>
              <w:spacing w:line="240" w:lineRule="auto"/>
              <w:rPr>
                <w:rFonts w:cstheme="minorHAnsi"/>
                <w:noProof/>
                <w:lang w:val="en-GB"/>
              </w:rPr>
            </w:pPr>
            <w:bookmarkStart w:id="297" w:name="_ENREF_68"/>
            <w:r w:rsidRPr="00361E30">
              <w:rPr>
                <w:rFonts w:cstheme="minorHAnsi"/>
                <w:noProof/>
                <w:lang w:val="en-GB"/>
              </w:rPr>
              <w:t>Fang, X., et al. (2012). Frailty in relation to the risk of falls, fractures, and mortality in older Chinese adults: results from the Beijing Longitudinal Study of Aging.</w:t>
            </w:r>
            <w:r w:rsidRPr="00361E30">
              <w:rPr>
                <w:rFonts w:cstheme="minorHAnsi"/>
                <w:i/>
                <w:noProof/>
                <w:lang w:val="en-GB"/>
              </w:rPr>
              <w:t xml:space="preserve"> Journal of Nutrtition Health and Aging</w:t>
            </w:r>
            <w:r w:rsidRPr="00361E30">
              <w:rPr>
                <w:rFonts w:cstheme="minorHAnsi"/>
                <w:noProof/>
                <w:lang w:val="en-GB"/>
              </w:rPr>
              <w:t xml:space="preserve"> 16(10) 903-907.</w:t>
            </w:r>
            <w:bookmarkEnd w:id="297"/>
          </w:p>
        </w:tc>
      </w:tr>
      <w:tr w:rsidR="00051908" w:rsidRPr="00361E30" w14:paraId="76DA3BDE" w14:textId="77777777" w:rsidTr="008F67FE">
        <w:trPr>
          <w:cantSplit/>
        </w:trPr>
        <w:tc>
          <w:tcPr>
            <w:tcW w:w="8726" w:type="dxa"/>
          </w:tcPr>
          <w:p w14:paraId="72B72383" w14:textId="77777777" w:rsidR="00051908" w:rsidRPr="00361E30" w:rsidRDefault="00051908" w:rsidP="00A84367">
            <w:pPr>
              <w:pStyle w:val="ListParagraph"/>
              <w:spacing w:line="240" w:lineRule="auto"/>
              <w:rPr>
                <w:rFonts w:cstheme="minorHAnsi"/>
                <w:noProof/>
                <w:lang w:val="en-GB"/>
              </w:rPr>
            </w:pPr>
            <w:bookmarkStart w:id="298" w:name="_ENREF_69"/>
            <w:r w:rsidRPr="00361E30">
              <w:rPr>
                <w:rFonts w:cstheme="minorHAnsi"/>
                <w:noProof/>
                <w:lang w:val="en-GB"/>
              </w:rPr>
              <w:t>Fatovich, D. M., et al. (2013). The effect of age, severity, and mechanism of injury on risk of death from major trauma in Western Australia.</w:t>
            </w:r>
            <w:r w:rsidRPr="00361E30">
              <w:rPr>
                <w:rFonts w:cstheme="minorHAnsi"/>
                <w:i/>
                <w:noProof/>
                <w:lang w:val="en-GB"/>
              </w:rPr>
              <w:t xml:space="preserve"> Journal of Trauma and Acute Care Surgery</w:t>
            </w:r>
            <w:r w:rsidRPr="00361E30">
              <w:rPr>
                <w:rFonts w:cstheme="minorHAnsi"/>
                <w:noProof/>
                <w:lang w:val="en-GB"/>
              </w:rPr>
              <w:t xml:space="preserve"> 74(2) 647-651.</w:t>
            </w:r>
            <w:bookmarkEnd w:id="298"/>
          </w:p>
        </w:tc>
      </w:tr>
      <w:tr w:rsidR="00051908" w:rsidRPr="00361E30" w14:paraId="4B1E5969" w14:textId="77777777" w:rsidTr="008F67FE">
        <w:trPr>
          <w:cantSplit/>
        </w:trPr>
        <w:tc>
          <w:tcPr>
            <w:tcW w:w="8726" w:type="dxa"/>
          </w:tcPr>
          <w:p w14:paraId="2D37A76A" w14:textId="77777777" w:rsidR="00051908" w:rsidRPr="00361E30" w:rsidRDefault="00051908" w:rsidP="00A84367">
            <w:pPr>
              <w:pStyle w:val="ListParagraph"/>
              <w:spacing w:line="240" w:lineRule="auto"/>
              <w:rPr>
                <w:rFonts w:cstheme="minorHAnsi"/>
                <w:noProof/>
                <w:lang w:val="en-GB"/>
              </w:rPr>
            </w:pPr>
            <w:bookmarkStart w:id="299" w:name="_ENREF_70"/>
            <w:r w:rsidRPr="00361E30">
              <w:rPr>
                <w:rFonts w:cstheme="minorHAnsi"/>
                <w:noProof/>
                <w:lang w:val="en-GB"/>
              </w:rPr>
              <w:t>Ferrari, A. U., A. Radaelli and M. Centola (2003). Invited review: aging and the cardiovascular system.</w:t>
            </w:r>
            <w:r w:rsidRPr="00361E30">
              <w:rPr>
                <w:rFonts w:cstheme="minorHAnsi"/>
                <w:i/>
                <w:noProof/>
                <w:lang w:val="en-GB"/>
              </w:rPr>
              <w:t xml:space="preserve"> Journal of Applied Physiology</w:t>
            </w:r>
            <w:r w:rsidRPr="00361E30">
              <w:rPr>
                <w:rFonts w:cstheme="minorHAnsi"/>
                <w:noProof/>
                <w:lang w:val="en-GB"/>
              </w:rPr>
              <w:t xml:space="preserve"> 95(6) 2591-2597.</w:t>
            </w:r>
            <w:bookmarkEnd w:id="299"/>
          </w:p>
        </w:tc>
      </w:tr>
      <w:tr w:rsidR="00051908" w:rsidRPr="00361E30" w14:paraId="7C3E7716" w14:textId="77777777" w:rsidTr="008F67FE">
        <w:trPr>
          <w:cantSplit/>
        </w:trPr>
        <w:tc>
          <w:tcPr>
            <w:tcW w:w="8726" w:type="dxa"/>
          </w:tcPr>
          <w:p w14:paraId="6658EB0E" w14:textId="77777777" w:rsidR="00051908" w:rsidRPr="00361E30" w:rsidRDefault="00051908" w:rsidP="00A84367">
            <w:pPr>
              <w:pStyle w:val="ListParagraph"/>
              <w:spacing w:line="240" w:lineRule="auto"/>
              <w:rPr>
                <w:rFonts w:cstheme="minorHAnsi"/>
                <w:noProof/>
                <w:lang w:val="en-GB"/>
              </w:rPr>
            </w:pPr>
            <w:bookmarkStart w:id="300" w:name="_ENREF_71"/>
            <w:r w:rsidRPr="00361E30">
              <w:rPr>
                <w:rFonts w:cstheme="minorHAnsi"/>
                <w:noProof/>
                <w:lang w:val="en-GB"/>
              </w:rPr>
              <w:t>Fhon, J. R., et al. (2016). Fall and its association with the frailty syndrome in the elderly: systematic review with meta-analysis.</w:t>
            </w:r>
            <w:r w:rsidRPr="00361E30">
              <w:rPr>
                <w:rFonts w:cstheme="minorHAnsi"/>
                <w:i/>
                <w:noProof/>
                <w:lang w:val="en-GB"/>
              </w:rPr>
              <w:t xml:space="preserve"> Revista da Escola de Enfermagem da USP </w:t>
            </w:r>
            <w:r w:rsidRPr="00361E30">
              <w:rPr>
                <w:rFonts w:cstheme="minorHAnsi"/>
                <w:noProof/>
                <w:lang w:val="en-GB"/>
              </w:rPr>
              <w:t>50(6) 1005-1013.</w:t>
            </w:r>
            <w:bookmarkEnd w:id="300"/>
          </w:p>
        </w:tc>
      </w:tr>
      <w:tr w:rsidR="00051908" w:rsidRPr="00361E30" w14:paraId="4E7F02E0" w14:textId="77777777" w:rsidTr="008F67FE">
        <w:trPr>
          <w:cantSplit/>
        </w:trPr>
        <w:tc>
          <w:tcPr>
            <w:tcW w:w="8726" w:type="dxa"/>
          </w:tcPr>
          <w:p w14:paraId="036B82A1" w14:textId="77777777" w:rsidR="00051908" w:rsidRPr="00361E30" w:rsidRDefault="00051908" w:rsidP="00A84367">
            <w:pPr>
              <w:pStyle w:val="ListParagraph"/>
              <w:spacing w:line="240" w:lineRule="auto"/>
              <w:rPr>
                <w:rFonts w:cstheme="minorHAnsi"/>
                <w:noProof/>
                <w:lang w:val="en-GB"/>
              </w:rPr>
            </w:pPr>
            <w:bookmarkStart w:id="301" w:name="_ENREF_72"/>
            <w:r w:rsidRPr="00361E30">
              <w:rPr>
                <w:rFonts w:cstheme="minorHAnsi"/>
                <w:noProof/>
                <w:lang w:val="en-GB"/>
              </w:rPr>
              <w:t>Fisher, J. M., C. Bates and J. Banerjee (2017). The growing challenge of major trauma in older people: a role for comprehensive geriatric assessment?</w:t>
            </w:r>
            <w:r w:rsidRPr="00361E30">
              <w:rPr>
                <w:rFonts w:cstheme="minorHAnsi"/>
                <w:i/>
                <w:noProof/>
                <w:lang w:val="en-GB"/>
              </w:rPr>
              <w:t xml:space="preserve"> Age Ageing</w:t>
            </w:r>
            <w:r w:rsidRPr="00361E30">
              <w:rPr>
                <w:rFonts w:cstheme="minorHAnsi"/>
                <w:noProof/>
                <w:lang w:val="en-GB"/>
              </w:rPr>
              <w:t xml:space="preserve"> 46(5) 709-712.</w:t>
            </w:r>
            <w:bookmarkEnd w:id="301"/>
          </w:p>
        </w:tc>
      </w:tr>
      <w:tr w:rsidR="00051908" w:rsidRPr="00361E30" w14:paraId="4279A6FD" w14:textId="77777777" w:rsidTr="008F67FE">
        <w:trPr>
          <w:cantSplit/>
        </w:trPr>
        <w:tc>
          <w:tcPr>
            <w:tcW w:w="8726" w:type="dxa"/>
          </w:tcPr>
          <w:p w14:paraId="799E218A" w14:textId="77777777" w:rsidR="00051908" w:rsidRPr="00361E30" w:rsidRDefault="00051908" w:rsidP="00A84367">
            <w:pPr>
              <w:pStyle w:val="ListParagraph"/>
              <w:spacing w:line="240" w:lineRule="auto"/>
              <w:rPr>
                <w:rFonts w:cstheme="minorHAnsi"/>
                <w:noProof/>
                <w:lang w:val="en-GB"/>
              </w:rPr>
            </w:pPr>
            <w:bookmarkStart w:id="302" w:name="_ENREF_73"/>
            <w:r w:rsidRPr="00361E30">
              <w:rPr>
                <w:rFonts w:cstheme="minorHAnsi"/>
                <w:noProof/>
                <w:lang w:val="en-GB"/>
              </w:rPr>
              <w:t>Frankema, S. P. G., et al. (2005). Comparison of Current Injury Scales for Survival Chance Estimation: An Evaluation Comparing the Predictive Performance of the ISS, NISS, and AP Scores in a Dutch Local Trauma Registration.</w:t>
            </w:r>
            <w:r w:rsidRPr="00361E30">
              <w:rPr>
                <w:rFonts w:cstheme="minorHAnsi"/>
                <w:i/>
                <w:noProof/>
                <w:lang w:val="en-GB"/>
              </w:rPr>
              <w:t xml:space="preserve"> Journal of Trauma and Acute Care Surgery</w:t>
            </w:r>
            <w:r w:rsidRPr="00361E30">
              <w:rPr>
                <w:rFonts w:cstheme="minorHAnsi"/>
                <w:noProof/>
                <w:lang w:val="en-GB"/>
              </w:rPr>
              <w:t xml:space="preserve"> 58(3) 596-604.</w:t>
            </w:r>
            <w:bookmarkEnd w:id="302"/>
          </w:p>
        </w:tc>
      </w:tr>
      <w:tr w:rsidR="00B869AD" w:rsidRPr="00361E30" w14:paraId="6213739C" w14:textId="77777777" w:rsidTr="008F67FE">
        <w:trPr>
          <w:cantSplit/>
        </w:trPr>
        <w:tc>
          <w:tcPr>
            <w:tcW w:w="8726" w:type="dxa"/>
          </w:tcPr>
          <w:p w14:paraId="50081B7D" w14:textId="77777777" w:rsidR="00B869AD" w:rsidRPr="00361E30" w:rsidRDefault="00B869AD" w:rsidP="00A84367">
            <w:pPr>
              <w:pStyle w:val="ListParagraph"/>
              <w:spacing w:line="240" w:lineRule="auto"/>
              <w:rPr>
                <w:rFonts w:cstheme="minorHAnsi"/>
                <w:noProof/>
                <w:lang w:val="en-GB"/>
              </w:rPr>
            </w:pPr>
            <w:r w:rsidRPr="00361E30">
              <w:rPr>
                <w:rFonts w:cstheme="minorHAnsi"/>
                <w:noProof/>
                <w:lang w:val="en-GB"/>
              </w:rPr>
              <w:t>Fried, L.P.,  et al. Frailty in older adults:evidence for a phenotype. J Gerontol A Biol Sci Med Sci 2001;56: M146–56.</w:t>
            </w:r>
          </w:p>
        </w:tc>
      </w:tr>
      <w:tr w:rsidR="00051908" w:rsidRPr="00361E30" w14:paraId="02344EB7" w14:textId="77777777" w:rsidTr="008F67FE">
        <w:trPr>
          <w:cantSplit/>
        </w:trPr>
        <w:tc>
          <w:tcPr>
            <w:tcW w:w="8726" w:type="dxa"/>
          </w:tcPr>
          <w:p w14:paraId="1F47026A" w14:textId="77777777" w:rsidR="00051908" w:rsidRPr="00361E30" w:rsidRDefault="00051908" w:rsidP="00A84367">
            <w:pPr>
              <w:pStyle w:val="ListParagraph"/>
              <w:spacing w:line="240" w:lineRule="auto"/>
              <w:rPr>
                <w:rFonts w:cstheme="minorHAnsi"/>
                <w:noProof/>
                <w:lang w:val="en-GB"/>
              </w:rPr>
            </w:pPr>
            <w:bookmarkStart w:id="303" w:name="_ENREF_74"/>
            <w:r w:rsidRPr="00361E30">
              <w:rPr>
                <w:rFonts w:cstheme="minorHAnsi"/>
                <w:noProof/>
                <w:lang w:val="en-GB"/>
              </w:rPr>
              <w:t>Fry, G., S. Chantavanich and A. Chantavanich (1981). Merging Quantitative and Qualitative Research Techniques: Toward a New Research Paradigm1.</w:t>
            </w:r>
            <w:r w:rsidRPr="00361E30">
              <w:rPr>
                <w:rFonts w:cstheme="minorHAnsi"/>
                <w:i/>
                <w:noProof/>
                <w:lang w:val="en-GB"/>
              </w:rPr>
              <w:t xml:space="preserve"> Anthropology &amp; Education Quarterly</w:t>
            </w:r>
            <w:r w:rsidRPr="00361E30">
              <w:rPr>
                <w:rFonts w:cstheme="minorHAnsi"/>
                <w:noProof/>
                <w:lang w:val="en-GB"/>
              </w:rPr>
              <w:t xml:space="preserve"> 12(2) 145-158.</w:t>
            </w:r>
            <w:bookmarkEnd w:id="303"/>
          </w:p>
        </w:tc>
      </w:tr>
      <w:tr w:rsidR="00051908" w:rsidRPr="00361E30" w14:paraId="764B5D97" w14:textId="77777777" w:rsidTr="008F67FE">
        <w:trPr>
          <w:cantSplit/>
        </w:trPr>
        <w:tc>
          <w:tcPr>
            <w:tcW w:w="8726" w:type="dxa"/>
          </w:tcPr>
          <w:p w14:paraId="2BBC6A6B" w14:textId="77777777" w:rsidR="00051908" w:rsidRPr="00361E30" w:rsidRDefault="00051908" w:rsidP="00A84367">
            <w:pPr>
              <w:pStyle w:val="ListParagraph"/>
              <w:spacing w:line="240" w:lineRule="auto"/>
              <w:rPr>
                <w:rFonts w:cstheme="minorHAnsi"/>
                <w:noProof/>
                <w:lang w:val="en-GB"/>
              </w:rPr>
            </w:pPr>
            <w:bookmarkStart w:id="304" w:name="_ENREF_75"/>
            <w:r w:rsidRPr="00361E30">
              <w:rPr>
                <w:rFonts w:cstheme="minorHAnsi"/>
                <w:noProof/>
                <w:lang w:val="en-GB"/>
              </w:rPr>
              <w:t>Fulton, M. M. and E. Riley Allen (2005). Polypharmacy in the elderly: a literature review.</w:t>
            </w:r>
            <w:r w:rsidRPr="00361E30">
              <w:rPr>
                <w:rFonts w:cstheme="minorHAnsi"/>
                <w:i/>
                <w:noProof/>
                <w:lang w:val="en-GB"/>
              </w:rPr>
              <w:t xml:space="preserve"> Journal of the American Academy of Nurse Practitioners</w:t>
            </w:r>
            <w:r w:rsidRPr="00361E30">
              <w:rPr>
                <w:rFonts w:cstheme="minorHAnsi"/>
                <w:noProof/>
                <w:lang w:val="en-GB"/>
              </w:rPr>
              <w:t xml:space="preserve"> 17(4) 123-132.</w:t>
            </w:r>
            <w:bookmarkEnd w:id="304"/>
          </w:p>
        </w:tc>
      </w:tr>
      <w:tr w:rsidR="00051908" w:rsidRPr="00361E30" w14:paraId="297C2A9C" w14:textId="77777777" w:rsidTr="008F67FE">
        <w:trPr>
          <w:cantSplit/>
        </w:trPr>
        <w:tc>
          <w:tcPr>
            <w:tcW w:w="8726" w:type="dxa"/>
          </w:tcPr>
          <w:p w14:paraId="44526F14" w14:textId="77777777" w:rsidR="00051908" w:rsidRPr="00361E30" w:rsidRDefault="00051908" w:rsidP="00A84367">
            <w:pPr>
              <w:pStyle w:val="ListParagraph"/>
              <w:spacing w:line="240" w:lineRule="auto"/>
              <w:rPr>
                <w:rFonts w:cstheme="minorHAnsi"/>
                <w:noProof/>
                <w:lang w:val="en-GB"/>
              </w:rPr>
            </w:pPr>
            <w:bookmarkStart w:id="305" w:name="_ENREF_76"/>
            <w:r w:rsidRPr="00361E30">
              <w:rPr>
                <w:rFonts w:cstheme="minorHAnsi"/>
                <w:noProof/>
                <w:lang w:val="en-GB"/>
              </w:rPr>
              <w:t>Furlan, J. C. and M. G. Fehlings (2009). The impact of age on mortality, impairment, and disability among adults with acute traumatic spinal cord injury.</w:t>
            </w:r>
            <w:r w:rsidRPr="00361E30">
              <w:rPr>
                <w:rFonts w:cstheme="minorHAnsi"/>
                <w:i/>
                <w:noProof/>
                <w:lang w:val="en-GB"/>
              </w:rPr>
              <w:t xml:space="preserve"> Journal of Neurotrauma</w:t>
            </w:r>
            <w:r w:rsidRPr="00361E30">
              <w:rPr>
                <w:rFonts w:cstheme="minorHAnsi"/>
                <w:noProof/>
                <w:lang w:val="en-GB"/>
              </w:rPr>
              <w:t xml:space="preserve"> 26(10) 1707-1717.</w:t>
            </w:r>
            <w:bookmarkEnd w:id="305"/>
          </w:p>
        </w:tc>
      </w:tr>
      <w:tr w:rsidR="00051908" w:rsidRPr="00361E30" w14:paraId="6687D742" w14:textId="77777777" w:rsidTr="008F67FE">
        <w:trPr>
          <w:cantSplit/>
        </w:trPr>
        <w:tc>
          <w:tcPr>
            <w:tcW w:w="8726" w:type="dxa"/>
          </w:tcPr>
          <w:p w14:paraId="1B7B5C12" w14:textId="77777777" w:rsidR="00051908" w:rsidRPr="00361E30" w:rsidRDefault="00051908" w:rsidP="00A84367">
            <w:pPr>
              <w:pStyle w:val="ListParagraph"/>
              <w:spacing w:line="240" w:lineRule="auto"/>
              <w:rPr>
                <w:rFonts w:cstheme="minorHAnsi"/>
                <w:noProof/>
                <w:lang w:val="en-GB"/>
              </w:rPr>
            </w:pPr>
            <w:bookmarkStart w:id="306" w:name="_ENREF_79"/>
            <w:r w:rsidRPr="00361E30">
              <w:rPr>
                <w:rFonts w:cstheme="minorHAnsi"/>
                <w:noProof/>
                <w:lang w:val="en-GB"/>
              </w:rPr>
              <w:t>Gabbe, B. J., et al. (2005a). Is the Charlson Comorbidity Index useful for predicting trauma outcomes?</w:t>
            </w:r>
            <w:r w:rsidRPr="00361E30">
              <w:rPr>
                <w:rFonts w:cstheme="minorHAnsi"/>
                <w:i/>
                <w:noProof/>
                <w:lang w:val="en-GB"/>
              </w:rPr>
              <w:t xml:space="preserve"> Academic Emergency Medicine</w:t>
            </w:r>
            <w:r w:rsidRPr="00361E30">
              <w:rPr>
                <w:rFonts w:cstheme="minorHAnsi"/>
                <w:noProof/>
                <w:lang w:val="en-GB"/>
              </w:rPr>
              <w:t xml:space="preserve"> 12(4) 318-321.</w:t>
            </w:r>
            <w:bookmarkEnd w:id="306"/>
          </w:p>
        </w:tc>
      </w:tr>
      <w:tr w:rsidR="00051908" w:rsidRPr="00361E30" w14:paraId="08C25A5D" w14:textId="77777777" w:rsidTr="008F67FE">
        <w:trPr>
          <w:cantSplit/>
        </w:trPr>
        <w:tc>
          <w:tcPr>
            <w:tcW w:w="8726" w:type="dxa"/>
          </w:tcPr>
          <w:p w14:paraId="0459EC13" w14:textId="77777777" w:rsidR="00051908" w:rsidRPr="00361E30" w:rsidRDefault="00051908" w:rsidP="00A84367">
            <w:pPr>
              <w:pStyle w:val="ListParagraph"/>
              <w:spacing w:line="240" w:lineRule="auto"/>
              <w:rPr>
                <w:rFonts w:cstheme="minorHAnsi"/>
                <w:noProof/>
                <w:lang w:val="en-GB"/>
              </w:rPr>
            </w:pPr>
            <w:bookmarkStart w:id="307" w:name="_ENREF_82"/>
            <w:r w:rsidRPr="00361E30">
              <w:rPr>
                <w:rFonts w:cstheme="minorHAnsi"/>
                <w:noProof/>
                <w:lang w:val="en-GB"/>
              </w:rPr>
              <w:t>Gabbe, B. J., et al. (2005b). Choosing outcome assessment instruments for trauma registries.</w:t>
            </w:r>
            <w:r w:rsidRPr="00361E30">
              <w:rPr>
                <w:rFonts w:cstheme="minorHAnsi"/>
                <w:i/>
                <w:noProof/>
                <w:lang w:val="en-GB"/>
              </w:rPr>
              <w:t xml:space="preserve"> Academic Emergency Medicine</w:t>
            </w:r>
            <w:r w:rsidRPr="00361E30">
              <w:rPr>
                <w:rFonts w:cstheme="minorHAnsi"/>
                <w:noProof/>
                <w:lang w:val="en-GB"/>
              </w:rPr>
              <w:t xml:space="preserve"> 12(8) 751-758.</w:t>
            </w:r>
            <w:bookmarkEnd w:id="307"/>
          </w:p>
        </w:tc>
      </w:tr>
      <w:tr w:rsidR="00051908" w:rsidRPr="00361E30" w14:paraId="6D3143CA" w14:textId="77777777" w:rsidTr="008F67FE">
        <w:trPr>
          <w:cantSplit/>
        </w:trPr>
        <w:tc>
          <w:tcPr>
            <w:tcW w:w="8726" w:type="dxa"/>
          </w:tcPr>
          <w:p w14:paraId="231163E0" w14:textId="77777777" w:rsidR="00051908" w:rsidRPr="00361E30" w:rsidRDefault="00051908" w:rsidP="00A84367">
            <w:pPr>
              <w:pStyle w:val="ListParagraph"/>
              <w:spacing w:line="240" w:lineRule="auto"/>
              <w:rPr>
                <w:rFonts w:cstheme="minorHAnsi"/>
                <w:noProof/>
                <w:lang w:val="en-GB"/>
              </w:rPr>
            </w:pPr>
            <w:bookmarkStart w:id="308" w:name="_ENREF_81"/>
            <w:r w:rsidRPr="00361E30">
              <w:rPr>
                <w:rFonts w:cstheme="minorHAnsi"/>
                <w:noProof/>
                <w:lang w:val="en-GB"/>
              </w:rPr>
              <w:lastRenderedPageBreak/>
              <w:t>Gabbe, B. J., et al. (2008). Functional measures at discharge: are they useful predictors of longer term outcomes for trauma registries?</w:t>
            </w:r>
            <w:r w:rsidRPr="00361E30">
              <w:rPr>
                <w:rFonts w:cstheme="minorHAnsi"/>
                <w:i/>
                <w:noProof/>
                <w:lang w:val="en-GB"/>
              </w:rPr>
              <w:t xml:space="preserve"> Annals of Surgery</w:t>
            </w:r>
            <w:r w:rsidRPr="00361E30">
              <w:rPr>
                <w:rFonts w:cstheme="minorHAnsi"/>
                <w:noProof/>
                <w:lang w:val="en-GB"/>
              </w:rPr>
              <w:t xml:space="preserve"> 247(5) 854-859.</w:t>
            </w:r>
            <w:bookmarkEnd w:id="308"/>
          </w:p>
        </w:tc>
      </w:tr>
      <w:tr w:rsidR="00051908" w:rsidRPr="00361E30" w14:paraId="7D7A5572" w14:textId="77777777" w:rsidTr="008F67FE">
        <w:trPr>
          <w:cantSplit/>
        </w:trPr>
        <w:tc>
          <w:tcPr>
            <w:tcW w:w="8726" w:type="dxa"/>
          </w:tcPr>
          <w:p w14:paraId="16029E29" w14:textId="77777777" w:rsidR="00051908" w:rsidRPr="00361E30" w:rsidRDefault="00051908" w:rsidP="00A84367">
            <w:pPr>
              <w:pStyle w:val="ListParagraph"/>
              <w:spacing w:line="240" w:lineRule="auto"/>
              <w:rPr>
                <w:rFonts w:cstheme="minorHAnsi"/>
                <w:noProof/>
                <w:lang w:val="en-GB"/>
              </w:rPr>
            </w:pPr>
            <w:bookmarkStart w:id="309" w:name="_ENREF_77"/>
            <w:r w:rsidRPr="00361E30">
              <w:rPr>
                <w:rFonts w:cstheme="minorHAnsi"/>
                <w:noProof/>
                <w:lang w:val="en-GB"/>
              </w:rPr>
              <w:t>Gabbe, B. J., et al. (2011a). The effect of an organized trauma system on mortality in major trauma involving serious head injury: a comparison of the United Kingdom and Victoria, Australia.</w:t>
            </w:r>
            <w:r w:rsidRPr="00361E30">
              <w:rPr>
                <w:rFonts w:cstheme="minorHAnsi"/>
                <w:i/>
                <w:noProof/>
                <w:lang w:val="en-GB"/>
              </w:rPr>
              <w:t xml:space="preserve"> Annals of Surgery</w:t>
            </w:r>
            <w:r w:rsidRPr="00361E30">
              <w:rPr>
                <w:rFonts w:cstheme="minorHAnsi"/>
                <w:noProof/>
                <w:lang w:val="en-GB"/>
              </w:rPr>
              <w:t xml:space="preserve"> 253(1) 138-143.</w:t>
            </w:r>
            <w:bookmarkEnd w:id="309"/>
          </w:p>
        </w:tc>
      </w:tr>
      <w:tr w:rsidR="00051908" w:rsidRPr="00361E30" w14:paraId="2B740EF0" w14:textId="77777777" w:rsidTr="008F67FE">
        <w:trPr>
          <w:cantSplit/>
        </w:trPr>
        <w:tc>
          <w:tcPr>
            <w:tcW w:w="8726" w:type="dxa"/>
          </w:tcPr>
          <w:p w14:paraId="592CEC5A" w14:textId="77777777" w:rsidR="00051908" w:rsidRPr="00361E30" w:rsidRDefault="00051908" w:rsidP="00A84367">
            <w:pPr>
              <w:pStyle w:val="ListParagraph"/>
              <w:spacing w:line="240" w:lineRule="auto"/>
              <w:rPr>
                <w:rFonts w:cstheme="minorHAnsi"/>
                <w:noProof/>
                <w:lang w:val="en-GB"/>
              </w:rPr>
            </w:pPr>
            <w:bookmarkStart w:id="310" w:name="_ENREF_78"/>
            <w:r w:rsidRPr="00361E30">
              <w:rPr>
                <w:rFonts w:cstheme="minorHAnsi"/>
                <w:noProof/>
                <w:lang w:val="en-GB"/>
              </w:rPr>
              <w:t>Gabbe, B. J., et al. (2011b). Predictors of mortality following severe pelvic ring fracture: results of a population-based study.</w:t>
            </w:r>
            <w:r w:rsidRPr="00361E30">
              <w:rPr>
                <w:rFonts w:cstheme="minorHAnsi"/>
                <w:i/>
                <w:noProof/>
                <w:lang w:val="en-GB"/>
              </w:rPr>
              <w:t xml:space="preserve"> Injury</w:t>
            </w:r>
            <w:r w:rsidRPr="00361E30">
              <w:rPr>
                <w:rFonts w:cstheme="minorHAnsi"/>
                <w:noProof/>
                <w:lang w:val="en-GB"/>
              </w:rPr>
              <w:t xml:space="preserve"> 42(10) 985-991.</w:t>
            </w:r>
            <w:bookmarkEnd w:id="310"/>
          </w:p>
        </w:tc>
      </w:tr>
      <w:tr w:rsidR="00051908" w:rsidRPr="00361E30" w14:paraId="79A964AF" w14:textId="77777777" w:rsidTr="008F67FE">
        <w:trPr>
          <w:cantSplit/>
        </w:trPr>
        <w:tc>
          <w:tcPr>
            <w:tcW w:w="8726" w:type="dxa"/>
          </w:tcPr>
          <w:p w14:paraId="1E6DE9A7" w14:textId="77777777" w:rsidR="00051908" w:rsidRPr="00361E30" w:rsidRDefault="00051908" w:rsidP="00A84367">
            <w:pPr>
              <w:pStyle w:val="ListParagraph"/>
              <w:spacing w:line="240" w:lineRule="auto"/>
              <w:rPr>
                <w:rFonts w:cstheme="minorHAnsi"/>
                <w:noProof/>
                <w:lang w:val="en-GB"/>
              </w:rPr>
            </w:pPr>
            <w:bookmarkStart w:id="311" w:name="_ENREF_80"/>
            <w:r w:rsidRPr="00361E30">
              <w:rPr>
                <w:rFonts w:cstheme="minorHAnsi"/>
                <w:noProof/>
                <w:lang w:val="en-GB"/>
              </w:rPr>
              <w:t>Gabbe, B. J., et al. (2016). Return to Work and Functional Outcomes After Major Trauma: Who Recovers, When, and How Well?</w:t>
            </w:r>
            <w:r w:rsidRPr="00361E30">
              <w:rPr>
                <w:rFonts w:cstheme="minorHAnsi"/>
                <w:i/>
                <w:noProof/>
                <w:lang w:val="en-GB"/>
              </w:rPr>
              <w:t xml:space="preserve"> Annals of Surgery</w:t>
            </w:r>
            <w:r w:rsidRPr="00361E30">
              <w:rPr>
                <w:rFonts w:cstheme="minorHAnsi"/>
                <w:noProof/>
                <w:lang w:val="en-GB"/>
              </w:rPr>
              <w:t xml:space="preserve"> 263(4) 623-632.</w:t>
            </w:r>
            <w:bookmarkEnd w:id="311"/>
          </w:p>
        </w:tc>
      </w:tr>
      <w:tr w:rsidR="00051908" w:rsidRPr="00361E30" w14:paraId="7D042DD5" w14:textId="77777777" w:rsidTr="008F67FE">
        <w:trPr>
          <w:cantSplit/>
        </w:trPr>
        <w:tc>
          <w:tcPr>
            <w:tcW w:w="8726" w:type="dxa"/>
          </w:tcPr>
          <w:p w14:paraId="7288968A" w14:textId="77777777" w:rsidR="00051908" w:rsidRPr="00361E30" w:rsidRDefault="00051908" w:rsidP="00A84367">
            <w:pPr>
              <w:pStyle w:val="ListParagraph"/>
              <w:spacing w:line="240" w:lineRule="auto"/>
              <w:rPr>
                <w:rFonts w:cstheme="minorHAnsi"/>
                <w:noProof/>
                <w:lang w:val="en-GB"/>
              </w:rPr>
            </w:pPr>
            <w:bookmarkStart w:id="312" w:name="_ENREF_83"/>
            <w:r w:rsidRPr="00361E30">
              <w:rPr>
                <w:rFonts w:cstheme="minorHAnsi"/>
                <w:noProof/>
                <w:lang w:val="en-GB"/>
              </w:rPr>
              <w:t>Gale, N. K., et al. (2013). Using the framework method for the analysis of qualitative data in multi-disciplinary health research.</w:t>
            </w:r>
            <w:r w:rsidRPr="00361E30">
              <w:rPr>
                <w:rFonts w:cstheme="minorHAnsi"/>
                <w:i/>
                <w:noProof/>
                <w:lang w:val="en-GB"/>
              </w:rPr>
              <w:t xml:space="preserve"> BMC Medical Research Methodology</w:t>
            </w:r>
            <w:r w:rsidRPr="00361E30">
              <w:rPr>
                <w:rFonts w:cstheme="minorHAnsi"/>
                <w:noProof/>
                <w:lang w:val="en-GB"/>
              </w:rPr>
              <w:t xml:space="preserve"> 13(1) 117.</w:t>
            </w:r>
            <w:bookmarkEnd w:id="312"/>
          </w:p>
        </w:tc>
      </w:tr>
      <w:tr w:rsidR="00051908" w:rsidRPr="00361E30" w14:paraId="72840027" w14:textId="77777777" w:rsidTr="008F67FE">
        <w:trPr>
          <w:cantSplit/>
        </w:trPr>
        <w:tc>
          <w:tcPr>
            <w:tcW w:w="8726" w:type="dxa"/>
          </w:tcPr>
          <w:p w14:paraId="245F2E68" w14:textId="77777777" w:rsidR="00051908" w:rsidRPr="00361E30" w:rsidRDefault="00051908" w:rsidP="00A84367">
            <w:pPr>
              <w:pStyle w:val="ListParagraph"/>
              <w:spacing w:line="240" w:lineRule="auto"/>
              <w:rPr>
                <w:rFonts w:cstheme="minorHAnsi"/>
                <w:noProof/>
                <w:lang w:val="en-GB"/>
              </w:rPr>
            </w:pPr>
            <w:bookmarkStart w:id="313" w:name="_ENREF_84"/>
            <w:r w:rsidRPr="00361E30">
              <w:rPr>
                <w:rFonts w:cstheme="minorHAnsi"/>
                <w:noProof/>
                <w:lang w:val="en-GB"/>
              </w:rPr>
              <w:t>Giannoudis, P. V., et al. (2009). Severe and multiple trauma in older patients; incidence and mortality.</w:t>
            </w:r>
            <w:r w:rsidRPr="00361E30">
              <w:rPr>
                <w:rFonts w:cstheme="minorHAnsi"/>
                <w:i/>
                <w:noProof/>
                <w:lang w:val="en-GB"/>
              </w:rPr>
              <w:t xml:space="preserve"> Injury</w:t>
            </w:r>
            <w:r w:rsidRPr="00361E30">
              <w:rPr>
                <w:rFonts w:cstheme="minorHAnsi"/>
                <w:noProof/>
                <w:lang w:val="en-GB"/>
              </w:rPr>
              <w:t xml:space="preserve"> 40(4) 362-367.</w:t>
            </w:r>
            <w:bookmarkEnd w:id="313"/>
          </w:p>
        </w:tc>
      </w:tr>
      <w:tr w:rsidR="00051908" w:rsidRPr="00361E30" w14:paraId="1A76A889" w14:textId="77777777" w:rsidTr="008F67FE">
        <w:trPr>
          <w:cantSplit/>
        </w:trPr>
        <w:tc>
          <w:tcPr>
            <w:tcW w:w="8726" w:type="dxa"/>
          </w:tcPr>
          <w:p w14:paraId="4D06D719" w14:textId="77777777" w:rsidR="00051908" w:rsidRPr="00361E30" w:rsidRDefault="00051908" w:rsidP="00A84367">
            <w:pPr>
              <w:pStyle w:val="ListParagraph"/>
              <w:spacing w:line="240" w:lineRule="auto"/>
              <w:rPr>
                <w:rFonts w:cstheme="minorHAnsi"/>
                <w:noProof/>
                <w:lang w:val="en-GB"/>
              </w:rPr>
            </w:pPr>
            <w:bookmarkStart w:id="314" w:name="_ENREF_85"/>
            <w:r w:rsidRPr="00361E30">
              <w:rPr>
                <w:rFonts w:cstheme="minorHAnsi"/>
                <w:noProof/>
                <w:lang w:val="en-GB"/>
              </w:rPr>
              <w:t>Gobbens, R. J., et al. (2010). Toward a conceptual definition of frail community dwelling older people.</w:t>
            </w:r>
            <w:r w:rsidRPr="00361E30">
              <w:rPr>
                <w:rFonts w:cstheme="minorHAnsi"/>
                <w:i/>
                <w:noProof/>
                <w:lang w:val="en-GB"/>
              </w:rPr>
              <w:t xml:space="preserve"> Nursing Outlook</w:t>
            </w:r>
            <w:r w:rsidRPr="00361E30">
              <w:rPr>
                <w:rFonts w:cstheme="minorHAnsi"/>
                <w:noProof/>
                <w:lang w:val="en-GB"/>
              </w:rPr>
              <w:t xml:space="preserve"> 58(2) 76-86.</w:t>
            </w:r>
            <w:bookmarkEnd w:id="314"/>
          </w:p>
        </w:tc>
      </w:tr>
      <w:tr w:rsidR="00051908" w:rsidRPr="00361E30" w14:paraId="1F222DCB" w14:textId="77777777" w:rsidTr="008F67FE">
        <w:trPr>
          <w:cantSplit/>
        </w:trPr>
        <w:tc>
          <w:tcPr>
            <w:tcW w:w="8726" w:type="dxa"/>
          </w:tcPr>
          <w:p w14:paraId="552C4A10" w14:textId="77777777" w:rsidR="00051908" w:rsidRPr="00361E30" w:rsidRDefault="00051908" w:rsidP="00A84367">
            <w:pPr>
              <w:pStyle w:val="ListParagraph"/>
              <w:spacing w:line="240" w:lineRule="auto"/>
              <w:rPr>
                <w:rFonts w:cstheme="minorHAnsi"/>
                <w:noProof/>
                <w:lang w:val="en-GB"/>
              </w:rPr>
            </w:pPr>
            <w:bookmarkStart w:id="315" w:name="_ENREF_86"/>
            <w:r w:rsidRPr="00361E30">
              <w:rPr>
                <w:rFonts w:cstheme="minorHAnsi"/>
                <w:noProof/>
                <w:lang w:val="en-GB"/>
              </w:rPr>
              <w:t>Goldstein, J., M. K. Andrew and A. Travers (2012). Frailty in older adults using pre-hospital care and the emergency department: a narrative review.</w:t>
            </w:r>
            <w:r w:rsidRPr="00361E30">
              <w:rPr>
                <w:rFonts w:cstheme="minorHAnsi"/>
                <w:i/>
                <w:noProof/>
                <w:lang w:val="en-GB"/>
              </w:rPr>
              <w:t xml:space="preserve"> Canadian Geriatrics Journal</w:t>
            </w:r>
            <w:r w:rsidRPr="00361E30">
              <w:rPr>
                <w:rFonts w:cstheme="minorHAnsi"/>
                <w:noProof/>
                <w:lang w:val="en-GB"/>
              </w:rPr>
              <w:t xml:space="preserve"> 15(1) 16-22.</w:t>
            </w:r>
            <w:bookmarkEnd w:id="315"/>
          </w:p>
        </w:tc>
      </w:tr>
      <w:tr w:rsidR="00051908" w:rsidRPr="00361E30" w14:paraId="21A14649" w14:textId="77777777" w:rsidTr="008F67FE">
        <w:trPr>
          <w:cantSplit/>
        </w:trPr>
        <w:tc>
          <w:tcPr>
            <w:tcW w:w="8726" w:type="dxa"/>
          </w:tcPr>
          <w:p w14:paraId="7D438063" w14:textId="77777777" w:rsidR="00051908" w:rsidRPr="00361E30" w:rsidRDefault="00051908" w:rsidP="00A84367">
            <w:pPr>
              <w:pStyle w:val="ListParagraph"/>
              <w:spacing w:line="240" w:lineRule="auto"/>
              <w:rPr>
                <w:rFonts w:cstheme="minorHAnsi"/>
                <w:noProof/>
                <w:lang w:val="en-GB"/>
              </w:rPr>
            </w:pPr>
            <w:bookmarkStart w:id="316" w:name="_ENREF_87"/>
            <w:r w:rsidRPr="00361E30">
              <w:rPr>
                <w:rFonts w:cstheme="minorHAnsi"/>
                <w:noProof/>
                <w:lang w:val="en-GB"/>
              </w:rPr>
              <w:t xml:space="preserve">Gorman, M. (1999). Development and the rights of older people. </w:t>
            </w:r>
            <w:r w:rsidRPr="00361E30">
              <w:rPr>
                <w:rFonts w:cstheme="minorHAnsi"/>
                <w:i/>
                <w:noProof/>
                <w:lang w:val="en-GB"/>
              </w:rPr>
              <w:t>In</w:t>
            </w:r>
            <w:r w:rsidRPr="00361E30">
              <w:rPr>
                <w:rFonts w:cstheme="minorHAnsi"/>
                <w:noProof/>
                <w:lang w:val="en-GB"/>
              </w:rPr>
              <w:t xml:space="preserve"> J. Randel, T. German and D. Ewing eds. </w:t>
            </w:r>
            <w:r w:rsidRPr="00361E30">
              <w:rPr>
                <w:rFonts w:cstheme="minorHAnsi"/>
                <w:i/>
                <w:noProof/>
                <w:lang w:val="en-GB"/>
              </w:rPr>
              <w:t>The aging and development report. Poverty, independence and the world's older people</w:t>
            </w:r>
            <w:r w:rsidRPr="00361E30">
              <w:rPr>
                <w:rFonts w:cstheme="minorHAnsi"/>
                <w:noProof/>
                <w:lang w:val="en-GB"/>
              </w:rPr>
              <w:t xml:space="preserve">. pp3 - 21.London: Earthscan Publications. </w:t>
            </w:r>
            <w:bookmarkEnd w:id="316"/>
          </w:p>
        </w:tc>
      </w:tr>
      <w:tr w:rsidR="00051908" w:rsidRPr="00361E30" w14:paraId="28E722B0" w14:textId="77777777" w:rsidTr="008F67FE">
        <w:trPr>
          <w:cantSplit/>
        </w:trPr>
        <w:tc>
          <w:tcPr>
            <w:tcW w:w="8726" w:type="dxa"/>
          </w:tcPr>
          <w:p w14:paraId="43121CC9" w14:textId="77777777" w:rsidR="00051908" w:rsidRPr="00361E30" w:rsidRDefault="00051908" w:rsidP="00A84367">
            <w:pPr>
              <w:pStyle w:val="ListParagraph"/>
              <w:spacing w:line="240" w:lineRule="auto"/>
              <w:rPr>
                <w:rFonts w:cstheme="minorHAnsi"/>
                <w:noProof/>
                <w:lang w:val="en-GB"/>
              </w:rPr>
            </w:pPr>
            <w:bookmarkStart w:id="317" w:name="_ENREF_88"/>
            <w:r w:rsidRPr="00361E30">
              <w:rPr>
                <w:rFonts w:cstheme="minorHAnsi"/>
                <w:noProof/>
                <w:lang w:val="en-GB"/>
              </w:rPr>
              <w:t>Graafmans, W. C., et al. (1996). Falls in the Elderly: A Prospective Study of Risk Factors and Risk Profiles.</w:t>
            </w:r>
            <w:r w:rsidRPr="00361E30">
              <w:rPr>
                <w:rFonts w:cstheme="minorHAnsi"/>
                <w:i/>
                <w:noProof/>
                <w:lang w:val="en-GB"/>
              </w:rPr>
              <w:t xml:space="preserve"> American Journal of Epidemiology</w:t>
            </w:r>
            <w:r w:rsidRPr="00361E30">
              <w:rPr>
                <w:rFonts w:cstheme="minorHAnsi"/>
                <w:noProof/>
                <w:lang w:val="en-GB"/>
              </w:rPr>
              <w:t xml:space="preserve"> 143(11) 1129-1136.</w:t>
            </w:r>
            <w:bookmarkEnd w:id="317"/>
          </w:p>
        </w:tc>
      </w:tr>
      <w:tr w:rsidR="00051908" w:rsidRPr="00361E30" w14:paraId="67B0EAC7" w14:textId="77777777" w:rsidTr="008F67FE">
        <w:trPr>
          <w:cantSplit/>
        </w:trPr>
        <w:tc>
          <w:tcPr>
            <w:tcW w:w="8726" w:type="dxa"/>
          </w:tcPr>
          <w:p w14:paraId="462A8158" w14:textId="77777777" w:rsidR="00051908" w:rsidRPr="00361E30" w:rsidRDefault="00051908" w:rsidP="00A84367">
            <w:pPr>
              <w:pStyle w:val="ListParagraph"/>
              <w:spacing w:line="240" w:lineRule="auto"/>
              <w:rPr>
                <w:rFonts w:cstheme="minorHAnsi"/>
                <w:noProof/>
                <w:lang w:val="en-GB"/>
              </w:rPr>
            </w:pPr>
            <w:bookmarkStart w:id="318" w:name="_ENREF_89"/>
            <w:r w:rsidRPr="00361E30">
              <w:rPr>
                <w:rFonts w:cstheme="minorHAnsi"/>
                <w:noProof/>
                <w:lang w:val="en-GB"/>
              </w:rPr>
              <w:t>Grant, P. T., J. M. Henry and G. W. McNaughton (2000). The management of elderly blunt trauma victims in Scotland: evidence of ageism?</w:t>
            </w:r>
            <w:r w:rsidRPr="00361E30">
              <w:rPr>
                <w:rFonts w:cstheme="minorHAnsi"/>
                <w:i/>
                <w:noProof/>
                <w:lang w:val="en-GB"/>
              </w:rPr>
              <w:t xml:space="preserve"> Injury</w:t>
            </w:r>
            <w:r w:rsidRPr="00361E30">
              <w:rPr>
                <w:rFonts w:cstheme="minorHAnsi"/>
                <w:noProof/>
                <w:lang w:val="en-GB"/>
              </w:rPr>
              <w:t xml:space="preserve"> 31(7) 519-528.</w:t>
            </w:r>
            <w:bookmarkEnd w:id="318"/>
          </w:p>
        </w:tc>
      </w:tr>
      <w:tr w:rsidR="00051908" w:rsidRPr="00361E30" w14:paraId="6E25849B" w14:textId="77777777" w:rsidTr="008F67FE">
        <w:trPr>
          <w:cantSplit/>
        </w:trPr>
        <w:tc>
          <w:tcPr>
            <w:tcW w:w="8726" w:type="dxa"/>
          </w:tcPr>
          <w:p w14:paraId="092BBE05" w14:textId="77777777" w:rsidR="00051908" w:rsidRPr="00361E30" w:rsidRDefault="00051908" w:rsidP="00A84367">
            <w:pPr>
              <w:pStyle w:val="ListParagraph"/>
              <w:spacing w:line="240" w:lineRule="auto"/>
              <w:rPr>
                <w:rFonts w:cstheme="minorHAnsi"/>
                <w:noProof/>
                <w:lang w:val="en-GB"/>
              </w:rPr>
            </w:pPr>
            <w:bookmarkStart w:id="319" w:name="_ENREF_90"/>
            <w:r w:rsidRPr="00361E30">
              <w:rPr>
                <w:rFonts w:cstheme="minorHAnsi"/>
                <w:noProof/>
                <w:lang w:val="en-GB"/>
              </w:rPr>
              <w:t>Gribbin, B., et al. (1971). Effect of Age and High Blood Pressure on Baroreflex Sensitivity in Man.</w:t>
            </w:r>
            <w:r w:rsidRPr="00361E30">
              <w:rPr>
                <w:rFonts w:cstheme="minorHAnsi"/>
                <w:i/>
                <w:noProof/>
                <w:lang w:val="en-GB"/>
              </w:rPr>
              <w:t xml:space="preserve"> Circulation Research</w:t>
            </w:r>
            <w:r w:rsidRPr="00361E30">
              <w:rPr>
                <w:rFonts w:cstheme="minorHAnsi"/>
                <w:noProof/>
                <w:lang w:val="en-GB"/>
              </w:rPr>
              <w:t xml:space="preserve"> 29(4) 424-431.</w:t>
            </w:r>
            <w:bookmarkEnd w:id="319"/>
          </w:p>
        </w:tc>
      </w:tr>
      <w:tr w:rsidR="00051908" w:rsidRPr="00361E30" w14:paraId="7D4A9D52" w14:textId="77777777" w:rsidTr="008F67FE">
        <w:trPr>
          <w:cantSplit/>
        </w:trPr>
        <w:tc>
          <w:tcPr>
            <w:tcW w:w="8726" w:type="dxa"/>
          </w:tcPr>
          <w:p w14:paraId="305D1064" w14:textId="77777777" w:rsidR="00051908" w:rsidRPr="00361E30" w:rsidRDefault="00051908" w:rsidP="00A84367">
            <w:pPr>
              <w:pStyle w:val="ListParagraph"/>
              <w:spacing w:line="240" w:lineRule="auto"/>
              <w:rPr>
                <w:rFonts w:cstheme="minorHAnsi"/>
                <w:noProof/>
                <w:lang w:val="en-GB"/>
              </w:rPr>
            </w:pPr>
            <w:bookmarkStart w:id="320" w:name="_ENREF_91"/>
            <w:r w:rsidRPr="00361E30">
              <w:rPr>
                <w:rFonts w:cstheme="minorHAnsi"/>
                <w:noProof/>
                <w:lang w:val="en-GB"/>
              </w:rPr>
              <w:t>Grossman, M. D., et al. (2002). When Is an Elder Old? Effect of Preexisting Conditions on Mortality in Geriatric Trauma.</w:t>
            </w:r>
            <w:r w:rsidRPr="00361E30">
              <w:rPr>
                <w:rFonts w:cstheme="minorHAnsi"/>
                <w:i/>
                <w:noProof/>
                <w:lang w:val="en-GB"/>
              </w:rPr>
              <w:t xml:space="preserve"> Journal of Trauma-Injury Infection &amp; Critical Care</w:t>
            </w:r>
            <w:r w:rsidRPr="00361E30">
              <w:rPr>
                <w:rFonts w:cstheme="minorHAnsi"/>
                <w:noProof/>
                <w:lang w:val="en-GB"/>
              </w:rPr>
              <w:t xml:space="preserve"> 52(2) 242-246.</w:t>
            </w:r>
            <w:bookmarkEnd w:id="320"/>
          </w:p>
        </w:tc>
      </w:tr>
      <w:tr w:rsidR="00051908" w:rsidRPr="00361E30" w14:paraId="4EBEF489" w14:textId="77777777" w:rsidTr="008F67FE">
        <w:trPr>
          <w:cantSplit/>
        </w:trPr>
        <w:tc>
          <w:tcPr>
            <w:tcW w:w="8726" w:type="dxa"/>
          </w:tcPr>
          <w:p w14:paraId="3282608E" w14:textId="77777777" w:rsidR="00051908" w:rsidRPr="00361E30" w:rsidRDefault="00051908" w:rsidP="00A84367">
            <w:pPr>
              <w:pStyle w:val="ListParagraph"/>
              <w:spacing w:line="240" w:lineRule="auto"/>
              <w:rPr>
                <w:rFonts w:cstheme="minorHAnsi"/>
                <w:noProof/>
                <w:lang w:val="en-GB"/>
              </w:rPr>
            </w:pPr>
            <w:bookmarkStart w:id="321" w:name="_ENREF_93"/>
            <w:r w:rsidRPr="00361E30">
              <w:rPr>
                <w:rFonts w:cstheme="minorHAnsi"/>
                <w:noProof/>
                <w:lang w:val="en-GB"/>
              </w:rPr>
              <w:t>Gubler, K. D., et al. (1997). Long-term survival of elderly trauma patients.</w:t>
            </w:r>
            <w:r w:rsidRPr="00361E30">
              <w:rPr>
                <w:rFonts w:cstheme="minorHAnsi"/>
                <w:i/>
                <w:noProof/>
                <w:lang w:val="en-GB"/>
              </w:rPr>
              <w:t xml:space="preserve"> Archives of Surgery</w:t>
            </w:r>
            <w:r w:rsidRPr="00361E30">
              <w:rPr>
                <w:rFonts w:cstheme="minorHAnsi"/>
                <w:noProof/>
                <w:lang w:val="en-GB"/>
              </w:rPr>
              <w:t xml:space="preserve"> 132(9) 1010-1014.</w:t>
            </w:r>
            <w:bookmarkEnd w:id="321"/>
          </w:p>
        </w:tc>
      </w:tr>
      <w:tr w:rsidR="00051908" w:rsidRPr="00361E30" w14:paraId="47DDFF43" w14:textId="77777777" w:rsidTr="008F67FE">
        <w:trPr>
          <w:cantSplit/>
        </w:trPr>
        <w:tc>
          <w:tcPr>
            <w:tcW w:w="8726" w:type="dxa"/>
          </w:tcPr>
          <w:p w14:paraId="0EB81A84" w14:textId="77777777" w:rsidR="00051908" w:rsidRPr="00361E30" w:rsidRDefault="00051908" w:rsidP="00A84367">
            <w:pPr>
              <w:pStyle w:val="ListParagraph"/>
              <w:spacing w:line="240" w:lineRule="auto"/>
              <w:rPr>
                <w:rFonts w:cstheme="minorHAnsi"/>
                <w:noProof/>
                <w:lang w:val="en-GB"/>
              </w:rPr>
            </w:pPr>
            <w:bookmarkStart w:id="322" w:name="_ENREF_94"/>
            <w:r w:rsidRPr="00361E30">
              <w:rPr>
                <w:rFonts w:cstheme="minorHAnsi"/>
                <w:noProof/>
                <w:lang w:val="en-GB"/>
              </w:rPr>
              <w:t>Haagsma, J. A., et al. (2016). The global burden of injury: incidence, mortality, disability-adjusted life years and time trends from the Global Burden of Disease study 2013.</w:t>
            </w:r>
            <w:r w:rsidRPr="00361E30">
              <w:rPr>
                <w:rFonts w:cstheme="minorHAnsi"/>
                <w:i/>
                <w:noProof/>
                <w:lang w:val="en-GB"/>
              </w:rPr>
              <w:t xml:space="preserve"> Injury Prevention</w:t>
            </w:r>
            <w:r w:rsidRPr="00361E30">
              <w:rPr>
                <w:rFonts w:cstheme="minorHAnsi"/>
                <w:noProof/>
                <w:lang w:val="en-GB"/>
              </w:rPr>
              <w:t xml:space="preserve"> 22(1) 3-18.</w:t>
            </w:r>
            <w:bookmarkEnd w:id="322"/>
          </w:p>
        </w:tc>
      </w:tr>
      <w:tr w:rsidR="00051908" w:rsidRPr="00361E30" w14:paraId="6BE6A037" w14:textId="77777777" w:rsidTr="008F67FE">
        <w:trPr>
          <w:cantSplit/>
        </w:trPr>
        <w:tc>
          <w:tcPr>
            <w:tcW w:w="8726" w:type="dxa"/>
          </w:tcPr>
          <w:p w14:paraId="2A9687DB" w14:textId="77777777" w:rsidR="00051908" w:rsidRPr="00361E30" w:rsidRDefault="00051908" w:rsidP="00A84367">
            <w:pPr>
              <w:pStyle w:val="ListParagraph"/>
              <w:spacing w:line="240" w:lineRule="auto"/>
              <w:rPr>
                <w:rFonts w:cstheme="minorHAnsi"/>
                <w:noProof/>
                <w:lang w:val="en-GB"/>
              </w:rPr>
            </w:pPr>
            <w:bookmarkStart w:id="323" w:name="_ENREF_95"/>
            <w:r w:rsidRPr="00361E30">
              <w:rPr>
                <w:rFonts w:cstheme="minorHAnsi"/>
                <w:noProof/>
                <w:lang w:val="en-GB"/>
              </w:rPr>
              <w:t>Hajjar, E. R., A. C. Cafiero and J. T. Hanlon (2007). Polypharmacy in elderly patients.</w:t>
            </w:r>
            <w:r w:rsidRPr="00361E30">
              <w:rPr>
                <w:rFonts w:cstheme="minorHAnsi"/>
                <w:i/>
                <w:noProof/>
                <w:lang w:val="en-GB"/>
              </w:rPr>
              <w:t xml:space="preserve"> The American journal of geriatric pharmacotherapy</w:t>
            </w:r>
            <w:r w:rsidRPr="00361E30">
              <w:rPr>
                <w:rFonts w:cstheme="minorHAnsi"/>
                <w:noProof/>
                <w:lang w:val="en-GB"/>
              </w:rPr>
              <w:t xml:space="preserve"> 5(4) 345-351.</w:t>
            </w:r>
            <w:bookmarkEnd w:id="323"/>
          </w:p>
        </w:tc>
      </w:tr>
      <w:tr w:rsidR="00051908" w:rsidRPr="00361E30" w14:paraId="7552A178" w14:textId="77777777" w:rsidTr="008F67FE">
        <w:trPr>
          <w:cantSplit/>
        </w:trPr>
        <w:tc>
          <w:tcPr>
            <w:tcW w:w="8726" w:type="dxa"/>
          </w:tcPr>
          <w:p w14:paraId="099D5F03" w14:textId="77777777" w:rsidR="00051908" w:rsidRPr="00361E30" w:rsidRDefault="00051908" w:rsidP="00A84367">
            <w:pPr>
              <w:pStyle w:val="ListParagraph"/>
              <w:spacing w:line="240" w:lineRule="auto"/>
              <w:rPr>
                <w:rFonts w:cstheme="minorHAnsi"/>
                <w:noProof/>
                <w:lang w:val="en-GB"/>
              </w:rPr>
            </w:pPr>
            <w:bookmarkStart w:id="324" w:name="_ENREF_97"/>
            <w:r w:rsidRPr="00361E30">
              <w:rPr>
                <w:rFonts w:cstheme="minorHAnsi"/>
                <w:noProof/>
                <w:lang w:val="en-GB"/>
              </w:rPr>
              <w:lastRenderedPageBreak/>
              <w:t>Hannan, E. L., et al. (1995a). Multivariate Models for Predicting Survival of Patients with Trauma from Low Falls: The Impact of Gender and Pre-existing Conditions.</w:t>
            </w:r>
            <w:r w:rsidRPr="00361E30">
              <w:rPr>
                <w:rFonts w:cstheme="minorHAnsi"/>
                <w:i/>
                <w:noProof/>
                <w:lang w:val="en-GB"/>
              </w:rPr>
              <w:t xml:space="preserve"> Journal of Trauma and Acute Care Surgery</w:t>
            </w:r>
            <w:r w:rsidRPr="00361E30">
              <w:rPr>
                <w:rFonts w:cstheme="minorHAnsi"/>
                <w:noProof/>
                <w:lang w:val="en-GB"/>
              </w:rPr>
              <w:t xml:space="preserve"> 38(5) 697-704.</w:t>
            </w:r>
            <w:bookmarkEnd w:id="324"/>
          </w:p>
        </w:tc>
      </w:tr>
      <w:tr w:rsidR="00051908" w:rsidRPr="00361E30" w14:paraId="4D6610AE" w14:textId="77777777" w:rsidTr="008F67FE">
        <w:trPr>
          <w:cantSplit/>
        </w:trPr>
        <w:tc>
          <w:tcPr>
            <w:tcW w:w="8726" w:type="dxa"/>
          </w:tcPr>
          <w:p w14:paraId="7E097F50" w14:textId="77777777" w:rsidR="00051908" w:rsidRPr="00361E30" w:rsidRDefault="00051908" w:rsidP="00A84367">
            <w:pPr>
              <w:pStyle w:val="ListParagraph"/>
              <w:spacing w:line="240" w:lineRule="auto"/>
              <w:rPr>
                <w:rFonts w:cstheme="minorHAnsi"/>
                <w:noProof/>
                <w:lang w:val="en-GB"/>
              </w:rPr>
            </w:pPr>
            <w:bookmarkStart w:id="325" w:name="_ENREF_98"/>
            <w:r w:rsidRPr="00361E30">
              <w:rPr>
                <w:rFonts w:cstheme="minorHAnsi"/>
                <w:noProof/>
                <w:lang w:val="en-GB"/>
              </w:rPr>
              <w:t>Hannan, E. L., et al. (1995b). Validation of TRISS and ASCOT using a non-MTOS trauma registry.</w:t>
            </w:r>
            <w:r w:rsidRPr="00361E30">
              <w:rPr>
                <w:rFonts w:cstheme="minorHAnsi"/>
                <w:i/>
                <w:noProof/>
                <w:lang w:val="en-GB"/>
              </w:rPr>
              <w:t xml:space="preserve"> Journal of Trauma and Acute Care Surgery</w:t>
            </w:r>
            <w:r w:rsidRPr="00361E30">
              <w:rPr>
                <w:rFonts w:cstheme="minorHAnsi"/>
                <w:noProof/>
                <w:lang w:val="en-GB"/>
              </w:rPr>
              <w:t xml:space="preserve"> 38(1) 83-88.</w:t>
            </w:r>
            <w:bookmarkEnd w:id="325"/>
          </w:p>
        </w:tc>
      </w:tr>
      <w:tr w:rsidR="00051908" w:rsidRPr="00361E30" w14:paraId="4E5EECE0" w14:textId="77777777" w:rsidTr="008F67FE">
        <w:trPr>
          <w:cantSplit/>
        </w:trPr>
        <w:tc>
          <w:tcPr>
            <w:tcW w:w="8726" w:type="dxa"/>
          </w:tcPr>
          <w:p w14:paraId="5F9ABD59" w14:textId="77777777" w:rsidR="00051908" w:rsidRPr="00361E30" w:rsidRDefault="00051908" w:rsidP="00A84367">
            <w:pPr>
              <w:pStyle w:val="ListParagraph"/>
              <w:spacing w:line="240" w:lineRule="auto"/>
              <w:rPr>
                <w:rFonts w:cstheme="minorHAnsi"/>
                <w:noProof/>
                <w:lang w:val="en-GB"/>
              </w:rPr>
            </w:pPr>
            <w:bookmarkStart w:id="326" w:name="_ENREF_96"/>
            <w:r w:rsidRPr="00361E30">
              <w:rPr>
                <w:rFonts w:cstheme="minorHAnsi"/>
                <w:noProof/>
                <w:lang w:val="en-GB"/>
              </w:rPr>
              <w:t>Hannan, E. L., et al. (2001). Mortality and locomotion 6 months after hospitalization for hip fracture: risk factors and risk-adjusted hospital outcomes.</w:t>
            </w:r>
            <w:r w:rsidRPr="00361E30">
              <w:rPr>
                <w:rFonts w:cstheme="minorHAnsi"/>
                <w:i/>
                <w:noProof/>
                <w:lang w:val="en-GB"/>
              </w:rPr>
              <w:t xml:space="preserve"> Journal of the American Medical Association</w:t>
            </w:r>
            <w:r w:rsidRPr="00361E30">
              <w:rPr>
                <w:rFonts w:cstheme="minorHAnsi"/>
                <w:noProof/>
                <w:lang w:val="en-GB"/>
              </w:rPr>
              <w:t xml:space="preserve"> 285(21) 2736-2742.</w:t>
            </w:r>
            <w:bookmarkEnd w:id="326"/>
          </w:p>
        </w:tc>
      </w:tr>
      <w:tr w:rsidR="00051908" w:rsidRPr="00361E30" w14:paraId="12CD55AB" w14:textId="77777777" w:rsidTr="008F67FE">
        <w:trPr>
          <w:cantSplit/>
        </w:trPr>
        <w:tc>
          <w:tcPr>
            <w:tcW w:w="8726" w:type="dxa"/>
          </w:tcPr>
          <w:p w14:paraId="2AB23CA5" w14:textId="77777777" w:rsidR="00051908" w:rsidRPr="00361E30" w:rsidRDefault="00051908" w:rsidP="00A84367">
            <w:pPr>
              <w:pStyle w:val="ListParagraph"/>
              <w:spacing w:line="240" w:lineRule="auto"/>
              <w:rPr>
                <w:rFonts w:cstheme="minorHAnsi"/>
                <w:noProof/>
                <w:lang w:val="en-GB"/>
              </w:rPr>
            </w:pPr>
            <w:bookmarkStart w:id="327" w:name="_ENREF_99"/>
            <w:r w:rsidRPr="00361E30">
              <w:rPr>
                <w:rFonts w:cstheme="minorHAnsi"/>
                <w:noProof/>
                <w:lang w:val="en-GB"/>
              </w:rPr>
              <w:t>Hannan, E. L., et al. (2004). Elderly Trauma Inpatients in New York State: 1994-1998.</w:t>
            </w:r>
            <w:r w:rsidRPr="00361E30">
              <w:rPr>
                <w:rFonts w:cstheme="minorHAnsi"/>
                <w:i/>
                <w:noProof/>
                <w:lang w:val="en-GB"/>
              </w:rPr>
              <w:t xml:space="preserve"> Journal of Trauma-Injury Infection &amp; Critical Care</w:t>
            </w:r>
            <w:r w:rsidRPr="00361E30">
              <w:rPr>
                <w:rFonts w:cstheme="minorHAnsi"/>
                <w:noProof/>
                <w:lang w:val="en-GB"/>
              </w:rPr>
              <w:t xml:space="preserve"> 56(6) 1297-1304.</w:t>
            </w:r>
            <w:bookmarkEnd w:id="327"/>
          </w:p>
        </w:tc>
      </w:tr>
      <w:tr w:rsidR="00051908" w:rsidRPr="00361E30" w14:paraId="6FE191AA" w14:textId="77777777" w:rsidTr="008F67FE">
        <w:trPr>
          <w:cantSplit/>
        </w:trPr>
        <w:tc>
          <w:tcPr>
            <w:tcW w:w="8726" w:type="dxa"/>
          </w:tcPr>
          <w:p w14:paraId="6A5C3EC9" w14:textId="77777777" w:rsidR="00051908" w:rsidRPr="00361E30" w:rsidRDefault="00051908" w:rsidP="00A84367">
            <w:pPr>
              <w:pStyle w:val="ListParagraph"/>
              <w:spacing w:line="240" w:lineRule="auto"/>
              <w:rPr>
                <w:rFonts w:cstheme="minorHAnsi"/>
                <w:noProof/>
                <w:lang w:val="en-GB"/>
              </w:rPr>
            </w:pPr>
            <w:bookmarkStart w:id="328" w:name="_ENREF_100"/>
            <w:r w:rsidRPr="00361E30">
              <w:rPr>
                <w:rFonts w:cstheme="minorHAnsi"/>
                <w:noProof/>
                <w:lang w:val="en-GB"/>
              </w:rPr>
              <w:t>Harrington, D. T., et al. (2010). Factors associated with survival following blunt chest trauma in older patients: Results from a large regional trauma cooperative.</w:t>
            </w:r>
            <w:r w:rsidRPr="00361E30">
              <w:rPr>
                <w:rFonts w:cstheme="minorHAnsi"/>
                <w:i/>
                <w:noProof/>
                <w:lang w:val="en-GB"/>
              </w:rPr>
              <w:t xml:space="preserve"> Archives of Surgery</w:t>
            </w:r>
            <w:r w:rsidRPr="00361E30">
              <w:rPr>
                <w:rFonts w:cstheme="minorHAnsi"/>
                <w:noProof/>
                <w:lang w:val="en-GB"/>
              </w:rPr>
              <w:t xml:space="preserve"> 145(5) 432-437.</w:t>
            </w:r>
            <w:bookmarkEnd w:id="328"/>
          </w:p>
        </w:tc>
      </w:tr>
      <w:tr w:rsidR="00051908" w:rsidRPr="00361E30" w14:paraId="39B7663E" w14:textId="77777777" w:rsidTr="008F67FE">
        <w:trPr>
          <w:cantSplit/>
        </w:trPr>
        <w:tc>
          <w:tcPr>
            <w:tcW w:w="8726" w:type="dxa"/>
          </w:tcPr>
          <w:p w14:paraId="3B9E0F22" w14:textId="77777777" w:rsidR="00051908" w:rsidRPr="00361E30" w:rsidRDefault="00051908" w:rsidP="00A84367">
            <w:pPr>
              <w:pStyle w:val="ListParagraph"/>
              <w:spacing w:line="240" w:lineRule="auto"/>
              <w:rPr>
                <w:rFonts w:cstheme="minorHAnsi"/>
                <w:noProof/>
                <w:lang w:val="en-GB"/>
              </w:rPr>
            </w:pPr>
            <w:bookmarkStart w:id="329" w:name="_ENREF_101"/>
            <w:r w:rsidRPr="00361E30">
              <w:rPr>
                <w:rFonts w:cstheme="minorHAnsi"/>
                <w:noProof/>
                <w:lang w:val="en-GB"/>
              </w:rPr>
              <w:t>Hashmi, A., et al. (2014). Predictors of mortality in geriatric trauma patients: A systematic review and meta-analysis.</w:t>
            </w:r>
            <w:r w:rsidRPr="00361E30">
              <w:rPr>
                <w:rFonts w:cstheme="minorHAnsi"/>
                <w:i/>
                <w:noProof/>
                <w:lang w:val="en-GB"/>
              </w:rPr>
              <w:t xml:space="preserve"> Journal of Trauma and Acute Care Surgery</w:t>
            </w:r>
            <w:r w:rsidRPr="00361E30">
              <w:rPr>
                <w:rFonts w:cstheme="minorHAnsi"/>
                <w:noProof/>
                <w:lang w:val="en-GB"/>
              </w:rPr>
              <w:t xml:space="preserve"> 76(3) 894-901.</w:t>
            </w:r>
            <w:bookmarkEnd w:id="329"/>
          </w:p>
        </w:tc>
      </w:tr>
      <w:tr w:rsidR="00051908" w:rsidRPr="00361E30" w14:paraId="08F0F7D2" w14:textId="77777777" w:rsidTr="008F67FE">
        <w:trPr>
          <w:cantSplit/>
        </w:trPr>
        <w:tc>
          <w:tcPr>
            <w:tcW w:w="8726" w:type="dxa"/>
          </w:tcPr>
          <w:p w14:paraId="4BDA18A9" w14:textId="77777777" w:rsidR="00051908" w:rsidRPr="00361E30" w:rsidRDefault="00051908" w:rsidP="00A84367">
            <w:pPr>
              <w:pStyle w:val="ListParagraph"/>
              <w:spacing w:line="240" w:lineRule="auto"/>
              <w:rPr>
                <w:rFonts w:cstheme="minorHAnsi"/>
                <w:noProof/>
                <w:lang w:val="en-GB"/>
              </w:rPr>
            </w:pPr>
            <w:bookmarkStart w:id="330" w:name="_ENREF_102"/>
            <w:r w:rsidRPr="00361E30">
              <w:rPr>
                <w:rFonts w:cstheme="minorHAnsi"/>
                <w:noProof/>
                <w:lang w:val="en-GB"/>
              </w:rPr>
              <w:t>Hasler, R. M., et al. (2011). Systolic blood pressure below 110 mm Hg is associated with increased mortality in blunt major trauma patients: multicentre cohort study.</w:t>
            </w:r>
            <w:r w:rsidRPr="00361E30">
              <w:rPr>
                <w:rFonts w:cstheme="minorHAnsi"/>
                <w:i/>
                <w:noProof/>
                <w:lang w:val="en-GB"/>
              </w:rPr>
              <w:t xml:space="preserve"> Resuscitation</w:t>
            </w:r>
            <w:r w:rsidRPr="00361E30">
              <w:rPr>
                <w:rFonts w:cstheme="minorHAnsi"/>
                <w:noProof/>
                <w:lang w:val="en-GB"/>
              </w:rPr>
              <w:t xml:space="preserve"> 82(9) 1202-1207.</w:t>
            </w:r>
            <w:bookmarkEnd w:id="330"/>
          </w:p>
        </w:tc>
      </w:tr>
      <w:tr w:rsidR="00051908" w:rsidRPr="00361E30" w14:paraId="3C3069DE" w14:textId="77777777" w:rsidTr="008F67FE">
        <w:trPr>
          <w:cantSplit/>
        </w:trPr>
        <w:tc>
          <w:tcPr>
            <w:tcW w:w="8726" w:type="dxa"/>
          </w:tcPr>
          <w:p w14:paraId="1F5FE066" w14:textId="77777777" w:rsidR="00051908" w:rsidRPr="00361E30" w:rsidRDefault="00051908" w:rsidP="00A84367">
            <w:pPr>
              <w:pStyle w:val="ListParagraph"/>
              <w:spacing w:line="240" w:lineRule="auto"/>
              <w:rPr>
                <w:rFonts w:cstheme="minorHAnsi"/>
                <w:noProof/>
                <w:lang w:val="en-GB"/>
              </w:rPr>
            </w:pPr>
            <w:bookmarkStart w:id="331" w:name="_ENREF_103"/>
            <w:r w:rsidRPr="00361E30">
              <w:rPr>
                <w:rFonts w:cstheme="minorHAnsi"/>
                <w:noProof/>
                <w:lang w:val="en-GB"/>
              </w:rPr>
              <w:t>Haymond, C., et al. (1988). Age differences in responses to facial trauma.</w:t>
            </w:r>
            <w:r w:rsidRPr="00361E30">
              <w:rPr>
                <w:rFonts w:cstheme="minorHAnsi"/>
                <w:i/>
                <w:noProof/>
                <w:lang w:val="en-GB"/>
              </w:rPr>
              <w:t xml:space="preserve"> Specialist Care Dentist</w:t>
            </w:r>
            <w:r w:rsidRPr="00361E30">
              <w:rPr>
                <w:rFonts w:cstheme="minorHAnsi"/>
                <w:noProof/>
                <w:lang w:val="en-GB"/>
              </w:rPr>
              <w:t xml:space="preserve"> 8(3) 115-118.</w:t>
            </w:r>
            <w:bookmarkEnd w:id="331"/>
          </w:p>
        </w:tc>
      </w:tr>
      <w:tr w:rsidR="00051908" w:rsidRPr="00361E30" w14:paraId="2A8B3C32" w14:textId="77777777" w:rsidTr="008F67FE">
        <w:trPr>
          <w:cantSplit/>
        </w:trPr>
        <w:tc>
          <w:tcPr>
            <w:tcW w:w="8726" w:type="dxa"/>
          </w:tcPr>
          <w:p w14:paraId="285A480F" w14:textId="77777777" w:rsidR="00051908" w:rsidRPr="00361E30" w:rsidRDefault="00051908" w:rsidP="00A84367">
            <w:pPr>
              <w:pStyle w:val="ListParagraph"/>
              <w:spacing w:line="240" w:lineRule="auto"/>
              <w:rPr>
                <w:rFonts w:cstheme="minorHAnsi"/>
                <w:noProof/>
                <w:lang w:val="en-GB"/>
              </w:rPr>
            </w:pPr>
            <w:bookmarkStart w:id="332" w:name="_ENREF_104"/>
            <w:r w:rsidRPr="00361E30">
              <w:rPr>
                <w:rFonts w:cstheme="minorHAnsi"/>
                <w:noProof/>
                <w:lang w:val="en-GB"/>
              </w:rPr>
              <w:t>Heigl, A. (2002). [Active life expectancy: concepts and a new model approach].</w:t>
            </w:r>
            <w:r w:rsidRPr="00361E30">
              <w:rPr>
                <w:rFonts w:cstheme="minorHAnsi"/>
                <w:i/>
                <w:noProof/>
                <w:lang w:val="en-GB"/>
              </w:rPr>
              <w:t xml:space="preserve"> Zeitschrift fur Gerontologie und Geriatrie</w:t>
            </w:r>
            <w:r w:rsidRPr="00361E30">
              <w:rPr>
                <w:rFonts w:cstheme="minorHAnsi"/>
                <w:noProof/>
                <w:lang w:val="en-GB"/>
              </w:rPr>
              <w:t xml:space="preserve"> 35(6) 519-527.</w:t>
            </w:r>
            <w:bookmarkEnd w:id="332"/>
          </w:p>
        </w:tc>
      </w:tr>
      <w:tr w:rsidR="00051908" w:rsidRPr="00361E30" w14:paraId="69E05168" w14:textId="77777777" w:rsidTr="008F67FE">
        <w:trPr>
          <w:cantSplit/>
        </w:trPr>
        <w:tc>
          <w:tcPr>
            <w:tcW w:w="8726" w:type="dxa"/>
          </w:tcPr>
          <w:p w14:paraId="3A910E59" w14:textId="77777777" w:rsidR="00051908" w:rsidRPr="00361E30" w:rsidRDefault="00051908" w:rsidP="00A84367">
            <w:pPr>
              <w:pStyle w:val="ListParagraph"/>
              <w:spacing w:line="240" w:lineRule="auto"/>
              <w:rPr>
                <w:rFonts w:cstheme="minorHAnsi"/>
                <w:noProof/>
                <w:lang w:val="en-GB"/>
              </w:rPr>
            </w:pPr>
            <w:bookmarkStart w:id="333" w:name="_ENREF_105"/>
            <w:r w:rsidRPr="00361E30">
              <w:rPr>
                <w:rFonts w:cstheme="minorHAnsi"/>
                <w:noProof/>
                <w:lang w:val="en-GB"/>
              </w:rPr>
              <w:t>Hemphill, R. R., S. A. Santen and B. S. Heavrin (2009). Surgeons’ and Emergency Physicians’ Perceptions of Trauma Management and Training.</w:t>
            </w:r>
            <w:r w:rsidRPr="00361E30">
              <w:rPr>
                <w:rFonts w:cstheme="minorHAnsi"/>
                <w:i/>
                <w:noProof/>
                <w:lang w:val="en-GB"/>
              </w:rPr>
              <w:t xml:space="preserve"> Western Journal of Emergency Medicine</w:t>
            </w:r>
            <w:r w:rsidRPr="00361E30">
              <w:rPr>
                <w:rFonts w:cstheme="minorHAnsi"/>
                <w:noProof/>
                <w:lang w:val="en-GB"/>
              </w:rPr>
              <w:t xml:space="preserve"> 10(3) 144-149.</w:t>
            </w:r>
            <w:bookmarkEnd w:id="333"/>
          </w:p>
        </w:tc>
      </w:tr>
      <w:tr w:rsidR="00051908" w:rsidRPr="00361E30" w14:paraId="5ED02D05" w14:textId="77777777" w:rsidTr="008F67FE">
        <w:trPr>
          <w:cantSplit/>
        </w:trPr>
        <w:tc>
          <w:tcPr>
            <w:tcW w:w="8726" w:type="dxa"/>
          </w:tcPr>
          <w:p w14:paraId="5DA00441" w14:textId="77777777" w:rsidR="00051908" w:rsidRPr="00361E30" w:rsidRDefault="00051908" w:rsidP="00A84367">
            <w:pPr>
              <w:pStyle w:val="ListParagraph"/>
              <w:spacing w:line="240" w:lineRule="auto"/>
              <w:rPr>
                <w:rFonts w:cstheme="minorHAnsi"/>
                <w:noProof/>
                <w:lang w:val="en-GB"/>
              </w:rPr>
            </w:pPr>
            <w:bookmarkStart w:id="334" w:name="_ENREF_106"/>
            <w:r w:rsidRPr="00361E30">
              <w:rPr>
                <w:rFonts w:cstheme="minorHAnsi"/>
                <w:noProof/>
                <w:lang w:val="en-GB"/>
              </w:rPr>
              <w:t>Higgins, I., et al. (2007). The negative attitudes of nurses towards older patients in the acute hospital setting: A qualitative descriptive study.</w:t>
            </w:r>
            <w:r w:rsidRPr="00361E30">
              <w:rPr>
                <w:rFonts w:cstheme="minorHAnsi"/>
                <w:i/>
                <w:noProof/>
                <w:lang w:val="en-GB"/>
              </w:rPr>
              <w:t xml:space="preserve"> Contemporary Nurse</w:t>
            </w:r>
            <w:r w:rsidRPr="00361E30">
              <w:rPr>
                <w:rFonts w:cstheme="minorHAnsi"/>
                <w:noProof/>
                <w:lang w:val="en-GB"/>
              </w:rPr>
              <w:t xml:space="preserve"> 26(2) 225-237.</w:t>
            </w:r>
            <w:bookmarkEnd w:id="334"/>
          </w:p>
        </w:tc>
      </w:tr>
      <w:tr w:rsidR="00051908" w:rsidRPr="00361E30" w14:paraId="2A677DF8" w14:textId="77777777" w:rsidTr="008F67FE">
        <w:trPr>
          <w:cantSplit/>
        </w:trPr>
        <w:tc>
          <w:tcPr>
            <w:tcW w:w="8726" w:type="dxa"/>
          </w:tcPr>
          <w:p w14:paraId="735BF8DF" w14:textId="77777777" w:rsidR="00051908" w:rsidRPr="00361E30" w:rsidRDefault="00051908" w:rsidP="00A84367">
            <w:pPr>
              <w:pStyle w:val="ListParagraph"/>
              <w:spacing w:line="240" w:lineRule="auto"/>
              <w:rPr>
                <w:rFonts w:cstheme="minorHAnsi"/>
                <w:noProof/>
                <w:lang w:val="en-GB"/>
              </w:rPr>
            </w:pPr>
            <w:bookmarkStart w:id="335" w:name="_ENREF_107"/>
            <w:r w:rsidRPr="00361E30">
              <w:rPr>
                <w:rFonts w:cstheme="minorHAnsi"/>
                <w:noProof/>
                <w:lang w:val="en-GB"/>
              </w:rPr>
              <w:t xml:space="preserve">Higgins, J. P. and S. Green., (2008). Cochrane Handbook For Systematic Reviews Of Interventions [online] </w:t>
            </w:r>
            <w:r w:rsidRPr="00361E30">
              <w:rPr>
                <w:rFonts w:cstheme="minorHAnsi"/>
                <w:i/>
                <w:noProof/>
                <w:lang w:val="en-GB"/>
              </w:rPr>
              <w:t>Cochrane Collaboration</w:t>
            </w:r>
            <w:r w:rsidRPr="00361E30">
              <w:rPr>
                <w:rFonts w:cstheme="minorHAnsi"/>
                <w:noProof/>
                <w:lang w:val="en-GB"/>
              </w:rPr>
              <w:t>.</w:t>
            </w:r>
            <w:bookmarkEnd w:id="335"/>
            <w:r w:rsidRPr="00361E30">
              <w:rPr>
                <w:rFonts w:cstheme="minorHAnsi"/>
                <w:noProof/>
                <w:lang w:val="en-GB"/>
              </w:rPr>
              <w:t xml:space="preserve"> [Viewed 15</w:t>
            </w:r>
            <w:r w:rsidRPr="00361E30">
              <w:rPr>
                <w:rFonts w:cstheme="minorHAnsi"/>
                <w:noProof/>
                <w:vertAlign w:val="superscript"/>
                <w:lang w:val="en-GB"/>
              </w:rPr>
              <w:t>th</w:t>
            </w:r>
            <w:r w:rsidRPr="00361E30">
              <w:rPr>
                <w:rFonts w:cstheme="minorHAnsi"/>
                <w:noProof/>
                <w:lang w:val="en-GB"/>
              </w:rPr>
              <w:t xml:space="preserve"> May 2015]. Available from: </w:t>
            </w:r>
            <w:hyperlink r:id="rId37" w:history="1">
              <w:r w:rsidRPr="00361E30">
                <w:rPr>
                  <w:rStyle w:val="Hyperlink"/>
                  <w:lang w:val="en-GB"/>
                </w:rPr>
                <w:t>http://handbook.cochrane.org/</w:t>
              </w:r>
            </w:hyperlink>
            <w:r w:rsidRPr="00361E30">
              <w:rPr>
                <w:lang w:val="en-GB"/>
              </w:rPr>
              <w:t xml:space="preserve"> </w:t>
            </w:r>
          </w:p>
        </w:tc>
      </w:tr>
      <w:tr w:rsidR="00051908" w:rsidRPr="00361E30" w14:paraId="5EC51995" w14:textId="77777777" w:rsidTr="008F67FE">
        <w:trPr>
          <w:cantSplit/>
        </w:trPr>
        <w:tc>
          <w:tcPr>
            <w:tcW w:w="8726" w:type="dxa"/>
          </w:tcPr>
          <w:p w14:paraId="5F586FC7" w14:textId="77777777" w:rsidR="00051908" w:rsidRPr="00361E30" w:rsidRDefault="00051908" w:rsidP="00A84367">
            <w:pPr>
              <w:pStyle w:val="ListParagraph"/>
              <w:spacing w:line="240" w:lineRule="auto"/>
              <w:rPr>
                <w:rFonts w:cstheme="minorHAnsi"/>
                <w:noProof/>
                <w:lang w:val="en-GB"/>
              </w:rPr>
            </w:pPr>
            <w:bookmarkStart w:id="336" w:name="_ENREF_108"/>
            <w:r w:rsidRPr="00361E30">
              <w:rPr>
                <w:rFonts w:cstheme="minorHAnsi"/>
                <w:noProof/>
                <w:lang w:val="en-GB"/>
              </w:rPr>
              <w:t>Hildebrand, F., et al. (2016). Impact of age on the clinical outcomes of major trauma.</w:t>
            </w:r>
            <w:r w:rsidRPr="00361E30">
              <w:rPr>
                <w:rFonts w:cstheme="minorHAnsi"/>
                <w:i/>
                <w:noProof/>
                <w:lang w:val="en-GB"/>
              </w:rPr>
              <w:t xml:space="preserve"> Europen Journal of Trauma and Emergency Surgery</w:t>
            </w:r>
            <w:r w:rsidRPr="00361E30">
              <w:rPr>
                <w:rFonts w:cstheme="minorHAnsi"/>
                <w:noProof/>
                <w:lang w:val="en-GB"/>
              </w:rPr>
              <w:t xml:space="preserve"> 42(3) 317-332.</w:t>
            </w:r>
            <w:bookmarkEnd w:id="336"/>
          </w:p>
        </w:tc>
      </w:tr>
      <w:tr w:rsidR="00051908" w:rsidRPr="00361E30" w14:paraId="4252FBF9" w14:textId="77777777" w:rsidTr="008F67FE">
        <w:trPr>
          <w:cantSplit/>
        </w:trPr>
        <w:tc>
          <w:tcPr>
            <w:tcW w:w="8726" w:type="dxa"/>
          </w:tcPr>
          <w:p w14:paraId="4A733F5F" w14:textId="77777777" w:rsidR="00051908" w:rsidRPr="00361E30" w:rsidRDefault="00051908" w:rsidP="00A84367">
            <w:pPr>
              <w:pStyle w:val="ListParagraph"/>
              <w:spacing w:line="240" w:lineRule="auto"/>
              <w:rPr>
                <w:rFonts w:cstheme="minorHAnsi"/>
                <w:noProof/>
                <w:lang w:val="en-GB"/>
              </w:rPr>
            </w:pPr>
            <w:bookmarkStart w:id="337" w:name="_ENREF_109"/>
            <w:r w:rsidRPr="00361E30">
              <w:rPr>
                <w:rFonts w:cstheme="minorHAnsi"/>
                <w:noProof/>
                <w:lang w:val="en-GB"/>
              </w:rPr>
              <w:t xml:space="preserve">Hill, A., et al. Critical Appraisal Skills Programme [online]. </w:t>
            </w:r>
            <w:r w:rsidRPr="00361E30">
              <w:rPr>
                <w:rFonts w:cstheme="minorHAnsi"/>
                <w:i/>
                <w:noProof/>
                <w:lang w:val="en-GB"/>
              </w:rPr>
              <w:t xml:space="preserve">CASP. </w:t>
            </w:r>
            <w:r w:rsidRPr="00361E30">
              <w:rPr>
                <w:rFonts w:cstheme="minorHAnsi"/>
                <w:noProof/>
                <w:lang w:val="en-GB"/>
              </w:rPr>
              <w:t>[Viewed 12</w:t>
            </w:r>
            <w:r w:rsidRPr="00361E30">
              <w:rPr>
                <w:rFonts w:cstheme="minorHAnsi"/>
                <w:noProof/>
                <w:vertAlign w:val="superscript"/>
                <w:lang w:val="en-GB"/>
              </w:rPr>
              <w:t>th</w:t>
            </w:r>
            <w:r w:rsidRPr="00361E30">
              <w:rPr>
                <w:rFonts w:cstheme="minorHAnsi"/>
                <w:noProof/>
                <w:lang w:val="en-GB"/>
              </w:rPr>
              <w:t xml:space="preserve"> December 2016]</w:t>
            </w:r>
            <w:r w:rsidRPr="00361E30">
              <w:rPr>
                <w:rFonts w:cstheme="minorHAnsi"/>
                <w:i/>
                <w:noProof/>
                <w:lang w:val="en-GB"/>
              </w:rPr>
              <w:t xml:space="preserve"> </w:t>
            </w:r>
            <w:r w:rsidRPr="00361E30">
              <w:rPr>
                <w:rFonts w:cstheme="minorHAnsi"/>
                <w:noProof/>
                <w:lang w:val="en-GB"/>
              </w:rPr>
              <w:t xml:space="preserve"> Available from: </w:t>
            </w:r>
            <w:hyperlink r:id="rId38" w:history="1">
              <w:r w:rsidRPr="00361E30">
                <w:rPr>
                  <w:rStyle w:val="Hyperlink"/>
                  <w:rFonts w:cstheme="minorHAnsi"/>
                  <w:noProof/>
                  <w:lang w:val="en-GB"/>
                </w:rPr>
                <w:t>http://www.casp-uk.net/</w:t>
              </w:r>
            </w:hyperlink>
            <w:r w:rsidRPr="00361E30">
              <w:rPr>
                <w:rFonts w:cstheme="minorHAnsi"/>
                <w:noProof/>
                <w:lang w:val="en-GB"/>
              </w:rPr>
              <w:t>.</w:t>
            </w:r>
            <w:bookmarkEnd w:id="337"/>
          </w:p>
        </w:tc>
      </w:tr>
      <w:tr w:rsidR="00051908" w:rsidRPr="00361E30" w14:paraId="0AD840B7" w14:textId="77777777" w:rsidTr="008F67FE">
        <w:trPr>
          <w:cantSplit/>
        </w:trPr>
        <w:tc>
          <w:tcPr>
            <w:tcW w:w="8726" w:type="dxa"/>
          </w:tcPr>
          <w:p w14:paraId="04995ED8" w14:textId="77777777" w:rsidR="00051908" w:rsidRPr="00361E30" w:rsidRDefault="00051908" w:rsidP="00A84367">
            <w:pPr>
              <w:pStyle w:val="ListParagraph"/>
              <w:spacing w:line="240" w:lineRule="auto"/>
              <w:rPr>
                <w:rFonts w:cstheme="minorHAnsi"/>
                <w:noProof/>
                <w:lang w:val="en-GB"/>
              </w:rPr>
            </w:pPr>
            <w:bookmarkStart w:id="338" w:name="_ENREF_110"/>
            <w:r w:rsidRPr="00361E30">
              <w:rPr>
                <w:rFonts w:cstheme="minorHAnsi"/>
                <w:noProof/>
                <w:lang w:val="en-GB"/>
              </w:rPr>
              <w:t>Hohl, C. M., et al. (2001). Polypharmacy, adverse drug-related events, and potential adverse drug interactions in elderly patients presenting to an emergency department.</w:t>
            </w:r>
            <w:r w:rsidRPr="00361E30">
              <w:rPr>
                <w:rFonts w:cstheme="minorHAnsi"/>
                <w:i/>
                <w:noProof/>
                <w:lang w:val="en-GB"/>
              </w:rPr>
              <w:t xml:space="preserve"> Annals of Emergency Medicine</w:t>
            </w:r>
            <w:r w:rsidRPr="00361E30">
              <w:rPr>
                <w:rFonts w:cstheme="minorHAnsi"/>
                <w:noProof/>
                <w:lang w:val="en-GB"/>
              </w:rPr>
              <w:t xml:space="preserve"> 38(6) 666-671.</w:t>
            </w:r>
            <w:bookmarkEnd w:id="338"/>
          </w:p>
        </w:tc>
      </w:tr>
      <w:tr w:rsidR="00051908" w:rsidRPr="00361E30" w14:paraId="58A28917" w14:textId="77777777" w:rsidTr="008F67FE">
        <w:trPr>
          <w:cantSplit/>
        </w:trPr>
        <w:tc>
          <w:tcPr>
            <w:tcW w:w="8726" w:type="dxa"/>
          </w:tcPr>
          <w:p w14:paraId="25376175" w14:textId="77777777" w:rsidR="00051908" w:rsidRPr="00361E30" w:rsidRDefault="00051908" w:rsidP="00A84367">
            <w:pPr>
              <w:pStyle w:val="ListParagraph"/>
              <w:spacing w:line="240" w:lineRule="auto"/>
              <w:rPr>
                <w:rFonts w:cstheme="minorHAnsi"/>
                <w:noProof/>
                <w:lang w:val="en-GB"/>
              </w:rPr>
            </w:pPr>
            <w:bookmarkStart w:id="339" w:name="_ENREF_111"/>
            <w:r w:rsidRPr="00361E30">
              <w:rPr>
                <w:rFonts w:cstheme="minorHAnsi"/>
                <w:noProof/>
                <w:lang w:val="en-GB"/>
              </w:rPr>
              <w:lastRenderedPageBreak/>
              <w:t>Hollis, S., et al. (2006). The Effect of Pre-Existing Medical Conditions and Age on Mortality After Injury.</w:t>
            </w:r>
            <w:r w:rsidRPr="00361E30">
              <w:rPr>
                <w:rFonts w:cstheme="minorHAnsi"/>
                <w:i/>
                <w:noProof/>
                <w:lang w:val="en-GB"/>
              </w:rPr>
              <w:t xml:space="preserve"> Journal of Trauma-Injury Infection &amp; Critical Care</w:t>
            </w:r>
            <w:r w:rsidRPr="00361E30">
              <w:rPr>
                <w:rFonts w:cstheme="minorHAnsi"/>
                <w:noProof/>
                <w:lang w:val="en-GB"/>
              </w:rPr>
              <w:t xml:space="preserve"> 61(5) 1255-1260.</w:t>
            </w:r>
            <w:bookmarkEnd w:id="339"/>
          </w:p>
        </w:tc>
      </w:tr>
      <w:tr w:rsidR="00051908" w:rsidRPr="00361E30" w14:paraId="281EC771" w14:textId="77777777" w:rsidTr="008F67FE">
        <w:trPr>
          <w:cantSplit/>
        </w:trPr>
        <w:tc>
          <w:tcPr>
            <w:tcW w:w="8726" w:type="dxa"/>
          </w:tcPr>
          <w:p w14:paraId="6E720B0C" w14:textId="77777777" w:rsidR="00051908" w:rsidRPr="00361E30" w:rsidRDefault="00051908" w:rsidP="00A84367">
            <w:pPr>
              <w:pStyle w:val="ListParagraph"/>
              <w:spacing w:line="240" w:lineRule="auto"/>
              <w:rPr>
                <w:rFonts w:cstheme="minorHAnsi"/>
                <w:noProof/>
                <w:lang w:val="en-GB"/>
              </w:rPr>
            </w:pPr>
            <w:bookmarkStart w:id="340" w:name="_ENREF_112"/>
            <w:r w:rsidRPr="00361E30">
              <w:rPr>
                <w:rFonts w:cstheme="minorHAnsi"/>
                <w:noProof/>
                <w:lang w:val="en-GB"/>
              </w:rPr>
              <w:t>Howard, J. L., et al. (2009). Preinjury warfarin worsens outcome in elderly patients who fall from standing.</w:t>
            </w:r>
            <w:r w:rsidRPr="00361E30">
              <w:rPr>
                <w:rFonts w:cstheme="minorHAnsi"/>
                <w:i/>
                <w:noProof/>
                <w:lang w:val="en-GB"/>
              </w:rPr>
              <w:t xml:space="preserve"> J Trauma</w:t>
            </w:r>
            <w:r w:rsidRPr="00361E30">
              <w:rPr>
                <w:rFonts w:cstheme="minorHAnsi"/>
                <w:noProof/>
                <w:lang w:val="en-GB"/>
              </w:rPr>
              <w:t xml:space="preserve"> 66(6) 1518-1522; discussion 1523-1514.</w:t>
            </w:r>
            <w:bookmarkEnd w:id="340"/>
          </w:p>
        </w:tc>
      </w:tr>
      <w:tr w:rsidR="00051908" w:rsidRPr="00361E30" w14:paraId="119AF0F4" w14:textId="77777777" w:rsidTr="008F67FE">
        <w:trPr>
          <w:cantSplit/>
        </w:trPr>
        <w:tc>
          <w:tcPr>
            <w:tcW w:w="8726" w:type="dxa"/>
          </w:tcPr>
          <w:p w14:paraId="3FD60C19" w14:textId="77777777" w:rsidR="00051908" w:rsidRPr="00361E30" w:rsidRDefault="00051908" w:rsidP="00A84367">
            <w:pPr>
              <w:pStyle w:val="ListParagraph"/>
              <w:spacing w:line="240" w:lineRule="auto"/>
              <w:rPr>
                <w:rFonts w:cstheme="minorHAnsi"/>
                <w:noProof/>
                <w:lang w:val="en-GB"/>
              </w:rPr>
            </w:pPr>
            <w:bookmarkStart w:id="341" w:name="_ENREF_113"/>
            <w:r w:rsidRPr="00361E30">
              <w:rPr>
                <w:rFonts w:cstheme="minorHAnsi"/>
                <w:noProof/>
                <w:lang w:val="en-GB"/>
              </w:rPr>
              <w:t xml:space="preserve">Imison, C., E. Poteliakoff and J. Thompson (2012). </w:t>
            </w:r>
            <w:r w:rsidRPr="00361E30">
              <w:rPr>
                <w:rFonts w:cstheme="minorHAnsi"/>
                <w:i/>
                <w:noProof/>
                <w:lang w:val="en-GB"/>
              </w:rPr>
              <w:t>Older People and Emergency Bed Use: Exploring Variation.</w:t>
            </w:r>
            <w:r w:rsidRPr="00361E30">
              <w:rPr>
                <w:rFonts w:cstheme="minorHAnsi"/>
                <w:noProof/>
                <w:lang w:val="en-GB"/>
              </w:rPr>
              <w:t xml:space="preserve"> London:King's Fund.</w:t>
            </w:r>
            <w:bookmarkEnd w:id="341"/>
          </w:p>
        </w:tc>
      </w:tr>
      <w:tr w:rsidR="00051908" w:rsidRPr="00361E30" w14:paraId="12D129F8" w14:textId="77777777" w:rsidTr="008F67FE">
        <w:trPr>
          <w:cantSplit/>
        </w:trPr>
        <w:tc>
          <w:tcPr>
            <w:tcW w:w="8726" w:type="dxa"/>
          </w:tcPr>
          <w:p w14:paraId="001A7A44" w14:textId="77777777" w:rsidR="00051908" w:rsidRPr="00361E30" w:rsidRDefault="00051908" w:rsidP="00A84367">
            <w:pPr>
              <w:pStyle w:val="ListParagraph"/>
              <w:spacing w:line="240" w:lineRule="auto"/>
              <w:rPr>
                <w:rFonts w:cstheme="minorHAnsi"/>
                <w:noProof/>
                <w:lang w:val="en-GB"/>
              </w:rPr>
            </w:pPr>
            <w:bookmarkStart w:id="342" w:name="_ENREF_114"/>
            <w:r w:rsidRPr="00361E30">
              <w:rPr>
                <w:rFonts w:cstheme="minorHAnsi"/>
                <w:noProof/>
                <w:lang w:val="en-GB"/>
              </w:rPr>
              <w:t>Jacoby, S. F., T. H. Ackerson and T. S. Richmond (2006). Outcome from serious injury in older adults.</w:t>
            </w:r>
            <w:r w:rsidRPr="00361E30">
              <w:rPr>
                <w:rFonts w:cstheme="minorHAnsi"/>
                <w:i/>
                <w:noProof/>
                <w:lang w:val="en-GB"/>
              </w:rPr>
              <w:t xml:space="preserve"> Journal of Nursing Scholarship</w:t>
            </w:r>
            <w:r w:rsidRPr="00361E30">
              <w:rPr>
                <w:rFonts w:cstheme="minorHAnsi"/>
                <w:noProof/>
                <w:lang w:val="en-GB"/>
              </w:rPr>
              <w:t xml:space="preserve"> 38(2) 133-140.</w:t>
            </w:r>
            <w:bookmarkEnd w:id="342"/>
          </w:p>
        </w:tc>
      </w:tr>
      <w:tr w:rsidR="00051908" w:rsidRPr="00361E30" w14:paraId="2C94AF2F" w14:textId="77777777" w:rsidTr="008F67FE">
        <w:trPr>
          <w:cantSplit/>
        </w:trPr>
        <w:tc>
          <w:tcPr>
            <w:tcW w:w="8726" w:type="dxa"/>
          </w:tcPr>
          <w:p w14:paraId="7D43C976" w14:textId="77777777" w:rsidR="00051908" w:rsidRPr="00361E30" w:rsidRDefault="00051908" w:rsidP="00A84367">
            <w:pPr>
              <w:pStyle w:val="ListParagraph"/>
              <w:spacing w:line="240" w:lineRule="auto"/>
              <w:rPr>
                <w:rFonts w:cstheme="minorHAnsi"/>
                <w:noProof/>
                <w:lang w:val="en-GB"/>
              </w:rPr>
            </w:pPr>
            <w:bookmarkStart w:id="343" w:name="_ENREF_115"/>
            <w:r w:rsidRPr="00361E30">
              <w:rPr>
                <w:rFonts w:cstheme="minorHAnsi"/>
                <w:noProof/>
                <w:lang w:val="en-GB"/>
              </w:rPr>
              <w:t>Janssen, I., S. B. Heymsfield and R. Ross (2002). Low relative skeletal muscle mass (sarcopenia) in older persons is associated with functional impairment and physical disability.</w:t>
            </w:r>
            <w:r w:rsidRPr="00361E30">
              <w:rPr>
                <w:rFonts w:cstheme="minorHAnsi"/>
                <w:i/>
                <w:noProof/>
                <w:lang w:val="en-GB"/>
              </w:rPr>
              <w:t xml:space="preserve"> Journal of the American Geriatrics Society</w:t>
            </w:r>
            <w:r w:rsidRPr="00361E30">
              <w:rPr>
                <w:rFonts w:cstheme="minorHAnsi"/>
                <w:noProof/>
                <w:lang w:val="en-GB"/>
              </w:rPr>
              <w:t xml:space="preserve"> 50(5) 889-896.</w:t>
            </w:r>
            <w:bookmarkEnd w:id="343"/>
          </w:p>
        </w:tc>
      </w:tr>
      <w:tr w:rsidR="00051908" w:rsidRPr="00361E30" w14:paraId="3786537B" w14:textId="77777777" w:rsidTr="008F67FE">
        <w:trPr>
          <w:cantSplit/>
        </w:trPr>
        <w:tc>
          <w:tcPr>
            <w:tcW w:w="8726" w:type="dxa"/>
          </w:tcPr>
          <w:p w14:paraId="5F1158BE" w14:textId="77777777" w:rsidR="00051908" w:rsidRPr="00361E30" w:rsidRDefault="00051908" w:rsidP="00A84367">
            <w:pPr>
              <w:pStyle w:val="ListParagraph"/>
              <w:spacing w:line="240" w:lineRule="auto"/>
              <w:rPr>
                <w:rFonts w:cstheme="minorHAnsi"/>
                <w:noProof/>
                <w:lang w:val="en-GB"/>
              </w:rPr>
            </w:pPr>
            <w:bookmarkStart w:id="344" w:name="_ENREF_116"/>
            <w:r w:rsidRPr="00361E30">
              <w:rPr>
                <w:rFonts w:cstheme="minorHAnsi"/>
                <w:noProof/>
                <w:lang w:val="en-GB"/>
              </w:rPr>
              <w:t>Jones, D. and S. Switzer-McIntyre (2003). Falls from trucks: a descriptive study based on a workers compensation database.</w:t>
            </w:r>
            <w:r w:rsidRPr="00361E30">
              <w:rPr>
                <w:rFonts w:cstheme="minorHAnsi"/>
                <w:i/>
                <w:noProof/>
                <w:lang w:val="en-GB"/>
              </w:rPr>
              <w:t xml:space="preserve"> Work</w:t>
            </w:r>
            <w:r w:rsidRPr="00361E30">
              <w:rPr>
                <w:rFonts w:cstheme="minorHAnsi"/>
                <w:noProof/>
                <w:lang w:val="en-GB"/>
              </w:rPr>
              <w:t xml:space="preserve"> 20(3) 179-184.</w:t>
            </w:r>
            <w:bookmarkEnd w:id="344"/>
          </w:p>
        </w:tc>
      </w:tr>
      <w:tr w:rsidR="00051908" w:rsidRPr="00361E30" w14:paraId="490F0ED2" w14:textId="77777777" w:rsidTr="008F67FE">
        <w:trPr>
          <w:cantSplit/>
        </w:trPr>
        <w:tc>
          <w:tcPr>
            <w:tcW w:w="8726" w:type="dxa"/>
          </w:tcPr>
          <w:p w14:paraId="373D6316" w14:textId="77777777" w:rsidR="00051908" w:rsidRPr="00361E30" w:rsidRDefault="00051908" w:rsidP="00A84367">
            <w:pPr>
              <w:pStyle w:val="ListParagraph"/>
              <w:spacing w:line="240" w:lineRule="auto"/>
              <w:rPr>
                <w:rFonts w:cstheme="minorHAnsi"/>
                <w:noProof/>
                <w:lang w:val="en-GB"/>
              </w:rPr>
            </w:pPr>
            <w:bookmarkStart w:id="345" w:name="_ENREF_117"/>
            <w:r w:rsidRPr="00361E30">
              <w:rPr>
                <w:rFonts w:cstheme="minorHAnsi"/>
                <w:noProof/>
                <w:lang w:val="en-GB"/>
              </w:rPr>
              <w:t>Kan, S. H., H. W. Wahner and B. Lawrence Riggs (1988). Lifetime fracture risk: an approach to hip fracture risk assessment based on bone mineral density and age.</w:t>
            </w:r>
            <w:r w:rsidRPr="00361E30">
              <w:rPr>
                <w:rFonts w:cstheme="minorHAnsi"/>
                <w:i/>
                <w:noProof/>
                <w:lang w:val="en-GB"/>
              </w:rPr>
              <w:t xml:space="preserve"> Journal of Clinical Epidemiology</w:t>
            </w:r>
            <w:r w:rsidRPr="00361E30">
              <w:rPr>
                <w:rFonts w:cstheme="minorHAnsi"/>
                <w:noProof/>
                <w:lang w:val="en-GB"/>
              </w:rPr>
              <w:t xml:space="preserve"> 41(10) 985-994.</w:t>
            </w:r>
            <w:bookmarkEnd w:id="345"/>
          </w:p>
        </w:tc>
      </w:tr>
      <w:tr w:rsidR="00051908" w:rsidRPr="00361E30" w14:paraId="7977178E" w14:textId="77777777" w:rsidTr="008F67FE">
        <w:trPr>
          <w:cantSplit/>
        </w:trPr>
        <w:tc>
          <w:tcPr>
            <w:tcW w:w="8726" w:type="dxa"/>
          </w:tcPr>
          <w:p w14:paraId="61B8613C" w14:textId="77777777" w:rsidR="00051908" w:rsidRPr="00361E30" w:rsidRDefault="00051908" w:rsidP="00A84367">
            <w:pPr>
              <w:pStyle w:val="ListParagraph"/>
              <w:spacing w:line="240" w:lineRule="auto"/>
              <w:rPr>
                <w:rFonts w:cstheme="minorHAnsi"/>
                <w:noProof/>
                <w:lang w:val="en-GB"/>
              </w:rPr>
            </w:pPr>
            <w:bookmarkStart w:id="346" w:name="_ENREF_119"/>
            <w:r w:rsidRPr="00361E30">
              <w:rPr>
                <w:rFonts w:cstheme="minorHAnsi"/>
                <w:noProof/>
                <w:lang w:val="en-GB"/>
              </w:rPr>
              <w:t>Kehoe, A., et al. (2015b). The changing face of major trauma in the UK.</w:t>
            </w:r>
            <w:r w:rsidRPr="00361E30">
              <w:rPr>
                <w:rFonts w:cstheme="minorHAnsi"/>
                <w:i/>
                <w:noProof/>
                <w:lang w:val="en-GB"/>
              </w:rPr>
              <w:t xml:space="preserve"> Emergency Medicine Journal</w:t>
            </w:r>
            <w:r w:rsidRPr="00361E30">
              <w:rPr>
                <w:rFonts w:cstheme="minorHAnsi"/>
                <w:noProof/>
                <w:lang w:val="en-GB"/>
              </w:rPr>
              <w:t xml:space="preserve"> 32(12) 911-915.</w:t>
            </w:r>
            <w:bookmarkEnd w:id="346"/>
          </w:p>
        </w:tc>
      </w:tr>
      <w:tr w:rsidR="00051908" w:rsidRPr="00361E30" w14:paraId="7FE739A9" w14:textId="77777777" w:rsidTr="008F67FE">
        <w:trPr>
          <w:cantSplit/>
        </w:trPr>
        <w:tc>
          <w:tcPr>
            <w:tcW w:w="8726" w:type="dxa"/>
          </w:tcPr>
          <w:p w14:paraId="68CF9DD7" w14:textId="77777777" w:rsidR="00051908" w:rsidRPr="00361E30" w:rsidRDefault="00051908" w:rsidP="00A84367">
            <w:pPr>
              <w:pStyle w:val="ListParagraph"/>
              <w:spacing w:line="240" w:lineRule="auto"/>
              <w:rPr>
                <w:rFonts w:cstheme="minorHAnsi"/>
                <w:noProof/>
                <w:lang w:val="en-GB"/>
              </w:rPr>
            </w:pPr>
            <w:bookmarkStart w:id="347" w:name="_ENREF_118"/>
            <w:r w:rsidRPr="00361E30">
              <w:rPr>
                <w:rFonts w:cstheme="minorHAnsi"/>
                <w:noProof/>
                <w:lang w:val="en-GB"/>
              </w:rPr>
              <w:t>Kehoe, A., S. Rennie and J. E. Smith (2015a). Glasgow Coma Scale is unreliable for the prediction of severe head injury in elderly trauma patients.</w:t>
            </w:r>
            <w:r w:rsidRPr="00361E30">
              <w:rPr>
                <w:rFonts w:cstheme="minorHAnsi"/>
                <w:i/>
                <w:noProof/>
                <w:lang w:val="en-GB"/>
              </w:rPr>
              <w:t xml:space="preserve"> Emergency Medicine Journal</w:t>
            </w:r>
            <w:r w:rsidRPr="00361E30">
              <w:rPr>
                <w:rFonts w:cstheme="minorHAnsi"/>
                <w:noProof/>
                <w:lang w:val="en-GB"/>
              </w:rPr>
              <w:t xml:space="preserve"> 32(8) 613-615.</w:t>
            </w:r>
            <w:bookmarkEnd w:id="347"/>
          </w:p>
        </w:tc>
      </w:tr>
      <w:tr w:rsidR="00051908" w:rsidRPr="00361E30" w14:paraId="5280F60D" w14:textId="77777777" w:rsidTr="008F67FE">
        <w:trPr>
          <w:cantSplit/>
        </w:trPr>
        <w:tc>
          <w:tcPr>
            <w:tcW w:w="8726" w:type="dxa"/>
          </w:tcPr>
          <w:p w14:paraId="649C128F" w14:textId="77777777" w:rsidR="00051908" w:rsidRPr="00361E30" w:rsidRDefault="00051908" w:rsidP="00A84367">
            <w:pPr>
              <w:pStyle w:val="ListParagraph"/>
              <w:spacing w:line="240" w:lineRule="auto"/>
              <w:rPr>
                <w:rFonts w:cstheme="minorHAnsi"/>
                <w:noProof/>
                <w:lang w:val="en-GB"/>
              </w:rPr>
            </w:pPr>
            <w:bookmarkStart w:id="348" w:name="_ENREF_120"/>
            <w:r w:rsidRPr="00361E30">
              <w:rPr>
                <w:rFonts w:cstheme="minorHAnsi"/>
                <w:noProof/>
                <w:lang w:val="en-GB"/>
              </w:rPr>
              <w:t>Khan, F., B. Amatya and K. Hoffman (2012). Systematic review of multidisciplinary rehabilitation in patients with multiple trauma.</w:t>
            </w:r>
            <w:r w:rsidRPr="00361E30">
              <w:rPr>
                <w:rFonts w:cstheme="minorHAnsi"/>
                <w:i/>
                <w:noProof/>
                <w:lang w:val="en-GB"/>
              </w:rPr>
              <w:t xml:space="preserve"> British Journal of Surgery</w:t>
            </w:r>
            <w:r w:rsidRPr="00361E30">
              <w:rPr>
                <w:rFonts w:cstheme="minorHAnsi"/>
                <w:noProof/>
                <w:lang w:val="en-GB"/>
              </w:rPr>
              <w:t xml:space="preserve"> 99 Suppl 1 88-96.</w:t>
            </w:r>
            <w:bookmarkEnd w:id="348"/>
          </w:p>
        </w:tc>
      </w:tr>
      <w:tr w:rsidR="00051908" w:rsidRPr="00361E30" w14:paraId="2CB1998F" w14:textId="77777777" w:rsidTr="008F67FE">
        <w:trPr>
          <w:cantSplit/>
        </w:trPr>
        <w:tc>
          <w:tcPr>
            <w:tcW w:w="8726" w:type="dxa"/>
          </w:tcPr>
          <w:p w14:paraId="386C4576" w14:textId="77777777" w:rsidR="00051908" w:rsidRPr="00361E30" w:rsidRDefault="00051908" w:rsidP="00A84367">
            <w:pPr>
              <w:pStyle w:val="ListParagraph"/>
              <w:spacing w:line="240" w:lineRule="auto"/>
              <w:rPr>
                <w:rFonts w:cstheme="minorHAnsi"/>
                <w:noProof/>
                <w:lang w:val="en-GB"/>
              </w:rPr>
            </w:pPr>
            <w:bookmarkStart w:id="349" w:name="_ENREF_121"/>
            <w:r w:rsidRPr="00361E30">
              <w:rPr>
                <w:rFonts w:cstheme="minorHAnsi"/>
                <w:noProof/>
                <w:lang w:val="en-GB"/>
              </w:rPr>
              <w:t>Khan, S. K., et al. (2013). The Best Practice Tariff helps improve management of neck of femur fractures: a completed audit loop.</w:t>
            </w:r>
            <w:r w:rsidRPr="00361E30">
              <w:rPr>
                <w:rFonts w:cstheme="minorHAnsi"/>
                <w:i/>
                <w:noProof/>
                <w:lang w:val="en-GB"/>
              </w:rPr>
              <w:t xml:space="preserve"> British Journal of Hospital Medicine</w:t>
            </w:r>
            <w:r w:rsidRPr="00361E30">
              <w:rPr>
                <w:rFonts w:cstheme="minorHAnsi"/>
                <w:noProof/>
                <w:lang w:val="en-GB"/>
              </w:rPr>
              <w:t xml:space="preserve"> 74(11) 644-647.</w:t>
            </w:r>
            <w:bookmarkEnd w:id="349"/>
          </w:p>
        </w:tc>
      </w:tr>
      <w:tr w:rsidR="00051908" w:rsidRPr="00361E30" w14:paraId="663F0934" w14:textId="77777777" w:rsidTr="008F67FE">
        <w:trPr>
          <w:cantSplit/>
        </w:trPr>
        <w:tc>
          <w:tcPr>
            <w:tcW w:w="8726" w:type="dxa"/>
          </w:tcPr>
          <w:p w14:paraId="345CC6AF" w14:textId="77777777" w:rsidR="00051908" w:rsidRPr="00361E30" w:rsidRDefault="00051908" w:rsidP="00A84367">
            <w:pPr>
              <w:pStyle w:val="ListParagraph"/>
              <w:spacing w:line="240" w:lineRule="auto"/>
              <w:rPr>
                <w:rFonts w:cstheme="minorHAnsi"/>
                <w:noProof/>
                <w:lang w:val="en-GB"/>
              </w:rPr>
            </w:pPr>
            <w:bookmarkStart w:id="350" w:name="_ENREF_122"/>
            <w:r w:rsidRPr="00361E30">
              <w:rPr>
                <w:rFonts w:cstheme="minorHAnsi"/>
                <w:noProof/>
                <w:lang w:val="en-GB"/>
              </w:rPr>
              <w:t>Kirkman, M. A., et al. (2013). Increased mortality associated with cerebral contusions following trauma in the elderly: bad patients or bad management?</w:t>
            </w:r>
            <w:r w:rsidRPr="00361E30">
              <w:rPr>
                <w:rFonts w:cstheme="minorHAnsi"/>
                <w:i/>
                <w:noProof/>
                <w:lang w:val="en-GB"/>
              </w:rPr>
              <w:t xml:space="preserve"> Journal of Neurotrauma</w:t>
            </w:r>
            <w:r w:rsidRPr="00361E30">
              <w:rPr>
                <w:rFonts w:cstheme="minorHAnsi"/>
                <w:noProof/>
                <w:lang w:val="en-GB"/>
              </w:rPr>
              <w:t xml:space="preserve"> 30(16) 1385-1390.</w:t>
            </w:r>
            <w:bookmarkEnd w:id="350"/>
          </w:p>
        </w:tc>
      </w:tr>
      <w:tr w:rsidR="00051908" w:rsidRPr="00361E30" w14:paraId="0E08EFBC" w14:textId="77777777" w:rsidTr="008F67FE">
        <w:trPr>
          <w:cantSplit/>
        </w:trPr>
        <w:tc>
          <w:tcPr>
            <w:tcW w:w="8726" w:type="dxa"/>
          </w:tcPr>
          <w:p w14:paraId="1B5103BB" w14:textId="77777777" w:rsidR="00051908" w:rsidRPr="00361E30" w:rsidRDefault="00051908" w:rsidP="00A84367">
            <w:pPr>
              <w:pStyle w:val="ListParagraph"/>
              <w:spacing w:line="240" w:lineRule="auto"/>
              <w:rPr>
                <w:rFonts w:cstheme="minorHAnsi"/>
                <w:noProof/>
                <w:lang w:val="en-GB"/>
              </w:rPr>
            </w:pPr>
            <w:bookmarkStart w:id="351" w:name="_ENREF_123"/>
            <w:r w:rsidRPr="00361E30">
              <w:rPr>
                <w:rFonts w:cstheme="minorHAnsi"/>
                <w:noProof/>
                <w:lang w:val="en-GB"/>
              </w:rPr>
              <w:t>Kojima, G. (2015). Frailty as a Predictor of Future Falls Among Community-Dwelling Older People: A Systematic Review and Meta-Analysis.</w:t>
            </w:r>
            <w:r w:rsidRPr="00361E30">
              <w:rPr>
                <w:rFonts w:cstheme="minorHAnsi"/>
                <w:i/>
                <w:noProof/>
                <w:lang w:val="en-GB"/>
              </w:rPr>
              <w:t xml:space="preserve"> Journal of the American Medical Directors Association</w:t>
            </w:r>
            <w:r w:rsidRPr="00361E30">
              <w:rPr>
                <w:rFonts w:cstheme="minorHAnsi"/>
                <w:noProof/>
                <w:lang w:val="en-GB"/>
              </w:rPr>
              <w:t xml:space="preserve"> 16(12) 1027-1033.</w:t>
            </w:r>
            <w:bookmarkEnd w:id="351"/>
          </w:p>
        </w:tc>
      </w:tr>
      <w:tr w:rsidR="00051908" w:rsidRPr="00361E30" w14:paraId="76ED9A9C" w14:textId="77777777" w:rsidTr="008F67FE">
        <w:trPr>
          <w:cantSplit/>
        </w:trPr>
        <w:tc>
          <w:tcPr>
            <w:tcW w:w="8726" w:type="dxa"/>
          </w:tcPr>
          <w:p w14:paraId="07E1A7C3" w14:textId="77777777" w:rsidR="00051908" w:rsidRPr="00361E30" w:rsidRDefault="00051908" w:rsidP="00A84367">
            <w:pPr>
              <w:pStyle w:val="ListParagraph"/>
              <w:spacing w:line="240" w:lineRule="auto"/>
              <w:rPr>
                <w:rFonts w:cstheme="minorHAnsi"/>
                <w:noProof/>
                <w:lang w:val="en-GB"/>
              </w:rPr>
            </w:pPr>
            <w:bookmarkStart w:id="352" w:name="_ENREF_124"/>
            <w:r w:rsidRPr="00361E30">
              <w:rPr>
                <w:rFonts w:cstheme="minorHAnsi"/>
                <w:noProof/>
                <w:lang w:val="en-GB"/>
              </w:rPr>
              <w:t>Koski, K., et al. (1996). Physiological factors and medications as predictors of injurious falls by elderly people: a prospective population-based study.</w:t>
            </w:r>
            <w:r w:rsidRPr="00361E30">
              <w:rPr>
                <w:rFonts w:cstheme="minorHAnsi"/>
                <w:i/>
                <w:noProof/>
                <w:lang w:val="en-GB"/>
              </w:rPr>
              <w:t xml:space="preserve"> Age &amp; Ageing</w:t>
            </w:r>
            <w:r w:rsidRPr="00361E30">
              <w:rPr>
                <w:rFonts w:cstheme="minorHAnsi"/>
                <w:noProof/>
                <w:lang w:val="en-GB"/>
              </w:rPr>
              <w:t xml:space="preserve"> 25(1) 29-38.</w:t>
            </w:r>
            <w:bookmarkEnd w:id="352"/>
          </w:p>
        </w:tc>
      </w:tr>
      <w:tr w:rsidR="00051908" w:rsidRPr="00361E30" w14:paraId="5BEF00D8" w14:textId="77777777" w:rsidTr="008F67FE">
        <w:trPr>
          <w:cantSplit/>
        </w:trPr>
        <w:tc>
          <w:tcPr>
            <w:tcW w:w="8726" w:type="dxa"/>
          </w:tcPr>
          <w:p w14:paraId="14514A69" w14:textId="77777777" w:rsidR="00051908" w:rsidRPr="00361E30" w:rsidRDefault="00051908" w:rsidP="00A84367">
            <w:pPr>
              <w:pStyle w:val="ListParagraph"/>
              <w:spacing w:line="240" w:lineRule="auto"/>
              <w:rPr>
                <w:rFonts w:cstheme="minorHAnsi"/>
                <w:noProof/>
                <w:lang w:val="en-GB"/>
              </w:rPr>
            </w:pPr>
            <w:bookmarkStart w:id="353" w:name="_ENREF_125"/>
            <w:r w:rsidRPr="00361E30">
              <w:rPr>
                <w:rFonts w:cstheme="minorHAnsi"/>
                <w:noProof/>
                <w:lang w:val="en-GB"/>
              </w:rPr>
              <w:t xml:space="preserve">Kowal, P. and K. Peachey (2001). Indicators for a minimum data set on ageing: a critical review in sub-Saharan Africa. [online]. </w:t>
            </w:r>
            <w:r w:rsidRPr="00361E30">
              <w:rPr>
                <w:rFonts w:cstheme="minorHAnsi"/>
                <w:i/>
                <w:noProof/>
                <w:lang w:val="en-GB"/>
              </w:rPr>
              <w:t>Information Needs For Research, Policy And Action On Ageing And Older Persons</w:t>
            </w:r>
            <w:r w:rsidRPr="00361E30">
              <w:rPr>
                <w:rFonts w:cstheme="minorHAnsi"/>
                <w:noProof/>
                <w:lang w:val="en-GB"/>
              </w:rPr>
              <w:t>. [Viewed 14</w:t>
            </w:r>
            <w:r w:rsidRPr="00361E30">
              <w:rPr>
                <w:rFonts w:cstheme="minorHAnsi"/>
                <w:noProof/>
                <w:vertAlign w:val="superscript"/>
                <w:lang w:val="en-GB"/>
              </w:rPr>
              <w:t>th</w:t>
            </w:r>
            <w:r w:rsidRPr="00361E30">
              <w:rPr>
                <w:rFonts w:cstheme="minorHAnsi"/>
                <w:noProof/>
                <w:lang w:val="en-GB"/>
              </w:rPr>
              <w:t xml:space="preserve"> January 2015]. Available from:</w:t>
            </w:r>
            <w:bookmarkEnd w:id="353"/>
            <w:r w:rsidRPr="00361E30">
              <w:rPr>
                <w:rFonts w:cstheme="minorHAnsi"/>
                <w:noProof/>
                <w:lang w:val="en-GB"/>
              </w:rPr>
              <w:t xml:space="preserve"> </w:t>
            </w:r>
          </w:p>
          <w:p w14:paraId="0DA05BD0" w14:textId="77777777" w:rsidR="00051908" w:rsidRPr="00361E30" w:rsidRDefault="00993D1E" w:rsidP="00A84367">
            <w:pPr>
              <w:pStyle w:val="ListParagraph"/>
              <w:spacing w:line="240" w:lineRule="auto"/>
              <w:rPr>
                <w:rFonts w:cstheme="minorHAnsi"/>
                <w:noProof/>
                <w:lang w:val="en-GB"/>
              </w:rPr>
            </w:pPr>
            <w:hyperlink r:id="rId39" w:history="1">
              <w:r w:rsidR="00051908" w:rsidRPr="00361E30">
                <w:rPr>
                  <w:rStyle w:val="Hyperlink"/>
                  <w:lang w:val="en-GB"/>
                </w:rPr>
                <w:t>http://www.who.int/healthinfo/survey/ageing_mds_report_en_daressalaam.pdf</w:t>
              </w:r>
            </w:hyperlink>
          </w:p>
        </w:tc>
      </w:tr>
      <w:tr w:rsidR="00051908" w:rsidRPr="00361E30" w14:paraId="54AAA748" w14:textId="77777777" w:rsidTr="008F67FE">
        <w:trPr>
          <w:cantSplit/>
        </w:trPr>
        <w:tc>
          <w:tcPr>
            <w:tcW w:w="8726" w:type="dxa"/>
          </w:tcPr>
          <w:p w14:paraId="7B0046D7" w14:textId="77777777" w:rsidR="00051908" w:rsidRPr="00361E30" w:rsidRDefault="00051908" w:rsidP="00A84367">
            <w:pPr>
              <w:pStyle w:val="ListParagraph"/>
              <w:spacing w:line="240" w:lineRule="auto"/>
              <w:rPr>
                <w:rFonts w:cstheme="minorHAnsi"/>
                <w:noProof/>
                <w:lang w:val="en-GB"/>
              </w:rPr>
            </w:pPr>
            <w:bookmarkStart w:id="354" w:name="_ENREF_126"/>
            <w:r w:rsidRPr="00361E30">
              <w:rPr>
                <w:rFonts w:cstheme="minorHAnsi"/>
                <w:noProof/>
                <w:lang w:val="en-GB"/>
              </w:rPr>
              <w:lastRenderedPageBreak/>
              <w:t>Krug, E. G., G. K. Sharma and R. Lozano (2000). The global burden of injuries.</w:t>
            </w:r>
            <w:r w:rsidRPr="00361E30">
              <w:rPr>
                <w:rFonts w:cstheme="minorHAnsi"/>
                <w:i/>
                <w:noProof/>
                <w:lang w:val="en-GB"/>
              </w:rPr>
              <w:t xml:space="preserve"> American Journal of Public Health</w:t>
            </w:r>
            <w:r w:rsidRPr="00361E30">
              <w:rPr>
                <w:rFonts w:cstheme="minorHAnsi"/>
                <w:noProof/>
                <w:lang w:val="en-GB"/>
              </w:rPr>
              <w:t xml:space="preserve"> 90(4) 523-526.</w:t>
            </w:r>
            <w:bookmarkEnd w:id="354"/>
          </w:p>
        </w:tc>
      </w:tr>
      <w:tr w:rsidR="00051908" w:rsidRPr="00361E30" w14:paraId="061DD47C" w14:textId="77777777" w:rsidTr="008F67FE">
        <w:trPr>
          <w:cantSplit/>
        </w:trPr>
        <w:tc>
          <w:tcPr>
            <w:tcW w:w="8726" w:type="dxa"/>
          </w:tcPr>
          <w:p w14:paraId="31E054B1" w14:textId="77777777" w:rsidR="00051908" w:rsidRPr="00361E30" w:rsidRDefault="00051908" w:rsidP="00A84367">
            <w:pPr>
              <w:pStyle w:val="ListParagraph"/>
              <w:spacing w:line="240" w:lineRule="auto"/>
              <w:rPr>
                <w:rFonts w:cstheme="minorHAnsi"/>
                <w:noProof/>
                <w:lang w:val="en-GB"/>
              </w:rPr>
            </w:pPr>
            <w:bookmarkStart w:id="355" w:name="_ENREF_127"/>
            <w:r w:rsidRPr="00361E30">
              <w:rPr>
                <w:rFonts w:cstheme="minorHAnsi"/>
                <w:noProof/>
                <w:lang w:val="en-GB"/>
              </w:rPr>
              <w:t>Kuhne, C. A., et al. (2005). Mortality in severely injured elderly trauma patients--when does age become a risk factor?</w:t>
            </w:r>
            <w:r w:rsidRPr="00361E30">
              <w:rPr>
                <w:rFonts w:cstheme="minorHAnsi"/>
                <w:i/>
                <w:noProof/>
                <w:lang w:val="en-GB"/>
              </w:rPr>
              <w:t xml:space="preserve"> World Journal of Surgery</w:t>
            </w:r>
            <w:r w:rsidRPr="00361E30">
              <w:rPr>
                <w:rFonts w:cstheme="minorHAnsi"/>
                <w:noProof/>
                <w:lang w:val="en-GB"/>
              </w:rPr>
              <w:t xml:space="preserve"> 29(11) 1476-1482.</w:t>
            </w:r>
            <w:bookmarkEnd w:id="355"/>
          </w:p>
        </w:tc>
      </w:tr>
      <w:tr w:rsidR="00051908" w:rsidRPr="00361E30" w14:paraId="181ACDFE" w14:textId="77777777" w:rsidTr="008F67FE">
        <w:trPr>
          <w:cantSplit/>
        </w:trPr>
        <w:tc>
          <w:tcPr>
            <w:tcW w:w="8726" w:type="dxa"/>
          </w:tcPr>
          <w:p w14:paraId="416D45C8" w14:textId="77777777" w:rsidR="00051908" w:rsidRPr="00361E30" w:rsidRDefault="00051908" w:rsidP="00A84367">
            <w:pPr>
              <w:pStyle w:val="ListParagraph"/>
              <w:spacing w:line="240" w:lineRule="auto"/>
              <w:rPr>
                <w:rFonts w:cstheme="minorHAnsi"/>
                <w:noProof/>
                <w:lang w:val="en-GB"/>
              </w:rPr>
            </w:pPr>
            <w:bookmarkStart w:id="356" w:name="_ENREF_128"/>
            <w:r w:rsidRPr="00361E30">
              <w:rPr>
                <w:rFonts w:cstheme="minorHAnsi"/>
                <w:noProof/>
                <w:lang w:val="en-GB"/>
              </w:rPr>
              <w:t>Lane, P., B. Sorondo and J. J. Kelly (2003). Geriatric trauma patients—are they receiving trauma center care?</w:t>
            </w:r>
            <w:r w:rsidRPr="00361E30">
              <w:rPr>
                <w:rFonts w:cstheme="minorHAnsi"/>
                <w:i/>
                <w:noProof/>
                <w:lang w:val="en-GB"/>
              </w:rPr>
              <w:t xml:space="preserve"> Academic Emergency Medicine</w:t>
            </w:r>
            <w:r w:rsidRPr="00361E30">
              <w:rPr>
                <w:rFonts w:cstheme="minorHAnsi"/>
                <w:noProof/>
                <w:lang w:val="en-GB"/>
              </w:rPr>
              <w:t xml:space="preserve"> 10(3) 244-250.</w:t>
            </w:r>
            <w:bookmarkEnd w:id="356"/>
          </w:p>
        </w:tc>
      </w:tr>
      <w:tr w:rsidR="00051908" w:rsidRPr="00361E30" w14:paraId="32B637F8" w14:textId="77777777" w:rsidTr="008F67FE">
        <w:trPr>
          <w:cantSplit/>
        </w:trPr>
        <w:tc>
          <w:tcPr>
            <w:tcW w:w="8726" w:type="dxa"/>
          </w:tcPr>
          <w:p w14:paraId="575D55ED" w14:textId="77777777" w:rsidR="00051908" w:rsidRPr="00361E30" w:rsidRDefault="00051908" w:rsidP="00A84367">
            <w:pPr>
              <w:pStyle w:val="ListParagraph"/>
              <w:spacing w:line="240" w:lineRule="auto"/>
              <w:rPr>
                <w:rFonts w:cstheme="minorHAnsi"/>
                <w:noProof/>
                <w:lang w:val="en-GB"/>
              </w:rPr>
            </w:pPr>
            <w:bookmarkStart w:id="357" w:name="_ENREF_129"/>
            <w:r w:rsidRPr="00361E30">
              <w:rPr>
                <w:rFonts w:cstheme="minorHAnsi"/>
                <w:noProof/>
                <w:lang w:val="en-GB"/>
              </w:rPr>
              <w:t>Laupland, K. B., et al. (2005). A population-based assessment of major trauma in a large Canadian region.</w:t>
            </w:r>
            <w:r w:rsidRPr="00361E30">
              <w:rPr>
                <w:rFonts w:cstheme="minorHAnsi"/>
                <w:i/>
                <w:noProof/>
                <w:lang w:val="en-GB"/>
              </w:rPr>
              <w:t xml:space="preserve"> American Journal of Surgery</w:t>
            </w:r>
            <w:r w:rsidRPr="00361E30">
              <w:rPr>
                <w:rFonts w:cstheme="minorHAnsi"/>
                <w:noProof/>
                <w:lang w:val="en-GB"/>
              </w:rPr>
              <w:t xml:space="preserve"> 189(5) 571-575; discussion 576.</w:t>
            </w:r>
            <w:bookmarkEnd w:id="357"/>
          </w:p>
        </w:tc>
      </w:tr>
      <w:tr w:rsidR="00051908" w:rsidRPr="00361E30" w14:paraId="48DEAF7B" w14:textId="77777777" w:rsidTr="008F67FE">
        <w:trPr>
          <w:cantSplit/>
        </w:trPr>
        <w:tc>
          <w:tcPr>
            <w:tcW w:w="8726" w:type="dxa"/>
          </w:tcPr>
          <w:p w14:paraId="138DFAE4" w14:textId="77777777" w:rsidR="00051908" w:rsidRPr="00361E30" w:rsidRDefault="00051908" w:rsidP="00A84367">
            <w:pPr>
              <w:pStyle w:val="ListParagraph"/>
              <w:spacing w:line="240" w:lineRule="auto"/>
              <w:rPr>
                <w:rFonts w:cstheme="minorHAnsi"/>
                <w:noProof/>
                <w:lang w:val="en-GB"/>
              </w:rPr>
            </w:pPr>
            <w:bookmarkStart w:id="358" w:name="_ENREF_130"/>
            <w:r w:rsidRPr="00361E30">
              <w:rPr>
                <w:rFonts w:cstheme="minorHAnsi"/>
                <w:noProof/>
                <w:lang w:val="en-GB"/>
              </w:rPr>
              <w:t>Laupland, K. B., et al. (2010). Long-term mortality outcome of victims of major trauma.</w:t>
            </w:r>
            <w:r w:rsidRPr="00361E30">
              <w:rPr>
                <w:rFonts w:cstheme="minorHAnsi"/>
                <w:i/>
                <w:noProof/>
                <w:lang w:val="en-GB"/>
              </w:rPr>
              <w:t xml:space="preserve"> Injury</w:t>
            </w:r>
            <w:r w:rsidRPr="00361E30">
              <w:rPr>
                <w:rFonts w:cstheme="minorHAnsi"/>
                <w:noProof/>
                <w:lang w:val="en-GB"/>
              </w:rPr>
              <w:t xml:space="preserve"> 41(1) 69-72.</w:t>
            </w:r>
            <w:bookmarkEnd w:id="358"/>
          </w:p>
        </w:tc>
      </w:tr>
      <w:tr w:rsidR="00051908" w:rsidRPr="00361E30" w14:paraId="48020352" w14:textId="77777777" w:rsidTr="008F67FE">
        <w:trPr>
          <w:cantSplit/>
        </w:trPr>
        <w:tc>
          <w:tcPr>
            <w:tcW w:w="8726" w:type="dxa"/>
          </w:tcPr>
          <w:p w14:paraId="21FED36F" w14:textId="77777777" w:rsidR="00051908" w:rsidRPr="00361E30" w:rsidRDefault="00051908" w:rsidP="00A84367">
            <w:pPr>
              <w:pStyle w:val="ListParagraph"/>
              <w:spacing w:line="240" w:lineRule="auto"/>
              <w:rPr>
                <w:rFonts w:cstheme="minorHAnsi"/>
                <w:noProof/>
                <w:lang w:val="en-GB"/>
              </w:rPr>
            </w:pPr>
            <w:bookmarkStart w:id="359" w:name="_ENREF_132"/>
            <w:r w:rsidRPr="00361E30">
              <w:rPr>
                <w:rFonts w:cstheme="minorHAnsi"/>
                <w:noProof/>
                <w:lang w:val="en-GB"/>
              </w:rPr>
              <w:t>Lavoie, A., et al. (2004). Preinjury warfarin use among elderly patients with closed head injuries in a trauma center.</w:t>
            </w:r>
            <w:r w:rsidRPr="00361E30">
              <w:rPr>
                <w:rFonts w:cstheme="minorHAnsi"/>
                <w:i/>
                <w:noProof/>
                <w:lang w:val="en-GB"/>
              </w:rPr>
              <w:t xml:space="preserve"> Journal of Trauma and Acute Care Surgery</w:t>
            </w:r>
            <w:r w:rsidRPr="00361E30">
              <w:rPr>
                <w:rFonts w:cstheme="minorHAnsi"/>
                <w:noProof/>
                <w:lang w:val="en-GB"/>
              </w:rPr>
              <w:t xml:space="preserve"> 56(4) 802-807.</w:t>
            </w:r>
            <w:bookmarkEnd w:id="359"/>
          </w:p>
        </w:tc>
      </w:tr>
      <w:tr w:rsidR="00051908" w:rsidRPr="00361E30" w14:paraId="6EE85F51" w14:textId="77777777" w:rsidTr="008F67FE">
        <w:trPr>
          <w:cantSplit/>
        </w:trPr>
        <w:tc>
          <w:tcPr>
            <w:tcW w:w="8726" w:type="dxa"/>
          </w:tcPr>
          <w:p w14:paraId="10462AE5" w14:textId="77777777" w:rsidR="00051908" w:rsidRPr="00361E30" w:rsidRDefault="00051908" w:rsidP="00A84367">
            <w:pPr>
              <w:pStyle w:val="ListParagraph"/>
              <w:spacing w:line="240" w:lineRule="auto"/>
              <w:rPr>
                <w:rFonts w:cstheme="minorHAnsi"/>
                <w:noProof/>
                <w:lang w:val="en-GB"/>
              </w:rPr>
            </w:pPr>
            <w:bookmarkStart w:id="360" w:name="_ENREF_131"/>
            <w:r w:rsidRPr="00361E30">
              <w:rPr>
                <w:rFonts w:cstheme="minorHAnsi"/>
                <w:noProof/>
                <w:lang w:val="en-GB"/>
              </w:rPr>
              <w:t>Lavoie, A., et al. (2004). The New Injury Severity Score: a more accurate predictor of in-hospital mortality than the Injury Severity Score.</w:t>
            </w:r>
            <w:r w:rsidRPr="00361E30">
              <w:rPr>
                <w:rFonts w:cstheme="minorHAnsi"/>
                <w:i/>
                <w:noProof/>
                <w:lang w:val="en-GB"/>
              </w:rPr>
              <w:t xml:space="preserve"> Joournal of Trauma and Acute Care Surgery</w:t>
            </w:r>
            <w:r w:rsidRPr="00361E30">
              <w:rPr>
                <w:rFonts w:cstheme="minorHAnsi"/>
                <w:noProof/>
                <w:lang w:val="en-GB"/>
              </w:rPr>
              <w:t xml:space="preserve"> 56(6) 1312-1320.</w:t>
            </w:r>
            <w:bookmarkEnd w:id="360"/>
          </w:p>
        </w:tc>
      </w:tr>
      <w:tr w:rsidR="00051908" w:rsidRPr="00361E30" w14:paraId="2F735E3D" w14:textId="77777777" w:rsidTr="008F67FE">
        <w:trPr>
          <w:cantSplit/>
        </w:trPr>
        <w:tc>
          <w:tcPr>
            <w:tcW w:w="8726" w:type="dxa"/>
          </w:tcPr>
          <w:p w14:paraId="639D953E" w14:textId="77777777" w:rsidR="00051908" w:rsidRPr="00361E30" w:rsidRDefault="00051908" w:rsidP="00A84367">
            <w:pPr>
              <w:pStyle w:val="ListParagraph"/>
              <w:spacing w:line="240" w:lineRule="auto"/>
              <w:rPr>
                <w:rFonts w:cstheme="minorHAnsi"/>
                <w:noProof/>
                <w:lang w:val="en-GB"/>
              </w:rPr>
            </w:pPr>
            <w:bookmarkStart w:id="361" w:name="_ENREF_135"/>
            <w:r w:rsidRPr="00361E30">
              <w:rPr>
                <w:rFonts w:cstheme="minorHAnsi"/>
                <w:noProof/>
                <w:lang w:val="en-GB"/>
              </w:rPr>
              <w:t>Lecky, F. E., et al. (2015). The effect of preinjury warfarin use on mortality rates in trauma patients: a European multicentre study.</w:t>
            </w:r>
            <w:r w:rsidRPr="00361E30">
              <w:rPr>
                <w:rFonts w:cstheme="minorHAnsi"/>
                <w:i/>
                <w:noProof/>
                <w:lang w:val="en-GB"/>
              </w:rPr>
              <w:t xml:space="preserve"> Emergency Medicine Journal</w:t>
            </w:r>
            <w:r w:rsidRPr="00361E30">
              <w:rPr>
                <w:rFonts w:cstheme="minorHAnsi"/>
                <w:noProof/>
                <w:lang w:val="en-GB"/>
              </w:rPr>
              <w:t xml:space="preserve"> 32(12) 916-920.</w:t>
            </w:r>
            <w:bookmarkEnd w:id="361"/>
          </w:p>
        </w:tc>
      </w:tr>
      <w:tr w:rsidR="00051908" w:rsidRPr="00361E30" w14:paraId="463FFF98" w14:textId="77777777" w:rsidTr="008F67FE">
        <w:trPr>
          <w:cantSplit/>
        </w:trPr>
        <w:tc>
          <w:tcPr>
            <w:tcW w:w="8726" w:type="dxa"/>
          </w:tcPr>
          <w:p w14:paraId="77F32785" w14:textId="77777777" w:rsidR="00051908" w:rsidRPr="00361E30" w:rsidRDefault="00051908" w:rsidP="00A84367">
            <w:pPr>
              <w:pStyle w:val="ListParagraph"/>
              <w:spacing w:line="240" w:lineRule="auto"/>
              <w:rPr>
                <w:rFonts w:cstheme="minorHAnsi"/>
                <w:noProof/>
                <w:lang w:val="en-GB"/>
              </w:rPr>
            </w:pPr>
            <w:bookmarkStart w:id="362" w:name="_ENREF_133"/>
            <w:r w:rsidRPr="00361E30">
              <w:rPr>
                <w:rFonts w:cstheme="minorHAnsi"/>
                <w:noProof/>
                <w:lang w:val="en-GB"/>
              </w:rPr>
              <w:t>Lecky, F., et al. (2014). Trauma scoring systems and databases.</w:t>
            </w:r>
            <w:r w:rsidRPr="00361E30">
              <w:rPr>
                <w:rFonts w:cstheme="minorHAnsi"/>
                <w:i/>
                <w:noProof/>
                <w:lang w:val="en-GB"/>
              </w:rPr>
              <w:t xml:space="preserve"> British Journal of Anaesthesia</w:t>
            </w:r>
            <w:r w:rsidRPr="00361E30">
              <w:rPr>
                <w:rFonts w:cstheme="minorHAnsi"/>
                <w:noProof/>
                <w:lang w:val="en-GB"/>
              </w:rPr>
              <w:t xml:space="preserve"> 113(2) 286-294.</w:t>
            </w:r>
            <w:bookmarkEnd w:id="362"/>
          </w:p>
        </w:tc>
      </w:tr>
      <w:tr w:rsidR="00051908" w:rsidRPr="00361E30" w14:paraId="69128900" w14:textId="77777777" w:rsidTr="008F67FE">
        <w:trPr>
          <w:cantSplit/>
        </w:trPr>
        <w:tc>
          <w:tcPr>
            <w:tcW w:w="8726" w:type="dxa"/>
          </w:tcPr>
          <w:p w14:paraId="203D41D0" w14:textId="77777777" w:rsidR="00051908" w:rsidRPr="00361E30" w:rsidRDefault="00051908" w:rsidP="00A84367">
            <w:pPr>
              <w:pStyle w:val="ListParagraph"/>
              <w:spacing w:line="240" w:lineRule="auto"/>
              <w:rPr>
                <w:rFonts w:cstheme="minorHAnsi"/>
                <w:noProof/>
                <w:lang w:val="en-GB"/>
              </w:rPr>
            </w:pPr>
            <w:bookmarkStart w:id="363" w:name="_ENREF_134"/>
            <w:r w:rsidRPr="00361E30">
              <w:rPr>
                <w:rFonts w:cstheme="minorHAnsi"/>
                <w:noProof/>
                <w:lang w:val="en-GB"/>
              </w:rPr>
              <w:t>Lecky, F., M. Woodford and D. Yates (2000). Trends in trauma care in England and Wales 1989–97.</w:t>
            </w:r>
            <w:r w:rsidRPr="00361E30">
              <w:rPr>
                <w:rFonts w:cstheme="minorHAnsi"/>
                <w:i/>
                <w:noProof/>
                <w:lang w:val="en-GB"/>
              </w:rPr>
              <w:t xml:space="preserve"> The Lancet</w:t>
            </w:r>
            <w:r w:rsidRPr="00361E30">
              <w:rPr>
                <w:rFonts w:cstheme="minorHAnsi"/>
                <w:noProof/>
                <w:lang w:val="en-GB"/>
              </w:rPr>
              <w:t xml:space="preserve"> 355(9217) 1771-1775.</w:t>
            </w:r>
            <w:bookmarkEnd w:id="363"/>
          </w:p>
        </w:tc>
      </w:tr>
      <w:tr w:rsidR="00051908" w:rsidRPr="00361E30" w14:paraId="3DF6E1D0" w14:textId="77777777" w:rsidTr="008F67FE">
        <w:trPr>
          <w:cantSplit/>
        </w:trPr>
        <w:tc>
          <w:tcPr>
            <w:tcW w:w="8726" w:type="dxa"/>
          </w:tcPr>
          <w:p w14:paraId="071EA6EF" w14:textId="77777777" w:rsidR="00051908" w:rsidRPr="00361E30" w:rsidRDefault="00051908" w:rsidP="00A84367">
            <w:pPr>
              <w:pStyle w:val="ListParagraph"/>
              <w:spacing w:line="240" w:lineRule="auto"/>
              <w:rPr>
                <w:rFonts w:cstheme="minorHAnsi"/>
                <w:noProof/>
                <w:lang w:val="en-GB"/>
              </w:rPr>
            </w:pPr>
            <w:bookmarkStart w:id="364" w:name="_ENREF_136"/>
            <w:r w:rsidRPr="00361E30">
              <w:rPr>
                <w:rFonts w:cstheme="minorHAnsi"/>
                <w:noProof/>
                <w:lang w:val="en-GB"/>
              </w:rPr>
              <w:t>Lehnert, T., et al. (2011). Review: Health Care Utilization and Costs of Elderly Persons With Multiple Chronic Conditions.</w:t>
            </w:r>
            <w:r w:rsidRPr="00361E30">
              <w:rPr>
                <w:rFonts w:cstheme="minorHAnsi"/>
                <w:i/>
                <w:noProof/>
                <w:lang w:val="en-GB"/>
              </w:rPr>
              <w:t xml:space="preserve"> Medical Care Research and Review</w:t>
            </w:r>
            <w:r w:rsidRPr="00361E30">
              <w:rPr>
                <w:rFonts w:cstheme="minorHAnsi"/>
                <w:noProof/>
                <w:lang w:val="en-GB"/>
              </w:rPr>
              <w:t xml:space="preserve"> 68(4) 387-420.</w:t>
            </w:r>
            <w:bookmarkEnd w:id="364"/>
          </w:p>
        </w:tc>
      </w:tr>
      <w:tr w:rsidR="00051908" w:rsidRPr="00361E30" w14:paraId="494523B3" w14:textId="77777777" w:rsidTr="008F67FE">
        <w:trPr>
          <w:cantSplit/>
        </w:trPr>
        <w:tc>
          <w:tcPr>
            <w:tcW w:w="8726" w:type="dxa"/>
          </w:tcPr>
          <w:p w14:paraId="4341AAE0" w14:textId="77777777" w:rsidR="00051908" w:rsidRPr="00361E30" w:rsidRDefault="00051908" w:rsidP="00A84367">
            <w:pPr>
              <w:pStyle w:val="ListParagraph"/>
              <w:spacing w:line="240" w:lineRule="auto"/>
              <w:rPr>
                <w:rFonts w:cstheme="minorHAnsi"/>
                <w:noProof/>
                <w:lang w:val="en-GB"/>
              </w:rPr>
            </w:pPr>
            <w:bookmarkStart w:id="365" w:name="_ENREF_137"/>
            <w:r w:rsidRPr="00361E30">
              <w:rPr>
                <w:rFonts w:cstheme="minorHAnsi"/>
                <w:noProof/>
                <w:lang w:val="en-GB"/>
              </w:rPr>
              <w:t>Liberman, M., D. Mulder and J. Sampalis (2000). Advanced or basic life support for trauma: meta-analysis and critical review of the literature.</w:t>
            </w:r>
            <w:r w:rsidRPr="00361E30">
              <w:rPr>
                <w:rFonts w:cstheme="minorHAnsi"/>
                <w:i/>
                <w:noProof/>
                <w:lang w:val="en-GB"/>
              </w:rPr>
              <w:t xml:space="preserve"> Journal of Trauma and Acute Care Surgery</w:t>
            </w:r>
            <w:r w:rsidRPr="00361E30">
              <w:rPr>
                <w:rFonts w:cstheme="minorHAnsi"/>
                <w:noProof/>
                <w:lang w:val="en-GB"/>
              </w:rPr>
              <w:t xml:space="preserve"> 49(4) 584-599.</w:t>
            </w:r>
            <w:bookmarkEnd w:id="365"/>
          </w:p>
        </w:tc>
      </w:tr>
      <w:tr w:rsidR="00051908" w:rsidRPr="00361E30" w14:paraId="09A11FF2" w14:textId="77777777" w:rsidTr="008F67FE">
        <w:trPr>
          <w:cantSplit/>
        </w:trPr>
        <w:tc>
          <w:tcPr>
            <w:tcW w:w="8726" w:type="dxa"/>
          </w:tcPr>
          <w:p w14:paraId="7C775913" w14:textId="77777777" w:rsidR="00051908" w:rsidRPr="00361E30" w:rsidRDefault="00051908" w:rsidP="00A84367">
            <w:pPr>
              <w:pStyle w:val="ListParagraph"/>
              <w:spacing w:line="240" w:lineRule="auto"/>
              <w:rPr>
                <w:rFonts w:cstheme="minorHAnsi"/>
                <w:noProof/>
                <w:lang w:val="en-GB"/>
              </w:rPr>
            </w:pPr>
            <w:bookmarkStart w:id="366" w:name="_ENREF_138"/>
            <w:r w:rsidRPr="00361E30">
              <w:rPr>
                <w:rFonts w:cstheme="minorHAnsi"/>
                <w:noProof/>
                <w:lang w:val="en-GB"/>
              </w:rPr>
              <w:t>Llompart-Pou, J. A., et al. (2016). Age-related injury patterns in Spanish trauma ICU patients. Results from the RETRAUCI.</w:t>
            </w:r>
            <w:r w:rsidRPr="00361E30">
              <w:rPr>
                <w:rFonts w:cstheme="minorHAnsi"/>
                <w:i/>
                <w:noProof/>
                <w:lang w:val="en-GB"/>
              </w:rPr>
              <w:t xml:space="preserve"> Injury</w:t>
            </w:r>
            <w:r w:rsidRPr="00361E30">
              <w:rPr>
                <w:rFonts w:cstheme="minorHAnsi"/>
                <w:noProof/>
                <w:lang w:val="en-GB"/>
              </w:rPr>
              <w:t xml:space="preserve"> 47 Suppl 3 S61-s65.</w:t>
            </w:r>
            <w:bookmarkEnd w:id="366"/>
          </w:p>
        </w:tc>
      </w:tr>
      <w:tr w:rsidR="00051908" w:rsidRPr="00361E30" w14:paraId="679A417A" w14:textId="77777777" w:rsidTr="008F67FE">
        <w:trPr>
          <w:cantSplit/>
        </w:trPr>
        <w:tc>
          <w:tcPr>
            <w:tcW w:w="8726" w:type="dxa"/>
          </w:tcPr>
          <w:p w14:paraId="05534C14" w14:textId="77777777" w:rsidR="00051908" w:rsidRPr="00361E30" w:rsidRDefault="00051908" w:rsidP="00A84367">
            <w:pPr>
              <w:pStyle w:val="ListParagraph"/>
              <w:spacing w:line="240" w:lineRule="auto"/>
              <w:rPr>
                <w:rFonts w:cstheme="minorHAnsi"/>
                <w:noProof/>
                <w:lang w:val="en-GB"/>
              </w:rPr>
            </w:pPr>
            <w:bookmarkStart w:id="367" w:name="_ENREF_139"/>
            <w:r w:rsidRPr="00361E30">
              <w:rPr>
                <w:rFonts w:cstheme="minorHAnsi"/>
                <w:noProof/>
                <w:lang w:val="en-GB"/>
              </w:rPr>
              <w:t>Locker, T., et al. (2005). Targets and moving goal posts: changes in waiting times in a UK emergency department.</w:t>
            </w:r>
            <w:r w:rsidRPr="00361E30">
              <w:rPr>
                <w:rFonts w:cstheme="minorHAnsi"/>
                <w:i/>
                <w:noProof/>
                <w:lang w:val="en-GB"/>
              </w:rPr>
              <w:t xml:space="preserve"> Emergency Medicine Journal</w:t>
            </w:r>
            <w:r w:rsidRPr="00361E30">
              <w:rPr>
                <w:rFonts w:cstheme="minorHAnsi"/>
                <w:noProof/>
                <w:lang w:val="en-GB"/>
              </w:rPr>
              <w:t xml:space="preserve"> 22(10) 710-714.</w:t>
            </w:r>
            <w:bookmarkEnd w:id="367"/>
          </w:p>
        </w:tc>
      </w:tr>
      <w:tr w:rsidR="00051908" w:rsidRPr="00361E30" w14:paraId="51316F68" w14:textId="77777777" w:rsidTr="008F67FE">
        <w:trPr>
          <w:cantSplit/>
        </w:trPr>
        <w:tc>
          <w:tcPr>
            <w:tcW w:w="8726" w:type="dxa"/>
          </w:tcPr>
          <w:p w14:paraId="23CED797" w14:textId="77777777" w:rsidR="00051908" w:rsidRPr="00361E30" w:rsidRDefault="00051908" w:rsidP="00A84367">
            <w:pPr>
              <w:pStyle w:val="ListParagraph"/>
              <w:spacing w:line="240" w:lineRule="auto"/>
              <w:rPr>
                <w:rFonts w:cstheme="minorHAnsi"/>
                <w:noProof/>
                <w:lang w:val="en-GB"/>
              </w:rPr>
            </w:pPr>
            <w:bookmarkStart w:id="368" w:name="_ENREF_140"/>
            <w:r w:rsidRPr="00361E30">
              <w:rPr>
                <w:rFonts w:cstheme="minorHAnsi"/>
                <w:noProof/>
                <w:lang w:val="en-GB"/>
              </w:rPr>
              <w:t>Lovell, M. (2006). Caring for the elderly: changing perceptions and attitudes.</w:t>
            </w:r>
            <w:r w:rsidRPr="00361E30">
              <w:rPr>
                <w:rFonts w:cstheme="minorHAnsi"/>
                <w:i/>
                <w:noProof/>
                <w:lang w:val="en-GB"/>
              </w:rPr>
              <w:t xml:space="preserve"> Journal of Vascular Nursing</w:t>
            </w:r>
            <w:r w:rsidRPr="00361E30">
              <w:rPr>
                <w:rFonts w:cstheme="minorHAnsi"/>
                <w:noProof/>
                <w:lang w:val="en-GB"/>
              </w:rPr>
              <w:t xml:space="preserve"> 24(1) 22-26.</w:t>
            </w:r>
            <w:bookmarkEnd w:id="368"/>
          </w:p>
        </w:tc>
      </w:tr>
      <w:tr w:rsidR="00051908" w:rsidRPr="00361E30" w14:paraId="3C882181" w14:textId="77777777" w:rsidTr="008F67FE">
        <w:trPr>
          <w:cantSplit/>
        </w:trPr>
        <w:tc>
          <w:tcPr>
            <w:tcW w:w="8726" w:type="dxa"/>
          </w:tcPr>
          <w:p w14:paraId="708BC16B" w14:textId="77777777" w:rsidR="00051908" w:rsidRPr="00361E30" w:rsidRDefault="00051908" w:rsidP="00A84367">
            <w:pPr>
              <w:pStyle w:val="ListParagraph"/>
              <w:spacing w:line="240" w:lineRule="auto"/>
              <w:rPr>
                <w:rFonts w:cstheme="minorHAnsi"/>
                <w:noProof/>
                <w:lang w:val="en-GB"/>
              </w:rPr>
            </w:pPr>
            <w:bookmarkStart w:id="369" w:name="_ENREF_141"/>
            <w:r w:rsidRPr="00361E30">
              <w:rPr>
                <w:rFonts w:cstheme="minorHAnsi"/>
                <w:noProof/>
                <w:lang w:val="en-GB"/>
              </w:rPr>
              <w:t>Lukin, W., et al. (2015). Triaging older major trauma patients in the emergency department: an observational study.</w:t>
            </w:r>
            <w:r w:rsidRPr="00361E30">
              <w:rPr>
                <w:rFonts w:cstheme="minorHAnsi"/>
                <w:i/>
                <w:noProof/>
                <w:lang w:val="en-GB"/>
              </w:rPr>
              <w:t xml:space="preserve"> Emerg Med J</w:t>
            </w:r>
            <w:r w:rsidRPr="00361E30">
              <w:rPr>
                <w:rFonts w:cstheme="minorHAnsi"/>
                <w:noProof/>
                <w:lang w:val="en-GB"/>
              </w:rPr>
              <w:t xml:space="preserve"> 32(4) 281-286.</w:t>
            </w:r>
            <w:bookmarkEnd w:id="369"/>
          </w:p>
        </w:tc>
      </w:tr>
      <w:tr w:rsidR="00051908" w:rsidRPr="00361E30" w14:paraId="6141FD33" w14:textId="77777777" w:rsidTr="008F67FE">
        <w:trPr>
          <w:cantSplit/>
        </w:trPr>
        <w:tc>
          <w:tcPr>
            <w:tcW w:w="8726" w:type="dxa"/>
          </w:tcPr>
          <w:p w14:paraId="4D7A209D" w14:textId="77777777" w:rsidR="00051908" w:rsidRPr="00361E30" w:rsidRDefault="00051908" w:rsidP="00A84367">
            <w:pPr>
              <w:pStyle w:val="ListParagraph"/>
              <w:spacing w:line="240" w:lineRule="auto"/>
              <w:rPr>
                <w:rFonts w:cstheme="minorHAnsi"/>
                <w:noProof/>
                <w:lang w:val="en-GB"/>
              </w:rPr>
            </w:pPr>
            <w:bookmarkStart w:id="370" w:name="_ENREF_142"/>
            <w:r w:rsidRPr="00361E30">
              <w:rPr>
                <w:rFonts w:cstheme="minorHAnsi"/>
                <w:noProof/>
                <w:lang w:val="en-GB"/>
              </w:rPr>
              <w:lastRenderedPageBreak/>
              <w:t>Lustenberger, T., et al. (2011). Gunshot Injuries in the Elderly: Patterns and Outcomes. A National Trauma Databank Analysis.</w:t>
            </w:r>
            <w:r w:rsidRPr="00361E30">
              <w:rPr>
                <w:rFonts w:cstheme="minorHAnsi"/>
                <w:i/>
                <w:noProof/>
                <w:lang w:val="en-GB"/>
              </w:rPr>
              <w:t xml:space="preserve"> World Journal of Surgery</w:t>
            </w:r>
            <w:r w:rsidRPr="00361E30">
              <w:rPr>
                <w:rFonts w:cstheme="minorHAnsi"/>
                <w:noProof/>
                <w:lang w:val="en-GB"/>
              </w:rPr>
              <w:t xml:space="preserve"> 35(3) 528-534.</w:t>
            </w:r>
            <w:bookmarkEnd w:id="370"/>
          </w:p>
        </w:tc>
      </w:tr>
      <w:tr w:rsidR="00051908" w:rsidRPr="00361E30" w14:paraId="58F2581B" w14:textId="77777777" w:rsidTr="008F67FE">
        <w:trPr>
          <w:cantSplit/>
        </w:trPr>
        <w:tc>
          <w:tcPr>
            <w:tcW w:w="8726" w:type="dxa"/>
          </w:tcPr>
          <w:p w14:paraId="3B9B8962" w14:textId="77777777" w:rsidR="00051908" w:rsidRPr="00361E30" w:rsidRDefault="00051908" w:rsidP="00A84367">
            <w:pPr>
              <w:pStyle w:val="ListParagraph"/>
              <w:spacing w:line="240" w:lineRule="auto"/>
              <w:rPr>
                <w:rFonts w:cstheme="minorHAnsi"/>
                <w:noProof/>
                <w:lang w:val="en-GB"/>
              </w:rPr>
            </w:pPr>
            <w:bookmarkStart w:id="371" w:name="_ENREF_143"/>
            <w:r w:rsidRPr="00361E30">
              <w:rPr>
                <w:rFonts w:cstheme="minorHAnsi"/>
                <w:noProof/>
                <w:lang w:val="en-GB"/>
              </w:rPr>
              <w:t>Mangram, A. J., et al. (2012). Geriatric trauma service: a one-year experience.</w:t>
            </w:r>
            <w:r w:rsidRPr="00361E30">
              <w:rPr>
                <w:rFonts w:cstheme="minorHAnsi"/>
                <w:i/>
                <w:noProof/>
                <w:lang w:val="en-GB"/>
              </w:rPr>
              <w:t xml:space="preserve"> Journal of Trauma and Acute Care Surgery</w:t>
            </w:r>
            <w:r w:rsidRPr="00361E30">
              <w:rPr>
                <w:rFonts w:cstheme="minorHAnsi"/>
                <w:noProof/>
                <w:lang w:val="en-GB"/>
              </w:rPr>
              <w:t xml:space="preserve"> 72(1) 119-122.</w:t>
            </w:r>
            <w:bookmarkEnd w:id="371"/>
          </w:p>
        </w:tc>
      </w:tr>
      <w:tr w:rsidR="00051908" w:rsidRPr="00361E30" w14:paraId="5CC7EC7E" w14:textId="77777777" w:rsidTr="008F67FE">
        <w:trPr>
          <w:cantSplit/>
        </w:trPr>
        <w:tc>
          <w:tcPr>
            <w:tcW w:w="8726" w:type="dxa"/>
          </w:tcPr>
          <w:p w14:paraId="642AE60A" w14:textId="77777777" w:rsidR="00051908" w:rsidRPr="00361E30" w:rsidRDefault="00051908" w:rsidP="00A84367">
            <w:pPr>
              <w:pStyle w:val="ListParagraph"/>
              <w:spacing w:line="240" w:lineRule="auto"/>
              <w:rPr>
                <w:rFonts w:cstheme="minorHAnsi"/>
                <w:noProof/>
                <w:lang w:val="en-GB"/>
              </w:rPr>
            </w:pPr>
            <w:bookmarkStart w:id="372" w:name="_ENREF_144"/>
            <w:r w:rsidRPr="00361E30">
              <w:rPr>
                <w:rFonts w:cstheme="minorHAnsi"/>
                <w:noProof/>
                <w:lang w:val="en-GB"/>
              </w:rPr>
              <w:t xml:space="preserve">Mason, J. (2002). </w:t>
            </w:r>
            <w:r w:rsidRPr="00361E30">
              <w:rPr>
                <w:rFonts w:cstheme="minorHAnsi"/>
                <w:i/>
                <w:noProof/>
                <w:lang w:val="en-GB"/>
              </w:rPr>
              <w:t>Qualitative researching</w:t>
            </w:r>
            <w:r w:rsidRPr="00361E30">
              <w:rPr>
                <w:rFonts w:cstheme="minorHAnsi"/>
                <w:noProof/>
                <w:lang w:val="en-GB"/>
              </w:rPr>
              <w:t>. 2nd ed. London: Sage Publications Inc.</w:t>
            </w:r>
            <w:bookmarkEnd w:id="372"/>
          </w:p>
        </w:tc>
      </w:tr>
      <w:tr w:rsidR="00051908" w:rsidRPr="00361E30" w14:paraId="3162568E" w14:textId="77777777" w:rsidTr="008F67FE">
        <w:trPr>
          <w:cantSplit/>
        </w:trPr>
        <w:tc>
          <w:tcPr>
            <w:tcW w:w="8726" w:type="dxa"/>
          </w:tcPr>
          <w:p w14:paraId="7CC875F6" w14:textId="77777777" w:rsidR="00051908" w:rsidRPr="00361E30" w:rsidRDefault="00051908" w:rsidP="00A84367">
            <w:pPr>
              <w:pStyle w:val="ListParagraph"/>
              <w:spacing w:line="240" w:lineRule="auto"/>
              <w:rPr>
                <w:rFonts w:cstheme="minorHAnsi"/>
                <w:noProof/>
                <w:lang w:val="en-GB"/>
              </w:rPr>
            </w:pPr>
            <w:bookmarkStart w:id="373" w:name="_ENREF_145"/>
            <w:r w:rsidRPr="00361E30">
              <w:rPr>
                <w:rFonts w:cstheme="minorHAnsi"/>
                <w:noProof/>
                <w:lang w:val="en-GB"/>
              </w:rPr>
              <w:t>McDonald, V. S., et al. (2016). Frailty in trauma: a systematic review of the surgical literature for clinical assessment tools.</w:t>
            </w:r>
            <w:r w:rsidRPr="00361E30">
              <w:rPr>
                <w:rFonts w:cstheme="minorHAnsi"/>
                <w:i/>
                <w:noProof/>
                <w:lang w:val="en-GB"/>
              </w:rPr>
              <w:t xml:space="preserve"> Journal of Trauma and Acute Care Surgery</w:t>
            </w:r>
            <w:r w:rsidRPr="00361E30">
              <w:rPr>
                <w:rFonts w:cstheme="minorHAnsi"/>
                <w:noProof/>
                <w:lang w:val="en-GB"/>
              </w:rPr>
              <w:t xml:space="preserve"> 80(5) 824-834.</w:t>
            </w:r>
            <w:bookmarkEnd w:id="373"/>
          </w:p>
        </w:tc>
      </w:tr>
      <w:tr w:rsidR="00051908" w:rsidRPr="00361E30" w14:paraId="0D625536" w14:textId="77777777" w:rsidTr="008F67FE">
        <w:trPr>
          <w:cantSplit/>
        </w:trPr>
        <w:tc>
          <w:tcPr>
            <w:tcW w:w="8726" w:type="dxa"/>
          </w:tcPr>
          <w:p w14:paraId="249F468D" w14:textId="77777777" w:rsidR="00051908" w:rsidRPr="00361E30" w:rsidRDefault="00051908" w:rsidP="00A84367">
            <w:pPr>
              <w:pStyle w:val="ListParagraph"/>
              <w:spacing w:line="240" w:lineRule="auto"/>
              <w:rPr>
                <w:rFonts w:cstheme="minorHAnsi"/>
                <w:noProof/>
                <w:lang w:val="en-GB"/>
              </w:rPr>
            </w:pPr>
            <w:bookmarkStart w:id="374" w:name="_ENREF_146"/>
            <w:r w:rsidRPr="00361E30">
              <w:rPr>
                <w:rFonts w:cstheme="minorHAnsi"/>
                <w:noProof/>
                <w:lang w:val="en-GB"/>
              </w:rPr>
              <w:t>McGwin, G. J., et al. (2000). Long-Term Survival in the Elderly after Trauma.</w:t>
            </w:r>
            <w:r w:rsidRPr="00361E30">
              <w:rPr>
                <w:rFonts w:cstheme="minorHAnsi"/>
                <w:i/>
                <w:noProof/>
                <w:lang w:val="en-GB"/>
              </w:rPr>
              <w:t xml:space="preserve"> Journal of Trauma-Injury Infection &amp; Critical Care</w:t>
            </w:r>
            <w:r w:rsidRPr="00361E30">
              <w:rPr>
                <w:rFonts w:cstheme="minorHAnsi"/>
                <w:noProof/>
                <w:lang w:val="en-GB"/>
              </w:rPr>
              <w:t xml:space="preserve"> 49(3) 470-476.</w:t>
            </w:r>
            <w:bookmarkEnd w:id="374"/>
          </w:p>
        </w:tc>
      </w:tr>
      <w:tr w:rsidR="00051908" w:rsidRPr="00361E30" w14:paraId="0BB63D6A" w14:textId="77777777" w:rsidTr="008F67FE">
        <w:trPr>
          <w:cantSplit/>
        </w:trPr>
        <w:tc>
          <w:tcPr>
            <w:tcW w:w="8726" w:type="dxa"/>
          </w:tcPr>
          <w:p w14:paraId="106B9EC2" w14:textId="77777777" w:rsidR="00051908" w:rsidRPr="00361E30" w:rsidRDefault="00051908" w:rsidP="00A84367">
            <w:pPr>
              <w:pStyle w:val="ListParagraph"/>
              <w:spacing w:line="240" w:lineRule="auto"/>
              <w:rPr>
                <w:rFonts w:cstheme="minorHAnsi"/>
                <w:noProof/>
                <w:lang w:val="en-GB"/>
              </w:rPr>
            </w:pPr>
            <w:bookmarkStart w:id="375" w:name="_ENREF_147"/>
            <w:r w:rsidRPr="00361E30">
              <w:rPr>
                <w:rFonts w:cstheme="minorHAnsi"/>
                <w:noProof/>
                <w:lang w:val="en-GB"/>
              </w:rPr>
              <w:t>Melby, V. and A. Ryan (2005). Caring for older people in prehospital emergency care: can nurses make a difference?</w:t>
            </w:r>
            <w:r w:rsidRPr="00361E30">
              <w:rPr>
                <w:rFonts w:cstheme="minorHAnsi"/>
                <w:i/>
                <w:noProof/>
                <w:lang w:val="en-GB"/>
              </w:rPr>
              <w:t xml:space="preserve"> Journal of Clinical Nursing</w:t>
            </w:r>
            <w:r w:rsidRPr="00361E30">
              <w:rPr>
                <w:rFonts w:cstheme="minorHAnsi"/>
                <w:noProof/>
                <w:lang w:val="en-GB"/>
              </w:rPr>
              <w:t xml:space="preserve"> 14(9) 1141-1150.</w:t>
            </w:r>
            <w:bookmarkEnd w:id="375"/>
          </w:p>
        </w:tc>
      </w:tr>
      <w:tr w:rsidR="00051908" w:rsidRPr="00361E30" w14:paraId="737293F9" w14:textId="77777777" w:rsidTr="008F67FE">
        <w:trPr>
          <w:cantSplit/>
        </w:trPr>
        <w:tc>
          <w:tcPr>
            <w:tcW w:w="8726" w:type="dxa"/>
          </w:tcPr>
          <w:p w14:paraId="695EC32D" w14:textId="77777777" w:rsidR="00051908" w:rsidRPr="00361E30" w:rsidRDefault="00051908" w:rsidP="00A84367">
            <w:pPr>
              <w:pStyle w:val="ListParagraph"/>
              <w:spacing w:line="240" w:lineRule="auto"/>
              <w:rPr>
                <w:rFonts w:cstheme="minorHAnsi"/>
                <w:noProof/>
                <w:lang w:val="en-GB"/>
              </w:rPr>
            </w:pPr>
            <w:bookmarkStart w:id="376" w:name="_ENREF_148"/>
            <w:r w:rsidRPr="00361E30">
              <w:rPr>
                <w:rFonts w:cstheme="minorHAnsi"/>
                <w:noProof/>
                <w:lang w:val="en-GB"/>
              </w:rPr>
              <w:t>Meldon, S. W., et al. (2002). Trauma in the very elderly: a community-based study of outcomes at trauma and nontrauma centers.</w:t>
            </w:r>
            <w:r w:rsidRPr="00361E30">
              <w:rPr>
                <w:rFonts w:cstheme="minorHAnsi"/>
                <w:i/>
                <w:noProof/>
                <w:lang w:val="en-GB"/>
              </w:rPr>
              <w:t xml:space="preserve"> Journal of Trauma and Acute Care Surgery</w:t>
            </w:r>
            <w:r w:rsidRPr="00361E30">
              <w:rPr>
                <w:rFonts w:cstheme="minorHAnsi"/>
                <w:noProof/>
                <w:lang w:val="en-GB"/>
              </w:rPr>
              <w:t xml:space="preserve"> 52(1) 79-84.</w:t>
            </w:r>
            <w:bookmarkEnd w:id="376"/>
          </w:p>
        </w:tc>
      </w:tr>
      <w:tr w:rsidR="00051908" w:rsidRPr="00361E30" w14:paraId="5CA161F3" w14:textId="77777777" w:rsidTr="008F67FE">
        <w:trPr>
          <w:cantSplit/>
        </w:trPr>
        <w:tc>
          <w:tcPr>
            <w:tcW w:w="8726" w:type="dxa"/>
          </w:tcPr>
          <w:p w14:paraId="0DA3B69D" w14:textId="77777777" w:rsidR="00051908" w:rsidRPr="00361E30" w:rsidRDefault="00051908" w:rsidP="00A84367">
            <w:pPr>
              <w:pStyle w:val="ListParagraph"/>
              <w:spacing w:line="240" w:lineRule="auto"/>
              <w:rPr>
                <w:rFonts w:cstheme="minorHAnsi"/>
                <w:noProof/>
                <w:lang w:val="en-GB"/>
              </w:rPr>
            </w:pPr>
            <w:bookmarkStart w:id="377" w:name="_ENREF_149"/>
            <w:r w:rsidRPr="00361E30">
              <w:rPr>
                <w:rFonts w:cstheme="minorHAnsi"/>
                <w:noProof/>
                <w:lang w:val="en-GB"/>
              </w:rPr>
              <w:t>Metcalfe, D., et al. (2014). Effect of regional trauma centralization on volume, injury severity and outcomes of injured patients admitted to trauma centres.</w:t>
            </w:r>
            <w:r w:rsidRPr="00361E30">
              <w:rPr>
                <w:rFonts w:cstheme="minorHAnsi"/>
                <w:i/>
                <w:noProof/>
                <w:lang w:val="en-GB"/>
              </w:rPr>
              <w:t xml:space="preserve"> British Journal of Surgery</w:t>
            </w:r>
            <w:r w:rsidRPr="00361E30">
              <w:rPr>
                <w:rFonts w:cstheme="minorHAnsi"/>
                <w:noProof/>
                <w:lang w:val="en-GB"/>
              </w:rPr>
              <w:t xml:space="preserve"> 101(8) 959-964.</w:t>
            </w:r>
            <w:bookmarkEnd w:id="377"/>
          </w:p>
        </w:tc>
      </w:tr>
      <w:tr w:rsidR="00051908" w:rsidRPr="00361E30" w14:paraId="0E40E0F5" w14:textId="77777777" w:rsidTr="008F67FE">
        <w:trPr>
          <w:cantSplit/>
        </w:trPr>
        <w:tc>
          <w:tcPr>
            <w:tcW w:w="8726" w:type="dxa"/>
          </w:tcPr>
          <w:p w14:paraId="36379AF8" w14:textId="77777777" w:rsidR="00051908" w:rsidRPr="00361E30" w:rsidRDefault="00051908" w:rsidP="00A84367">
            <w:pPr>
              <w:pStyle w:val="ListParagraph"/>
              <w:spacing w:line="240" w:lineRule="auto"/>
              <w:rPr>
                <w:rFonts w:cstheme="minorHAnsi"/>
                <w:noProof/>
                <w:lang w:val="en-GB"/>
              </w:rPr>
            </w:pPr>
            <w:bookmarkStart w:id="378" w:name="_ENREF_150"/>
            <w:r w:rsidRPr="00361E30">
              <w:rPr>
                <w:rFonts w:cstheme="minorHAnsi"/>
                <w:noProof/>
                <w:lang w:val="en-GB"/>
              </w:rPr>
              <w:t>Miller, J. D., et al. (1981). Further experience in the management of severe head injury.</w:t>
            </w:r>
            <w:r w:rsidRPr="00361E30">
              <w:rPr>
                <w:rFonts w:cstheme="minorHAnsi"/>
                <w:i/>
                <w:noProof/>
                <w:lang w:val="en-GB"/>
              </w:rPr>
              <w:t xml:space="preserve"> Journal of Neurosurgery</w:t>
            </w:r>
            <w:r w:rsidRPr="00361E30">
              <w:rPr>
                <w:rFonts w:cstheme="minorHAnsi"/>
                <w:noProof/>
                <w:lang w:val="en-GB"/>
              </w:rPr>
              <w:t xml:space="preserve"> 54(3) 289-299.</w:t>
            </w:r>
            <w:bookmarkEnd w:id="378"/>
          </w:p>
        </w:tc>
      </w:tr>
      <w:tr w:rsidR="00051908" w:rsidRPr="00361E30" w14:paraId="07B44725" w14:textId="77777777" w:rsidTr="008F67FE">
        <w:trPr>
          <w:cantSplit/>
        </w:trPr>
        <w:tc>
          <w:tcPr>
            <w:tcW w:w="8726" w:type="dxa"/>
          </w:tcPr>
          <w:p w14:paraId="6A02C7B4" w14:textId="77777777" w:rsidR="00051908" w:rsidRPr="00361E30" w:rsidRDefault="00051908" w:rsidP="00A84367">
            <w:pPr>
              <w:pStyle w:val="ListParagraph"/>
              <w:spacing w:line="240" w:lineRule="auto"/>
              <w:rPr>
                <w:rFonts w:cstheme="minorHAnsi"/>
                <w:noProof/>
                <w:lang w:val="en-GB"/>
              </w:rPr>
            </w:pPr>
            <w:bookmarkStart w:id="379" w:name="_ENREF_151"/>
            <w:r w:rsidRPr="00361E30">
              <w:rPr>
                <w:rFonts w:cstheme="minorHAnsi"/>
                <w:noProof/>
                <w:lang w:val="en-GB"/>
              </w:rPr>
              <w:t>Mitchell, R., et al. (2010). Age differences in fall-related injury hospitalisations and trauma presentations.</w:t>
            </w:r>
            <w:r w:rsidRPr="00361E30">
              <w:rPr>
                <w:rFonts w:cstheme="minorHAnsi"/>
                <w:i/>
                <w:noProof/>
                <w:lang w:val="en-GB"/>
              </w:rPr>
              <w:t xml:space="preserve"> Australasian Journal of Ageing</w:t>
            </w:r>
            <w:r w:rsidRPr="00361E30">
              <w:rPr>
                <w:rFonts w:cstheme="minorHAnsi"/>
                <w:noProof/>
                <w:lang w:val="en-GB"/>
              </w:rPr>
              <w:t xml:space="preserve"> 29(3) 117-125.</w:t>
            </w:r>
            <w:bookmarkEnd w:id="379"/>
          </w:p>
        </w:tc>
      </w:tr>
      <w:tr w:rsidR="00051908" w:rsidRPr="00361E30" w14:paraId="43C4B080" w14:textId="77777777" w:rsidTr="008F67FE">
        <w:trPr>
          <w:cantSplit/>
        </w:trPr>
        <w:tc>
          <w:tcPr>
            <w:tcW w:w="8726" w:type="dxa"/>
          </w:tcPr>
          <w:p w14:paraId="2A1A087F" w14:textId="77777777" w:rsidR="00051908" w:rsidRPr="00361E30" w:rsidRDefault="00051908" w:rsidP="00A84367">
            <w:pPr>
              <w:pStyle w:val="ListParagraph"/>
              <w:spacing w:line="240" w:lineRule="auto"/>
              <w:rPr>
                <w:rFonts w:cstheme="minorHAnsi"/>
                <w:noProof/>
                <w:lang w:val="en-GB"/>
              </w:rPr>
            </w:pPr>
            <w:bookmarkStart w:id="380" w:name="_ENREF_152"/>
            <w:r w:rsidRPr="00361E30">
              <w:rPr>
                <w:rFonts w:cstheme="minorHAnsi"/>
                <w:noProof/>
                <w:lang w:val="en-GB"/>
              </w:rPr>
              <w:t>Moore, L., et al. (2010). Evaluating the performance of trauma centers: hierarchical modeling should be used.</w:t>
            </w:r>
            <w:r w:rsidRPr="00361E30">
              <w:rPr>
                <w:rFonts w:cstheme="minorHAnsi"/>
                <w:i/>
                <w:noProof/>
                <w:lang w:val="en-GB"/>
              </w:rPr>
              <w:t xml:space="preserve"> Journal of Trauma and Acute Care Surgery</w:t>
            </w:r>
            <w:r w:rsidRPr="00361E30">
              <w:rPr>
                <w:rFonts w:cstheme="minorHAnsi"/>
                <w:noProof/>
                <w:lang w:val="en-GB"/>
              </w:rPr>
              <w:t xml:space="preserve"> 69(5) 1132-1137.</w:t>
            </w:r>
            <w:bookmarkEnd w:id="380"/>
          </w:p>
        </w:tc>
      </w:tr>
      <w:tr w:rsidR="00051908" w:rsidRPr="00361E30" w14:paraId="72761156" w14:textId="77777777" w:rsidTr="008F67FE">
        <w:trPr>
          <w:cantSplit/>
        </w:trPr>
        <w:tc>
          <w:tcPr>
            <w:tcW w:w="8726" w:type="dxa"/>
          </w:tcPr>
          <w:p w14:paraId="6BB3F976" w14:textId="77777777" w:rsidR="00051908" w:rsidRPr="00361E30" w:rsidRDefault="00051908" w:rsidP="00A84367">
            <w:pPr>
              <w:pStyle w:val="ListParagraph"/>
              <w:spacing w:line="240" w:lineRule="auto"/>
              <w:rPr>
                <w:rFonts w:cstheme="minorHAnsi"/>
                <w:noProof/>
                <w:lang w:val="en-GB"/>
              </w:rPr>
            </w:pPr>
            <w:bookmarkStart w:id="381" w:name="_ENREF_153"/>
            <w:r w:rsidRPr="00361E30">
              <w:rPr>
                <w:rFonts w:cstheme="minorHAnsi"/>
                <w:noProof/>
                <w:lang w:val="en-GB"/>
              </w:rPr>
              <w:t>Moore, L., et al. (2012). Trauma centre outcome performance: a comparison of young adults and geriatric patients in an inclusive trauma system.</w:t>
            </w:r>
            <w:r w:rsidRPr="00361E30">
              <w:rPr>
                <w:rFonts w:cstheme="minorHAnsi"/>
                <w:i/>
                <w:noProof/>
                <w:lang w:val="en-GB"/>
              </w:rPr>
              <w:t xml:space="preserve"> Injury</w:t>
            </w:r>
            <w:r w:rsidRPr="00361E30">
              <w:rPr>
                <w:rFonts w:cstheme="minorHAnsi"/>
                <w:noProof/>
                <w:lang w:val="en-GB"/>
              </w:rPr>
              <w:t xml:space="preserve"> 43(9) 1580-1585.</w:t>
            </w:r>
            <w:bookmarkEnd w:id="381"/>
          </w:p>
        </w:tc>
      </w:tr>
      <w:tr w:rsidR="00051908" w:rsidRPr="00361E30" w14:paraId="7FE5A048" w14:textId="77777777" w:rsidTr="008F67FE">
        <w:trPr>
          <w:cantSplit/>
        </w:trPr>
        <w:tc>
          <w:tcPr>
            <w:tcW w:w="8726" w:type="dxa"/>
          </w:tcPr>
          <w:p w14:paraId="3683F89E" w14:textId="77777777" w:rsidR="00051908" w:rsidRPr="00361E30" w:rsidRDefault="00051908" w:rsidP="00A84367">
            <w:pPr>
              <w:pStyle w:val="ListParagraph"/>
              <w:spacing w:line="240" w:lineRule="auto"/>
              <w:rPr>
                <w:rFonts w:cstheme="minorHAnsi"/>
                <w:noProof/>
                <w:lang w:val="en-GB"/>
              </w:rPr>
            </w:pPr>
            <w:bookmarkStart w:id="382" w:name="_ENREF_154"/>
            <w:r w:rsidRPr="00361E30">
              <w:rPr>
                <w:rFonts w:cstheme="minorHAnsi"/>
                <w:noProof/>
                <w:lang w:val="en-GB"/>
              </w:rPr>
              <w:t>Mosenthal, A. C., et al. (2002). Isolated Traumatic Brain Injury: Age Is an Independent Predictor of Mortality and Early Outcome.</w:t>
            </w:r>
            <w:r w:rsidRPr="00361E30">
              <w:rPr>
                <w:rFonts w:cstheme="minorHAnsi"/>
                <w:i/>
                <w:noProof/>
                <w:lang w:val="en-GB"/>
              </w:rPr>
              <w:t xml:space="preserve"> Journal of Trauma and Acute Care Surgery</w:t>
            </w:r>
            <w:r w:rsidRPr="00361E30">
              <w:rPr>
                <w:rFonts w:cstheme="minorHAnsi"/>
                <w:noProof/>
                <w:lang w:val="en-GB"/>
              </w:rPr>
              <w:t xml:space="preserve"> 52(5) 907-911.</w:t>
            </w:r>
            <w:bookmarkEnd w:id="382"/>
          </w:p>
        </w:tc>
      </w:tr>
      <w:tr w:rsidR="00051908" w:rsidRPr="00361E30" w14:paraId="4F0B673D" w14:textId="77777777" w:rsidTr="008F67FE">
        <w:trPr>
          <w:cantSplit/>
        </w:trPr>
        <w:tc>
          <w:tcPr>
            <w:tcW w:w="8726" w:type="dxa"/>
          </w:tcPr>
          <w:p w14:paraId="2742F706" w14:textId="77777777" w:rsidR="00051908" w:rsidRPr="00361E30" w:rsidRDefault="00051908" w:rsidP="00A84367">
            <w:pPr>
              <w:pStyle w:val="ListParagraph"/>
              <w:spacing w:line="240" w:lineRule="auto"/>
              <w:rPr>
                <w:rFonts w:cstheme="minorHAnsi"/>
                <w:noProof/>
                <w:lang w:val="en-GB"/>
              </w:rPr>
            </w:pPr>
            <w:bookmarkStart w:id="383" w:name="_ENREF_155"/>
            <w:r w:rsidRPr="00361E30">
              <w:rPr>
                <w:rFonts w:cstheme="minorHAnsi"/>
                <w:noProof/>
                <w:lang w:val="en-GB"/>
              </w:rPr>
              <w:t>Murray, C. J. L., et al. (2012). Disability-adjusted life years (DALYs) for 291 diseases and injuries in 21 regions, 1990–2010: a systematic analysis for the Global Burden of Disease Study 2010.</w:t>
            </w:r>
            <w:r w:rsidRPr="00361E30">
              <w:rPr>
                <w:rFonts w:cstheme="minorHAnsi"/>
                <w:i/>
                <w:noProof/>
                <w:lang w:val="en-GB"/>
              </w:rPr>
              <w:t xml:space="preserve"> The Lancet</w:t>
            </w:r>
            <w:r w:rsidRPr="00361E30">
              <w:rPr>
                <w:rFonts w:cstheme="minorHAnsi"/>
                <w:noProof/>
                <w:lang w:val="en-GB"/>
              </w:rPr>
              <w:t xml:space="preserve"> 380(9859) 2197-2223.</w:t>
            </w:r>
            <w:bookmarkEnd w:id="383"/>
          </w:p>
        </w:tc>
      </w:tr>
      <w:tr w:rsidR="00051908" w:rsidRPr="00361E30" w14:paraId="08C8A1AB" w14:textId="77777777" w:rsidTr="008F67FE">
        <w:trPr>
          <w:cantSplit/>
        </w:trPr>
        <w:tc>
          <w:tcPr>
            <w:tcW w:w="8726" w:type="dxa"/>
          </w:tcPr>
          <w:p w14:paraId="038462A2" w14:textId="77777777" w:rsidR="00051908" w:rsidRPr="00361E30" w:rsidRDefault="00051908" w:rsidP="00A84367">
            <w:pPr>
              <w:pStyle w:val="ListParagraph"/>
              <w:spacing w:line="240" w:lineRule="auto"/>
              <w:rPr>
                <w:rFonts w:cstheme="minorHAnsi"/>
                <w:noProof/>
                <w:lang w:val="en-GB"/>
              </w:rPr>
            </w:pPr>
            <w:bookmarkStart w:id="384" w:name="_ENREF_156"/>
            <w:r w:rsidRPr="00361E30">
              <w:rPr>
                <w:rFonts w:cstheme="minorHAnsi"/>
                <w:noProof/>
                <w:lang w:val="en-GB"/>
              </w:rPr>
              <w:t>Nakamura, Y., et al. (2012). Evaluating age in the field triage of injured persons.</w:t>
            </w:r>
            <w:r w:rsidRPr="00361E30">
              <w:rPr>
                <w:rFonts w:cstheme="minorHAnsi"/>
                <w:i/>
                <w:noProof/>
                <w:lang w:val="en-GB"/>
              </w:rPr>
              <w:t xml:space="preserve"> Ann Emerg Med</w:t>
            </w:r>
            <w:r w:rsidRPr="00361E30">
              <w:rPr>
                <w:rFonts w:cstheme="minorHAnsi"/>
                <w:noProof/>
                <w:lang w:val="en-GB"/>
              </w:rPr>
              <w:t xml:space="preserve"> 60(3) 335-345.</w:t>
            </w:r>
            <w:bookmarkEnd w:id="384"/>
          </w:p>
        </w:tc>
      </w:tr>
      <w:tr w:rsidR="00051908" w:rsidRPr="00361E30" w14:paraId="4C74A75D" w14:textId="77777777" w:rsidTr="008F67FE">
        <w:trPr>
          <w:cantSplit/>
        </w:trPr>
        <w:tc>
          <w:tcPr>
            <w:tcW w:w="8726" w:type="dxa"/>
          </w:tcPr>
          <w:p w14:paraId="13EED52C" w14:textId="77777777" w:rsidR="00051908" w:rsidRPr="00361E30" w:rsidRDefault="00051908" w:rsidP="00A84367">
            <w:pPr>
              <w:pStyle w:val="ListParagraph"/>
              <w:spacing w:line="240" w:lineRule="auto"/>
              <w:rPr>
                <w:rFonts w:cstheme="minorHAnsi"/>
                <w:noProof/>
                <w:lang w:val="en-GB"/>
              </w:rPr>
            </w:pPr>
            <w:bookmarkStart w:id="385" w:name="_ENREF_157"/>
            <w:r w:rsidRPr="00361E30">
              <w:rPr>
                <w:rFonts w:cstheme="minorHAnsi"/>
                <w:noProof/>
                <w:lang w:val="en-GB"/>
              </w:rPr>
              <w:t>Naraynsingh, R., et al. (2015). Trauma in the elderly in Trinidad and Tobago: a cross-sectional study.</w:t>
            </w:r>
            <w:r w:rsidRPr="00361E30">
              <w:rPr>
                <w:rFonts w:cstheme="minorHAnsi"/>
                <w:i/>
                <w:noProof/>
                <w:lang w:val="en-GB"/>
              </w:rPr>
              <w:t xml:space="preserve"> European Journal of Emergency Medicine</w:t>
            </w:r>
            <w:r w:rsidRPr="00361E30">
              <w:rPr>
                <w:rFonts w:cstheme="minorHAnsi"/>
                <w:noProof/>
                <w:lang w:val="en-GB"/>
              </w:rPr>
              <w:t xml:space="preserve"> 22(3) 219-221.</w:t>
            </w:r>
            <w:bookmarkEnd w:id="385"/>
          </w:p>
        </w:tc>
      </w:tr>
      <w:tr w:rsidR="00051908" w:rsidRPr="00361E30" w14:paraId="3018F2F5" w14:textId="77777777" w:rsidTr="008F67FE">
        <w:trPr>
          <w:cantSplit/>
        </w:trPr>
        <w:tc>
          <w:tcPr>
            <w:tcW w:w="8726" w:type="dxa"/>
          </w:tcPr>
          <w:p w14:paraId="32458556" w14:textId="77777777" w:rsidR="00051908" w:rsidRPr="00361E30" w:rsidRDefault="00051908" w:rsidP="00A84367">
            <w:pPr>
              <w:pStyle w:val="ListParagraph"/>
              <w:spacing w:line="240" w:lineRule="auto"/>
              <w:rPr>
                <w:rFonts w:cstheme="minorHAnsi"/>
                <w:noProof/>
                <w:lang w:val="en-GB"/>
              </w:rPr>
            </w:pPr>
            <w:bookmarkStart w:id="386" w:name="_ENREF_2"/>
            <w:r w:rsidRPr="00361E30">
              <w:rPr>
                <w:rFonts w:cstheme="minorHAnsi"/>
                <w:noProof/>
                <w:lang w:val="en-GB"/>
              </w:rPr>
              <w:t xml:space="preserve">National Institute of Clinical Excellence., (2006). </w:t>
            </w:r>
            <w:r w:rsidRPr="00361E30">
              <w:rPr>
                <w:rFonts w:cstheme="minorHAnsi"/>
                <w:i/>
                <w:noProof/>
                <w:lang w:val="en-GB"/>
              </w:rPr>
              <w:t>Methods for the development of NICE public health guidance.</w:t>
            </w:r>
            <w:r w:rsidRPr="00361E30">
              <w:rPr>
                <w:rFonts w:cstheme="minorHAnsi"/>
                <w:noProof/>
                <w:lang w:val="en-GB"/>
              </w:rPr>
              <w:t xml:space="preserve"> London: NICE.</w:t>
            </w:r>
            <w:bookmarkEnd w:id="386"/>
            <w:r w:rsidRPr="00361E30">
              <w:rPr>
                <w:rFonts w:cstheme="minorHAnsi"/>
                <w:noProof/>
                <w:lang w:val="en-GB"/>
              </w:rPr>
              <w:t xml:space="preserve"> </w:t>
            </w:r>
          </w:p>
        </w:tc>
      </w:tr>
      <w:tr w:rsidR="00051908" w:rsidRPr="00361E30" w14:paraId="13FF5FF2" w14:textId="77777777" w:rsidTr="008F67FE">
        <w:trPr>
          <w:cantSplit/>
        </w:trPr>
        <w:tc>
          <w:tcPr>
            <w:tcW w:w="8726" w:type="dxa"/>
          </w:tcPr>
          <w:p w14:paraId="482D7C1E" w14:textId="77777777" w:rsidR="00051908" w:rsidRPr="00361E30" w:rsidRDefault="00051908" w:rsidP="00A84367">
            <w:pPr>
              <w:pStyle w:val="ListParagraph"/>
              <w:spacing w:line="240" w:lineRule="auto"/>
              <w:rPr>
                <w:rFonts w:cstheme="minorHAnsi"/>
                <w:noProof/>
                <w:lang w:val="en-GB"/>
              </w:rPr>
            </w:pPr>
            <w:bookmarkStart w:id="387" w:name="_ENREF_158"/>
            <w:r w:rsidRPr="00361E30">
              <w:rPr>
                <w:rFonts w:cstheme="minorHAnsi"/>
                <w:noProof/>
                <w:lang w:val="en-GB"/>
              </w:rPr>
              <w:lastRenderedPageBreak/>
              <w:t>Neideen, T., M. Lam and K. Brasel (2008). Preinjury Beta Blockers are Associated With Increased Mortality in Geriatric Trauma Patients.</w:t>
            </w:r>
            <w:r w:rsidRPr="00361E30">
              <w:rPr>
                <w:rFonts w:cstheme="minorHAnsi"/>
                <w:i/>
                <w:noProof/>
                <w:lang w:val="en-GB"/>
              </w:rPr>
              <w:t xml:space="preserve"> Journal of Trauma-Injury Infection and Critical Care</w:t>
            </w:r>
            <w:r w:rsidRPr="00361E30">
              <w:rPr>
                <w:rFonts w:cstheme="minorHAnsi"/>
                <w:noProof/>
                <w:lang w:val="en-GB"/>
              </w:rPr>
              <w:t xml:space="preserve"> 65(5) 1016-1020.</w:t>
            </w:r>
            <w:bookmarkEnd w:id="387"/>
          </w:p>
        </w:tc>
      </w:tr>
      <w:tr w:rsidR="00051908" w:rsidRPr="00361E30" w14:paraId="5F22B544" w14:textId="77777777" w:rsidTr="008F67FE">
        <w:trPr>
          <w:cantSplit/>
        </w:trPr>
        <w:tc>
          <w:tcPr>
            <w:tcW w:w="8726" w:type="dxa"/>
          </w:tcPr>
          <w:p w14:paraId="4710809C" w14:textId="77777777" w:rsidR="00051908" w:rsidRPr="00361E30" w:rsidRDefault="00051908" w:rsidP="00A84367">
            <w:pPr>
              <w:pStyle w:val="ListParagraph"/>
              <w:spacing w:line="240" w:lineRule="auto"/>
              <w:rPr>
                <w:rFonts w:cstheme="minorHAnsi"/>
                <w:noProof/>
                <w:lang w:val="en-GB"/>
              </w:rPr>
            </w:pPr>
            <w:bookmarkStart w:id="388" w:name="_ENREF_159"/>
            <w:r w:rsidRPr="00361E30">
              <w:rPr>
                <w:rFonts w:cstheme="minorHAnsi"/>
                <w:noProof/>
                <w:lang w:val="en-GB"/>
              </w:rPr>
              <w:t>Nevitt, M. C., S. R. Cummings and E. S. Hudes (1991). Risk factors for injurious falls: a prospective study.</w:t>
            </w:r>
            <w:r w:rsidRPr="00361E30">
              <w:rPr>
                <w:rFonts w:cstheme="minorHAnsi"/>
                <w:i/>
                <w:noProof/>
                <w:lang w:val="en-GB"/>
              </w:rPr>
              <w:t xml:space="preserve"> J Gerontol</w:t>
            </w:r>
            <w:r w:rsidRPr="00361E30">
              <w:rPr>
                <w:rFonts w:cstheme="minorHAnsi"/>
                <w:noProof/>
                <w:lang w:val="en-GB"/>
              </w:rPr>
              <w:t xml:space="preserve"> 46(5) M164-170.</w:t>
            </w:r>
            <w:bookmarkEnd w:id="388"/>
          </w:p>
        </w:tc>
      </w:tr>
      <w:tr w:rsidR="00051908" w:rsidRPr="00361E30" w14:paraId="3B47C062" w14:textId="77777777" w:rsidTr="008F67FE">
        <w:trPr>
          <w:cantSplit/>
        </w:trPr>
        <w:tc>
          <w:tcPr>
            <w:tcW w:w="8726" w:type="dxa"/>
          </w:tcPr>
          <w:p w14:paraId="5190CE50" w14:textId="77777777" w:rsidR="00051908" w:rsidRPr="00361E30" w:rsidRDefault="00051908" w:rsidP="00A84367">
            <w:pPr>
              <w:pStyle w:val="ListParagraph"/>
              <w:spacing w:line="240" w:lineRule="auto"/>
              <w:rPr>
                <w:rFonts w:cstheme="minorHAnsi"/>
                <w:noProof/>
                <w:lang w:val="en-GB"/>
              </w:rPr>
            </w:pPr>
            <w:bookmarkStart w:id="389" w:name="_ENREF_160"/>
            <w:r w:rsidRPr="00361E30">
              <w:rPr>
                <w:rFonts w:cstheme="minorHAnsi"/>
                <w:noProof/>
                <w:lang w:val="en-GB"/>
              </w:rPr>
              <w:t>Nicholl, J. and J. Turner (1997). Effectiveness of a regional trauma system in reducing mortality from major trauma: before and after study.</w:t>
            </w:r>
            <w:r w:rsidRPr="00361E30">
              <w:rPr>
                <w:rFonts w:cstheme="minorHAnsi"/>
                <w:i/>
                <w:noProof/>
                <w:lang w:val="en-GB"/>
              </w:rPr>
              <w:t xml:space="preserve"> British Medical Journal</w:t>
            </w:r>
            <w:r w:rsidRPr="00361E30">
              <w:rPr>
                <w:rFonts w:cstheme="minorHAnsi"/>
                <w:noProof/>
                <w:lang w:val="en-GB"/>
              </w:rPr>
              <w:t xml:space="preserve"> 315(7119) 1349-1354.</w:t>
            </w:r>
            <w:bookmarkEnd w:id="389"/>
          </w:p>
        </w:tc>
      </w:tr>
      <w:tr w:rsidR="00051908" w:rsidRPr="00361E30" w14:paraId="4E9E64D1" w14:textId="77777777" w:rsidTr="008F67FE">
        <w:trPr>
          <w:cantSplit/>
        </w:trPr>
        <w:tc>
          <w:tcPr>
            <w:tcW w:w="8726" w:type="dxa"/>
          </w:tcPr>
          <w:p w14:paraId="4AAC49F7" w14:textId="77777777" w:rsidR="00051908" w:rsidRPr="00361E30" w:rsidRDefault="00051908" w:rsidP="00A84367">
            <w:pPr>
              <w:pStyle w:val="ListParagraph"/>
              <w:spacing w:line="240" w:lineRule="auto"/>
              <w:rPr>
                <w:rFonts w:cstheme="minorHAnsi"/>
                <w:noProof/>
                <w:lang w:val="en-GB"/>
              </w:rPr>
            </w:pPr>
            <w:bookmarkStart w:id="390" w:name="_ENREF_161"/>
            <w:r w:rsidRPr="00361E30">
              <w:rPr>
                <w:rFonts w:cstheme="minorHAnsi"/>
                <w:noProof/>
                <w:lang w:val="en-GB"/>
              </w:rPr>
              <w:t>Nicholl, J. P., J. E. Brazier and H. A. Snooks (1995). Effects of London helicopter emergency medical service on survival after trauma.</w:t>
            </w:r>
            <w:r w:rsidRPr="00361E30">
              <w:rPr>
                <w:rFonts w:cstheme="minorHAnsi"/>
                <w:i/>
                <w:noProof/>
                <w:lang w:val="en-GB"/>
              </w:rPr>
              <w:t xml:space="preserve"> British Medical Journal</w:t>
            </w:r>
            <w:r w:rsidRPr="00361E30">
              <w:rPr>
                <w:rFonts w:cstheme="minorHAnsi"/>
                <w:noProof/>
                <w:lang w:val="en-GB"/>
              </w:rPr>
              <w:t xml:space="preserve"> 311(6999) 217-222.</w:t>
            </w:r>
            <w:bookmarkEnd w:id="390"/>
          </w:p>
        </w:tc>
      </w:tr>
      <w:tr w:rsidR="00051908" w:rsidRPr="00361E30" w14:paraId="5024243A" w14:textId="77777777" w:rsidTr="008F67FE">
        <w:trPr>
          <w:cantSplit/>
        </w:trPr>
        <w:tc>
          <w:tcPr>
            <w:tcW w:w="8726" w:type="dxa"/>
          </w:tcPr>
          <w:p w14:paraId="2D8E88D5" w14:textId="77777777" w:rsidR="00051908" w:rsidRPr="00361E30" w:rsidRDefault="00051908" w:rsidP="00A84367">
            <w:pPr>
              <w:pStyle w:val="ListParagraph"/>
              <w:spacing w:line="240" w:lineRule="auto"/>
              <w:rPr>
                <w:rFonts w:cstheme="minorHAnsi"/>
                <w:noProof/>
                <w:lang w:val="en-GB"/>
              </w:rPr>
            </w:pPr>
            <w:bookmarkStart w:id="391" w:name="_ENREF_162"/>
            <w:r w:rsidRPr="00361E30">
              <w:rPr>
                <w:rFonts w:cstheme="minorHAnsi"/>
                <w:noProof/>
                <w:lang w:val="en-GB"/>
              </w:rPr>
              <w:t>Nowak, A. and R. E. Hubbard (2009). Falls and frailty: lessons from complex systems.</w:t>
            </w:r>
            <w:r w:rsidRPr="00361E30">
              <w:rPr>
                <w:rFonts w:cstheme="minorHAnsi"/>
                <w:i/>
                <w:noProof/>
                <w:lang w:val="en-GB"/>
              </w:rPr>
              <w:t xml:space="preserve"> Journal of the Royal Society of Medicine</w:t>
            </w:r>
            <w:r w:rsidRPr="00361E30">
              <w:rPr>
                <w:rFonts w:cstheme="minorHAnsi"/>
                <w:noProof/>
                <w:lang w:val="en-GB"/>
              </w:rPr>
              <w:t xml:space="preserve"> 102(3) 98-102.</w:t>
            </w:r>
            <w:bookmarkEnd w:id="391"/>
          </w:p>
        </w:tc>
      </w:tr>
      <w:tr w:rsidR="00051908" w:rsidRPr="00361E30" w14:paraId="1B64C2F7" w14:textId="77777777" w:rsidTr="008F67FE">
        <w:trPr>
          <w:cantSplit/>
        </w:trPr>
        <w:tc>
          <w:tcPr>
            <w:tcW w:w="8726" w:type="dxa"/>
          </w:tcPr>
          <w:p w14:paraId="158E9E8A" w14:textId="77777777" w:rsidR="00051908" w:rsidRPr="00361E30" w:rsidRDefault="00051908" w:rsidP="00A84367">
            <w:pPr>
              <w:pStyle w:val="ListParagraph"/>
              <w:spacing w:line="240" w:lineRule="auto"/>
              <w:rPr>
                <w:rFonts w:cstheme="minorHAnsi"/>
                <w:noProof/>
                <w:lang w:val="en-GB"/>
              </w:rPr>
            </w:pPr>
            <w:bookmarkStart w:id="392" w:name="_ENREF_163"/>
            <w:r w:rsidRPr="00361E30">
              <w:rPr>
                <w:rFonts w:cstheme="minorHAnsi"/>
                <w:noProof/>
                <w:lang w:val="en-GB"/>
              </w:rPr>
              <w:t>Nydén, K., M. Petersson and M. Nyström (2003). Unsatisfied basic needs of older patients in emergency care environments – obstacles to an active role in decision making.</w:t>
            </w:r>
            <w:r w:rsidRPr="00361E30">
              <w:rPr>
                <w:rFonts w:cstheme="minorHAnsi"/>
                <w:i/>
                <w:noProof/>
                <w:lang w:val="en-GB"/>
              </w:rPr>
              <w:t xml:space="preserve"> Journal of Clinical Nursing</w:t>
            </w:r>
            <w:r w:rsidRPr="00361E30">
              <w:rPr>
                <w:rFonts w:cstheme="minorHAnsi"/>
                <w:noProof/>
                <w:lang w:val="en-GB"/>
              </w:rPr>
              <w:t xml:space="preserve"> 12(2) 268-274.</w:t>
            </w:r>
            <w:bookmarkEnd w:id="392"/>
          </w:p>
        </w:tc>
      </w:tr>
      <w:tr w:rsidR="00051908" w:rsidRPr="00361E30" w14:paraId="03A9CD24" w14:textId="77777777" w:rsidTr="008F67FE">
        <w:trPr>
          <w:cantSplit/>
        </w:trPr>
        <w:tc>
          <w:tcPr>
            <w:tcW w:w="8726" w:type="dxa"/>
          </w:tcPr>
          <w:p w14:paraId="0398455E" w14:textId="77777777" w:rsidR="00051908" w:rsidRPr="00361E30" w:rsidRDefault="00051908" w:rsidP="00A84367">
            <w:pPr>
              <w:pStyle w:val="ListParagraph"/>
              <w:spacing w:line="240" w:lineRule="auto"/>
              <w:rPr>
                <w:rFonts w:cstheme="minorHAnsi"/>
                <w:noProof/>
                <w:lang w:val="en-GB"/>
              </w:rPr>
            </w:pPr>
            <w:bookmarkStart w:id="393" w:name="_ENREF_164"/>
            <w:r w:rsidRPr="00361E30">
              <w:rPr>
                <w:rFonts w:cstheme="minorHAnsi"/>
                <w:noProof/>
                <w:lang w:val="en-GB"/>
              </w:rPr>
              <w:t>Nyman, S. R., et al. (2013). Characteristics of outdoor falls among older people: a qualitative study.</w:t>
            </w:r>
            <w:r w:rsidRPr="00361E30">
              <w:rPr>
                <w:rFonts w:cstheme="minorHAnsi"/>
                <w:i/>
                <w:noProof/>
                <w:lang w:val="en-GB"/>
              </w:rPr>
              <w:t xml:space="preserve"> BMC geriatrics</w:t>
            </w:r>
            <w:r w:rsidRPr="00361E30">
              <w:rPr>
                <w:rFonts w:cstheme="minorHAnsi"/>
                <w:noProof/>
                <w:lang w:val="en-GB"/>
              </w:rPr>
              <w:t xml:space="preserve"> 13(1) 125.</w:t>
            </w:r>
            <w:bookmarkEnd w:id="393"/>
          </w:p>
        </w:tc>
      </w:tr>
      <w:tr w:rsidR="00051908" w:rsidRPr="00361E30" w14:paraId="5076E02E" w14:textId="77777777" w:rsidTr="008F67FE">
        <w:trPr>
          <w:cantSplit/>
        </w:trPr>
        <w:tc>
          <w:tcPr>
            <w:tcW w:w="8726" w:type="dxa"/>
          </w:tcPr>
          <w:p w14:paraId="242F9514" w14:textId="77777777" w:rsidR="00051908" w:rsidRPr="00361E30" w:rsidRDefault="00051908" w:rsidP="00A84367">
            <w:pPr>
              <w:pStyle w:val="ListParagraph"/>
              <w:spacing w:line="240" w:lineRule="auto"/>
              <w:rPr>
                <w:rFonts w:cstheme="minorHAnsi"/>
                <w:noProof/>
                <w:lang w:val="en-GB"/>
              </w:rPr>
            </w:pPr>
            <w:bookmarkStart w:id="394" w:name="_ENREF_173"/>
            <w:r w:rsidRPr="00361E30">
              <w:rPr>
                <w:rFonts w:cstheme="minorHAnsi"/>
                <w:noProof/>
                <w:lang w:val="en-GB"/>
              </w:rPr>
              <w:t>O’Cathain, A., E. Murphy and J. Nicholl (2010). Three techniques for integrating data in mixed methods studies.</w:t>
            </w:r>
            <w:r w:rsidRPr="00361E30">
              <w:rPr>
                <w:rFonts w:cstheme="minorHAnsi"/>
                <w:i/>
                <w:noProof/>
                <w:lang w:val="en-GB"/>
              </w:rPr>
              <w:t xml:space="preserve"> British Medical Journal</w:t>
            </w:r>
            <w:r w:rsidRPr="00361E30">
              <w:rPr>
                <w:rFonts w:cstheme="minorHAnsi"/>
                <w:noProof/>
                <w:lang w:val="en-GB"/>
              </w:rPr>
              <w:t xml:space="preserve"> 341 c4587.</w:t>
            </w:r>
            <w:bookmarkEnd w:id="394"/>
          </w:p>
        </w:tc>
      </w:tr>
      <w:tr w:rsidR="00051908" w:rsidRPr="00361E30" w14:paraId="6FDEBCE7" w14:textId="77777777" w:rsidTr="008F67FE">
        <w:trPr>
          <w:cantSplit/>
        </w:trPr>
        <w:tc>
          <w:tcPr>
            <w:tcW w:w="8726" w:type="dxa"/>
          </w:tcPr>
          <w:p w14:paraId="7B831C39" w14:textId="77777777" w:rsidR="00051908" w:rsidRPr="00361E30" w:rsidRDefault="00051908" w:rsidP="00A84367">
            <w:pPr>
              <w:pStyle w:val="ListParagraph"/>
              <w:spacing w:line="240" w:lineRule="auto"/>
              <w:rPr>
                <w:rFonts w:cstheme="minorHAnsi"/>
                <w:noProof/>
                <w:lang w:val="en-GB"/>
              </w:rPr>
            </w:pPr>
            <w:bookmarkStart w:id="395" w:name="_ENREF_172"/>
            <w:r w:rsidRPr="00361E30">
              <w:rPr>
                <w:rFonts w:cstheme="minorHAnsi"/>
                <w:noProof/>
                <w:lang w:val="en-GB"/>
              </w:rPr>
              <w:t>O’Cathain, A., et al. (2013). Hospital characteristics affecting potentially avoidable emergency admissions: national ecological study.</w:t>
            </w:r>
            <w:r w:rsidRPr="00361E30">
              <w:rPr>
                <w:rFonts w:cstheme="minorHAnsi"/>
                <w:i/>
                <w:noProof/>
                <w:lang w:val="en-GB"/>
              </w:rPr>
              <w:t xml:space="preserve"> Health services management research</w:t>
            </w:r>
            <w:r w:rsidRPr="00361E30">
              <w:rPr>
                <w:rFonts w:cstheme="minorHAnsi"/>
                <w:noProof/>
                <w:lang w:val="en-GB"/>
              </w:rPr>
              <w:t xml:space="preserve"> 26(4) 110-118.</w:t>
            </w:r>
            <w:bookmarkEnd w:id="395"/>
          </w:p>
        </w:tc>
      </w:tr>
      <w:tr w:rsidR="00051908" w:rsidRPr="00361E30" w14:paraId="13972604" w14:textId="77777777" w:rsidTr="008F67FE">
        <w:trPr>
          <w:cantSplit/>
        </w:trPr>
        <w:tc>
          <w:tcPr>
            <w:tcW w:w="8726" w:type="dxa"/>
          </w:tcPr>
          <w:p w14:paraId="4F01D00B" w14:textId="77777777" w:rsidR="00051908" w:rsidRPr="00361E30" w:rsidRDefault="00051908" w:rsidP="00A84367">
            <w:pPr>
              <w:pStyle w:val="ListParagraph"/>
              <w:spacing w:line="240" w:lineRule="auto"/>
              <w:rPr>
                <w:rFonts w:cstheme="minorHAnsi"/>
                <w:noProof/>
                <w:lang w:val="en-GB"/>
              </w:rPr>
            </w:pPr>
            <w:bookmarkStart w:id="396" w:name="_ENREF_169"/>
            <w:r w:rsidRPr="00361E30">
              <w:rPr>
                <w:rFonts w:cstheme="minorHAnsi"/>
                <w:noProof/>
                <w:lang w:val="en-GB"/>
              </w:rPr>
              <w:t>Obreli-Neto, P. R., et al. (2012). Adverse drug reactions caused by drug–drug interactions in elderly outpatients: a prospective cohort study.</w:t>
            </w:r>
            <w:r w:rsidRPr="00361E30">
              <w:rPr>
                <w:rFonts w:cstheme="minorHAnsi"/>
                <w:i/>
                <w:noProof/>
                <w:lang w:val="en-GB"/>
              </w:rPr>
              <w:t xml:space="preserve"> European journal of clinical pharmacology</w:t>
            </w:r>
            <w:r w:rsidRPr="00361E30">
              <w:rPr>
                <w:rFonts w:cstheme="minorHAnsi"/>
                <w:noProof/>
                <w:lang w:val="en-GB"/>
              </w:rPr>
              <w:t xml:space="preserve"> 68(12) 1667-1676.</w:t>
            </w:r>
            <w:bookmarkEnd w:id="396"/>
          </w:p>
        </w:tc>
      </w:tr>
      <w:tr w:rsidR="00051908" w:rsidRPr="00361E30" w14:paraId="3E356989" w14:textId="77777777" w:rsidTr="008F67FE">
        <w:trPr>
          <w:cantSplit/>
        </w:trPr>
        <w:tc>
          <w:tcPr>
            <w:tcW w:w="8726" w:type="dxa"/>
          </w:tcPr>
          <w:p w14:paraId="289A3023" w14:textId="77777777" w:rsidR="00051908" w:rsidRPr="00361E30" w:rsidRDefault="00051908" w:rsidP="00A84367">
            <w:pPr>
              <w:pStyle w:val="ListParagraph"/>
              <w:spacing w:line="240" w:lineRule="auto"/>
              <w:rPr>
                <w:rFonts w:cstheme="minorHAnsi"/>
                <w:noProof/>
                <w:lang w:val="en-GB"/>
              </w:rPr>
            </w:pPr>
            <w:bookmarkStart w:id="397" w:name="_ENREF_167"/>
            <w:r w:rsidRPr="00361E30">
              <w:rPr>
                <w:rFonts w:cstheme="minorHAnsi"/>
                <w:noProof/>
                <w:lang w:val="en-GB"/>
              </w:rPr>
              <w:t>O'Cathain, A., E. Murphy and J. Nicholl (2008). The quality of mixed methods studies in health services research.</w:t>
            </w:r>
            <w:r w:rsidRPr="00361E30">
              <w:rPr>
                <w:rFonts w:cstheme="minorHAnsi"/>
                <w:i/>
                <w:noProof/>
                <w:lang w:val="en-GB"/>
              </w:rPr>
              <w:t xml:space="preserve"> Journal of Health Services Research &amp; Policy</w:t>
            </w:r>
            <w:r w:rsidRPr="00361E30">
              <w:rPr>
                <w:rFonts w:cstheme="minorHAnsi"/>
                <w:noProof/>
                <w:lang w:val="en-GB"/>
              </w:rPr>
              <w:t xml:space="preserve"> 13(2) 92-98.</w:t>
            </w:r>
            <w:bookmarkEnd w:id="397"/>
          </w:p>
        </w:tc>
      </w:tr>
      <w:tr w:rsidR="00051908" w:rsidRPr="00361E30" w14:paraId="05C05BA3" w14:textId="77777777" w:rsidTr="008F67FE">
        <w:trPr>
          <w:cantSplit/>
        </w:trPr>
        <w:tc>
          <w:tcPr>
            <w:tcW w:w="8726" w:type="dxa"/>
          </w:tcPr>
          <w:p w14:paraId="221E76CD" w14:textId="77777777" w:rsidR="00051908" w:rsidRPr="00361E30" w:rsidRDefault="00051908" w:rsidP="00A84367">
            <w:pPr>
              <w:pStyle w:val="ListParagraph"/>
              <w:spacing w:line="240" w:lineRule="auto"/>
              <w:rPr>
                <w:rFonts w:cstheme="minorHAnsi"/>
                <w:noProof/>
                <w:lang w:val="en-GB"/>
              </w:rPr>
            </w:pPr>
            <w:bookmarkStart w:id="398" w:name="_ENREF_165"/>
            <w:r w:rsidRPr="00361E30">
              <w:rPr>
                <w:rFonts w:cstheme="minorHAnsi"/>
                <w:noProof/>
                <w:lang w:val="en-GB"/>
              </w:rPr>
              <w:t>O'Cathain, A., et al. (2013). A system-wide approach to explaining variation in potentially avoidable emergency admissions: national ecological study.</w:t>
            </w:r>
            <w:r w:rsidRPr="00361E30">
              <w:rPr>
                <w:rFonts w:cstheme="minorHAnsi"/>
                <w:i/>
                <w:noProof/>
                <w:lang w:val="en-GB"/>
              </w:rPr>
              <w:t xml:space="preserve"> British Medical Journal of Quality and Safety</w:t>
            </w:r>
            <w:r w:rsidRPr="00361E30">
              <w:rPr>
                <w:rFonts w:cstheme="minorHAnsi"/>
                <w:noProof/>
                <w:lang w:val="en-GB"/>
              </w:rPr>
              <w:t xml:space="preserve"> DOI: bmjqs-2013-002003.</w:t>
            </w:r>
            <w:bookmarkEnd w:id="398"/>
          </w:p>
        </w:tc>
      </w:tr>
      <w:tr w:rsidR="00051908" w:rsidRPr="00361E30" w14:paraId="649DA1DD" w14:textId="77777777" w:rsidTr="008F67FE">
        <w:trPr>
          <w:cantSplit/>
        </w:trPr>
        <w:tc>
          <w:tcPr>
            <w:tcW w:w="8726" w:type="dxa"/>
          </w:tcPr>
          <w:p w14:paraId="3F88226E" w14:textId="77777777" w:rsidR="00051908" w:rsidRPr="00361E30" w:rsidRDefault="00051908" w:rsidP="00A84367">
            <w:pPr>
              <w:pStyle w:val="ListParagraph"/>
              <w:spacing w:line="240" w:lineRule="auto"/>
              <w:rPr>
                <w:rFonts w:cstheme="minorHAnsi"/>
                <w:noProof/>
                <w:lang w:val="en-GB"/>
              </w:rPr>
            </w:pPr>
            <w:bookmarkStart w:id="399" w:name="_ENREF_166"/>
            <w:r w:rsidRPr="00361E30">
              <w:rPr>
                <w:rFonts w:cstheme="minorHAnsi"/>
                <w:noProof/>
                <w:lang w:val="en-GB"/>
              </w:rPr>
              <w:t>O'Cathain, A., et al. (2014). Explaining variation in emergency admissions: a mixed-methods study of emergency and urgent care systems.</w:t>
            </w:r>
            <w:r w:rsidRPr="00361E30">
              <w:rPr>
                <w:rFonts w:cstheme="minorHAnsi"/>
                <w:i/>
                <w:noProof/>
                <w:lang w:val="en-GB"/>
              </w:rPr>
              <w:t xml:space="preserve"> Journal of Health Services Research and Policy</w:t>
            </w:r>
            <w:r w:rsidRPr="00361E30">
              <w:rPr>
                <w:rFonts w:cstheme="minorHAnsi"/>
                <w:noProof/>
                <w:lang w:val="en-GB"/>
              </w:rPr>
              <w:t xml:space="preserve"> 2(48).</w:t>
            </w:r>
            <w:bookmarkEnd w:id="399"/>
          </w:p>
        </w:tc>
      </w:tr>
      <w:tr w:rsidR="00051908" w:rsidRPr="00361E30" w14:paraId="4C37FE2B" w14:textId="77777777" w:rsidTr="008F67FE">
        <w:trPr>
          <w:cantSplit/>
        </w:trPr>
        <w:tc>
          <w:tcPr>
            <w:tcW w:w="8726" w:type="dxa"/>
          </w:tcPr>
          <w:p w14:paraId="0E577534" w14:textId="77777777" w:rsidR="00051908" w:rsidRPr="00361E30" w:rsidRDefault="00051908" w:rsidP="00A84367">
            <w:pPr>
              <w:pStyle w:val="ListParagraph"/>
              <w:spacing w:line="240" w:lineRule="auto"/>
              <w:rPr>
                <w:rFonts w:cstheme="minorHAnsi"/>
                <w:noProof/>
                <w:lang w:val="en-GB"/>
              </w:rPr>
            </w:pPr>
            <w:bookmarkStart w:id="400" w:name="_ENREF_170"/>
            <w:r w:rsidRPr="00361E30">
              <w:rPr>
                <w:rFonts w:cstheme="minorHAnsi"/>
                <w:noProof/>
                <w:lang w:val="en-GB"/>
              </w:rPr>
              <w:t xml:space="preserve">Onwuegbuzie, A. J. and C. Teddlie (2003). A framework for analyzing data in mixed methods research. </w:t>
            </w:r>
            <w:r w:rsidRPr="00361E30">
              <w:rPr>
                <w:rFonts w:cstheme="minorHAnsi"/>
                <w:i/>
                <w:noProof/>
                <w:lang w:val="en-GB"/>
              </w:rPr>
              <w:t>In</w:t>
            </w:r>
            <w:r w:rsidRPr="00361E30">
              <w:rPr>
                <w:rFonts w:cstheme="minorHAnsi"/>
                <w:noProof/>
                <w:lang w:val="en-GB"/>
              </w:rPr>
              <w:t xml:space="preserve"> A. Tashakkori and C. Teddlie eds. </w:t>
            </w:r>
            <w:r w:rsidRPr="00361E30">
              <w:rPr>
                <w:rFonts w:cstheme="minorHAnsi"/>
                <w:i/>
                <w:noProof/>
                <w:lang w:val="en-GB"/>
              </w:rPr>
              <w:t>Handbook of mixed methods in social and behavioral research</w:t>
            </w:r>
            <w:r w:rsidRPr="00361E30">
              <w:rPr>
                <w:rFonts w:cstheme="minorHAnsi"/>
                <w:noProof/>
                <w:lang w:val="en-GB"/>
              </w:rPr>
              <w:t>. California, Sage Publications Inc. 351-383.</w:t>
            </w:r>
            <w:bookmarkEnd w:id="400"/>
          </w:p>
        </w:tc>
      </w:tr>
      <w:tr w:rsidR="00051908" w:rsidRPr="00361E30" w14:paraId="7E0FD56D" w14:textId="77777777" w:rsidTr="008F67FE">
        <w:trPr>
          <w:cantSplit/>
        </w:trPr>
        <w:tc>
          <w:tcPr>
            <w:tcW w:w="8726" w:type="dxa"/>
          </w:tcPr>
          <w:p w14:paraId="1B1E8CE4" w14:textId="77777777" w:rsidR="00051908" w:rsidRPr="00361E30" w:rsidRDefault="00051908" w:rsidP="00A84367">
            <w:pPr>
              <w:pStyle w:val="ListParagraph"/>
              <w:spacing w:line="240" w:lineRule="auto"/>
              <w:rPr>
                <w:rFonts w:cstheme="minorHAnsi"/>
                <w:noProof/>
                <w:lang w:val="en-GB"/>
              </w:rPr>
            </w:pPr>
            <w:bookmarkStart w:id="401" w:name="_ENREF_168"/>
            <w:r w:rsidRPr="00361E30">
              <w:rPr>
                <w:rFonts w:cstheme="minorHAnsi"/>
                <w:noProof/>
                <w:lang w:val="en-GB"/>
              </w:rPr>
              <w:t>O'Reilly, G. M., P. A. Cameron and D. J. Jolley (2012). Which patients have missing data? An analysis of missingness in a trauma registry.</w:t>
            </w:r>
            <w:r w:rsidRPr="00361E30">
              <w:rPr>
                <w:rFonts w:cstheme="minorHAnsi"/>
                <w:i/>
                <w:noProof/>
                <w:lang w:val="en-GB"/>
              </w:rPr>
              <w:t xml:space="preserve"> Injury</w:t>
            </w:r>
            <w:r w:rsidRPr="00361E30">
              <w:rPr>
                <w:rFonts w:cstheme="minorHAnsi"/>
                <w:noProof/>
                <w:lang w:val="en-GB"/>
              </w:rPr>
              <w:t xml:space="preserve"> 43(11) 1917-1923.</w:t>
            </w:r>
            <w:bookmarkEnd w:id="401"/>
          </w:p>
        </w:tc>
      </w:tr>
      <w:tr w:rsidR="00051908" w:rsidRPr="00361E30" w14:paraId="627D2689" w14:textId="77777777" w:rsidTr="008F67FE">
        <w:trPr>
          <w:cantSplit/>
        </w:trPr>
        <w:tc>
          <w:tcPr>
            <w:tcW w:w="8726" w:type="dxa"/>
          </w:tcPr>
          <w:p w14:paraId="407BA531" w14:textId="77777777" w:rsidR="00051908" w:rsidRPr="00361E30" w:rsidRDefault="00051908" w:rsidP="00A84367">
            <w:pPr>
              <w:pStyle w:val="ListParagraph"/>
              <w:spacing w:line="240" w:lineRule="auto"/>
              <w:rPr>
                <w:rFonts w:cstheme="minorHAnsi"/>
                <w:noProof/>
                <w:lang w:val="en-GB"/>
              </w:rPr>
            </w:pPr>
            <w:bookmarkStart w:id="402" w:name="_ENREF_171"/>
            <w:r w:rsidRPr="00361E30">
              <w:rPr>
                <w:rFonts w:cstheme="minorHAnsi"/>
                <w:noProof/>
                <w:lang w:val="en-GB"/>
              </w:rPr>
              <w:lastRenderedPageBreak/>
              <w:t>Oreskovich, M. R., et al. (1984). Geriatric trauma: injury patterns and outcome.</w:t>
            </w:r>
            <w:r w:rsidRPr="00361E30">
              <w:rPr>
                <w:rFonts w:cstheme="minorHAnsi"/>
                <w:i/>
                <w:noProof/>
                <w:lang w:val="en-GB"/>
              </w:rPr>
              <w:t xml:space="preserve"> J Trauma</w:t>
            </w:r>
            <w:r w:rsidRPr="00361E30">
              <w:rPr>
                <w:rFonts w:cstheme="minorHAnsi"/>
                <w:noProof/>
                <w:lang w:val="en-GB"/>
              </w:rPr>
              <w:t xml:space="preserve"> 24(7) 565-572.</w:t>
            </w:r>
            <w:bookmarkEnd w:id="402"/>
          </w:p>
        </w:tc>
      </w:tr>
      <w:tr w:rsidR="00051908" w:rsidRPr="00361E30" w14:paraId="7F5155F3" w14:textId="77777777" w:rsidTr="008F67FE">
        <w:trPr>
          <w:cantSplit/>
        </w:trPr>
        <w:tc>
          <w:tcPr>
            <w:tcW w:w="8726" w:type="dxa"/>
          </w:tcPr>
          <w:p w14:paraId="763C3886" w14:textId="77777777" w:rsidR="00051908" w:rsidRPr="00361E30" w:rsidRDefault="00051908" w:rsidP="00A84367">
            <w:pPr>
              <w:pStyle w:val="ListParagraph"/>
              <w:spacing w:line="240" w:lineRule="auto"/>
              <w:rPr>
                <w:rFonts w:cstheme="minorHAnsi"/>
                <w:noProof/>
                <w:lang w:val="en-GB"/>
              </w:rPr>
            </w:pPr>
            <w:bookmarkStart w:id="403" w:name="_ENREF_174"/>
            <w:r w:rsidRPr="00361E30">
              <w:rPr>
                <w:rFonts w:cstheme="minorHAnsi"/>
                <w:noProof/>
                <w:lang w:val="en-GB"/>
              </w:rPr>
              <w:t>Panno, J. M., et al. (2000). Acute Care for Elders (ACE): a holistic model for geriatric orthopaedic nursing care.</w:t>
            </w:r>
            <w:r w:rsidRPr="00361E30">
              <w:rPr>
                <w:rFonts w:cstheme="minorHAnsi"/>
                <w:i/>
                <w:noProof/>
                <w:lang w:val="en-GB"/>
              </w:rPr>
              <w:t xml:space="preserve"> Orthopaedic Nursing</w:t>
            </w:r>
            <w:r w:rsidRPr="00361E30">
              <w:rPr>
                <w:rFonts w:cstheme="minorHAnsi"/>
                <w:noProof/>
                <w:lang w:val="en-GB"/>
              </w:rPr>
              <w:t xml:space="preserve"> 19(6) 53.</w:t>
            </w:r>
            <w:bookmarkEnd w:id="403"/>
          </w:p>
        </w:tc>
      </w:tr>
      <w:tr w:rsidR="00051908" w:rsidRPr="00361E30" w14:paraId="409C31B9" w14:textId="77777777" w:rsidTr="008F67FE">
        <w:trPr>
          <w:cantSplit/>
        </w:trPr>
        <w:tc>
          <w:tcPr>
            <w:tcW w:w="8726" w:type="dxa"/>
          </w:tcPr>
          <w:p w14:paraId="6E5B536B" w14:textId="77777777" w:rsidR="00051908" w:rsidRPr="00361E30" w:rsidRDefault="00051908" w:rsidP="00A84367">
            <w:pPr>
              <w:pStyle w:val="ListParagraph"/>
              <w:spacing w:line="240" w:lineRule="auto"/>
              <w:rPr>
                <w:rFonts w:cstheme="minorHAnsi"/>
                <w:noProof/>
                <w:lang w:val="en-GB"/>
              </w:rPr>
            </w:pPr>
            <w:bookmarkStart w:id="404" w:name="_ENREF_176"/>
            <w:r w:rsidRPr="00361E30">
              <w:rPr>
                <w:rFonts w:cstheme="minorHAnsi"/>
                <w:noProof/>
                <w:lang w:val="en-GB"/>
              </w:rPr>
              <w:t>Patel, H. C., et al. (2005). Trends in head injury outcome from 1989 to 2003 and the effect of neurosurgical care: an observational study.</w:t>
            </w:r>
            <w:r w:rsidRPr="00361E30">
              <w:rPr>
                <w:rFonts w:cstheme="minorHAnsi"/>
                <w:i/>
                <w:noProof/>
                <w:lang w:val="en-GB"/>
              </w:rPr>
              <w:t xml:space="preserve"> Lancet</w:t>
            </w:r>
            <w:r w:rsidRPr="00361E30">
              <w:rPr>
                <w:rFonts w:cstheme="minorHAnsi"/>
                <w:noProof/>
                <w:lang w:val="en-GB"/>
              </w:rPr>
              <w:t xml:space="preserve"> 366(9496) 1538-1544.</w:t>
            </w:r>
            <w:bookmarkEnd w:id="404"/>
          </w:p>
        </w:tc>
      </w:tr>
      <w:tr w:rsidR="00051908" w:rsidRPr="00361E30" w14:paraId="17314C43" w14:textId="77777777" w:rsidTr="008F67FE">
        <w:trPr>
          <w:cantSplit/>
        </w:trPr>
        <w:tc>
          <w:tcPr>
            <w:tcW w:w="8726" w:type="dxa"/>
          </w:tcPr>
          <w:p w14:paraId="432C57CE" w14:textId="77777777" w:rsidR="00051908" w:rsidRPr="00361E30" w:rsidRDefault="00051908" w:rsidP="00A84367">
            <w:pPr>
              <w:pStyle w:val="ListParagraph"/>
              <w:spacing w:line="240" w:lineRule="auto"/>
              <w:rPr>
                <w:rFonts w:cstheme="minorHAnsi"/>
                <w:noProof/>
                <w:lang w:val="en-GB"/>
              </w:rPr>
            </w:pPr>
            <w:bookmarkStart w:id="405" w:name="_ENREF_175"/>
            <w:r w:rsidRPr="00361E30">
              <w:rPr>
                <w:rFonts w:cstheme="minorHAnsi"/>
                <w:noProof/>
                <w:lang w:val="en-GB"/>
              </w:rPr>
              <w:t>Patel, H., et al. (2010). Clinical article: mortality associated with severe head injury in the elderly.</w:t>
            </w:r>
            <w:r w:rsidRPr="00361E30">
              <w:rPr>
                <w:rFonts w:cstheme="minorHAnsi"/>
                <w:i/>
                <w:noProof/>
                <w:lang w:val="en-GB"/>
              </w:rPr>
              <w:t xml:space="preserve"> Acta Neurochirurgica</w:t>
            </w:r>
            <w:r w:rsidRPr="00361E30">
              <w:rPr>
                <w:rFonts w:cstheme="minorHAnsi"/>
                <w:noProof/>
                <w:lang w:val="en-GB"/>
              </w:rPr>
              <w:t xml:space="preserve"> 152(8) 1353-1357.</w:t>
            </w:r>
            <w:bookmarkEnd w:id="405"/>
          </w:p>
        </w:tc>
      </w:tr>
      <w:tr w:rsidR="00051908" w:rsidRPr="00361E30" w14:paraId="202E0588" w14:textId="77777777" w:rsidTr="008F67FE">
        <w:trPr>
          <w:cantSplit/>
        </w:trPr>
        <w:tc>
          <w:tcPr>
            <w:tcW w:w="8726" w:type="dxa"/>
          </w:tcPr>
          <w:p w14:paraId="59475252" w14:textId="77777777" w:rsidR="00051908" w:rsidRPr="00361E30" w:rsidRDefault="00051908" w:rsidP="00A84367">
            <w:pPr>
              <w:pStyle w:val="ListParagraph"/>
              <w:spacing w:line="240" w:lineRule="auto"/>
              <w:rPr>
                <w:rFonts w:cstheme="minorHAnsi"/>
                <w:noProof/>
                <w:lang w:val="en-GB"/>
              </w:rPr>
            </w:pPr>
            <w:bookmarkStart w:id="406" w:name="_ENREF_177"/>
            <w:r w:rsidRPr="00361E30">
              <w:rPr>
                <w:rFonts w:cstheme="minorHAnsi"/>
                <w:noProof/>
                <w:lang w:val="en-GB"/>
              </w:rPr>
              <w:t>Pentland, B., et al. (1986). Head Injury in the Elderly.</w:t>
            </w:r>
            <w:r w:rsidRPr="00361E30">
              <w:rPr>
                <w:rFonts w:cstheme="minorHAnsi"/>
                <w:i/>
                <w:noProof/>
                <w:lang w:val="en-GB"/>
              </w:rPr>
              <w:t xml:space="preserve"> Age and Ageing</w:t>
            </w:r>
            <w:r w:rsidRPr="00361E30">
              <w:rPr>
                <w:rFonts w:cstheme="minorHAnsi"/>
                <w:noProof/>
                <w:lang w:val="en-GB"/>
              </w:rPr>
              <w:t xml:space="preserve"> 15(4) 193-202.</w:t>
            </w:r>
            <w:bookmarkEnd w:id="406"/>
          </w:p>
        </w:tc>
      </w:tr>
      <w:tr w:rsidR="00051908" w:rsidRPr="00361E30" w14:paraId="5C30F067" w14:textId="77777777" w:rsidTr="008F67FE">
        <w:trPr>
          <w:cantSplit/>
        </w:trPr>
        <w:tc>
          <w:tcPr>
            <w:tcW w:w="8726" w:type="dxa"/>
          </w:tcPr>
          <w:p w14:paraId="209701E8" w14:textId="77777777" w:rsidR="00051908" w:rsidRPr="00361E30" w:rsidRDefault="00051908" w:rsidP="00A84367">
            <w:pPr>
              <w:pStyle w:val="ListParagraph"/>
              <w:spacing w:line="240" w:lineRule="auto"/>
              <w:rPr>
                <w:rFonts w:cstheme="minorHAnsi"/>
                <w:noProof/>
                <w:lang w:val="en-GB"/>
              </w:rPr>
            </w:pPr>
            <w:bookmarkStart w:id="407" w:name="_ENREF_178"/>
            <w:r w:rsidRPr="00361E30">
              <w:rPr>
                <w:rFonts w:cstheme="minorHAnsi"/>
                <w:noProof/>
                <w:lang w:val="en-GB"/>
              </w:rPr>
              <w:t>Redelmeier, D. A., et al. (2001). Major trauma in elderly adults receiving lipid-lowering medications.</w:t>
            </w:r>
            <w:r w:rsidRPr="00361E30">
              <w:rPr>
                <w:rFonts w:cstheme="minorHAnsi"/>
                <w:i/>
                <w:noProof/>
                <w:lang w:val="en-GB"/>
              </w:rPr>
              <w:t xml:space="preserve"> Journal of Trauma and Acute Care Surgery</w:t>
            </w:r>
            <w:r w:rsidRPr="00361E30">
              <w:rPr>
                <w:rFonts w:cstheme="minorHAnsi"/>
                <w:noProof/>
                <w:lang w:val="en-GB"/>
              </w:rPr>
              <w:t xml:space="preserve"> 50(4) 678-683.</w:t>
            </w:r>
            <w:bookmarkEnd w:id="407"/>
          </w:p>
        </w:tc>
      </w:tr>
      <w:tr w:rsidR="00051908" w:rsidRPr="00361E30" w14:paraId="3F7B74D9" w14:textId="77777777" w:rsidTr="008F67FE">
        <w:trPr>
          <w:cantSplit/>
        </w:trPr>
        <w:tc>
          <w:tcPr>
            <w:tcW w:w="8726" w:type="dxa"/>
          </w:tcPr>
          <w:p w14:paraId="5C83986D" w14:textId="77777777" w:rsidR="00051908" w:rsidRPr="00361E30" w:rsidRDefault="00051908" w:rsidP="00A84367">
            <w:pPr>
              <w:pStyle w:val="ListParagraph"/>
              <w:spacing w:line="240" w:lineRule="auto"/>
              <w:rPr>
                <w:rFonts w:cstheme="minorHAnsi"/>
                <w:noProof/>
                <w:lang w:val="en-GB"/>
              </w:rPr>
            </w:pPr>
            <w:bookmarkStart w:id="408" w:name="_ENREF_179"/>
            <w:r w:rsidRPr="00361E30">
              <w:rPr>
                <w:rFonts w:cstheme="minorHAnsi"/>
                <w:noProof/>
                <w:lang w:val="en-GB"/>
              </w:rPr>
              <w:t>Richmond, R., et al. (2011). Age: Is It All in the Head? Factors Influencing Mortality in Elderly Patients With Head Injuries.</w:t>
            </w:r>
            <w:r w:rsidRPr="00361E30">
              <w:rPr>
                <w:rFonts w:cstheme="minorHAnsi"/>
                <w:i/>
                <w:noProof/>
                <w:lang w:val="en-GB"/>
              </w:rPr>
              <w:t xml:space="preserve"> Journal of Trauma-Injury Infection &amp; Critical Care</w:t>
            </w:r>
            <w:r w:rsidRPr="00361E30">
              <w:rPr>
                <w:rFonts w:cstheme="minorHAnsi"/>
                <w:noProof/>
                <w:lang w:val="en-GB"/>
              </w:rPr>
              <w:t xml:space="preserve"> 71(1) E8-E11.</w:t>
            </w:r>
            <w:bookmarkEnd w:id="408"/>
          </w:p>
        </w:tc>
      </w:tr>
      <w:tr w:rsidR="00051908" w:rsidRPr="00361E30" w14:paraId="40E27E3E" w14:textId="77777777" w:rsidTr="008F67FE">
        <w:trPr>
          <w:cantSplit/>
        </w:trPr>
        <w:tc>
          <w:tcPr>
            <w:tcW w:w="8726" w:type="dxa"/>
          </w:tcPr>
          <w:p w14:paraId="7E3E8E35" w14:textId="77777777" w:rsidR="00051908" w:rsidRPr="00361E30" w:rsidRDefault="00051908" w:rsidP="00A84367">
            <w:pPr>
              <w:pStyle w:val="ListParagraph"/>
              <w:spacing w:line="240" w:lineRule="auto"/>
              <w:rPr>
                <w:rFonts w:cstheme="minorHAnsi"/>
                <w:noProof/>
                <w:lang w:val="en-GB"/>
              </w:rPr>
            </w:pPr>
            <w:bookmarkStart w:id="409" w:name="_ENREF_180"/>
            <w:r w:rsidRPr="00361E30">
              <w:rPr>
                <w:rFonts w:cstheme="minorHAnsi"/>
                <w:noProof/>
                <w:lang w:val="en-GB"/>
              </w:rPr>
              <w:t>Richmond, T. S., et al. (2002). Characteristics and Outcomes of Serious Traumatic Injury in Older Adults.</w:t>
            </w:r>
            <w:r w:rsidRPr="00361E30">
              <w:rPr>
                <w:rFonts w:cstheme="minorHAnsi"/>
                <w:i/>
                <w:noProof/>
                <w:lang w:val="en-GB"/>
              </w:rPr>
              <w:t xml:space="preserve"> Journal of the American Geriatrics Society</w:t>
            </w:r>
            <w:r w:rsidRPr="00361E30">
              <w:rPr>
                <w:rFonts w:cstheme="minorHAnsi"/>
                <w:noProof/>
                <w:lang w:val="en-GB"/>
              </w:rPr>
              <w:t xml:space="preserve"> 50(2) 215-222.</w:t>
            </w:r>
            <w:bookmarkEnd w:id="409"/>
          </w:p>
        </w:tc>
      </w:tr>
      <w:tr w:rsidR="00051908" w:rsidRPr="00361E30" w14:paraId="6328682F" w14:textId="77777777" w:rsidTr="008F67FE">
        <w:trPr>
          <w:cantSplit/>
        </w:trPr>
        <w:tc>
          <w:tcPr>
            <w:tcW w:w="8726" w:type="dxa"/>
          </w:tcPr>
          <w:p w14:paraId="4C11D515" w14:textId="77777777" w:rsidR="00051908" w:rsidRPr="00361E30" w:rsidRDefault="00051908" w:rsidP="00A84367">
            <w:pPr>
              <w:pStyle w:val="ListParagraph"/>
              <w:spacing w:line="240" w:lineRule="auto"/>
              <w:rPr>
                <w:rFonts w:cstheme="minorHAnsi"/>
                <w:noProof/>
                <w:lang w:val="en-GB"/>
              </w:rPr>
            </w:pPr>
            <w:bookmarkStart w:id="410" w:name="_ENREF_3"/>
            <w:r w:rsidRPr="00361E30">
              <w:rPr>
                <w:rFonts w:cstheme="minorHAnsi"/>
                <w:noProof/>
                <w:lang w:val="en-GB"/>
              </w:rPr>
              <w:t xml:space="preserve">Ritchie et al., (2013). </w:t>
            </w:r>
            <w:r w:rsidRPr="00361E30">
              <w:rPr>
                <w:rFonts w:cstheme="minorHAnsi"/>
                <w:i/>
                <w:noProof/>
                <w:lang w:val="en-GB"/>
              </w:rPr>
              <w:t>Qualitative research practice: A guide for social science students and researchers</w:t>
            </w:r>
            <w:r w:rsidRPr="00361E30">
              <w:rPr>
                <w:rFonts w:cstheme="minorHAnsi"/>
                <w:noProof/>
                <w:lang w:val="en-GB"/>
              </w:rPr>
              <w:t>. 2nd ed. London: Sage Publications.</w:t>
            </w:r>
            <w:bookmarkEnd w:id="410"/>
          </w:p>
        </w:tc>
      </w:tr>
      <w:tr w:rsidR="00051908" w:rsidRPr="00361E30" w14:paraId="2F9D7DD5" w14:textId="77777777" w:rsidTr="008F67FE">
        <w:trPr>
          <w:cantSplit/>
        </w:trPr>
        <w:tc>
          <w:tcPr>
            <w:tcW w:w="8726" w:type="dxa"/>
          </w:tcPr>
          <w:p w14:paraId="2031BFF3" w14:textId="77777777" w:rsidR="00051908" w:rsidRPr="00361E30" w:rsidRDefault="00051908" w:rsidP="00A84367">
            <w:pPr>
              <w:pStyle w:val="ListParagraph"/>
              <w:spacing w:line="240" w:lineRule="auto"/>
              <w:rPr>
                <w:rFonts w:cstheme="minorHAnsi"/>
                <w:noProof/>
                <w:lang w:val="en-GB"/>
              </w:rPr>
            </w:pPr>
            <w:bookmarkStart w:id="411" w:name="_ENREF_181"/>
            <w:r w:rsidRPr="00361E30">
              <w:rPr>
                <w:rFonts w:cstheme="minorHAnsi"/>
                <w:noProof/>
                <w:lang w:val="en-GB"/>
              </w:rPr>
              <w:t>Roche, J., et al. (2005). Effect of comorbidities and postoperative complications on mortality after hip fracture in elderly people: prospective observational cohort study.</w:t>
            </w:r>
            <w:r w:rsidRPr="00361E30">
              <w:rPr>
                <w:rFonts w:cstheme="minorHAnsi"/>
                <w:i/>
                <w:noProof/>
                <w:lang w:val="en-GB"/>
              </w:rPr>
              <w:t xml:space="preserve"> British Medical Journal</w:t>
            </w:r>
            <w:r w:rsidRPr="00361E30">
              <w:rPr>
                <w:rFonts w:cstheme="minorHAnsi"/>
                <w:noProof/>
                <w:lang w:val="en-GB"/>
              </w:rPr>
              <w:t xml:space="preserve"> 331(7529) 1374.</w:t>
            </w:r>
            <w:bookmarkEnd w:id="411"/>
          </w:p>
        </w:tc>
      </w:tr>
      <w:tr w:rsidR="00051908" w:rsidRPr="00361E30" w14:paraId="08D1FFAD" w14:textId="77777777" w:rsidTr="008F67FE">
        <w:trPr>
          <w:cantSplit/>
        </w:trPr>
        <w:tc>
          <w:tcPr>
            <w:tcW w:w="8726" w:type="dxa"/>
          </w:tcPr>
          <w:p w14:paraId="47F122D4" w14:textId="77777777" w:rsidR="00051908" w:rsidRPr="00361E30" w:rsidRDefault="00051908" w:rsidP="00A84367">
            <w:pPr>
              <w:pStyle w:val="ListParagraph"/>
              <w:spacing w:line="240" w:lineRule="auto"/>
              <w:rPr>
                <w:rFonts w:cstheme="minorHAnsi"/>
                <w:noProof/>
                <w:lang w:val="en-GB"/>
              </w:rPr>
            </w:pPr>
            <w:bookmarkStart w:id="412" w:name="_ENREF_182"/>
            <w:r w:rsidRPr="00361E30">
              <w:rPr>
                <w:rFonts w:cstheme="minorHAnsi"/>
                <w:noProof/>
                <w:lang w:val="en-GB"/>
              </w:rPr>
              <w:t>Rockwood, K. (2005). What would make a definition of frailty successful?</w:t>
            </w:r>
            <w:r w:rsidRPr="00361E30">
              <w:rPr>
                <w:rFonts w:cstheme="minorHAnsi"/>
                <w:i/>
                <w:noProof/>
                <w:lang w:val="en-GB"/>
              </w:rPr>
              <w:t xml:space="preserve"> Age and Ageing</w:t>
            </w:r>
            <w:r w:rsidRPr="00361E30">
              <w:rPr>
                <w:rFonts w:cstheme="minorHAnsi"/>
                <w:noProof/>
                <w:lang w:val="en-GB"/>
              </w:rPr>
              <w:t xml:space="preserve"> 34(5) 432-434.</w:t>
            </w:r>
            <w:bookmarkEnd w:id="412"/>
          </w:p>
        </w:tc>
      </w:tr>
      <w:tr w:rsidR="00B869AD" w:rsidRPr="00361E30" w14:paraId="6CD743DF" w14:textId="77777777" w:rsidTr="008F67FE">
        <w:trPr>
          <w:cantSplit/>
        </w:trPr>
        <w:tc>
          <w:tcPr>
            <w:tcW w:w="8726" w:type="dxa"/>
          </w:tcPr>
          <w:p w14:paraId="7B4A4F75" w14:textId="77777777" w:rsidR="00B869AD" w:rsidRPr="00361E30" w:rsidRDefault="00B869AD" w:rsidP="00A84367">
            <w:pPr>
              <w:pStyle w:val="ListParagraph"/>
              <w:spacing w:line="240" w:lineRule="auto"/>
              <w:rPr>
                <w:rFonts w:cstheme="minorHAnsi"/>
                <w:noProof/>
                <w:lang w:val="en-GB"/>
              </w:rPr>
            </w:pPr>
            <w:r w:rsidRPr="00361E30">
              <w:rPr>
                <w:rFonts w:cstheme="minorHAnsi"/>
                <w:noProof/>
                <w:lang w:val="en-GB"/>
              </w:rPr>
              <w:t>Rockwood K, Mitnitski A. Frailty in relation to the accumulation of deficits. J Gerontol A Biol Sci Med Sci 2007; 62: 722–7.</w:t>
            </w:r>
          </w:p>
        </w:tc>
      </w:tr>
      <w:tr w:rsidR="00051908" w:rsidRPr="00361E30" w14:paraId="3AED2525" w14:textId="77777777" w:rsidTr="008F67FE">
        <w:trPr>
          <w:cantSplit/>
        </w:trPr>
        <w:tc>
          <w:tcPr>
            <w:tcW w:w="8726" w:type="dxa"/>
          </w:tcPr>
          <w:p w14:paraId="1953B255" w14:textId="77777777" w:rsidR="00051908" w:rsidRPr="00361E30" w:rsidRDefault="00051908" w:rsidP="00A84367">
            <w:pPr>
              <w:pStyle w:val="ListParagraph"/>
              <w:spacing w:line="240" w:lineRule="auto"/>
              <w:rPr>
                <w:rFonts w:cstheme="minorHAnsi"/>
                <w:noProof/>
                <w:lang w:val="en-GB"/>
              </w:rPr>
            </w:pPr>
            <w:bookmarkStart w:id="413" w:name="_ENREF_183"/>
            <w:r w:rsidRPr="00361E30">
              <w:rPr>
                <w:rFonts w:cstheme="minorHAnsi"/>
                <w:noProof/>
                <w:lang w:val="en-GB"/>
              </w:rPr>
              <w:t>Rodriguez-Manas, L., et al. (2013). Searching for an operational definition of frailty: a Delphi method based consensus statement: the frailty operative definition-consensus conference project.</w:t>
            </w:r>
            <w:r w:rsidRPr="00361E30">
              <w:rPr>
                <w:rFonts w:cstheme="minorHAnsi"/>
                <w:i/>
                <w:noProof/>
                <w:lang w:val="en-GB"/>
              </w:rPr>
              <w:t xml:space="preserve"> Journal of Gerontology A: Biological Science and Medical Science</w:t>
            </w:r>
            <w:r w:rsidRPr="00361E30">
              <w:rPr>
                <w:rFonts w:cstheme="minorHAnsi"/>
                <w:noProof/>
                <w:lang w:val="en-GB"/>
              </w:rPr>
              <w:t xml:space="preserve"> 68(1) 62-67.</w:t>
            </w:r>
            <w:bookmarkEnd w:id="413"/>
          </w:p>
        </w:tc>
      </w:tr>
      <w:tr w:rsidR="00051908" w:rsidRPr="00361E30" w14:paraId="1EF3FD95" w14:textId="77777777" w:rsidTr="008F67FE">
        <w:trPr>
          <w:cantSplit/>
        </w:trPr>
        <w:tc>
          <w:tcPr>
            <w:tcW w:w="8726" w:type="dxa"/>
          </w:tcPr>
          <w:p w14:paraId="36B6D41C" w14:textId="77777777" w:rsidR="00051908" w:rsidRPr="00361E30" w:rsidRDefault="00051908" w:rsidP="00A84367">
            <w:pPr>
              <w:pStyle w:val="ListParagraph"/>
              <w:spacing w:line="240" w:lineRule="auto"/>
              <w:rPr>
                <w:rFonts w:cstheme="minorHAnsi"/>
                <w:noProof/>
                <w:lang w:val="en-GB"/>
              </w:rPr>
            </w:pPr>
            <w:bookmarkStart w:id="414" w:name="_ENREF_184"/>
            <w:r w:rsidRPr="00361E30">
              <w:rPr>
                <w:rFonts w:cstheme="minorHAnsi"/>
                <w:noProof/>
                <w:lang w:val="en-GB"/>
              </w:rPr>
              <w:t>Roebuck, J. (1979). When Does" Old Age Begin?: The Evolution of the English Definition.</w:t>
            </w:r>
            <w:r w:rsidRPr="00361E30">
              <w:rPr>
                <w:rFonts w:cstheme="minorHAnsi"/>
                <w:i/>
                <w:noProof/>
                <w:lang w:val="en-GB"/>
              </w:rPr>
              <w:t xml:space="preserve"> Journal of Social History</w:t>
            </w:r>
            <w:r w:rsidRPr="00361E30">
              <w:rPr>
                <w:rFonts w:cstheme="minorHAnsi"/>
                <w:noProof/>
                <w:lang w:val="en-GB"/>
              </w:rPr>
              <w:t xml:space="preserve"> 416-428.</w:t>
            </w:r>
            <w:bookmarkEnd w:id="414"/>
          </w:p>
        </w:tc>
      </w:tr>
      <w:tr w:rsidR="00051908" w:rsidRPr="00361E30" w14:paraId="5CDA9520" w14:textId="77777777" w:rsidTr="008F67FE">
        <w:trPr>
          <w:cantSplit/>
        </w:trPr>
        <w:tc>
          <w:tcPr>
            <w:tcW w:w="8726" w:type="dxa"/>
          </w:tcPr>
          <w:p w14:paraId="1153F494" w14:textId="77777777" w:rsidR="00051908" w:rsidRPr="00361E30" w:rsidRDefault="00051908" w:rsidP="00A84367">
            <w:pPr>
              <w:pStyle w:val="ListParagraph"/>
              <w:spacing w:line="240" w:lineRule="auto"/>
              <w:rPr>
                <w:rFonts w:cstheme="minorHAnsi"/>
                <w:noProof/>
                <w:lang w:val="en-GB"/>
              </w:rPr>
            </w:pPr>
            <w:bookmarkStart w:id="415" w:name="_ENREF_185"/>
            <w:r w:rsidRPr="00361E30">
              <w:rPr>
                <w:rFonts w:cstheme="minorHAnsi"/>
                <w:noProof/>
                <w:lang w:val="en-GB"/>
              </w:rPr>
              <w:t>Roos, N. P. and B. Havens (1991). Predictors of successful aging: a twelve-year study of Manitoba elderly.</w:t>
            </w:r>
            <w:r w:rsidRPr="00361E30">
              <w:rPr>
                <w:rFonts w:cstheme="minorHAnsi"/>
                <w:i/>
                <w:noProof/>
                <w:lang w:val="en-GB"/>
              </w:rPr>
              <w:t xml:space="preserve"> American Journal of Public Health</w:t>
            </w:r>
            <w:r w:rsidRPr="00361E30">
              <w:rPr>
                <w:rFonts w:cstheme="minorHAnsi"/>
                <w:noProof/>
                <w:lang w:val="en-GB"/>
              </w:rPr>
              <w:t xml:space="preserve"> 81(1) 63-68.</w:t>
            </w:r>
            <w:bookmarkEnd w:id="415"/>
          </w:p>
        </w:tc>
      </w:tr>
      <w:tr w:rsidR="00051908" w:rsidRPr="00361E30" w14:paraId="0357A161" w14:textId="77777777" w:rsidTr="008F67FE">
        <w:trPr>
          <w:cantSplit/>
        </w:trPr>
        <w:tc>
          <w:tcPr>
            <w:tcW w:w="8726" w:type="dxa"/>
          </w:tcPr>
          <w:p w14:paraId="4897D1C7" w14:textId="77777777" w:rsidR="00051908" w:rsidRPr="00361E30" w:rsidRDefault="00051908" w:rsidP="00A84367">
            <w:pPr>
              <w:pStyle w:val="ListParagraph"/>
              <w:spacing w:line="240" w:lineRule="auto"/>
              <w:rPr>
                <w:rFonts w:cstheme="minorHAnsi"/>
                <w:noProof/>
                <w:lang w:val="en-GB"/>
              </w:rPr>
            </w:pPr>
            <w:bookmarkStart w:id="416" w:name="_ENREF_186"/>
            <w:r w:rsidRPr="00361E30">
              <w:rPr>
                <w:rFonts w:cstheme="minorHAnsi"/>
                <w:noProof/>
                <w:lang w:val="en-GB"/>
              </w:rPr>
              <w:t>Rose, J., S. Valtonen and B. Jennett (1977). Avoidable factors contributing to death after head injury.</w:t>
            </w:r>
            <w:r w:rsidRPr="00361E30">
              <w:rPr>
                <w:rFonts w:cstheme="minorHAnsi"/>
                <w:i/>
                <w:noProof/>
                <w:lang w:val="en-GB"/>
              </w:rPr>
              <w:t xml:space="preserve"> British Medical Journal</w:t>
            </w:r>
            <w:r w:rsidRPr="00361E30">
              <w:rPr>
                <w:rFonts w:cstheme="minorHAnsi"/>
                <w:noProof/>
                <w:lang w:val="en-GB"/>
              </w:rPr>
              <w:t xml:space="preserve"> 2(6087) 615-618.</w:t>
            </w:r>
            <w:bookmarkEnd w:id="416"/>
          </w:p>
        </w:tc>
      </w:tr>
      <w:tr w:rsidR="00051908" w:rsidRPr="00361E30" w14:paraId="6E49628A" w14:textId="77777777" w:rsidTr="008F67FE">
        <w:trPr>
          <w:cantSplit/>
        </w:trPr>
        <w:tc>
          <w:tcPr>
            <w:tcW w:w="8726" w:type="dxa"/>
          </w:tcPr>
          <w:p w14:paraId="53D6B0CC" w14:textId="77777777" w:rsidR="00051908" w:rsidRPr="00361E30" w:rsidRDefault="00051908" w:rsidP="00A84367">
            <w:pPr>
              <w:pStyle w:val="ListParagraph"/>
              <w:spacing w:line="240" w:lineRule="auto"/>
              <w:rPr>
                <w:rFonts w:cstheme="minorHAnsi"/>
                <w:noProof/>
                <w:lang w:val="en-GB"/>
              </w:rPr>
            </w:pPr>
            <w:bookmarkStart w:id="417" w:name="_ENREF_187"/>
            <w:r w:rsidRPr="00361E30">
              <w:rPr>
                <w:rFonts w:cstheme="minorHAnsi"/>
                <w:noProof/>
                <w:lang w:val="en-GB"/>
              </w:rPr>
              <w:lastRenderedPageBreak/>
              <w:t>Rutledge, R., et al. (1998). The end of the Injury Severity Score (ISS) and the Trauma and Injury Severity Score (TRISS): ICISS, an International Classification of Diseases, ninth revision-based prediction tool, outperforms both ISS and TRISS as predictors of trauma patient survival, hospital charges, and hospital length of stay.</w:t>
            </w:r>
            <w:r w:rsidRPr="00361E30">
              <w:rPr>
                <w:rFonts w:cstheme="minorHAnsi"/>
                <w:i/>
                <w:noProof/>
                <w:lang w:val="en-GB"/>
              </w:rPr>
              <w:t xml:space="preserve"> Journal of Trauma and Acute Care Surgery</w:t>
            </w:r>
            <w:r w:rsidRPr="00361E30">
              <w:rPr>
                <w:rFonts w:cstheme="minorHAnsi"/>
                <w:noProof/>
                <w:lang w:val="en-GB"/>
              </w:rPr>
              <w:t xml:space="preserve"> 44(1) 41-49.</w:t>
            </w:r>
            <w:bookmarkEnd w:id="417"/>
          </w:p>
        </w:tc>
      </w:tr>
      <w:tr w:rsidR="00051908" w:rsidRPr="00361E30" w14:paraId="57D18C32" w14:textId="77777777" w:rsidTr="008F67FE">
        <w:trPr>
          <w:cantSplit/>
        </w:trPr>
        <w:tc>
          <w:tcPr>
            <w:tcW w:w="8726" w:type="dxa"/>
          </w:tcPr>
          <w:p w14:paraId="10563F92" w14:textId="77777777" w:rsidR="00051908" w:rsidRPr="00361E30" w:rsidRDefault="00051908" w:rsidP="00A84367">
            <w:pPr>
              <w:pStyle w:val="ListParagraph"/>
              <w:spacing w:line="240" w:lineRule="auto"/>
              <w:rPr>
                <w:rFonts w:cstheme="minorHAnsi"/>
                <w:noProof/>
                <w:lang w:val="en-GB"/>
              </w:rPr>
            </w:pPr>
            <w:bookmarkStart w:id="418" w:name="_ENREF_189"/>
            <w:r w:rsidRPr="00361E30">
              <w:rPr>
                <w:rFonts w:cstheme="minorHAnsi"/>
                <w:noProof/>
                <w:lang w:val="en-GB"/>
              </w:rPr>
              <w:t>Sammy, I., et al. (2016b). Factors affecting mortality in older trauma patients—A systematic review and meta-analysis.</w:t>
            </w:r>
            <w:r w:rsidRPr="00361E30">
              <w:rPr>
                <w:rFonts w:cstheme="minorHAnsi"/>
                <w:i/>
                <w:noProof/>
                <w:lang w:val="en-GB"/>
              </w:rPr>
              <w:t xml:space="preserve"> Injury</w:t>
            </w:r>
            <w:r w:rsidRPr="00361E30">
              <w:rPr>
                <w:rFonts w:cstheme="minorHAnsi"/>
                <w:noProof/>
                <w:lang w:val="en-GB"/>
              </w:rPr>
              <w:t xml:space="preserve"> 47(6) 1170-1183.</w:t>
            </w:r>
            <w:bookmarkEnd w:id="418"/>
          </w:p>
        </w:tc>
      </w:tr>
      <w:tr w:rsidR="00051908" w:rsidRPr="00361E30" w14:paraId="11EE0157" w14:textId="77777777" w:rsidTr="008F67FE">
        <w:trPr>
          <w:cantSplit/>
        </w:trPr>
        <w:tc>
          <w:tcPr>
            <w:tcW w:w="8726" w:type="dxa"/>
          </w:tcPr>
          <w:p w14:paraId="1CFC30EF" w14:textId="77777777" w:rsidR="00051908" w:rsidRPr="00361E30" w:rsidRDefault="00051908" w:rsidP="00A84367">
            <w:pPr>
              <w:pStyle w:val="ListParagraph"/>
              <w:spacing w:line="240" w:lineRule="auto"/>
              <w:rPr>
                <w:rFonts w:cstheme="minorHAnsi"/>
                <w:noProof/>
                <w:lang w:val="en-GB"/>
              </w:rPr>
            </w:pPr>
            <w:bookmarkStart w:id="419" w:name="_ENREF_188"/>
            <w:r w:rsidRPr="00361E30">
              <w:rPr>
                <w:rFonts w:cstheme="minorHAnsi"/>
                <w:noProof/>
                <w:lang w:val="en-GB"/>
              </w:rPr>
              <w:t>Sammy, I., F. Lecky and A. O'Cathain (2016a). Older people are not all the same: lessons from a major trauma database.</w:t>
            </w:r>
            <w:r w:rsidRPr="00361E30">
              <w:rPr>
                <w:rFonts w:cstheme="minorHAnsi"/>
                <w:i/>
                <w:noProof/>
                <w:lang w:val="en-GB"/>
              </w:rPr>
              <w:t xml:space="preserve"> Emergency Medicine Journal</w:t>
            </w:r>
            <w:r w:rsidRPr="00361E30">
              <w:rPr>
                <w:rFonts w:cstheme="minorHAnsi"/>
                <w:noProof/>
                <w:lang w:val="en-GB"/>
              </w:rPr>
              <w:t xml:space="preserve"> 33(12) 920-920.</w:t>
            </w:r>
            <w:bookmarkEnd w:id="419"/>
          </w:p>
        </w:tc>
      </w:tr>
      <w:tr w:rsidR="00051908" w:rsidRPr="00361E30" w14:paraId="51552F4E" w14:textId="77777777" w:rsidTr="008F67FE">
        <w:trPr>
          <w:cantSplit/>
        </w:trPr>
        <w:tc>
          <w:tcPr>
            <w:tcW w:w="8726" w:type="dxa"/>
          </w:tcPr>
          <w:p w14:paraId="72B62924" w14:textId="77777777" w:rsidR="00051908" w:rsidRPr="00361E30" w:rsidRDefault="00051908" w:rsidP="00A84367">
            <w:pPr>
              <w:pStyle w:val="ListParagraph"/>
              <w:spacing w:line="240" w:lineRule="auto"/>
              <w:rPr>
                <w:rFonts w:cstheme="minorHAnsi"/>
                <w:noProof/>
                <w:lang w:val="en-GB"/>
              </w:rPr>
            </w:pPr>
            <w:bookmarkStart w:id="420" w:name="_ENREF_190"/>
            <w:r w:rsidRPr="00361E30">
              <w:rPr>
                <w:rFonts w:cstheme="minorHAnsi"/>
                <w:noProof/>
                <w:lang w:val="en-GB"/>
              </w:rPr>
              <w:t>Sampalis, J. S., et al. (2009). Assessment of Mortality in Older Trauma Patients Sustaining Injuries from Falls or Motor Vehicle Collisions Treated in Regional Level I Trauma Centers.</w:t>
            </w:r>
            <w:r w:rsidRPr="00361E30">
              <w:rPr>
                <w:rFonts w:cstheme="minorHAnsi"/>
                <w:i/>
                <w:noProof/>
                <w:lang w:val="en-GB"/>
              </w:rPr>
              <w:t xml:space="preserve"> Annals of Surgery</w:t>
            </w:r>
            <w:r w:rsidRPr="00361E30">
              <w:rPr>
                <w:rFonts w:cstheme="minorHAnsi"/>
                <w:noProof/>
                <w:lang w:val="en-GB"/>
              </w:rPr>
              <w:t xml:space="preserve"> 249(3) 488-495.</w:t>
            </w:r>
            <w:bookmarkEnd w:id="420"/>
          </w:p>
        </w:tc>
      </w:tr>
      <w:tr w:rsidR="00051908" w:rsidRPr="00361E30" w14:paraId="6A58FEA2" w14:textId="77777777" w:rsidTr="008F67FE">
        <w:trPr>
          <w:cantSplit/>
        </w:trPr>
        <w:tc>
          <w:tcPr>
            <w:tcW w:w="8726" w:type="dxa"/>
          </w:tcPr>
          <w:p w14:paraId="4C04AC76" w14:textId="77777777" w:rsidR="00051908" w:rsidRPr="00361E30" w:rsidRDefault="00051908" w:rsidP="00A84367">
            <w:pPr>
              <w:pStyle w:val="ListParagraph"/>
              <w:spacing w:line="240" w:lineRule="auto"/>
              <w:rPr>
                <w:rFonts w:cstheme="minorHAnsi"/>
                <w:noProof/>
                <w:lang w:val="en-GB"/>
              </w:rPr>
            </w:pPr>
            <w:bookmarkStart w:id="421" w:name="_ENREF_191"/>
            <w:r w:rsidRPr="00361E30">
              <w:rPr>
                <w:rFonts w:cstheme="minorHAnsi"/>
                <w:noProof/>
                <w:lang w:val="en-GB"/>
              </w:rPr>
              <w:t>Sanderson, W. C. and S. Scherbov (2013). The characteristics approach to measurement of population aging.</w:t>
            </w:r>
            <w:r w:rsidRPr="00361E30">
              <w:rPr>
                <w:rFonts w:cstheme="minorHAnsi"/>
                <w:i/>
                <w:noProof/>
                <w:lang w:val="en-GB"/>
              </w:rPr>
              <w:t xml:space="preserve"> Population and Development Review</w:t>
            </w:r>
            <w:r w:rsidRPr="00361E30">
              <w:rPr>
                <w:rFonts w:cstheme="minorHAnsi"/>
                <w:noProof/>
                <w:lang w:val="en-GB"/>
              </w:rPr>
              <w:t xml:space="preserve"> 39(4) 673 - 785.</w:t>
            </w:r>
            <w:bookmarkEnd w:id="421"/>
          </w:p>
        </w:tc>
      </w:tr>
      <w:tr w:rsidR="00051908" w:rsidRPr="00361E30" w14:paraId="35F65ED8" w14:textId="77777777" w:rsidTr="008F67FE">
        <w:trPr>
          <w:cantSplit/>
        </w:trPr>
        <w:tc>
          <w:tcPr>
            <w:tcW w:w="8726" w:type="dxa"/>
          </w:tcPr>
          <w:p w14:paraId="732D8FE6" w14:textId="77777777" w:rsidR="00051908" w:rsidRPr="00361E30" w:rsidRDefault="00051908" w:rsidP="00A84367">
            <w:pPr>
              <w:pStyle w:val="ListParagraph"/>
              <w:spacing w:line="240" w:lineRule="auto"/>
              <w:rPr>
                <w:rFonts w:cstheme="minorHAnsi"/>
                <w:noProof/>
                <w:lang w:val="en-GB"/>
              </w:rPr>
            </w:pPr>
            <w:bookmarkStart w:id="422" w:name="_ENREF_192"/>
            <w:r w:rsidRPr="00361E30">
              <w:rPr>
                <w:rFonts w:cstheme="minorHAnsi"/>
                <w:noProof/>
                <w:lang w:val="en-GB"/>
              </w:rPr>
              <w:t>Scheetz, L. J. (2003). Effectiveness of prehospital trauma triage guidelines for the identification of major trauma in elderly motor vehicle crash victims.</w:t>
            </w:r>
            <w:r w:rsidRPr="00361E30">
              <w:rPr>
                <w:rFonts w:cstheme="minorHAnsi"/>
                <w:i/>
                <w:noProof/>
                <w:lang w:val="en-GB"/>
              </w:rPr>
              <w:t xml:space="preserve"> Journal of Emergency Nursing</w:t>
            </w:r>
            <w:r w:rsidRPr="00361E30">
              <w:rPr>
                <w:rFonts w:cstheme="minorHAnsi"/>
                <w:noProof/>
                <w:lang w:val="en-GB"/>
              </w:rPr>
              <w:t xml:space="preserve"> 29(2) 109-115.</w:t>
            </w:r>
            <w:bookmarkEnd w:id="422"/>
          </w:p>
        </w:tc>
      </w:tr>
      <w:tr w:rsidR="00051908" w:rsidRPr="00361E30" w14:paraId="1421D495" w14:textId="77777777" w:rsidTr="008F67FE">
        <w:trPr>
          <w:cantSplit/>
        </w:trPr>
        <w:tc>
          <w:tcPr>
            <w:tcW w:w="8726" w:type="dxa"/>
          </w:tcPr>
          <w:p w14:paraId="47A15AB6" w14:textId="77777777" w:rsidR="00051908" w:rsidRPr="00361E30" w:rsidRDefault="00051908" w:rsidP="00A84367">
            <w:pPr>
              <w:pStyle w:val="ListParagraph"/>
              <w:spacing w:line="240" w:lineRule="auto"/>
              <w:rPr>
                <w:rFonts w:cstheme="minorHAnsi"/>
                <w:noProof/>
                <w:lang w:val="en-GB"/>
              </w:rPr>
            </w:pPr>
            <w:bookmarkStart w:id="423" w:name="_ENREF_193"/>
            <w:r w:rsidRPr="00361E30">
              <w:rPr>
                <w:rFonts w:cstheme="minorHAnsi"/>
                <w:noProof/>
                <w:lang w:val="en-GB"/>
              </w:rPr>
              <w:t>Scheetz, L. J. (2004). Trauma center versus non-trauma center admissions in adult trama victims by age and gender.</w:t>
            </w:r>
            <w:r w:rsidRPr="00361E30">
              <w:rPr>
                <w:rFonts w:cstheme="minorHAnsi"/>
                <w:i/>
                <w:noProof/>
                <w:lang w:val="en-GB"/>
              </w:rPr>
              <w:t xml:space="preserve"> Prehospital Emergency Care</w:t>
            </w:r>
            <w:r w:rsidRPr="00361E30">
              <w:rPr>
                <w:rFonts w:cstheme="minorHAnsi"/>
                <w:noProof/>
                <w:lang w:val="en-GB"/>
              </w:rPr>
              <w:t xml:space="preserve"> 8(3) 268-272.</w:t>
            </w:r>
            <w:bookmarkEnd w:id="423"/>
          </w:p>
        </w:tc>
      </w:tr>
      <w:tr w:rsidR="00051908" w:rsidRPr="00361E30" w14:paraId="1ECFC16A" w14:textId="77777777" w:rsidTr="008F67FE">
        <w:trPr>
          <w:cantSplit/>
        </w:trPr>
        <w:tc>
          <w:tcPr>
            <w:tcW w:w="8726" w:type="dxa"/>
          </w:tcPr>
          <w:p w14:paraId="70E51126" w14:textId="77777777" w:rsidR="00051908" w:rsidRPr="00361E30" w:rsidRDefault="00051908" w:rsidP="00A84367">
            <w:pPr>
              <w:pStyle w:val="ListParagraph"/>
              <w:spacing w:line="240" w:lineRule="auto"/>
              <w:rPr>
                <w:rFonts w:cstheme="minorHAnsi"/>
                <w:noProof/>
                <w:lang w:val="en-GB"/>
              </w:rPr>
            </w:pPr>
            <w:bookmarkStart w:id="424" w:name="_ENREF_194"/>
            <w:r w:rsidRPr="00361E30">
              <w:rPr>
                <w:rFonts w:cstheme="minorHAnsi"/>
                <w:noProof/>
                <w:lang w:val="en-GB"/>
              </w:rPr>
              <w:t>Scheetz, L. J. (2012). Comparison of type and severity of major injuries among undertriaged and correctly triaged older patients.</w:t>
            </w:r>
            <w:r w:rsidRPr="00361E30">
              <w:rPr>
                <w:rFonts w:cstheme="minorHAnsi"/>
                <w:i/>
                <w:noProof/>
                <w:lang w:val="en-GB"/>
              </w:rPr>
              <w:t xml:space="preserve"> Journal of Emergency Medicine</w:t>
            </w:r>
            <w:r w:rsidRPr="00361E30">
              <w:rPr>
                <w:rFonts w:cstheme="minorHAnsi"/>
                <w:noProof/>
                <w:lang w:val="en-GB"/>
              </w:rPr>
              <w:t xml:space="preserve"> 43(6) 1020-1028.</w:t>
            </w:r>
            <w:bookmarkEnd w:id="424"/>
          </w:p>
        </w:tc>
      </w:tr>
      <w:tr w:rsidR="00051908" w:rsidRPr="00361E30" w14:paraId="4487BCA2" w14:textId="77777777" w:rsidTr="008F67FE">
        <w:trPr>
          <w:cantSplit/>
        </w:trPr>
        <w:tc>
          <w:tcPr>
            <w:tcW w:w="8726" w:type="dxa"/>
          </w:tcPr>
          <w:p w14:paraId="233BB47C" w14:textId="77777777" w:rsidR="00051908" w:rsidRPr="00361E30" w:rsidRDefault="00051908" w:rsidP="00A84367">
            <w:pPr>
              <w:pStyle w:val="ListParagraph"/>
              <w:spacing w:line="240" w:lineRule="auto"/>
              <w:rPr>
                <w:rFonts w:cstheme="minorHAnsi"/>
                <w:noProof/>
                <w:lang w:val="en-GB"/>
              </w:rPr>
            </w:pPr>
            <w:bookmarkStart w:id="425" w:name="_ENREF_195"/>
            <w:r w:rsidRPr="00361E30">
              <w:rPr>
                <w:rFonts w:cstheme="minorHAnsi"/>
                <w:noProof/>
                <w:lang w:val="en-GB"/>
              </w:rPr>
              <w:t xml:space="preserve">Schwab, J. (2002). </w:t>
            </w:r>
            <w:r w:rsidRPr="00361E30">
              <w:rPr>
                <w:rFonts w:cstheme="minorHAnsi"/>
                <w:i/>
                <w:noProof/>
                <w:lang w:val="en-GB"/>
              </w:rPr>
              <w:t>Multinomial logistic regression: Basic relationships and complete problems.</w:t>
            </w:r>
            <w:bookmarkEnd w:id="425"/>
            <w:r w:rsidRPr="00361E30">
              <w:rPr>
                <w:rFonts w:cstheme="minorHAnsi"/>
                <w:noProof/>
                <w:lang w:val="en-GB"/>
              </w:rPr>
              <w:t xml:space="preserve"> Texas: University of Texas.</w:t>
            </w:r>
          </w:p>
        </w:tc>
      </w:tr>
      <w:tr w:rsidR="00051908" w:rsidRPr="00361E30" w14:paraId="41D6DE94" w14:textId="77777777" w:rsidTr="008F67FE">
        <w:trPr>
          <w:cantSplit/>
        </w:trPr>
        <w:tc>
          <w:tcPr>
            <w:tcW w:w="8726" w:type="dxa"/>
          </w:tcPr>
          <w:p w14:paraId="265C668C" w14:textId="77777777" w:rsidR="00051908" w:rsidRPr="00361E30" w:rsidRDefault="00051908" w:rsidP="00A84367">
            <w:pPr>
              <w:pStyle w:val="ListParagraph"/>
              <w:spacing w:line="240" w:lineRule="auto"/>
              <w:rPr>
                <w:rFonts w:cstheme="minorHAnsi"/>
                <w:noProof/>
                <w:lang w:val="en-GB"/>
              </w:rPr>
            </w:pPr>
            <w:r w:rsidRPr="00361E30">
              <w:rPr>
                <w:rFonts w:cstheme="minorHAnsi"/>
                <w:noProof/>
                <w:lang w:val="en-GB"/>
              </w:rPr>
              <w:t>Shakur, H., et al. (2012). A promise to save 100 000 trauma patients.</w:t>
            </w:r>
            <w:r w:rsidRPr="00361E30">
              <w:rPr>
                <w:rFonts w:cstheme="minorHAnsi"/>
                <w:i/>
                <w:noProof/>
                <w:lang w:val="en-GB"/>
              </w:rPr>
              <w:t xml:space="preserve"> The Lancet</w:t>
            </w:r>
            <w:r w:rsidRPr="00361E30">
              <w:rPr>
                <w:rFonts w:cstheme="minorHAnsi"/>
                <w:noProof/>
                <w:lang w:val="en-GB"/>
              </w:rPr>
              <w:t xml:space="preserve"> 380(9859) 2062-2063.</w:t>
            </w:r>
          </w:p>
        </w:tc>
      </w:tr>
      <w:tr w:rsidR="00051908" w:rsidRPr="00361E30" w14:paraId="1E56F26F" w14:textId="77777777" w:rsidTr="008F67FE">
        <w:trPr>
          <w:cantSplit/>
        </w:trPr>
        <w:tc>
          <w:tcPr>
            <w:tcW w:w="8726" w:type="dxa"/>
          </w:tcPr>
          <w:p w14:paraId="6B25A5CF" w14:textId="77777777" w:rsidR="00051908" w:rsidRPr="00361E30" w:rsidRDefault="00051908" w:rsidP="00A84367">
            <w:pPr>
              <w:pStyle w:val="ListParagraph"/>
              <w:spacing w:line="240" w:lineRule="auto"/>
              <w:rPr>
                <w:rFonts w:cstheme="minorHAnsi"/>
                <w:noProof/>
                <w:lang w:val="en-GB"/>
              </w:rPr>
            </w:pPr>
            <w:bookmarkStart w:id="426" w:name="_ENREF_197"/>
            <w:r w:rsidRPr="00361E30">
              <w:rPr>
                <w:rFonts w:cstheme="minorHAnsi"/>
                <w:noProof/>
                <w:lang w:val="en-GB"/>
              </w:rPr>
              <w:t>Sharma, G. and J. Goodwin (2006). Effect of aging on respiratory system physiology and immunology.</w:t>
            </w:r>
            <w:r w:rsidRPr="00361E30">
              <w:rPr>
                <w:rFonts w:cstheme="minorHAnsi"/>
                <w:i/>
                <w:noProof/>
                <w:lang w:val="en-GB"/>
              </w:rPr>
              <w:t xml:space="preserve"> Clinical Interventions in Aging</w:t>
            </w:r>
            <w:r w:rsidRPr="00361E30">
              <w:rPr>
                <w:rFonts w:cstheme="minorHAnsi"/>
                <w:noProof/>
                <w:lang w:val="en-GB"/>
              </w:rPr>
              <w:t xml:space="preserve"> 1(3) 253-260.</w:t>
            </w:r>
            <w:bookmarkEnd w:id="426"/>
          </w:p>
        </w:tc>
      </w:tr>
      <w:tr w:rsidR="00051908" w:rsidRPr="00361E30" w14:paraId="6150E248" w14:textId="77777777" w:rsidTr="008F67FE">
        <w:trPr>
          <w:cantSplit/>
        </w:trPr>
        <w:tc>
          <w:tcPr>
            <w:tcW w:w="8726" w:type="dxa"/>
          </w:tcPr>
          <w:p w14:paraId="089F4619" w14:textId="77777777" w:rsidR="00051908" w:rsidRPr="00361E30" w:rsidRDefault="00051908" w:rsidP="00A84367">
            <w:pPr>
              <w:pStyle w:val="ListParagraph"/>
              <w:spacing w:line="240" w:lineRule="auto"/>
              <w:rPr>
                <w:rFonts w:cstheme="minorHAnsi"/>
                <w:noProof/>
                <w:lang w:val="en-GB"/>
              </w:rPr>
            </w:pPr>
            <w:bookmarkStart w:id="427" w:name="_ENREF_198"/>
            <w:r w:rsidRPr="00361E30">
              <w:rPr>
                <w:rFonts w:cstheme="minorHAnsi"/>
                <w:noProof/>
                <w:lang w:val="en-GB"/>
              </w:rPr>
              <w:t xml:space="preserve">Shoven, J. (2009). New Age Thinking: Alternative Ways of Measuring Age, Their Relationship to Labour Force Participation, Government Policies and GDP. [online]. </w:t>
            </w:r>
            <w:r w:rsidRPr="00361E30">
              <w:rPr>
                <w:rFonts w:cstheme="minorHAnsi"/>
                <w:i/>
                <w:noProof/>
                <w:lang w:val="en-GB"/>
              </w:rPr>
              <w:t>National Bureau of Economic Research.</w:t>
            </w:r>
            <w:bookmarkEnd w:id="427"/>
            <w:r w:rsidRPr="00361E30">
              <w:rPr>
                <w:rFonts w:cstheme="minorHAnsi"/>
                <w:noProof/>
                <w:lang w:val="en-GB"/>
              </w:rPr>
              <w:t xml:space="preserve"> [Viewed 14</w:t>
            </w:r>
            <w:r w:rsidRPr="00361E30">
              <w:rPr>
                <w:rFonts w:cstheme="minorHAnsi"/>
                <w:noProof/>
                <w:vertAlign w:val="superscript"/>
                <w:lang w:val="en-GB"/>
              </w:rPr>
              <w:t>th</w:t>
            </w:r>
            <w:r w:rsidRPr="00361E30">
              <w:rPr>
                <w:rFonts w:cstheme="minorHAnsi"/>
                <w:noProof/>
                <w:lang w:val="en-GB"/>
              </w:rPr>
              <w:t xml:space="preserve"> January 2014]. Available from: </w:t>
            </w:r>
            <w:hyperlink r:id="rId40" w:history="1">
              <w:r w:rsidRPr="00361E30">
                <w:rPr>
                  <w:rStyle w:val="Hyperlink"/>
                  <w:rFonts w:cstheme="minorHAnsi"/>
                  <w:noProof/>
                  <w:lang w:val="en-GB"/>
                </w:rPr>
                <w:t>http://www.nber.org/papers/w13476</w:t>
              </w:r>
            </w:hyperlink>
            <w:r w:rsidRPr="00361E30">
              <w:rPr>
                <w:rFonts w:cstheme="minorHAnsi"/>
                <w:noProof/>
                <w:lang w:val="en-GB"/>
              </w:rPr>
              <w:t xml:space="preserve"> </w:t>
            </w:r>
          </w:p>
        </w:tc>
      </w:tr>
      <w:tr w:rsidR="00051908" w:rsidRPr="00361E30" w14:paraId="3222F3A3" w14:textId="77777777" w:rsidTr="008F67FE">
        <w:trPr>
          <w:cantSplit/>
        </w:trPr>
        <w:tc>
          <w:tcPr>
            <w:tcW w:w="8726" w:type="dxa"/>
          </w:tcPr>
          <w:p w14:paraId="7705BCA5" w14:textId="77777777" w:rsidR="00051908" w:rsidRPr="00361E30" w:rsidRDefault="00051908" w:rsidP="00A84367">
            <w:pPr>
              <w:pStyle w:val="ListParagraph"/>
              <w:spacing w:line="240" w:lineRule="auto"/>
              <w:rPr>
                <w:rFonts w:cstheme="minorHAnsi"/>
                <w:noProof/>
                <w:lang w:val="en-GB"/>
              </w:rPr>
            </w:pPr>
            <w:bookmarkStart w:id="428" w:name="_ENREF_199"/>
            <w:r w:rsidRPr="00361E30">
              <w:rPr>
                <w:rFonts w:cstheme="minorHAnsi"/>
                <w:noProof/>
                <w:lang w:val="en-GB"/>
              </w:rPr>
              <w:t xml:space="preserve">Silverman, D. (2013). </w:t>
            </w:r>
            <w:r w:rsidRPr="00361E30">
              <w:rPr>
                <w:rFonts w:cstheme="minorHAnsi"/>
                <w:i/>
                <w:noProof/>
                <w:lang w:val="en-GB"/>
              </w:rPr>
              <w:t>Doing qualitative research: A practical handbook</w:t>
            </w:r>
            <w:r w:rsidRPr="00361E30">
              <w:rPr>
                <w:rFonts w:cstheme="minorHAnsi"/>
                <w:noProof/>
                <w:lang w:val="en-GB"/>
              </w:rPr>
              <w:t>. 4th ed. London: SAGE Publications Limited.</w:t>
            </w:r>
            <w:bookmarkEnd w:id="428"/>
          </w:p>
        </w:tc>
      </w:tr>
      <w:tr w:rsidR="00051908" w:rsidRPr="00361E30" w14:paraId="778885EE" w14:textId="77777777" w:rsidTr="008F67FE">
        <w:trPr>
          <w:cantSplit/>
        </w:trPr>
        <w:tc>
          <w:tcPr>
            <w:tcW w:w="8726" w:type="dxa"/>
          </w:tcPr>
          <w:p w14:paraId="01E98B10" w14:textId="77777777" w:rsidR="00051908" w:rsidRPr="00361E30" w:rsidRDefault="00051908" w:rsidP="00A84367">
            <w:pPr>
              <w:pStyle w:val="ListParagraph"/>
              <w:spacing w:line="240" w:lineRule="auto"/>
              <w:rPr>
                <w:rFonts w:cstheme="minorHAnsi"/>
                <w:noProof/>
                <w:lang w:val="en-GB"/>
              </w:rPr>
            </w:pPr>
            <w:bookmarkStart w:id="429" w:name="_ENREF_200"/>
            <w:r w:rsidRPr="00361E30">
              <w:rPr>
                <w:rFonts w:cstheme="minorHAnsi"/>
                <w:noProof/>
                <w:lang w:val="en-GB"/>
              </w:rPr>
              <w:t>Sklar, D. P., G. B. Demarest and P. McFeeley (1989). Increased pedestrian mortality among the elderly.</w:t>
            </w:r>
            <w:r w:rsidRPr="00361E30">
              <w:rPr>
                <w:rFonts w:cstheme="minorHAnsi"/>
                <w:i/>
                <w:noProof/>
                <w:lang w:val="en-GB"/>
              </w:rPr>
              <w:t xml:space="preserve"> The American Journal of Emergency Medicine</w:t>
            </w:r>
            <w:r w:rsidRPr="00361E30">
              <w:rPr>
                <w:rFonts w:cstheme="minorHAnsi"/>
                <w:noProof/>
                <w:lang w:val="en-GB"/>
              </w:rPr>
              <w:t xml:space="preserve"> 7(4) 387-390.</w:t>
            </w:r>
            <w:bookmarkEnd w:id="429"/>
          </w:p>
        </w:tc>
      </w:tr>
      <w:tr w:rsidR="00051908" w:rsidRPr="00361E30" w14:paraId="105580C5" w14:textId="77777777" w:rsidTr="008F67FE">
        <w:trPr>
          <w:cantSplit/>
        </w:trPr>
        <w:tc>
          <w:tcPr>
            <w:tcW w:w="8726" w:type="dxa"/>
          </w:tcPr>
          <w:p w14:paraId="4B86E03E" w14:textId="77777777" w:rsidR="00051908" w:rsidRPr="00361E30" w:rsidRDefault="00051908" w:rsidP="00A84367">
            <w:pPr>
              <w:pStyle w:val="ListParagraph"/>
              <w:spacing w:line="240" w:lineRule="auto"/>
              <w:rPr>
                <w:rFonts w:cstheme="minorHAnsi"/>
                <w:noProof/>
                <w:lang w:val="en-GB"/>
              </w:rPr>
            </w:pPr>
            <w:bookmarkStart w:id="430" w:name="_ENREF_202"/>
            <w:r w:rsidRPr="00361E30">
              <w:rPr>
                <w:rFonts w:cstheme="minorHAnsi"/>
                <w:noProof/>
                <w:lang w:val="en-GB"/>
              </w:rPr>
              <w:t>Soles, G. L. and P. Tornetta, 3rd (2011). Multiple trauma in the elderly: new management perspectives.</w:t>
            </w:r>
            <w:r w:rsidRPr="00361E30">
              <w:rPr>
                <w:rFonts w:cstheme="minorHAnsi"/>
                <w:i/>
                <w:noProof/>
                <w:lang w:val="en-GB"/>
              </w:rPr>
              <w:t xml:space="preserve"> Journal of Orthopaedic Trauma</w:t>
            </w:r>
            <w:r w:rsidRPr="00361E30">
              <w:rPr>
                <w:rFonts w:cstheme="minorHAnsi"/>
                <w:noProof/>
                <w:lang w:val="en-GB"/>
              </w:rPr>
              <w:t xml:space="preserve"> 25 Suppl 2 S61-65.</w:t>
            </w:r>
            <w:bookmarkEnd w:id="430"/>
          </w:p>
        </w:tc>
      </w:tr>
      <w:tr w:rsidR="00051908" w:rsidRPr="00361E30" w14:paraId="30E14825" w14:textId="77777777" w:rsidTr="008F67FE">
        <w:trPr>
          <w:cantSplit/>
        </w:trPr>
        <w:tc>
          <w:tcPr>
            <w:tcW w:w="8726" w:type="dxa"/>
          </w:tcPr>
          <w:p w14:paraId="3B39BBAA" w14:textId="77777777" w:rsidR="00051908" w:rsidRPr="00361E30" w:rsidRDefault="00051908" w:rsidP="00A84367">
            <w:pPr>
              <w:pStyle w:val="ListParagraph"/>
              <w:spacing w:line="240" w:lineRule="auto"/>
              <w:rPr>
                <w:rFonts w:cstheme="minorHAnsi"/>
                <w:noProof/>
                <w:lang w:val="en-GB"/>
              </w:rPr>
            </w:pPr>
            <w:bookmarkStart w:id="431" w:name="_ENREF_207"/>
            <w:r w:rsidRPr="00361E30">
              <w:rPr>
                <w:rFonts w:cstheme="minorHAnsi"/>
                <w:noProof/>
                <w:lang w:val="en-GB"/>
              </w:rPr>
              <w:lastRenderedPageBreak/>
              <w:t>Søreide, K., et al. (2007). Epidemiology and contemporary patterns of trauma deaths: changing place, similar pace, older face.</w:t>
            </w:r>
            <w:r w:rsidRPr="00361E30">
              <w:rPr>
                <w:rFonts w:cstheme="minorHAnsi"/>
                <w:i/>
                <w:noProof/>
                <w:lang w:val="en-GB"/>
              </w:rPr>
              <w:t xml:space="preserve"> World journal of surgery</w:t>
            </w:r>
            <w:r w:rsidRPr="00361E30">
              <w:rPr>
                <w:rFonts w:cstheme="minorHAnsi"/>
                <w:noProof/>
                <w:lang w:val="en-GB"/>
              </w:rPr>
              <w:t xml:space="preserve"> 31(11) 2092-2103.</w:t>
            </w:r>
            <w:bookmarkEnd w:id="431"/>
          </w:p>
        </w:tc>
      </w:tr>
      <w:tr w:rsidR="00051908" w:rsidRPr="00361E30" w14:paraId="125E67EA" w14:textId="77777777" w:rsidTr="008F67FE">
        <w:trPr>
          <w:cantSplit/>
        </w:trPr>
        <w:tc>
          <w:tcPr>
            <w:tcW w:w="8726" w:type="dxa"/>
          </w:tcPr>
          <w:p w14:paraId="4D996FAF" w14:textId="77777777" w:rsidR="00051908" w:rsidRPr="00361E30" w:rsidRDefault="00051908" w:rsidP="00A84367">
            <w:pPr>
              <w:pStyle w:val="ListParagraph"/>
              <w:spacing w:line="240" w:lineRule="auto"/>
              <w:rPr>
                <w:rFonts w:cstheme="minorHAnsi"/>
                <w:noProof/>
                <w:lang w:val="en-GB"/>
              </w:rPr>
            </w:pPr>
            <w:bookmarkStart w:id="432" w:name="_ENREF_203"/>
            <w:r w:rsidRPr="00361E30">
              <w:rPr>
                <w:rFonts w:cstheme="minorHAnsi"/>
                <w:noProof/>
                <w:lang w:val="en-GB"/>
              </w:rPr>
              <w:t>Spaniolas, K., et al. (2010). Ground Level Falls Are Associated With Significant Mortality in Elderly Patients.</w:t>
            </w:r>
            <w:r w:rsidRPr="00361E30">
              <w:rPr>
                <w:rFonts w:cstheme="minorHAnsi"/>
                <w:i/>
                <w:noProof/>
                <w:lang w:val="en-GB"/>
              </w:rPr>
              <w:t xml:space="preserve"> Journal of Trauma-Injury Infection and Critical Care</w:t>
            </w:r>
            <w:r w:rsidRPr="00361E30">
              <w:rPr>
                <w:rFonts w:cstheme="minorHAnsi"/>
                <w:noProof/>
                <w:lang w:val="en-GB"/>
              </w:rPr>
              <w:t xml:space="preserve"> 69(4) 821-825.</w:t>
            </w:r>
            <w:bookmarkEnd w:id="432"/>
          </w:p>
        </w:tc>
      </w:tr>
      <w:tr w:rsidR="00051908" w:rsidRPr="00361E30" w14:paraId="0C257DEB" w14:textId="77777777" w:rsidTr="008F67FE">
        <w:trPr>
          <w:cantSplit/>
        </w:trPr>
        <w:tc>
          <w:tcPr>
            <w:tcW w:w="8726" w:type="dxa"/>
          </w:tcPr>
          <w:p w14:paraId="4AC53F98" w14:textId="77777777" w:rsidR="00051908" w:rsidRPr="00361E30" w:rsidRDefault="00051908" w:rsidP="00A84367">
            <w:pPr>
              <w:pStyle w:val="ListParagraph"/>
              <w:spacing w:line="240" w:lineRule="auto"/>
              <w:rPr>
                <w:rFonts w:cstheme="minorHAnsi"/>
                <w:noProof/>
                <w:lang w:val="en-GB"/>
              </w:rPr>
            </w:pPr>
            <w:bookmarkStart w:id="433" w:name="_ENREF_204"/>
            <w:r w:rsidRPr="00361E30">
              <w:rPr>
                <w:rFonts w:cstheme="minorHAnsi"/>
                <w:noProof/>
                <w:lang w:val="en-GB"/>
              </w:rPr>
              <w:t>Speck, R. M., et al. (2012). Team composition and perceived roles of team members in the trauma bay.</w:t>
            </w:r>
            <w:r w:rsidRPr="00361E30">
              <w:rPr>
                <w:rFonts w:cstheme="minorHAnsi"/>
                <w:i/>
                <w:noProof/>
                <w:lang w:val="en-GB"/>
              </w:rPr>
              <w:t xml:space="preserve"> Journal of Trauma Nursing</w:t>
            </w:r>
            <w:r w:rsidRPr="00361E30">
              <w:rPr>
                <w:rFonts w:cstheme="minorHAnsi"/>
                <w:noProof/>
                <w:lang w:val="en-GB"/>
              </w:rPr>
              <w:t xml:space="preserve"> 19(3) 133-138.</w:t>
            </w:r>
            <w:bookmarkEnd w:id="433"/>
          </w:p>
        </w:tc>
      </w:tr>
      <w:tr w:rsidR="00051908" w:rsidRPr="00361E30" w14:paraId="116B649F" w14:textId="77777777" w:rsidTr="008F67FE">
        <w:trPr>
          <w:cantSplit/>
        </w:trPr>
        <w:tc>
          <w:tcPr>
            <w:tcW w:w="8726" w:type="dxa"/>
          </w:tcPr>
          <w:p w14:paraId="155C4FBB" w14:textId="77777777" w:rsidR="00051908" w:rsidRPr="00361E30" w:rsidRDefault="00051908" w:rsidP="00A84367">
            <w:pPr>
              <w:pStyle w:val="ListParagraph"/>
              <w:spacing w:line="240" w:lineRule="auto"/>
              <w:rPr>
                <w:rFonts w:cstheme="minorHAnsi"/>
                <w:noProof/>
                <w:lang w:val="en-GB"/>
              </w:rPr>
            </w:pPr>
            <w:bookmarkStart w:id="434" w:name="_ENREF_205"/>
            <w:r w:rsidRPr="00361E30">
              <w:rPr>
                <w:rFonts w:cstheme="minorHAnsi"/>
                <w:noProof/>
                <w:lang w:val="en-GB"/>
              </w:rPr>
              <w:t>Sterling, D. A., J. A. O'Connor and J. Bonadies (2001). Geriatric Falls: Injury Severity Is High and Disproportionate to Mechanism.</w:t>
            </w:r>
            <w:r w:rsidRPr="00361E30">
              <w:rPr>
                <w:rFonts w:cstheme="minorHAnsi"/>
                <w:i/>
                <w:noProof/>
                <w:lang w:val="en-GB"/>
              </w:rPr>
              <w:t xml:space="preserve"> Journal of Trauma-Injury Infection and Critical Care</w:t>
            </w:r>
            <w:r w:rsidRPr="00361E30">
              <w:rPr>
                <w:rFonts w:cstheme="minorHAnsi"/>
                <w:noProof/>
                <w:lang w:val="en-GB"/>
              </w:rPr>
              <w:t xml:space="preserve"> 50(1) 116-119.</w:t>
            </w:r>
            <w:bookmarkEnd w:id="434"/>
          </w:p>
        </w:tc>
      </w:tr>
      <w:tr w:rsidR="00051908" w:rsidRPr="00361E30" w14:paraId="74F22BAF" w14:textId="77777777" w:rsidTr="008F67FE">
        <w:trPr>
          <w:cantSplit/>
        </w:trPr>
        <w:tc>
          <w:tcPr>
            <w:tcW w:w="8726" w:type="dxa"/>
          </w:tcPr>
          <w:p w14:paraId="5FFFD744" w14:textId="77777777" w:rsidR="00051908" w:rsidRPr="00361E30" w:rsidRDefault="00051908" w:rsidP="00A84367">
            <w:pPr>
              <w:pStyle w:val="ListParagraph"/>
              <w:spacing w:line="240" w:lineRule="auto"/>
              <w:rPr>
                <w:rFonts w:cstheme="minorHAnsi"/>
                <w:noProof/>
                <w:lang w:val="en-GB"/>
              </w:rPr>
            </w:pPr>
            <w:bookmarkStart w:id="435" w:name="_ENREF_206"/>
            <w:r w:rsidRPr="00361E30">
              <w:rPr>
                <w:rFonts w:cstheme="minorHAnsi"/>
                <w:noProof/>
                <w:lang w:val="en-GB"/>
              </w:rPr>
              <w:t>Susman, M., et al. (2002). Traumatic Brain Injury in the Elderly: Increased Mortality and Worse Functional Outcome At Discharge Despite Lower Injury Severity.</w:t>
            </w:r>
            <w:r w:rsidRPr="00361E30">
              <w:rPr>
                <w:rFonts w:cstheme="minorHAnsi"/>
                <w:i/>
                <w:noProof/>
                <w:lang w:val="en-GB"/>
              </w:rPr>
              <w:t xml:space="preserve"> Journal of Trauma-Injury Infection and Critical Care</w:t>
            </w:r>
            <w:r w:rsidRPr="00361E30">
              <w:rPr>
                <w:rFonts w:cstheme="minorHAnsi"/>
                <w:noProof/>
                <w:lang w:val="en-GB"/>
              </w:rPr>
              <w:t xml:space="preserve"> 53(2) 219-224.</w:t>
            </w:r>
            <w:bookmarkEnd w:id="435"/>
          </w:p>
        </w:tc>
      </w:tr>
      <w:tr w:rsidR="00051908" w:rsidRPr="00361E30" w14:paraId="503F3FF1" w14:textId="77777777" w:rsidTr="008F67FE">
        <w:trPr>
          <w:cantSplit/>
        </w:trPr>
        <w:tc>
          <w:tcPr>
            <w:tcW w:w="8726" w:type="dxa"/>
          </w:tcPr>
          <w:p w14:paraId="0982CC91" w14:textId="77777777" w:rsidR="00051908" w:rsidRPr="00361E30" w:rsidRDefault="00051908" w:rsidP="00A84367">
            <w:pPr>
              <w:pStyle w:val="ListParagraph"/>
              <w:spacing w:line="240" w:lineRule="auto"/>
              <w:rPr>
                <w:rFonts w:cstheme="minorHAnsi"/>
                <w:noProof/>
                <w:lang w:val="en-GB"/>
              </w:rPr>
            </w:pPr>
            <w:r w:rsidRPr="00361E30">
              <w:rPr>
                <w:rFonts w:cstheme="minorHAnsi"/>
                <w:noProof/>
                <w:lang w:val="en-GB"/>
              </w:rPr>
              <w:t xml:space="preserve">Trauma Audit and Research Network., (2017). Major Trauma in Older People - 2017 [online]. </w:t>
            </w:r>
            <w:r w:rsidRPr="00361E30">
              <w:rPr>
                <w:rFonts w:cstheme="minorHAnsi"/>
                <w:i/>
                <w:noProof/>
                <w:lang w:val="en-GB"/>
              </w:rPr>
              <w:t xml:space="preserve">The Trauma Audit and Research Network. </w:t>
            </w:r>
            <w:r w:rsidRPr="00361E30">
              <w:rPr>
                <w:rFonts w:cstheme="minorHAnsi"/>
                <w:noProof/>
                <w:lang w:val="en-GB"/>
              </w:rPr>
              <w:t>[Viewed 26</w:t>
            </w:r>
            <w:r w:rsidRPr="00361E30">
              <w:rPr>
                <w:rFonts w:cstheme="minorHAnsi"/>
                <w:noProof/>
                <w:vertAlign w:val="superscript"/>
                <w:lang w:val="en-GB"/>
              </w:rPr>
              <w:t>th</w:t>
            </w:r>
            <w:r w:rsidRPr="00361E30">
              <w:rPr>
                <w:rFonts w:cstheme="minorHAnsi"/>
                <w:noProof/>
                <w:lang w:val="en-GB"/>
              </w:rPr>
              <w:t xml:space="preserve"> September 2018] Available from: </w:t>
            </w:r>
          </w:p>
          <w:p w14:paraId="79EE910B" w14:textId="77777777" w:rsidR="00051908" w:rsidRPr="00361E30" w:rsidRDefault="00993D1E" w:rsidP="00A84367">
            <w:pPr>
              <w:pStyle w:val="ListParagraph"/>
              <w:spacing w:line="240" w:lineRule="auto"/>
              <w:rPr>
                <w:rFonts w:cstheme="minorHAnsi"/>
                <w:noProof/>
                <w:lang w:val="en-GB"/>
              </w:rPr>
            </w:pPr>
            <w:hyperlink r:id="rId41" w:history="1">
              <w:r w:rsidR="00051908" w:rsidRPr="00361E30">
                <w:rPr>
                  <w:rStyle w:val="Hyperlink"/>
                  <w:rFonts w:cstheme="minorHAnsi"/>
                  <w:noProof/>
                  <w:lang w:val="en-GB"/>
                </w:rPr>
                <w:t>https://www.tarn.ac.uk/content/downloads/3793/Major%20Trauma%20in%20Older%20People%202017.pdf</w:t>
              </w:r>
            </w:hyperlink>
            <w:r w:rsidR="00051908" w:rsidRPr="00361E30">
              <w:rPr>
                <w:rFonts w:cstheme="minorHAnsi"/>
                <w:noProof/>
                <w:lang w:val="en-GB"/>
              </w:rPr>
              <w:t>.</w:t>
            </w:r>
          </w:p>
        </w:tc>
      </w:tr>
      <w:tr w:rsidR="00051908" w:rsidRPr="00361E30" w14:paraId="755BF8C1" w14:textId="77777777" w:rsidTr="008F67FE">
        <w:trPr>
          <w:cantSplit/>
        </w:trPr>
        <w:tc>
          <w:tcPr>
            <w:tcW w:w="8726" w:type="dxa"/>
          </w:tcPr>
          <w:p w14:paraId="2584DE96" w14:textId="77777777" w:rsidR="00051908" w:rsidRPr="00361E30" w:rsidRDefault="00051908" w:rsidP="00A84367">
            <w:pPr>
              <w:pStyle w:val="ListParagraph"/>
              <w:spacing w:line="240" w:lineRule="auto"/>
              <w:rPr>
                <w:rFonts w:cstheme="minorHAnsi"/>
                <w:noProof/>
                <w:lang w:val="en-GB"/>
              </w:rPr>
            </w:pPr>
            <w:bookmarkStart w:id="436" w:name="_ENREF_208"/>
            <w:r w:rsidRPr="00361E30">
              <w:rPr>
                <w:rFonts w:cstheme="minorHAnsi"/>
                <w:noProof/>
                <w:lang w:val="en-GB"/>
              </w:rPr>
              <w:t>Trunkey, D. D. (2000). History and development of trauma care in the United States.</w:t>
            </w:r>
            <w:r w:rsidRPr="00361E30">
              <w:rPr>
                <w:rFonts w:cstheme="minorHAnsi"/>
                <w:i/>
                <w:noProof/>
                <w:lang w:val="en-GB"/>
              </w:rPr>
              <w:t xml:space="preserve"> Clinical Orthopaedics and Related Research</w:t>
            </w:r>
            <w:r w:rsidRPr="00361E30">
              <w:rPr>
                <w:rFonts w:cstheme="minorHAnsi"/>
                <w:noProof/>
                <w:lang w:val="en-GB"/>
              </w:rPr>
              <w:t xml:space="preserve"> 374 36-46.</w:t>
            </w:r>
            <w:bookmarkEnd w:id="436"/>
          </w:p>
        </w:tc>
      </w:tr>
      <w:tr w:rsidR="00051908" w:rsidRPr="00361E30" w14:paraId="45812AFC" w14:textId="77777777" w:rsidTr="008F67FE">
        <w:trPr>
          <w:cantSplit/>
        </w:trPr>
        <w:tc>
          <w:tcPr>
            <w:tcW w:w="8726" w:type="dxa"/>
          </w:tcPr>
          <w:p w14:paraId="64630344" w14:textId="77777777" w:rsidR="00051908" w:rsidRPr="00361E30" w:rsidRDefault="00051908" w:rsidP="00A84367">
            <w:pPr>
              <w:pStyle w:val="ListParagraph"/>
              <w:spacing w:line="240" w:lineRule="auto"/>
              <w:rPr>
                <w:rFonts w:cstheme="minorHAnsi"/>
                <w:noProof/>
                <w:lang w:val="en-GB"/>
              </w:rPr>
            </w:pPr>
            <w:bookmarkStart w:id="437" w:name="_ENREF_209"/>
            <w:r w:rsidRPr="00361E30">
              <w:rPr>
                <w:rFonts w:cstheme="minorHAnsi"/>
                <w:noProof/>
                <w:lang w:val="en-GB"/>
              </w:rPr>
              <w:t>Trunkey, D. D. and R. C. Lim (1974). Analysis of 425 consecutive trauma fatalities: an autopsy study.</w:t>
            </w:r>
            <w:r w:rsidRPr="00361E30">
              <w:rPr>
                <w:rFonts w:cstheme="minorHAnsi"/>
                <w:i/>
                <w:noProof/>
                <w:lang w:val="en-GB"/>
              </w:rPr>
              <w:t xml:space="preserve"> Journal of the American College of Emergency Physicians</w:t>
            </w:r>
            <w:r w:rsidRPr="00361E30">
              <w:rPr>
                <w:rFonts w:cstheme="minorHAnsi"/>
                <w:noProof/>
                <w:lang w:val="en-GB"/>
              </w:rPr>
              <w:t xml:space="preserve"> 3(6) 368-371.</w:t>
            </w:r>
            <w:bookmarkEnd w:id="437"/>
          </w:p>
        </w:tc>
      </w:tr>
      <w:tr w:rsidR="00051908" w:rsidRPr="00361E30" w14:paraId="4258A03C" w14:textId="77777777" w:rsidTr="008F67FE">
        <w:trPr>
          <w:cantSplit/>
        </w:trPr>
        <w:tc>
          <w:tcPr>
            <w:tcW w:w="8726" w:type="dxa"/>
          </w:tcPr>
          <w:p w14:paraId="075AD2E0" w14:textId="77777777" w:rsidR="00051908" w:rsidRPr="00361E30" w:rsidRDefault="00051908" w:rsidP="00A84367">
            <w:pPr>
              <w:pStyle w:val="ListParagraph"/>
              <w:spacing w:line="240" w:lineRule="auto"/>
              <w:rPr>
                <w:rFonts w:cstheme="minorHAnsi"/>
                <w:noProof/>
                <w:lang w:val="en-GB"/>
              </w:rPr>
            </w:pPr>
            <w:bookmarkStart w:id="438" w:name="_ENREF_210"/>
            <w:r w:rsidRPr="00361E30">
              <w:rPr>
                <w:rFonts w:cstheme="minorHAnsi"/>
                <w:noProof/>
                <w:lang w:val="en-GB"/>
              </w:rPr>
              <w:t>Turner, G. and A. Clegg (2014). Best practice guidelines for the management of frailty: a British Geriatrics Society, Age UK and Royal College of General Practitioners report.</w:t>
            </w:r>
            <w:r w:rsidRPr="00361E30">
              <w:rPr>
                <w:rFonts w:cstheme="minorHAnsi"/>
                <w:i/>
                <w:noProof/>
                <w:lang w:val="en-GB"/>
              </w:rPr>
              <w:t xml:space="preserve"> Age Ageing</w:t>
            </w:r>
            <w:r w:rsidRPr="00361E30">
              <w:rPr>
                <w:rFonts w:cstheme="minorHAnsi"/>
                <w:noProof/>
                <w:lang w:val="en-GB"/>
              </w:rPr>
              <w:t xml:space="preserve"> 43(6) 744-747.</w:t>
            </w:r>
            <w:bookmarkEnd w:id="438"/>
          </w:p>
        </w:tc>
      </w:tr>
      <w:tr w:rsidR="00051908" w:rsidRPr="00361E30" w14:paraId="15499EAD" w14:textId="77777777" w:rsidTr="008F67FE">
        <w:trPr>
          <w:cantSplit/>
        </w:trPr>
        <w:tc>
          <w:tcPr>
            <w:tcW w:w="8726" w:type="dxa"/>
          </w:tcPr>
          <w:p w14:paraId="5D07F4DD" w14:textId="77777777" w:rsidR="00051908" w:rsidRPr="00361E30" w:rsidRDefault="00051908" w:rsidP="00A84367">
            <w:pPr>
              <w:pStyle w:val="ListParagraph"/>
              <w:spacing w:line="240" w:lineRule="auto"/>
              <w:rPr>
                <w:rFonts w:cstheme="minorHAnsi"/>
                <w:noProof/>
                <w:lang w:val="en-GB"/>
              </w:rPr>
            </w:pPr>
            <w:bookmarkStart w:id="439" w:name="_ENREF_211"/>
            <w:r w:rsidRPr="00361E30">
              <w:rPr>
                <w:rFonts w:cstheme="minorHAnsi"/>
                <w:noProof/>
                <w:lang w:val="en-GB"/>
              </w:rPr>
              <w:t>van der Sluis, C. K., et al. (1996). Major trauma in young and old: what is the difference?</w:t>
            </w:r>
            <w:r w:rsidRPr="00361E30">
              <w:rPr>
                <w:rFonts w:cstheme="minorHAnsi"/>
                <w:i/>
                <w:noProof/>
                <w:lang w:val="en-GB"/>
              </w:rPr>
              <w:t xml:space="preserve"> Journal of Trauma and Acute Care Surgery</w:t>
            </w:r>
            <w:r w:rsidRPr="00361E30">
              <w:rPr>
                <w:rFonts w:cstheme="minorHAnsi"/>
                <w:noProof/>
                <w:lang w:val="en-GB"/>
              </w:rPr>
              <w:t xml:space="preserve"> 40(1) 78-82.</w:t>
            </w:r>
            <w:bookmarkEnd w:id="439"/>
          </w:p>
        </w:tc>
      </w:tr>
      <w:tr w:rsidR="00051908" w:rsidRPr="00361E30" w14:paraId="261DD249" w14:textId="77777777" w:rsidTr="008F67FE">
        <w:trPr>
          <w:cantSplit/>
        </w:trPr>
        <w:tc>
          <w:tcPr>
            <w:tcW w:w="8726" w:type="dxa"/>
          </w:tcPr>
          <w:p w14:paraId="445904E6" w14:textId="77777777" w:rsidR="00051908" w:rsidRPr="00361E30" w:rsidRDefault="00051908" w:rsidP="00A84367">
            <w:pPr>
              <w:pStyle w:val="ListParagraph"/>
              <w:spacing w:line="240" w:lineRule="auto"/>
              <w:rPr>
                <w:rFonts w:cstheme="minorHAnsi"/>
                <w:noProof/>
                <w:lang w:val="en-GB"/>
              </w:rPr>
            </w:pPr>
            <w:bookmarkStart w:id="440" w:name="_ENREF_212"/>
            <w:r w:rsidRPr="00361E30">
              <w:rPr>
                <w:rFonts w:cstheme="minorHAnsi"/>
                <w:noProof/>
                <w:lang w:val="en-GB"/>
              </w:rPr>
              <w:t>Von Elm, E., et al. (2007). The Strengthening the Reporting of Observational Studies in Epidemiology (STROBE) statement: guidelines for reporting observational studies.</w:t>
            </w:r>
            <w:r w:rsidRPr="00361E30">
              <w:rPr>
                <w:rFonts w:cstheme="minorHAnsi"/>
                <w:i/>
                <w:noProof/>
                <w:lang w:val="en-GB"/>
              </w:rPr>
              <w:t xml:space="preserve"> Preventive Medicine</w:t>
            </w:r>
            <w:r w:rsidRPr="00361E30">
              <w:rPr>
                <w:rFonts w:cstheme="minorHAnsi"/>
                <w:noProof/>
                <w:lang w:val="en-GB"/>
              </w:rPr>
              <w:t xml:space="preserve"> 45(4) 247-251.</w:t>
            </w:r>
            <w:bookmarkEnd w:id="440"/>
          </w:p>
        </w:tc>
      </w:tr>
      <w:tr w:rsidR="00051908" w:rsidRPr="00361E30" w14:paraId="149A3F5F" w14:textId="77777777" w:rsidTr="008F67FE">
        <w:trPr>
          <w:cantSplit/>
        </w:trPr>
        <w:tc>
          <w:tcPr>
            <w:tcW w:w="8726" w:type="dxa"/>
          </w:tcPr>
          <w:p w14:paraId="6118EF1E" w14:textId="77777777" w:rsidR="00051908" w:rsidRPr="00361E30" w:rsidRDefault="00051908" w:rsidP="00A84367">
            <w:pPr>
              <w:pStyle w:val="ListParagraph"/>
              <w:spacing w:line="240" w:lineRule="auto"/>
              <w:rPr>
                <w:rFonts w:cstheme="minorHAnsi"/>
                <w:noProof/>
                <w:lang w:val="en-GB"/>
              </w:rPr>
            </w:pPr>
            <w:bookmarkStart w:id="441" w:name="_ENREF_213"/>
            <w:r w:rsidRPr="00361E30">
              <w:rPr>
                <w:rFonts w:cstheme="minorHAnsi"/>
                <w:noProof/>
                <w:lang w:val="en-GB"/>
              </w:rPr>
              <w:t>Watson, W. T., E. S. Marshall and D. Fosbinder (1999). Elderly patients' perceptions of care in the emergency department.</w:t>
            </w:r>
            <w:r w:rsidRPr="00361E30">
              <w:rPr>
                <w:rFonts w:cstheme="minorHAnsi"/>
                <w:i/>
                <w:noProof/>
                <w:lang w:val="en-GB"/>
              </w:rPr>
              <w:t xml:space="preserve"> Journal of Emergency Nursing</w:t>
            </w:r>
            <w:r w:rsidRPr="00361E30">
              <w:rPr>
                <w:rFonts w:cstheme="minorHAnsi"/>
                <w:noProof/>
                <w:lang w:val="en-GB"/>
              </w:rPr>
              <w:t xml:space="preserve"> 25(2) 88-92.</w:t>
            </w:r>
            <w:bookmarkEnd w:id="441"/>
          </w:p>
        </w:tc>
      </w:tr>
      <w:tr w:rsidR="00051908" w:rsidRPr="00361E30" w14:paraId="043ECCA0" w14:textId="77777777" w:rsidTr="008F67FE">
        <w:trPr>
          <w:cantSplit/>
        </w:trPr>
        <w:tc>
          <w:tcPr>
            <w:tcW w:w="8726" w:type="dxa"/>
          </w:tcPr>
          <w:p w14:paraId="7C7DE172" w14:textId="77777777" w:rsidR="00051908" w:rsidRPr="00361E30" w:rsidRDefault="00051908" w:rsidP="00A84367">
            <w:pPr>
              <w:pStyle w:val="ListParagraph"/>
              <w:spacing w:line="240" w:lineRule="auto"/>
              <w:rPr>
                <w:rFonts w:cstheme="minorHAnsi"/>
                <w:noProof/>
                <w:lang w:val="en-GB"/>
              </w:rPr>
            </w:pPr>
            <w:bookmarkStart w:id="442" w:name="_ENREF_214"/>
            <w:r w:rsidRPr="00361E30">
              <w:rPr>
                <w:rFonts w:cstheme="minorHAnsi"/>
                <w:noProof/>
                <w:lang w:val="en-GB"/>
              </w:rPr>
              <w:t>Weber, E. J., et al. (2011). Emptying the corridors of shame: organizational lessons from England's 4-hour emergency throughput target.</w:t>
            </w:r>
            <w:r w:rsidRPr="00361E30">
              <w:rPr>
                <w:rFonts w:cstheme="minorHAnsi"/>
                <w:i/>
                <w:noProof/>
                <w:lang w:val="en-GB"/>
              </w:rPr>
              <w:t xml:space="preserve"> Annals of emergency medicine</w:t>
            </w:r>
            <w:r w:rsidRPr="00361E30">
              <w:rPr>
                <w:rFonts w:cstheme="minorHAnsi"/>
                <w:noProof/>
                <w:lang w:val="en-GB"/>
              </w:rPr>
              <w:t xml:space="preserve"> 57(2) 79-88. e71.</w:t>
            </w:r>
            <w:bookmarkEnd w:id="442"/>
          </w:p>
        </w:tc>
      </w:tr>
      <w:tr w:rsidR="00051908" w:rsidRPr="00361E30" w14:paraId="508A598C" w14:textId="77777777" w:rsidTr="008F67FE">
        <w:trPr>
          <w:cantSplit/>
        </w:trPr>
        <w:tc>
          <w:tcPr>
            <w:tcW w:w="8726" w:type="dxa"/>
          </w:tcPr>
          <w:p w14:paraId="783CD37D" w14:textId="77777777" w:rsidR="00051908" w:rsidRPr="00361E30" w:rsidRDefault="00051908" w:rsidP="00A84367">
            <w:pPr>
              <w:pStyle w:val="ListParagraph"/>
              <w:spacing w:line="240" w:lineRule="auto"/>
              <w:rPr>
                <w:rFonts w:cstheme="minorHAnsi"/>
                <w:noProof/>
                <w:lang w:val="en-GB"/>
              </w:rPr>
            </w:pPr>
            <w:bookmarkStart w:id="443" w:name="_ENREF_215"/>
            <w:r w:rsidRPr="00361E30">
              <w:rPr>
                <w:rFonts w:cstheme="minorHAnsi"/>
                <w:noProof/>
                <w:lang w:val="en-GB"/>
              </w:rPr>
              <w:t>West, J. G., D. D. Trunkey and R. C. Lim (1979). Systems of trauma care: a study of two counties.</w:t>
            </w:r>
            <w:r w:rsidRPr="00361E30">
              <w:rPr>
                <w:rFonts w:cstheme="minorHAnsi"/>
                <w:i/>
                <w:noProof/>
                <w:lang w:val="en-GB"/>
              </w:rPr>
              <w:t xml:space="preserve"> Archives of Surgery</w:t>
            </w:r>
            <w:r w:rsidRPr="00361E30">
              <w:rPr>
                <w:rFonts w:cstheme="minorHAnsi"/>
                <w:noProof/>
                <w:lang w:val="en-GB"/>
              </w:rPr>
              <w:t xml:space="preserve"> 114(4) 455-460.</w:t>
            </w:r>
            <w:bookmarkEnd w:id="443"/>
          </w:p>
        </w:tc>
      </w:tr>
      <w:tr w:rsidR="00051908" w:rsidRPr="00361E30" w14:paraId="422A961D" w14:textId="77777777" w:rsidTr="008F67FE">
        <w:trPr>
          <w:cantSplit/>
        </w:trPr>
        <w:tc>
          <w:tcPr>
            <w:tcW w:w="8726" w:type="dxa"/>
          </w:tcPr>
          <w:p w14:paraId="669A2281" w14:textId="77777777" w:rsidR="00051908" w:rsidRPr="00361E30" w:rsidRDefault="00051908" w:rsidP="00A84367">
            <w:pPr>
              <w:pStyle w:val="ListParagraph"/>
              <w:spacing w:line="240" w:lineRule="auto"/>
              <w:rPr>
                <w:rFonts w:cstheme="minorHAnsi"/>
                <w:noProof/>
                <w:lang w:val="en-GB"/>
              </w:rPr>
            </w:pPr>
            <w:bookmarkStart w:id="444" w:name="_ENREF_216"/>
            <w:r w:rsidRPr="00361E30">
              <w:rPr>
                <w:rFonts w:cstheme="minorHAnsi"/>
                <w:noProof/>
                <w:lang w:val="en-GB"/>
              </w:rPr>
              <w:t>Woischneck, D., et al. (2013). [Comparison of younger and elder patients after multiple trauma].</w:t>
            </w:r>
            <w:r w:rsidRPr="00361E30">
              <w:rPr>
                <w:rFonts w:cstheme="minorHAnsi"/>
                <w:i/>
                <w:noProof/>
                <w:lang w:val="en-GB"/>
              </w:rPr>
              <w:t xml:space="preserve"> Versicherungsmedizin</w:t>
            </w:r>
            <w:r w:rsidRPr="00361E30">
              <w:rPr>
                <w:rFonts w:cstheme="minorHAnsi"/>
                <w:noProof/>
                <w:lang w:val="en-GB"/>
              </w:rPr>
              <w:t xml:space="preserve"> 65(1) 4-8.</w:t>
            </w:r>
            <w:bookmarkEnd w:id="444"/>
          </w:p>
        </w:tc>
      </w:tr>
      <w:tr w:rsidR="00051908" w:rsidRPr="00361E30" w14:paraId="46869B69" w14:textId="77777777" w:rsidTr="008F67FE">
        <w:trPr>
          <w:cantSplit/>
        </w:trPr>
        <w:tc>
          <w:tcPr>
            <w:tcW w:w="8726" w:type="dxa"/>
          </w:tcPr>
          <w:p w14:paraId="76CDBBE9" w14:textId="77777777" w:rsidR="00051908" w:rsidRPr="00361E30" w:rsidRDefault="00051908" w:rsidP="00A84367">
            <w:pPr>
              <w:pStyle w:val="ListParagraph"/>
              <w:spacing w:line="240" w:lineRule="auto"/>
              <w:rPr>
                <w:rFonts w:cstheme="minorHAnsi"/>
                <w:noProof/>
                <w:lang w:val="en-GB"/>
              </w:rPr>
            </w:pPr>
            <w:bookmarkStart w:id="445" w:name="_ENREF_217"/>
            <w:r w:rsidRPr="00361E30">
              <w:rPr>
                <w:rFonts w:cstheme="minorHAnsi"/>
                <w:noProof/>
                <w:lang w:val="en-GB"/>
              </w:rPr>
              <w:lastRenderedPageBreak/>
              <w:t>Woodford, M., et al. (2014). Trauma Audit and Research Network Procedure Manual. [online]. Trauma Audit and Research Network.</w:t>
            </w:r>
            <w:bookmarkEnd w:id="445"/>
            <w:r w:rsidRPr="00361E30">
              <w:rPr>
                <w:rFonts w:cstheme="minorHAnsi"/>
                <w:noProof/>
                <w:lang w:val="en-GB"/>
              </w:rPr>
              <w:t xml:space="preserve"> [Viewed 15</w:t>
            </w:r>
            <w:r w:rsidRPr="00361E30">
              <w:rPr>
                <w:rFonts w:cstheme="minorHAnsi"/>
                <w:noProof/>
                <w:vertAlign w:val="superscript"/>
                <w:lang w:val="en-GB"/>
              </w:rPr>
              <w:t>th</w:t>
            </w:r>
            <w:r w:rsidRPr="00361E30">
              <w:rPr>
                <w:rFonts w:cstheme="minorHAnsi"/>
                <w:noProof/>
                <w:lang w:val="en-GB"/>
              </w:rPr>
              <w:t xml:space="preserve"> May 2015] Available from:</w:t>
            </w:r>
          </w:p>
          <w:p w14:paraId="4DAED0A1" w14:textId="77777777" w:rsidR="00051908" w:rsidRPr="00361E30" w:rsidRDefault="00993D1E" w:rsidP="00A84367">
            <w:pPr>
              <w:pStyle w:val="ListParagraph"/>
              <w:spacing w:line="240" w:lineRule="auto"/>
              <w:rPr>
                <w:rFonts w:cstheme="minorHAnsi"/>
                <w:noProof/>
                <w:lang w:val="en-GB"/>
              </w:rPr>
            </w:pPr>
            <w:hyperlink r:id="rId42" w:history="1">
              <w:r w:rsidR="00051908" w:rsidRPr="00361E30">
                <w:rPr>
                  <w:rStyle w:val="Hyperlink"/>
                  <w:lang w:val="en-GB"/>
                </w:rPr>
                <w:t>https://www.tarn.ac.uk/content/downloads/53/Complete%20manual%20-%20August%202014.pdf</w:t>
              </w:r>
            </w:hyperlink>
          </w:p>
        </w:tc>
      </w:tr>
      <w:tr w:rsidR="00051908" w:rsidRPr="00361E30" w14:paraId="3612FD79" w14:textId="77777777" w:rsidTr="008F67FE">
        <w:trPr>
          <w:cantSplit/>
        </w:trPr>
        <w:tc>
          <w:tcPr>
            <w:tcW w:w="8726" w:type="dxa"/>
          </w:tcPr>
          <w:p w14:paraId="3504ECB4" w14:textId="77777777" w:rsidR="00051908" w:rsidRPr="00361E30" w:rsidRDefault="00051908" w:rsidP="00A84367">
            <w:pPr>
              <w:pStyle w:val="ListParagraph"/>
              <w:spacing w:line="240" w:lineRule="auto"/>
              <w:rPr>
                <w:rFonts w:cstheme="minorHAnsi"/>
                <w:noProof/>
                <w:lang w:val="en-GB"/>
              </w:rPr>
            </w:pPr>
            <w:bookmarkStart w:id="446" w:name="_ENREF_1"/>
            <w:r w:rsidRPr="00361E30">
              <w:rPr>
                <w:rFonts w:cstheme="minorHAnsi"/>
                <w:noProof/>
                <w:lang w:val="en-GB"/>
              </w:rPr>
              <w:t xml:space="preserve">World Health Organisation., (2002). World Population Ageing 1950–2050 [online]. </w:t>
            </w:r>
            <w:r w:rsidRPr="00361E30">
              <w:rPr>
                <w:rFonts w:cstheme="minorHAnsi"/>
                <w:i/>
                <w:noProof/>
                <w:lang w:val="en-GB"/>
              </w:rPr>
              <w:t>United Nations, Department of Economic and Social Affairs, Population Division.</w:t>
            </w:r>
            <w:bookmarkEnd w:id="446"/>
            <w:r w:rsidRPr="00361E30">
              <w:rPr>
                <w:rFonts w:cstheme="minorHAnsi"/>
                <w:noProof/>
                <w:lang w:val="en-GB"/>
              </w:rPr>
              <w:t xml:space="preserve"> [Viewed 15</w:t>
            </w:r>
            <w:r w:rsidRPr="00361E30">
              <w:rPr>
                <w:rFonts w:cstheme="minorHAnsi"/>
                <w:noProof/>
                <w:vertAlign w:val="superscript"/>
                <w:lang w:val="en-GB"/>
              </w:rPr>
              <w:t>th</w:t>
            </w:r>
            <w:r w:rsidRPr="00361E30">
              <w:rPr>
                <w:rFonts w:cstheme="minorHAnsi"/>
                <w:noProof/>
                <w:lang w:val="en-GB"/>
              </w:rPr>
              <w:t xml:space="preserve"> March 2015] Available from: </w:t>
            </w:r>
          </w:p>
          <w:p w14:paraId="18F97BE7" w14:textId="77777777" w:rsidR="00051908" w:rsidRPr="00361E30" w:rsidRDefault="00993D1E" w:rsidP="00A84367">
            <w:pPr>
              <w:pStyle w:val="ListParagraph"/>
              <w:spacing w:line="240" w:lineRule="auto"/>
              <w:rPr>
                <w:rFonts w:cstheme="minorHAnsi"/>
                <w:noProof/>
                <w:lang w:val="en-GB"/>
              </w:rPr>
            </w:pPr>
            <w:hyperlink r:id="rId43" w:history="1">
              <w:r w:rsidR="00051908" w:rsidRPr="00361E30">
                <w:rPr>
                  <w:rStyle w:val="Hyperlink"/>
                  <w:rFonts w:cstheme="minorHAnsi"/>
                  <w:lang w:val="en-GB"/>
                </w:rPr>
                <w:t>http://www.un.org/esa/population/publications/worldageing19502050/Executivesummary_English.pdf</w:t>
              </w:r>
            </w:hyperlink>
          </w:p>
        </w:tc>
      </w:tr>
      <w:tr w:rsidR="00051908" w:rsidRPr="00361E30" w14:paraId="49AB4B70" w14:textId="77777777" w:rsidTr="008F67FE">
        <w:trPr>
          <w:cantSplit/>
        </w:trPr>
        <w:tc>
          <w:tcPr>
            <w:tcW w:w="8726" w:type="dxa"/>
          </w:tcPr>
          <w:p w14:paraId="1192D969" w14:textId="77777777" w:rsidR="00051908" w:rsidRPr="00361E30" w:rsidRDefault="00051908" w:rsidP="00A84367">
            <w:pPr>
              <w:pStyle w:val="ListParagraph"/>
              <w:spacing w:line="240" w:lineRule="auto"/>
              <w:rPr>
                <w:rFonts w:cstheme="minorHAnsi"/>
                <w:noProof/>
                <w:lang w:val="en-GB"/>
              </w:rPr>
            </w:pPr>
            <w:bookmarkStart w:id="447" w:name="_ENREF_4"/>
            <w:r w:rsidRPr="00361E30">
              <w:rPr>
                <w:rFonts w:cstheme="minorHAnsi"/>
                <w:noProof/>
                <w:lang w:val="en-GB"/>
              </w:rPr>
              <w:t xml:space="preserve">World Health Organisation., (2013a). </w:t>
            </w:r>
            <w:r w:rsidRPr="00361E30">
              <w:rPr>
                <w:rFonts w:cstheme="minorHAnsi"/>
                <w:i/>
                <w:noProof/>
                <w:lang w:val="en-GB"/>
              </w:rPr>
              <w:t>World Health Statistics 2013</w:t>
            </w:r>
            <w:r w:rsidRPr="00361E30">
              <w:rPr>
                <w:rFonts w:cstheme="minorHAnsi"/>
                <w:noProof/>
                <w:lang w:val="en-GB"/>
              </w:rPr>
              <w:t>. Geneva: WHO Press.</w:t>
            </w:r>
            <w:bookmarkEnd w:id="447"/>
          </w:p>
        </w:tc>
      </w:tr>
      <w:tr w:rsidR="00051908" w:rsidRPr="00361E30" w14:paraId="434F4D28" w14:textId="77777777" w:rsidTr="008F67FE">
        <w:trPr>
          <w:cantSplit/>
        </w:trPr>
        <w:tc>
          <w:tcPr>
            <w:tcW w:w="8726" w:type="dxa"/>
          </w:tcPr>
          <w:p w14:paraId="4B79EDAA" w14:textId="77777777" w:rsidR="00051908" w:rsidRPr="00361E30" w:rsidRDefault="00051908" w:rsidP="00A84367">
            <w:pPr>
              <w:pStyle w:val="ListParagraph"/>
              <w:spacing w:line="240" w:lineRule="auto"/>
              <w:rPr>
                <w:rFonts w:cstheme="minorHAnsi"/>
                <w:noProof/>
                <w:lang w:val="en-GB"/>
              </w:rPr>
            </w:pPr>
            <w:r w:rsidRPr="00361E30">
              <w:rPr>
                <w:rFonts w:cstheme="minorHAnsi"/>
                <w:noProof/>
                <w:lang w:val="en-GB"/>
              </w:rPr>
              <w:t xml:space="preserve">World Health Organisation., (2013b). World Population Aging 2013 [online]. </w:t>
            </w:r>
            <w:r w:rsidRPr="00361E30">
              <w:rPr>
                <w:rFonts w:cstheme="minorHAnsi"/>
                <w:i/>
                <w:noProof/>
                <w:lang w:val="en-GB"/>
              </w:rPr>
              <w:t>United Nations, Department of Economic and Social Affairs, Population Division.</w:t>
            </w:r>
            <w:r w:rsidRPr="00361E30">
              <w:rPr>
                <w:rFonts w:cstheme="minorHAnsi"/>
                <w:noProof/>
                <w:lang w:val="en-GB"/>
              </w:rPr>
              <w:t xml:space="preserve"> [Viewed 15</w:t>
            </w:r>
            <w:r w:rsidRPr="00361E30">
              <w:rPr>
                <w:rFonts w:cstheme="minorHAnsi"/>
                <w:noProof/>
                <w:vertAlign w:val="superscript"/>
                <w:lang w:val="en-GB"/>
              </w:rPr>
              <w:t>th</w:t>
            </w:r>
            <w:r w:rsidRPr="00361E30">
              <w:rPr>
                <w:rFonts w:cstheme="minorHAnsi"/>
                <w:noProof/>
                <w:lang w:val="en-GB"/>
              </w:rPr>
              <w:t xml:space="preserve"> January 2015]</w:t>
            </w:r>
            <w:r w:rsidRPr="00361E30">
              <w:rPr>
                <w:rFonts w:cstheme="minorHAnsi"/>
                <w:i/>
                <w:noProof/>
                <w:lang w:val="en-GB"/>
              </w:rPr>
              <w:t xml:space="preserve"> </w:t>
            </w:r>
            <w:r w:rsidRPr="00361E30">
              <w:rPr>
                <w:rFonts w:cstheme="minorHAnsi"/>
                <w:noProof/>
                <w:lang w:val="en-GB"/>
              </w:rPr>
              <w:t xml:space="preserve">Available from: </w:t>
            </w:r>
          </w:p>
          <w:p w14:paraId="1F9F74C4" w14:textId="77777777" w:rsidR="00051908" w:rsidRPr="00361E30" w:rsidRDefault="00993D1E" w:rsidP="00A84367">
            <w:pPr>
              <w:pStyle w:val="ListParagraph"/>
              <w:spacing w:line="240" w:lineRule="auto"/>
              <w:rPr>
                <w:rFonts w:cstheme="minorHAnsi"/>
                <w:noProof/>
                <w:lang w:val="en-GB"/>
              </w:rPr>
            </w:pPr>
            <w:hyperlink r:id="rId44" w:history="1">
              <w:r w:rsidR="00051908" w:rsidRPr="00361E30">
                <w:rPr>
                  <w:rStyle w:val="Hyperlink"/>
                  <w:rFonts w:cstheme="minorHAnsi"/>
                  <w:noProof/>
                  <w:lang w:val="en-GB"/>
                </w:rPr>
                <w:t>http://www.un.org/en/development/desa/population/publications/pdf/ageing/WorldPopulationAgeing2013.pdf</w:t>
              </w:r>
            </w:hyperlink>
          </w:p>
        </w:tc>
      </w:tr>
      <w:tr w:rsidR="00051908" w:rsidRPr="00361E30" w14:paraId="16BB08B1" w14:textId="77777777" w:rsidTr="008F67FE">
        <w:trPr>
          <w:cantSplit/>
        </w:trPr>
        <w:tc>
          <w:tcPr>
            <w:tcW w:w="8726" w:type="dxa"/>
          </w:tcPr>
          <w:p w14:paraId="544FDC16" w14:textId="77777777" w:rsidR="00051908" w:rsidRPr="00361E30" w:rsidRDefault="00051908" w:rsidP="00A84367">
            <w:pPr>
              <w:pStyle w:val="ListParagraph"/>
              <w:spacing w:line="240" w:lineRule="auto"/>
              <w:rPr>
                <w:rFonts w:cstheme="minorHAnsi"/>
                <w:noProof/>
                <w:lang w:val="en-GB"/>
              </w:rPr>
            </w:pPr>
            <w:bookmarkStart w:id="448" w:name="_ENREF_218"/>
            <w:r w:rsidRPr="00361E30">
              <w:rPr>
                <w:rFonts w:cstheme="minorHAnsi"/>
                <w:noProof/>
                <w:lang w:val="en-GB"/>
              </w:rPr>
              <w:t>Xue, Q.-L. (2011). The Frailty Syndrome: Definition and Natural History.</w:t>
            </w:r>
            <w:r w:rsidRPr="00361E30">
              <w:rPr>
                <w:rFonts w:cstheme="minorHAnsi"/>
                <w:i/>
                <w:noProof/>
                <w:lang w:val="en-GB"/>
              </w:rPr>
              <w:t xml:space="preserve"> Clinics in Geriatric Medicine</w:t>
            </w:r>
            <w:r w:rsidRPr="00361E30">
              <w:rPr>
                <w:rFonts w:cstheme="minorHAnsi"/>
                <w:noProof/>
                <w:lang w:val="en-GB"/>
              </w:rPr>
              <w:t xml:space="preserve"> 27(1) 1-15.</w:t>
            </w:r>
            <w:bookmarkEnd w:id="448"/>
          </w:p>
        </w:tc>
      </w:tr>
      <w:tr w:rsidR="00051908" w:rsidRPr="00361E30" w14:paraId="343C5774" w14:textId="77777777" w:rsidTr="008F67FE">
        <w:trPr>
          <w:cantSplit/>
        </w:trPr>
        <w:tc>
          <w:tcPr>
            <w:tcW w:w="8726" w:type="dxa"/>
          </w:tcPr>
          <w:p w14:paraId="204939D5" w14:textId="77777777" w:rsidR="00051908" w:rsidRPr="00361E30" w:rsidRDefault="00051908" w:rsidP="00A84367">
            <w:pPr>
              <w:pStyle w:val="ListParagraph"/>
              <w:spacing w:line="240" w:lineRule="auto"/>
              <w:rPr>
                <w:rFonts w:cstheme="minorHAnsi"/>
                <w:noProof/>
                <w:lang w:val="en-GB"/>
              </w:rPr>
            </w:pPr>
            <w:bookmarkStart w:id="449" w:name="_ENREF_219"/>
            <w:r w:rsidRPr="00361E30">
              <w:rPr>
                <w:rFonts w:cstheme="minorHAnsi"/>
                <w:noProof/>
                <w:lang w:val="en-GB"/>
              </w:rPr>
              <w:t>Yardley, L., et al. (2006). Older people's views of advice about falls prevention: a qualitative study.</w:t>
            </w:r>
            <w:r w:rsidRPr="00361E30">
              <w:rPr>
                <w:rFonts w:cstheme="minorHAnsi"/>
                <w:i/>
                <w:noProof/>
                <w:lang w:val="en-GB"/>
              </w:rPr>
              <w:t xml:space="preserve"> Health Education Research</w:t>
            </w:r>
            <w:r w:rsidRPr="00361E30">
              <w:rPr>
                <w:rFonts w:cstheme="minorHAnsi"/>
                <w:noProof/>
                <w:lang w:val="en-GB"/>
              </w:rPr>
              <w:t xml:space="preserve"> 21(4) 508-517.</w:t>
            </w:r>
            <w:bookmarkEnd w:id="449"/>
          </w:p>
        </w:tc>
      </w:tr>
      <w:tr w:rsidR="00051908" w:rsidRPr="00361E30" w14:paraId="67B3ED93" w14:textId="77777777" w:rsidTr="008F67FE">
        <w:trPr>
          <w:cantSplit/>
        </w:trPr>
        <w:tc>
          <w:tcPr>
            <w:tcW w:w="8726" w:type="dxa"/>
          </w:tcPr>
          <w:p w14:paraId="09F3C407" w14:textId="77777777" w:rsidR="00051908" w:rsidRPr="00361E30" w:rsidRDefault="00051908" w:rsidP="00A84367">
            <w:pPr>
              <w:pStyle w:val="ListParagraph"/>
              <w:spacing w:line="240" w:lineRule="auto"/>
              <w:rPr>
                <w:rFonts w:cstheme="minorHAnsi"/>
                <w:noProof/>
                <w:lang w:val="en-GB"/>
              </w:rPr>
            </w:pPr>
            <w:bookmarkStart w:id="450" w:name="_ENREF_220"/>
            <w:r w:rsidRPr="00361E30">
              <w:rPr>
                <w:rFonts w:cstheme="minorHAnsi"/>
                <w:noProof/>
                <w:lang w:val="en-GB"/>
              </w:rPr>
              <w:t>Yates, D., et al. (1994). Trauma audit—closing the loop.</w:t>
            </w:r>
            <w:r w:rsidRPr="00361E30">
              <w:rPr>
                <w:rFonts w:cstheme="minorHAnsi"/>
                <w:i/>
                <w:noProof/>
                <w:lang w:val="en-GB"/>
              </w:rPr>
              <w:t xml:space="preserve"> Injury</w:t>
            </w:r>
            <w:r w:rsidRPr="00361E30">
              <w:rPr>
                <w:rFonts w:cstheme="minorHAnsi"/>
                <w:noProof/>
                <w:lang w:val="en-GB"/>
              </w:rPr>
              <w:t xml:space="preserve"> 25(8) 511-514.</w:t>
            </w:r>
            <w:bookmarkEnd w:id="450"/>
          </w:p>
        </w:tc>
      </w:tr>
      <w:tr w:rsidR="00051908" w:rsidRPr="00361E30" w14:paraId="3A5A4334" w14:textId="77777777" w:rsidTr="008F67FE">
        <w:trPr>
          <w:cantSplit/>
        </w:trPr>
        <w:tc>
          <w:tcPr>
            <w:tcW w:w="8726" w:type="dxa"/>
          </w:tcPr>
          <w:p w14:paraId="7CAE009B" w14:textId="77777777" w:rsidR="00051908" w:rsidRPr="00361E30" w:rsidRDefault="00051908" w:rsidP="00A84367">
            <w:pPr>
              <w:pStyle w:val="ListParagraph"/>
              <w:spacing w:line="240" w:lineRule="auto"/>
              <w:rPr>
                <w:rFonts w:cstheme="minorHAnsi"/>
                <w:noProof/>
                <w:lang w:val="en-GB"/>
              </w:rPr>
            </w:pPr>
            <w:bookmarkStart w:id="451" w:name="_ENREF_221"/>
            <w:r w:rsidRPr="00361E30">
              <w:rPr>
                <w:rFonts w:cstheme="minorHAnsi"/>
                <w:noProof/>
                <w:lang w:val="en-GB"/>
              </w:rPr>
              <w:t>Yates, D., M. Woodford and S. Hollis (1992). Preliminary analysis of the care of injured patients in 33 British hospitals: first report of the United Kingdom major trauma outcome study.</w:t>
            </w:r>
            <w:r w:rsidRPr="00361E30">
              <w:rPr>
                <w:rFonts w:cstheme="minorHAnsi"/>
                <w:i/>
                <w:noProof/>
                <w:lang w:val="en-GB"/>
              </w:rPr>
              <w:t xml:space="preserve"> British Medical Journal</w:t>
            </w:r>
            <w:r w:rsidRPr="00361E30">
              <w:rPr>
                <w:rFonts w:cstheme="minorHAnsi"/>
                <w:noProof/>
                <w:lang w:val="en-GB"/>
              </w:rPr>
              <w:t xml:space="preserve"> 305(6856) 737.</w:t>
            </w:r>
            <w:bookmarkEnd w:id="451"/>
          </w:p>
        </w:tc>
      </w:tr>
      <w:tr w:rsidR="00051908" w:rsidRPr="00361E30" w14:paraId="72870FEA" w14:textId="77777777" w:rsidTr="008F67FE">
        <w:trPr>
          <w:cantSplit/>
        </w:trPr>
        <w:tc>
          <w:tcPr>
            <w:tcW w:w="8726" w:type="dxa"/>
          </w:tcPr>
          <w:p w14:paraId="33D0F656" w14:textId="77777777" w:rsidR="00051908" w:rsidRPr="00361E30" w:rsidRDefault="00051908" w:rsidP="00A84367">
            <w:pPr>
              <w:pStyle w:val="ListParagraph"/>
              <w:spacing w:line="240" w:lineRule="auto"/>
              <w:rPr>
                <w:rFonts w:cstheme="minorHAnsi"/>
                <w:noProof/>
                <w:lang w:val="en-GB"/>
              </w:rPr>
            </w:pPr>
            <w:bookmarkStart w:id="452" w:name="_ENREF_222"/>
            <w:r w:rsidRPr="00361E30">
              <w:rPr>
                <w:rFonts w:cstheme="minorHAnsi"/>
                <w:noProof/>
                <w:lang w:val="en-GB"/>
              </w:rPr>
              <w:t>Yeung, J. H., et al. (2008). High risk trauma in older adults in Hong Kong: a multicentre study.</w:t>
            </w:r>
            <w:r w:rsidRPr="00361E30">
              <w:rPr>
                <w:rFonts w:cstheme="minorHAnsi"/>
                <w:i/>
                <w:noProof/>
                <w:lang w:val="en-GB"/>
              </w:rPr>
              <w:t xml:space="preserve"> Injury</w:t>
            </w:r>
            <w:r w:rsidRPr="00361E30">
              <w:rPr>
                <w:rFonts w:cstheme="minorHAnsi"/>
                <w:noProof/>
                <w:lang w:val="en-GB"/>
              </w:rPr>
              <w:t xml:space="preserve"> 39(9) 1034-1041.</w:t>
            </w:r>
            <w:bookmarkEnd w:id="452"/>
          </w:p>
        </w:tc>
      </w:tr>
    </w:tbl>
    <w:p w14:paraId="427A7992" w14:textId="77777777" w:rsidR="00051908" w:rsidRPr="00361E30" w:rsidRDefault="00051908" w:rsidP="00051908">
      <w:pPr>
        <w:sectPr w:rsidR="00051908" w:rsidRPr="00361E30" w:rsidSect="00A84367">
          <w:pgSz w:w="11909" w:h="16834" w:code="9"/>
          <w:pgMar w:top="1138" w:right="1138" w:bottom="1138" w:left="2275" w:header="720" w:footer="720" w:gutter="0"/>
          <w:cols w:space="720"/>
          <w:docGrid w:linePitch="360"/>
        </w:sectPr>
      </w:pPr>
    </w:p>
    <w:p w14:paraId="6F96AFBA" w14:textId="77777777" w:rsidR="00CA0EF0" w:rsidRPr="00361E30" w:rsidRDefault="00CA0EF0" w:rsidP="003C13F4">
      <w:pPr>
        <w:pStyle w:val="ChapterHeading"/>
      </w:pPr>
      <w:bookmarkStart w:id="453" w:name="_Toc1902378"/>
      <w:r w:rsidRPr="00361E30">
        <w:lastRenderedPageBreak/>
        <w:t>Appendix 1 – Systematic Review (Patient Characteristics)</w:t>
      </w:r>
      <w:bookmarkEnd w:id="453"/>
    </w:p>
    <w:tbl>
      <w:tblPr>
        <w:tblW w:w="9345" w:type="dxa"/>
        <w:tblInd w:w="-432" w:type="dxa"/>
        <w:tblLayout w:type="fixed"/>
        <w:tblCellMar>
          <w:top w:w="15" w:type="dxa"/>
          <w:left w:w="15" w:type="dxa"/>
          <w:bottom w:w="15" w:type="dxa"/>
          <w:right w:w="15" w:type="dxa"/>
        </w:tblCellMar>
        <w:tblLook w:val="04A0" w:firstRow="1" w:lastRow="0" w:firstColumn="1" w:lastColumn="0" w:noHBand="0" w:noVBand="1"/>
      </w:tblPr>
      <w:tblGrid>
        <w:gridCol w:w="915"/>
        <w:gridCol w:w="630"/>
        <w:gridCol w:w="450"/>
        <w:gridCol w:w="1440"/>
        <w:gridCol w:w="1260"/>
        <w:gridCol w:w="1230"/>
        <w:gridCol w:w="1170"/>
        <w:gridCol w:w="990"/>
        <w:gridCol w:w="1260"/>
      </w:tblGrid>
      <w:tr w:rsidR="00CA0EF0" w:rsidRPr="00361E30" w14:paraId="744FEDC0" w14:textId="77777777" w:rsidTr="003C13F4">
        <w:trPr>
          <w:cantSplit/>
          <w:trHeight w:val="1623"/>
        </w:trPr>
        <w:tc>
          <w:tcPr>
            <w:tcW w:w="9345" w:type="dxa"/>
            <w:gridSpan w:val="9"/>
            <w:tcBorders>
              <w:top w:val="single" w:sz="6" w:space="0" w:color="000000"/>
              <w:left w:val="single" w:sz="6" w:space="0" w:color="000000"/>
              <w:bottom w:val="single" w:sz="6" w:space="0" w:color="000000"/>
              <w:right w:val="single" w:sz="6" w:space="0" w:color="000000"/>
            </w:tcBorders>
            <w:vAlign w:val="center"/>
          </w:tcPr>
          <w:p w14:paraId="02E05CAC" w14:textId="77777777" w:rsidR="00CA0EF0" w:rsidRPr="00361E30" w:rsidRDefault="00CA0EF0" w:rsidP="003C13F4">
            <w:pPr>
              <w:spacing w:after="0" w:line="240" w:lineRule="auto"/>
              <w:jc w:val="center"/>
              <w:rPr>
                <w:rFonts w:cstheme="minorHAnsi"/>
                <w:b/>
                <w:sz w:val="18"/>
                <w:szCs w:val="20"/>
              </w:rPr>
            </w:pPr>
            <w:r w:rsidRPr="00361E30">
              <w:rPr>
                <w:rFonts w:cstheme="minorHAnsi"/>
                <w:b/>
                <w:sz w:val="18"/>
                <w:szCs w:val="20"/>
              </w:rPr>
              <w:t>Major Trauma in Older People – A Systematic Review of Patient Risk Factors Influencing Mortality</w:t>
            </w:r>
          </w:p>
        </w:tc>
      </w:tr>
      <w:tr w:rsidR="00CA0EF0" w:rsidRPr="00361E30" w14:paraId="3B6549B9" w14:textId="77777777" w:rsidTr="003C13F4">
        <w:trPr>
          <w:cantSplit/>
          <w:trHeight w:val="1623"/>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hideMark/>
          </w:tcPr>
          <w:p w14:paraId="3960D298"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b/>
                <w:bCs/>
                <w:sz w:val="18"/>
                <w:szCs w:val="20"/>
              </w:rPr>
              <w:t>Paper</w:t>
            </w:r>
          </w:p>
        </w:tc>
        <w:tc>
          <w:tcPr>
            <w:tcW w:w="6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hideMark/>
          </w:tcPr>
          <w:p w14:paraId="527BD4BA"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b/>
                <w:bCs/>
                <w:sz w:val="18"/>
                <w:szCs w:val="20"/>
              </w:rPr>
              <w:t>Year of Publication</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739CD6A8" w14:textId="77777777" w:rsidR="00CA0EF0" w:rsidRPr="00361E30" w:rsidRDefault="00CA0EF0" w:rsidP="003C13F4">
            <w:pPr>
              <w:spacing w:after="0" w:line="240" w:lineRule="auto"/>
              <w:ind w:left="113" w:right="113"/>
              <w:rPr>
                <w:rFonts w:eastAsia="Times New Roman" w:cstheme="minorHAnsi"/>
                <w:b/>
                <w:bCs/>
                <w:sz w:val="18"/>
                <w:szCs w:val="20"/>
              </w:rPr>
            </w:pPr>
            <w:r w:rsidRPr="00361E30">
              <w:rPr>
                <w:rFonts w:eastAsia="Times New Roman" w:cstheme="minorHAnsi"/>
                <w:b/>
                <w:bCs/>
                <w:sz w:val="18"/>
                <w:szCs w:val="20"/>
              </w:rPr>
              <w:t xml:space="preserve">Database </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2E3EB3B"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b/>
                <w:bCs/>
                <w:sz w:val="18"/>
                <w:szCs w:val="20"/>
              </w:rPr>
              <w:t>Type of study</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CC42E8B"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b/>
                <w:bCs/>
                <w:sz w:val="18"/>
                <w:szCs w:val="20"/>
              </w:rPr>
              <w:t>Main Aim of Study</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D3A6ADA" w14:textId="77777777" w:rsidR="00CA0EF0" w:rsidRPr="00361E30" w:rsidRDefault="00CA0EF0" w:rsidP="003C13F4">
            <w:pPr>
              <w:spacing w:after="0" w:line="240" w:lineRule="auto"/>
              <w:rPr>
                <w:rFonts w:eastAsia="Times New Roman" w:cstheme="minorHAnsi"/>
                <w:b/>
                <w:bCs/>
                <w:sz w:val="18"/>
                <w:szCs w:val="20"/>
              </w:rPr>
            </w:pPr>
            <w:r w:rsidRPr="00361E30">
              <w:rPr>
                <w:rFonts w:eastAsia="Times New Roman" w:cstheme="minorHAnsi"/>
                <w:b/>
                <w:bCs/>
                <w:sz w:val="18"/>
                <w:szCs w:val="20"/>
              </w:rPr>
              <w:t>Patient Group</w:t>
            </w:r>
          </w:p>
          <w:p w14:paraId="75221DA9"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b/>
                <w:bCs/>
                <w:sz w:val="18"/>
                <w:szCs w:val="20"/>
              </w:rPr>
              <w:t>(including sample size[n])</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8D8CEF6" w14:textId="77777777" w:rsidR="00CA0EF0" w:rsidRPr="00361E30" w:rsidRDefault="00CA0EF0" w:rsidP="003C13F4">
            <w:pPr>
              <w:spacing w:after="0" w:line="240" w:lineRule="auto"/>
              <w:rPr>
                <w:rFonts w:eastAsia="Times New Roman" w:cstheme="minorHAnsi"/>
                <w:b/>
                <w:bCs/>
                <w:sz w:val="18"/>
                <w:szCs w:val="20"/>
              </w:rPr>
            </w:pPr>
            <w:r w:rsidRPr="00361E30">
              <w:rPr>
                <w:rFonts w:eastAsia="Times New Roman" w:cstheme="minorHAnsi"/>
                <w:b/>
                <w:bCs/>
                <w:sz w:val="18"/>
                <w:szCs w:val="20"/>
              </w:rPr>
              <w:t>Comparator</w:t>
            </w:r>
          </w:p>
          <w:p w14:paraId="708882DD"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b/>
                <w:bCs/>
                <w:sz w:val="18"/>
                <w:szCs w:val="20"/>
              </w:rPr>
              <w:t>(including sample size[n])</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0114DC6"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b/>
                <w:bCs/>
                <w:sz w:val="18"/>
                <w:szCs w:val="20"/>
              </w:rPr>
              <w:t>Main Outcome Measure</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2E17793" w14:textId="77777777" w:rsidR="00CA0EF0" w:rsidRPr="00361E30" w:rsidRDefault="00CA0EF0" w:rsidP="003C13F4">
            <w:pPr>
              <w:spacing w:after="0" w:line="240" w:lineRule="auto"/>
              <w:rPr>
                <w:rFonts w:eastAsia="Times New Roman" w:cstheme="minorHAnsi"/>
                <w:b/>
                <w:bCs/>
                <w:sz w:val="18"/>
                <w:szCs w:val="20"/>
              </w:rPr>
            </w:pPr>
            <w:r w:rsidRPr="00361E30">
              <w:rPr>
                <w:rFonts w:eastAsia="Times New Roman" w:cstheme="minorHAnsi"/>
                <w:b/>
                <w:bCs/>
                <w:sz w:val="18"/>
                <w:szCs w:val="20"/>
              </w:rPr>
              <w:t>Main Findings</w:t>
            </w:r>
          </w:p>
          <w:p w14:paraId="4EB529A7" w14:textId="77777777" w:rsidR="00CA0EF0" w:rsidRPr="00361E30" w:rsidRDefault="00CA0EF0" w:rsidP="003C13F4">
            <w:pPr>
              <w:spacing w:after="0" w:line="240" w:lineRule="auto"/>
              <w:rPr>
                <w:rFonts w:eastAsia="Times New Roman" w:cstheme="minorHAnsi"/>
                <w:b/>
                <w:bCs/>
                <w:sz w:val="18"/>
                <w:szCs w:val="20"/>
              </w:rPr>
            </w:pPr>
            <w:r w:rsidRPr="00361E30">
              <w:rPr>
                <w:rFonts w:eastAsia="Times New Roman" w:cstheme="minorHAnsi"/>
                <w:b/>
                <w:bCs/>
                <w:sz w:val="18"/>
                <w:szCs w:val="20"/>
              </w:rPr>
              <w:t>(95% CI)</w:t>
            </w:r>
          </w:p>
          <w:p w14:paraId="170BD133" w14:textId="77777777" w:rsidR="00CA0EF0" w:rsidRPr="00361E30" w:rsidRDefault="00CA0EF0" w:rsidP="003C13F4">
            <w:pPr>
              <w:spacing w:after="0" w:line="240" w:lineRule="auto"/>
              <w:rPr>
                <w:rFonts w:eastAsia="Times New Roman" w:cstheme="minorHAnsi"/>
                <w:sz w:val="18"/>
                <w:szCs w:val="20"/>
              </w:rPr>
            </w:pPr>
          </w:p>
        </w:tc>
      </w:tr>
      <w:tr w:rsidR="00CA0EF0" w:rsidRPr="00361E30" w14:paraId="3C716C86" w14:textId="77777777" w:rsidTr="003C13F4">
        <w:trPr>
          <w:cantSplit/>
          <w:trHeight w:val="1134"/>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37CA20E3"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Aitken et al (Characteristics and outcomes of injured older adults after hospital admission.)</w:t>
            </w:r>
          </w:p>
        </w:tc>
        <w:tc>
          <w:tcPr>
            <w:tcW w:w="6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05C86C5"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2010</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58AB1965"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Medline, CINHAL</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6FA0BC3"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Retrospective analysis of data from the Queensland Trauma Registry.</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1A20A0A"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To describe the seriously injured adult population aged 65 and older;</w:t>
            </w:r>
          </w:p>
          <w:p w14:paraId="3067DF13"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compare the differences in injury characteristics and outcomes in three subgroups</w:t>
            </w:r>
          </w:p>
          <w:p w14:paraId="1BE5B3A5"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aged 65 to 74, 75 to 84, and 85 and older</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6298F51"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All patients aged 65 and older with major trauma entered into the Queensland Trauma Registry between 2003 and 2006 (n=6069)</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36BF01E"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Three cohorts compared: 65 - 74; 75 - 84 and 85 and older.</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EE772A3"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Adjusted odds ratio of death.</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025927D"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 xml:space="preserve">The study demonstrated an increasing mortality with age [reference age 65 – 74; AOR for 75-84 </w:t>
            </w:r>
            <w:r w:rsidRPr="00361E30">
              <w:rPr>
                <w:rFonts w:cstheme="minorHAnsi"/>
                <w:sz w:val="18"/>
                <w:szCs w:val="20"/>
              </w:rPr>
              <w:t>1.47 (1.07–2.02); AOR for ≥85 2.81 (1.97–3.99)]</w:t>
            </w:r>
            <w:r w:rsidRPr="00361E30">
              <w:rPr>
                <w:rFonts w:eastAsia="Times New Roman" w:cstheme="minorHAnsi"/>
                <w:sz w:val="18"/>
                <w:szCs w:val="20"/>
              </w:rPr>
              <w:t xml:space="preserve">, as well as with male gender [AOR </w:t>
            </w:r>
            <w:r w:rsidRPr="00361E30">
              <w:rPr>
                <w:rFonts w:cstheme="minorHAnsi"/>
                <w:sz w:val="18"/>
                <w:szCs w:val="20"/>
              </w:rPr>
              <w:t>1.40 (1.07–1.84)]</w:t>
            </w:r>
            <w:r w:rsidRPr="00361E30">
              <w:rPr>
                <w:rFonts w:eastAsia="Times New Roman" w:cstheme="minorHAnsi"/>
                <w:sz w:val="18"/>
                <w:szCs w:val="20"/>
              </w:rPr>
              <w:t xml:space="preserve">, mechanism of injury [reference falls; motor vehicle collision AOR 0.47 (0.32–0.70)] and injury pattern [reference 1 injury; 2 injuries </w:t>
            </w:r>
            <w:r w:rsidRPr="00361E30">
              <w:rPr>
                <w:rFonts w:cstheme="minorHAnsi"/>
                <w:sz w:val="18"/>
                <w:szCs w:val="20"/>
              </w:rPr>
              <w:t>1.49 (1.02–2.17);</w:t>
            </w:r>
            <w:r w:rsidRPr="00361E30">
              <w:rPr>
                <w:rFonts w:eastAsia="Times New Roman" w:cstheme="minorHAnsi"/>
                <w:sz w:val="18"/>
                <w:szCs w:val="20"/>
              </w:rPr>
              <w:t xml:space="preserve"> ≥3 injuries AOR </w:t>
            </w:r>
            <w:r w:rsidRPr="00361E30">
              <w:rPr>
                <w:rFonts w:cstheme="minorHAnsi"/>
                <w:sz w:val="18"/>
                <w:szCs w:val="20"/>
              </w:rPr>
              <w:t>1.73 (1.18–2.53)]</w:t>
            </w:r>
            <w:r w:rsidRPr="00361E30">
              <w:rPr>
                <w:rFonts w:eastAsia="Times New Roman" w:cstheme="minorHAnsi"/>
                <w:sz w:val="18"/>
                <w:szCs w:val="20"/>
              </w:rPr>
              <w:t xml:space="preserve">. </w:t>
            </w:r>
          </w:p>
        </w:tc>
      </w:tr>
      <w:tr w:rsidR="00CA0EF0" w:rsidRPr="00361E30" w14:paraId="3E12ECEE" w14:textId="77777777" w:rsidTr="003C13F4">
        <w:trPr>
          <w:cantSplit/>
          <w:trHeight w:val="1134"/>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665D237A"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lastRenderedPageBreak/>
              <w:t>Belzunegui et al (Major trauma registry of Navarre (Spain): the accuracy of different survival prediction models) Am J Emerg Med (2013)</w:t>
            </w:r>
          </w:p>
        </w:tc>
        <w:tc>
          <w:tcPr>
            <w:tcW w:w="6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E26DC89"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2013</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53E725BF"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Medline</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59FF025"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Prospective cohort study (multicentre study)</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3CC9A87"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To determine which factors predict death among trauma patients who are</w:t>
            </w:r>
          </w:p>
          <w:p w14:paraId="1B50F3C7"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alive on arrival at hospital, using regression modeling</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BA4DEC1"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All patients admitted to hospital with a NISS of &gt;15, who sustained their injuries &lt;24 hours prior to admission</w:t>
            </w:r>
          </w:p>
          <w:p w14:paraId="4F025433"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(n=378)</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7650A50"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No comparators</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A49541C"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Mortality at 30 days</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A2CA717"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The best-fit predictive model of mortality utilised an age cut-off of 59 years [AOR 4.35 (1.59 – 11.91)]. When considered as a continuous variable, the AOR of death for each 1 year increase in age was found to be 1.08 (1.05 – 1.11) The presence of co-morbidities was found to be an independent predictor of mortality [AOR 2.02 (1.09 – 6.83) for predictive  model 1]</w:t>
            </w:r>
          </w:p>
        </w:tc>
      </w:tr>
      <w:tr w:rsidR="00CA0EF0" w:rsidRPr="00361E30" w14:paraId="575942CE" w14:textId="77777777" w:rsidTr="003C13F4">
        <w:trPr>
          <w:cantSplit/>
          <w:trHeight w:val="1134"/>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77183C8D"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lastRenderedPageBreak/>
              <w:t>Berry et al (</w:t>
            </w:r>
            <w:r w:rsidRPr="00361E30">
              <w:rPr>
                <w:rFonts w:cstheme="minorHAnsi"/>
                <w:sz w:val="18"/>
                <w:szCs w:val="20"/>
              </w:rPr>
              <w:t xml:space="preserve"> Redefining hypotension in traumatic brain injury)</w:t>
            </w:r>
          </w:p>
        </w:tc>
        <w:tc>
          <w:tcPr>
            <w:tcW w:w="6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7D7E21C"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2010</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300A33CD"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Manual search of citations from selected papers</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271FB0B"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Review of data from Los Angeles State trauma registry</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9B897FC"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To determine the age-adjusted optimal SBP in patients with isolated moderate to severe TBI</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9AB60DB"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All adult trauma patients (age &gt; 14 years) with blunt isolated moderate to severe TBI admitted between January 1998 and December 2005 to one of 13 trauma centres in the county of Los Angeles.</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EAFA83F" w14:textId="77777777" w:rsidR="00CA0EF0" w:rsidRPr="00361E30" w:rsidRDefault="00CA0EF0" w:rsidP="003C13F4">
            <w:pPr>
              <w:spacing w:after="0" w:line="240" w:lineRule="auto"/>
              <w:jc w:val="left"/>
              <w:rPr>
                <w:rFonts w:eastAsia="Times New Roman" w:cstheme="minorHAnsi"/>
                <w:sz w:val="18"/>
                <w:szCs w:val="20"/>
              </w:rPr>
            </w:pPr>
            <w:r w:rsidRPr="00361E30">
              <w:rPr>
                <w:rFonts w:eastAsia="Times New Roman" w:cstheme="minorHAnsi"/>
                <w:sz w:val="18"/>
                <w:szCs w:val="20"/>
              </w:rPr>
              <w:t>Patients were compared in age defined cohorts: 15 – 49; 60 – 69 and ≥ 70 years old.</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3D647EF"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eastAsia="Times New Roman" w:cstheme="minorHAnsi"/>
                <w:sz w:val="18"/>
                <w:szCs w:val="20"/>
              </w:rPr>
              <w:t xml:space="preserve">Ten different models of mortality prediction were tested. </w:t>
            </w:r>
            <w:r w:rsidRPr="00361E30">
              <w:rPr>
                <w:rFonts w:cstheme="minorHAnsi"/>
                <w:sz w:val="18"/>
                <w:szCs w:val="20"/>
              </w:rPr>
              <w:t>The statistical fit of each model was assessed by the Akaike Information Criterion (AIC) and the Schwartz Criterion (SC). The discriminatory power of each model was assessed by the C-Statistic. Mortality rates for each age group in relation to systolic blood pressure were reported as risk adjusted odds ratios.</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E928DDD" w14:textId="77777777" w:rsidR="00CA0EF0" w:rsidRPr="00361E30" w:rsidRDefault="00CA0EF0" w:rsidP="003C13F4">
            <w:pPr>
              <w:autoSpaceDE w:val="0"/>
              <w:autoSpaceDN w:val="0"/>
              <w:adjustRightInd w:val="0"/>
              <w:spacing w:after="0" w:line="240" w:lineRule="auto"/>
              <w:jc w:val="left"/>
              <w:rPr>
                <w:rFonts w:eastAsia="Times New Roman" w:cstheme="minorHAnsi"/>
                <w:sz w:val="18"/>
                <w:szCs w:val="20"/>
              </w:rPr>
            </w:pPr>
            <w:r w:rsidRPr="00361E30">
              <w:rPr>
                <w:rFonts w:eastAsia="Times New Roman" w:cstheme="minorHAnsi"/>
                <w:sz w:val="18"/>
                <w:szCs w:val="20"/>
              </w:rPr>
              <w:t xml:space="preserve">For each age group, mortality increased significantly when SBP dropped below 110 mmHg (15 – 49 years: AOR </w:t>
            </w:r>
            <w:r w:rsidRPr="00361E30">
              <w:rPr>
                <w:rFonts w:cstheme="minorHAnsi"/>
                <w:sz w:val="18"/>
                <w:szCs w:val="20"/>
              </w:rPr>
              <w:t>1.98, 95% CI 1.65–2.39); 100 mmHg (50 – 69 years: AOR 2.20, 95% CI 1.46–3.31); and 110 mmHg (</w:t>
            </w:r>
            <w:r w:rsidRPr="00361E30">
              <w:rPr>
                <w:rFonts w:eastAsia="Times New Roman" w:cstheme="minorHAnsi"/>
                <w:sz w:val="18"/>
                <w:szCs w:val="20"/>
              </w:rPr>
              <w:t xml:space="preserve">≥ 70 years : </w:t>
            </w:r>
            <w:r w:rsidRPr="00361E30">
              <w:rPr>
                <w:rFonts w:cstheme="minorHAnsi"/>
                <w:sz w:val="18"/>
                <w:szCs w:val="20"/>
              </w:rPr>
              <w:t>AOR 1.92, 95% CI 1.35–2.74) respectively.</w:t>
            </w:r>
          </w:p>
        </w:tc>
      </w:tr>
      <w:tr w:rsidR="00CA0EF0" w:rsidRPr="00361E30" w14:paraId="1A5214C8" w14:textId="77777777" w:rsidTr="003C13F4">
        <w:trPr>
          <w:cantSplit/>
          <w:trHeight w:val="4380"/>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1664CBDB"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Bouamra et al (A New Approach to Outcome Prediction in Trauma: A Comparison With the TRISS Model)</w:t>
            </w:r>
          </w:p>
        </w:tc>
        <w:tc>
          <w:tcPr>
            <w:tcW w:w="6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3ED3D11"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2006</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2F4C8AF8"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Medline</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67C251C"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Retrospective Review of prospectively collected data</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3A874EC"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To determine the predictive accuracy of the new TARN model.</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09A3BBA"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Adult trauma patients (age ≥16 years) with blunt trauma, fulfilling the criteria for admission to the TARN database</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7F23F09" w14:textId="77777777" w:rsidR="00CA0EF0" w:rsidRPr="00361E30" w:rsidRDefault="00CA0EF0" w:rsidP="003C13F4">
            <w:pPr>
              <w:spacing w:after="0" w:line="240" w:lineRule="auto"/>
              <w:jc w:val="left"/>
              <w:rPr>
                <w:rFonts w:eastAsia="Times New Roman" w:cstheme="minorHAnsi"/>
                <w:sz w:val="18"/>
                <w:szCs w:val="20"/>
              </w:rPr>
            </w:pPr>
            <w:r w:rsidRPr="00361E30">
              <w:rPr>
                <w:rFonts w:eastAsia="Times New Roman" w:cstheme="minorHAnsi"/>
                <w:sz w:val="18"/>
                <w:szCs w:val="20"/>
              </w:rPr>
              <w:t>Patients compared in age cohorts 16 – 44; 45 – 54; 55 – 64; 65 – 74 and &gt;74 years</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3692ED6" w14:textId="77777777" w:rsidR="00CA0EF0" w:rsidRPr="00361E30" w:rsidRDefault="00CA0EF0" w:rsidP="003C13F4">
            <w:pPr>
              <w:autoSpaceDE w:val="0"/>
              <w:autoSpaceDN w:val="0"/>
              <w:adjustRightInd w:val="0"/>
              <w:spacing w:after="0" w:line="240" w:lineRule="auto"/>
              <w:jc w:val="left"/>
              <w:rPr>
                <w:rFonts w:eastAsia="Times New Roman" w:cstheme="minorHAnsi"/>
                <w:sz w:val="18"/>
                <w:szCs w:val="20"/>
              </w:rPr>
            </w:pPr>
            <w:r w:rsidRPr="00361E30">
              <w:rPr>
                <w:rFonts w:eastAsia="Times New Roman" w:cstheme="minorHAnsi"/>
                <w:sz w:val="18"/>
                <w:szCs w:val="20"/>
              </w:rPr>
              <w:t>Predictive accuracy of the model when applied to the TARN database</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536972C" w14:textId="77777777" w:rsidR="00CA0EF0" w:rsidRPr="00361E30" w:rsidRDefault="00CA0EF0" w:rsidP="003C13F4">
            <w:pPr>
              <w:autoSpaceDE w:val="0"/>
              <w:autoSpaceDN w:val="0"/>
              <w:adjustRightInd w:val="0"/>
              <w:spacing w:after="0" w:line="240" w:lineRule="auto"/>
              <w:jc w:val="left"/>
              <w:rPr>
                <w:rFonts w:eastAsia="Times New Roman" w:cstheme="minorHAnsi"/>
                <w:sz w:val="18"/>
                <w:szCs w:val="20"/>
              </w:rPr>
            </w:pPr>
            <w:r w:rsidRPr="00361E30">
              <w:rPr>
                <w:rFonts w:eastAsia="Times New Roman" w:cstheme="minorHAnsi"/>
                <w:sz w:val="18"/>
                <w:szCs w:val="20"/>
              </w:rPr>
              <w:t xml:space="preserve">Compared to patients aged 16 – 44 years, the odds of death in males aged </w:t>
            </w:r>
            <w:r w:rsidRPr="00361E30">
              <w:rPr>
                <w:rFonts w:cstheme="minorHAnsi"/>
                <w:sz w:val="18"/>
                <w:szCs w:val="20"/>
              </w:rPr>
              <w:t>65 – 74 years was 2.76 (2.35–3.24); for females the odds of death in the 65 – 74 year age group was 1.09 (0.88–1.35)</w:t>
            </w:r>
          </w:p>
        </w:tc>
      </w:tr>
      <w:tr w:rsidR="00CA0EF0" w:rsidRPr="00361E30" w14:paraId="32DD5610" w14:textId="77777777" w:rsidTr="003C13F4">
        <w:trPr>
          <w:cantSplit/>
          <w:trHeight w:val="1134"/>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59F3ED0F"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lastRenderedPageBreak/>
              <w:t>Caterino et al (identification of an age cut-off for increased mortality in patients with elderly trauma)</w:t>
            </w:r>
          </w:p>
        </w:tc>
        <w:tc>
          <w:tcPr>
            <w:tcW w:w="6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DDA3F53"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2011</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38BC3C0D"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Manual search of citations from selected papers</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858A3F4"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Cross Sectional study of a multicenter trauma registry</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B968A53"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To determine the age cutoff at which trauma mortality increases</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9458552"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5 year groupings of patients, compared by age and ISS. (n=75658)</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B18554F"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eastAsia="Times New Roman" w:cstheme="minorHAnsi"/>
                <w:sz w:val="18"/>
                <w:szCs w:val="20"/>
              </w:rPr>
              <w:t xml:space="preserve">Cohorts of 5 year age bands: </w:t>
            </w:r>
            <w:r w:rsidRPr="00361E30">
              <w:rPr>
                <w:rFonts w:cstheme="minorHAnsi"/>
                <w:sz w:val="18"/>
                <w:szCs w:val="20"/>
              </w:rPr>
              <w:t xml:space="preserve">16-29 (n=6400), 30-39 (n=9380), 40-49 (n=11084), 50-59 (n=8772), 60-69 (n=6925), 70-79 (n=9152), 80-89 (n=10912), </w:t>
            </w:r>
            <w:r w:rsidRPr="00361E30">
              <w:rPr>
                <w:rFonts w:eastAsia="AdvTT6120e2aa+22" w:cstheme="minorHAnsi"/>
                <w:sz w:val="18"/>
                <w:szCs w:val="20"/>
              </w:rPr>
              <w:t>≥</w:t>
            </w:r>
            <w:r w:rsidRPr="00361E30">
              <w:rPr>
                <w:rFonts w:cstheme="minorHAnsi"/>
                <w:sz w:val="18"/>
                <w:szCs w:val="20"/>
              </w:rPr>
              <w:t>90 (n=3033)</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F8D8C37"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Odds ratio of death adjusted for moderate or severe injury severity.</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44915FC" w14:textId="77777777" w:rsidR="00CA0EF0" w:rsidRPr="00361E30" w:rsidRDefault="00CA0EF0" w:rsidP="003C13F4">
            <w:pPr>
              <w:spacing w:after="0" w:line="240" w:lineRule="auto"/>
              <w:jc w:val="left"/>
              <w:rPr>
                <w:rFonts w:eastAsia="Times New Roman" w:cstheme="minorHAnsi"/>
                <w:sz w:val="18"/>
                <w:szCs w:val="20"/>
              </w:rPr>
            </w:pPr>
            <w:r w:rsidRPr="00361E30">
              <w:rPr>
                <w:rFonts w:eastAsia="Times New Roman" w:cstheme="minorHAnsi"/>
                <w:sz w:val="18"/>
                <w:szCs w:val="20"/>
              </w:rPr>
              <w:t>OR of death increased significantly at the 70 – 74 year age group, independent of injury severity. Using 70-74 age group as the reference, AOR for 16 – 19 year group was 0.52 (0.42 – 0.64) and AOR for 65 – 69 year group was 0.69 (0.54 – 0.89), with other age groups’ AORs lying between these values. The AOR for the older age groups (using 70 – 74 years as a referent) were not significantly different (all 95% CIs crossed 1)</w:t>
            </w:r>
          </w:p>
        </w:tc>
      </w:tr>
      <w:tr w:rsidR="00CA0EF0" w:rsidRPr="00361E30" w14:paraId="7419E043" w14:textId="77777777" w:rsidTr="003C13F4">
        <w:trPr>
          <w:cantSplit/>
          <w:trHeight w:val="5838"/>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703B84D8"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Curtis KA et al (Injury trends and mortality in adult patients with major trauma in New South</w:t>
            </w:r>
          </w:p>
          <w:p w14:paraId="366434ED"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Wales.)</w:t>
            </w:r>
          </w:p>
        </w:tc>
        <w:tc>
          <w:tcPr>
            <w:tcW w:w="6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D4F35A6"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2012</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22C9FB12"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Medline</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9B1AC3E"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Retrospective Review of prospectively collected data</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029A408"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To identify the risk factors associated with death in major trauma patients in NSW, Australia</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886BB20"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Patients suffering major trauma (ISS &gt;15) in NSW</w:t>
            </w:r>
          </w:p>
          <w:p w14:paraId="33C5639D"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(n=9769)</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68B3F39"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age cohorts: 16-24; 25-34; 35-44; 45-54; 55-64; 65-74(n=911); 75-84 (n=1214) and 85+ (n=613)</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7054899"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Inpatient mortality</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0BED5B9"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AOR for overall mortality significantly higher for ages 25 – 34 [</w:t>
            </w:r>
            <w:r w:rsidRPr="00361E30">
              <w:rPr>
                <w:rFonts w:cstheme="minorHAnsi"/>
                <w:sz w:val="18"/>
                <w:szCs w:val="20"/>
              </w:rPr>
              <w:t>1.33 (1.03–1.71)]</w:t>
            </w:r>
            <w:r w:rsidRPr="00361E30">
              <w:rPr>
                <w:rFonts w:eastAsia="Times New Roman" w:cstheme="minorHAnsi"/>
                <w:sz w:val="18"/>
                <w:szCs w:val="20"/>
              </w:rPr>
              <w:t>; 35 – 44 [</w:t>
            </w:r>
            <w:r w:rsidRPr="00361E30">
              <w:rPr>
                <w:rFonts w:cstheme="minorHAnsi"/>
                <w:sz w:val="18"/>
                <w:szCs w:val="20"/>
              </w:rPr>
              <w:t>1.34 (1.03–1.75)];</w:t>
            </w:r>
            <w:r w:rsidRPr="00361E30">
              <w:rPr>
                <w:rFonts w:eastAsia="Times New Roman" w:cstheme="minorHAnsi"/>
                <w:sz w:val="18"/>
                <w:szCs w:val="20"/>
              </w:rPr>
              <w:t xml:space="preserve"> 45 – 54 [</w:t>
            </w:r>
            <w:r w:rsidRPr="00361E30">
              <w:rPr>
                <w:rFonts w:cstheme="minorHAnsi"/>
                <w:sz w:val="18"/>
                <w:szCs w:val="20"/>
              </w:rPr>
              <w:t xml:space="preserve">1.41 (1.07–1.87)]; 55-64[1.65 (1.24–2.19)]; 65-74 [3.35 (2.57–4.38)]; 75-84[4.95 (3.88–6.32)] and </w:t>
            </w:r>
            <w:r w:rsidRPr="00361E30">
              <w:rPr>
                <w:rFonts w:eastAsia="Times New Roman" w:cstheme="minorHAnsi"/>
                <w:sz w:val="18"/>
                <w:szCs w:val="20"/>
              </w:rPr>
              <w:t>≥85[</w:t>
            </w:r>
            <w:r w:rsidRPr="00361E30">
              <w:rPr>
                <w:rFonts w:cstheme="minorHAnsi"/>
                <w:sz w:val="18"/>
                <w:szCs w:val="20"/>
              </w:rPr>
              <w:t xml:space="preserve">9.01 (6.85–11.87)]. AOR increases from the 65 – 74 age group upwards for falls [4.26 (2.83–6.41)] and MVCs [2.72 (1.51–4.92)]. </w:t>
            </w:r>
          </w:p>
        </w:tc>
      </w:tr>
      <w:tr w:rsidR="00CA0EF0" w:rsidRPr="00361E30" w14:paraId="2F290694" w14:textId="77777777" w:rsidTr="003C13F4">
        <w:trPr>
          <w:cantSplit/>
          <w:trHeight w:val="1134"/>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1FBD642D"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lastRenderedPageBreak/>
              <w:t>Efron et al (Preinjury statin use is associated with improved in-hospital survival in elderly</w:t>
            </w:r>
          </w:p>
          <w:p w14:paraId="3FB8D350"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trauma patients.)</w:t>
            </w:r>
          </w:p>
        </w:tc>
        <w:tc>
          <w:tcPr>
            <w:tcW w:w="6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08F6A0C"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2008</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08E41ADD"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Medline,  CINHAL</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1E75538"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Retrospective observational cohort</w:t>
            </w:r>
          </w:p>
          <w:p w14:paraId="12BD2362"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study</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D031880"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To determine the effect of pre-injury treatment with statins on trauma mortality in older patients.</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ACFE5A6"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Patients 65 years and older presenting with moderate to severe trauma (AIS ≥3) who were on statins prior to injury.(n=1224)</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4AA1AF3"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Patients 65 years and older presenting with moderate to severe trauma (AIS ≥3) who were not on statins prior to injury. (n=2416)</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CD8A9AD"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Adjusted odds ratio of death</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EF24409"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eastAsia="Times New Roman" w:cstheme="minorHAnsi"/>
                <w:sz w:val="18"/>
                <w:szCs w:val="20"/>
              </w:rPr>
              <w:t xml:space="preserve">AOR of death for statin use was 0.33 (0.12, 0.92) AOR of death for stain use in patients with no CVS disease was </w:t>
            </w:r>
            <w:r w:rsidRPr="00361E30">
              <w:rPr>
                <w:rFonts w:cstheme="minorHAnsi"/>
                <w:sz w:val="18"/>
                <w:szCs w:val="20"/>
              </w:rPr>
              <w:t>0.30 ( 0.10, 0.9) and 1.4 (0.72,2.72) for those with CVS disease</w:t>
            </w:r>
            <w:r w:rsidRPr="00361E30">
              <w:rPr>
                <w:rFonts w:eastAsia="Times New Roman" w:cstheme="minorHAnsi"/>
                <w:sz w:val="18"/>
                <w:szCs w:val="20"/>
              </w:rPr>
              <w:t xml:space="preserve"> </w:t>
            </w:r>
          </w:p>
        </w:tc>
      </w:tr>
      <w:tr w:rsidR="00CA0EF0" w:rsidRPr="00361E30" w14:paraId="0E4AFE3F" w14:textId="77777777" w:rsidTr="003C13F4">
        <w:trPr>
          <w:cantSplit/>
          <w:trHeight w:val="1134"/>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hideMark/>
          </w:tcPr>
          <w:p w14:paraId="53EE389A"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Fatovich, 2013, The effect of age, severity, and mechanism of injury on risk of death from major trauma in Western Australia</w:t>
            </w:r>
          </w:p>
        </w:tc>
        <w:tc>
          <w:tcPr>
            <w:tcW w:w="6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4FE47CE"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2013</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5A159E33"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Medline,  CINHAL</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A62E7D1"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Retrospective analysis of prospectively collected data</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F63F5E0"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Compare adjusted mortality in older vs younger trauma patients</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8DC47A7"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Elderly trauma patients (Aged 65 and over) with ISS ≥ 15.</w:t>
            </w:r>
          </w:p>
          <w:p w14:paraId="05B58AC4"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(n=820)</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099446B"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Trauma patients aged 15 – 64 with ISS ≥ 15.</w:t>
            </w:r>
          </w:p>
          <w:p w14:paraId="32E26DBA"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(n=3246)</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3983C88"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In-hospital mortality (survival to discharge), adjusted for injury severity</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256FD94"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Increased AOR with age. Inflexion point for increased mortality 47 years old. Falls are the greatest cause of death in patients ≥65. Falls have a higher odds ratio of death compared to MVCs for all patients, including older patients. ISS has a greater impact on death with increasing age; for older patients, mortality is greater for any given ISS compared to younger patients.</w:t>
            </w:r>
          </w:p>
        </w:tc>
      </w:tr>
      <w:tr w:rsidR="00CA0EF0" w:rsidRPr="00361E30" w14:paraId="2BA01381" w14:textId="77777777" w:rsidTr="003C13F4">
        <w:trPr>
          <w:cantSplit/>
          <w:trHeight w:val="1134"/>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6E086484" w14:textId="77777777" w:rsidR="00CA0EF0" w:rsidRPr="00361E30" w:rsidRDefault="00CA0EF0" w:rsidP="003C13F4">
            <w:pPr>
              <w:autoSpaceDE w:val="0"/>
              <w:autoSpaceDN w:val="0"/>
              <w:adjustRightInd w:val="0"/>
              <w:spacing w:after="0" w:line="240" w:lineRule="auto"/>
              <w:ind w:left="113" w:right="113"/>
              <w:jc w:val="left"/>
              <w:rPr>
                <w:rFonts w:eastAsia="Times New Roman" w:cstheme="minorHAnsi"/>
                <w:sz w:val="18"/>
                <w:szCs w:val="20"/>
              </w:rPr>
            </w:pPr>
            <w:r w:rsidRPr="00361E30">
              <w:rPr>
                <w:rFonts w:cstheme="minorHAnsi"/>
                <w:sz w:val="18"/>
                <w:szCs w:val="20"/>
              </w:rPr>
              <w:lastRenderedPageBreak/>
              <w:t>Grossman MD et al (When is an elder old? Effect of preexisting conditions on mortality in geriatric trauma)</w:t>
            </w:r>
          </w:p>
        </w:tc>
        <w:tc>
          <w:tcPr>
            <w:tcW w:w="6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3050D8B"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2002</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03E5756D"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CINHAL</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4D6879B"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Analysis of data from the Pennysylvania State trauma registry (1986-1999)</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51CF0D9"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To carry out a descriptive study of geriatric trauma and examine the impact of comorbidity or preexisting conditions (PECs) on outcome.</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2505666"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All patients ≥65 years entered onto the registry between 1986 and 1999. (n=33,781)</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F0F6F48" w14:textId="77777777" w:rsidR="00CA0EF0" w:rsidRPr="00361E30" w:rsidRDefault="00CA0EF0" w:rsidP="003C13F4">
            <w:pPr>
              <w:autoSpaceDE w:val="0"/>
              <w:autoSpaceDN w:val="0"/>
              <w:adjustRightInd w:val="0"/>
              <w:spacing w:after="0" w:line="240" w:lineRule="auto"/>
              <w:jc w:val="left"/>
              <w:rPr>
                <w:rFonts w:eastAsia="Times New Roman" w:cstheme="minorHAnsi"/>
                <w:sz w:val="18"/>
                <w:szCs w:val="20"/>
              </w:rPr>
            </w:pPr>
            <w:r w:rsidRPr="00361E30">
              <w:rPr>
                <w:rFonts w:eastAsia="Times New Roman" w:cstheme="minorHAnsi"/>
                <w:sz w:val="18"/>
                <w:szCs w:val="20"/>
              </w:rPr>
              <w:t>Comparisons made with regard to physiology, comorbidities, injury severity, age and gender.</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E2CEA09"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Risk adjusted mortality rates (AORs) for various covariates reported.</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C1B1CAF" w14:textId="77777777" w:rsidR="00CA0EF0" w:rsidRPr="00361E30" w:rsidRDefault="00CA0EF0" w:rsidP="003C13F4">
            <w:pPr>
              <w:autoSpaceDE w:val="0"/>
              <w:autoSpaceDN w:val="0"/>
              <w:adjustRightInd w:val="0"/>
              <w:spacing w:after="0" w:line="240" w:lineRule="auto"/>
              <w:jc w:val="left"/>
              <w:rPr>
                <w:rFonts w:eastAsia="Times New Roman" w:cstheme="minorHAnsi"/>
                <w:sz w:val="18"/>
                <w:szCs w:val="20"/>
              </w:rPr>
            </w:pPr>
            <w:r w:rsidRPr="00361E30">
              <w:rPr>
                <w:rFonts w:eastAsia="Times New Roman" w:cstheme="minorHAnsi"/>
                <w:sz w:val="18"/>
                <w:szCs w:val="20"/>
              </w:rPr>
              <w:t>AOR significantly increased with age (</w:t>
            </w:r>
            <w:r w:rsidRPr="00361E30">
              <w:rPr>
                <w:rFonts w:cstheme="minorHAnsi"/>
                <w:sz w:val="18"/>
                <w:szCs w:val="20"/>
              </w:rPr>
              <w:t xml:space="preserve"> 1.068, 95%CI 1.061 -1.075</w:t>
            </w:r>
            <w:r w:rsidRPr="00361E30">
              <w:rPr>
                <w:rFonts w:eastAsia="Times New Roman" w:cstheme="minorHAnsi"/>
                <w:sz w:val="18"/>
                <w:szCs w:val="20"/>
              </w:rPr>
              <w:t>), male gender (</w:t>
            </w:r>
            <w:r w:rsidRPr="00361E30">
              <w:rPr>
                <w:rFonts w:cstheme="minorHAnsi"/>
                <w:sz w:val="18"/>
                <w:szCs w:val="20"/>
              </w:rPr>
              <w:t>1.524, 95%CI 1.379 -1.686</w:t>
            </w:r>
            <w:r w:rsidRPr="00361E30">
              <w:rPr>
                <w:rFonts w:eastAsia="Times New Roman" w:cstheme="minorHAnsi"/>
                <w:sz w:val="18"/>
                <w:szCs w:val="20"/>
              </w:rPr>
              <w:t>), SBP &lt;90mmHg (</w:t>
            </w:r>
            <w:r w:rsidRPr="00361E30">
              <w:rPr>
                <w:rFonts w:cstheme="minorHAnsi"/>
                <w:sz w:val="18"/>
                <w:szCs w:val="20"/>
              </w:rPr>
              <w:t>3.09,  95%CI 2.50 -3.80</w:t>
            </w:r>
            <w:r w:rsidRPr="00361E30">
              <w:rPr>
                <w:rFonts w:eastAsia="Times New Roman" w:cstheme="minorHAnsi"/>
                <w:sz w:val="18"/>
                <w:szCs w:val="20"/>
              </w:rPr>
              <w:t xml:space="preserve">), decreasing GCS (1.282, </w:t>
            </w:r>
            <w:r w:rsidRPr="00361E30">
              <w:rPr>
                <w:rFonts w:cstheme="minorHAnsi"/>
                <w:sz w:val="18"/>
                <w:szCs w:val="20"/>
              </w:rPr>
              <w:t>95%CI 1.265</w:t>
            </w:r>
            <w:r w:rsidRPr="00361E30">
              <w:rPr>
                <w:rFonts w:eastAsia="Times New Roman" w:cstheme="minorHAnsi"/>
                <w:sz w:val="18"/>
                <w:szCs w:val="20"/>
              </w:rPr>
              <w:t xml:space="preserve"> - 1.298) and increasing ISS (</w:t>
            </w:r>
            <w:r w:rsidRPr="00361E30">
              <w:rPr>
                <w:rFonts w:cstheme="minorHAnsi"/>
                <w:sz w:val="18"/>
                <w:szCs w:val="20"/>
              </w:rPr>
              <w:t>1.098, 95%CI  1.093 - 1.104</w:t>
            </w:r>
            <w:r w:rsidRPr="00361E30">
              <w:rPr>
                <w:rFonts w:eastAsia="Times New Roman" w:cstheme="minorHAnsi"/>
                <w:sz w:val="18"/>
                <w:szCs w:val="20"/>
              </w:rPr>
              <w:t>)</w:t>
            </w:r>
          </w:p>
          <w:p w14:paraId="07282F02" w14:textId="77777777" w:rsidR="00CA0EF0" w:rsidRPr="00361E30" w:rsidRDefault="00CA0EF0" w:rsidP="003C13F4">
            <w:pPr>
              <w:autoSpaceDE w:val="0"/>
              <w:autoSpaceDN w:val="0"/>
              <w:adjustRightInd w:val="0"/>
              <w:spacing w:after="0" w:line="240" w:lineRule="auto"/>
              <w:jc w:val="left"/>
              <w:rPr>
                <w:rFonts w:eastAsia="Times New Roman" w:cstheme="minorHAnsi"/>
                <w:sz w:val="18"/>
                <w:szCs w:val="20"/>
              </w:rPr>
            </w:pPr>
            <w:r w:rsidRPr="00361E30">
              <w:rPr>
                <w:rFonts w:eastAsia="Times New Roman" w:cstheme="minorHAnsi"/>
                <w:sz w:val="18"/>
                <w:szCs w:val="20"/>
              </w:rPr>
              <w:t>AOR for comorbidities with a significant effect on mortality: CHF (</w:t>
            </w:r>
            <w:r w:rsidRPr="00361E30">
              <w:rPr>
                <w:rFonts w:cstheme="minorHAnsi"/>
                <w:sz w:val="18"/>
                <w:szCs w:val="20"/>
              </w:rPr>
              <w:t>1.74, 95% CI 1.46 - 2.08); Steroids (1.59 95% CI 1.03 - 2.40); Liver disease (5.11, 95% CI 3.09 - 8.21); Cancer (1.84, 95% CI 1.37 - 2.45); COPD (1.49, 95% CI 1.22 - 1.80); Renal failure (3.12, 95% CI 2.25 - 4.28)</w:t>
            </w:r>
          </w:p>
        </w:tc>
      </w:tr>
      <w:tr w:rsidR="00CA0EF0" w:rsidRPr="00361E30" w14:paraId="404E0A92" w14:textId="77777777" w:rsidTr="003C13F4">
        <w:trPr>
          <w:cantSplit/>
          <w:trHeight w:val="1134"/>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3719030C" w14:textId="77777777" w:rsidR="00CA0EF0" w:rsidRPr="00361E30" w:rsidRDefault="00CA0EF0" w:rsidP="003C13F4">
            <w:pPr>
              <w:autoSpaceDE w:val="0"/>
              <w:autoSpaceDN w:val="0"/>
              <w:adjustRightInd w:val="0"/>
              <w:spacing w:after="0" w:line="240" w:lineRule="auto"/>
              <w:ind w:left="113" w:right="113"/>
              <w:jc w:val="left"/>
              <w:rPr>
                <w:rFonts w:cstheme="minorHAnsi"/>
                <w:bCs/>
                <w:sz w:val="18"/>
                <w:szCs w:val="20"/>
              </w:rPr>
            </w:pPr>
            <w:r w:rsidRPr="00361E30">
              <w:rPr>
                <w:rFonts w:eastAsia="Times New Roman" w:cstheme="minorHAnsi"/>
                <w:sz w:val="18"/>
                <w:szCs w:val="20"/>
              </w:rPr>
              <w:lastRenderedPageBreak/>
              <w:t>Howard et al (</w:t>
            </w:r>
            <w:r w:rsidRPr="00361E30">
              <w:rPr>
                <w:rFonts w:cstheme="minorHAnsi"/>
                <w:bCs/>
                <w:sz w:val="18"/>
                <w:szCs w:val="20"/>
              </w:rPr>
              <w:t>Preinjury Warfarin Worsens Outcome in Elderly Patients</w:t>
            </w:r>
          </w:p>
          <w:p w14:paraId="5596AC43"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cstheme="minorHAnsi"/>
                <w:bCs/>
                <w:sz w:val="18"/>
                <w:szCs w:val="20"/>
              </w:rPr>
              <w:t>Who Fall From Standing)</w:t>
            </w:r>
          </w:p>
        </w:tc>
        <w:tc>
          <w:tcPr>
            <w:tcW w:w="6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05B7C6E"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2009</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20C145A1"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Medline</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198F7C6"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Retrospective analysis of prospectively collected trauma registry data</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46628F1"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 xml:space="preserve">To determine the effects on outcome of pre-injury warfarin in older trauma patients </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E3D805D"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Patients aged 65 and older with trauma entered onto the Pennsylvania Trauma Registry between 2003 and 2006, who were on warfarin prior to the injury (n=537)</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8724F52"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Patients aged 65 and older with trauma entered onto the Pennsylvania Trauma Registry between 2003 and 2006, who were NOT on warfarin prior to the injury (n=2,254)</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459C70B"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Adjusted odds ratios of death</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335CB0F"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For all patients on warfarin (referent = no warfarin), the AOR was 1.54 (95% CI</w:t>
            </w:r>
          </w:p>
          <w:p w14:paraId="21BBE507" w14:textId="77777777" w:rsidR="00CA0EF0" w:rsidRPr="00361E30" w:rsidRDefault="00CA0EF0" w:rsidP="003C13F4">
            <w:pPr>
              <w:autoSpaceDE w:val="0"/>
              <w:autoSpaceDN w:val="0"/>
              <w:adjustRightInd w:val="0"/>
              <w:spacing w:after="0" w:line="240" w:lineRule="auto"/>
              <w:jc w:val="left"/>
              <w:rPr>
                <w:rFonts w:eastAsia="Times New Roman" w:cstheme="minorHAnsi"/>
                <w:sz w:val="18"/>
                <w:szCs w:val="20"/>
              </w:rPr>
            </w:pPr>
            <w:r w:rsidRPr="00361E30">
              <w:rPr>
                <w:rFonts w:cstheme="minorHAnsi"/>
                <w:sz w:val="18"/>
                <w:szCs w:val="20"/>
              </w:rPr>
              <w:t>1.09 –2.19); for patients with a head injury AIS of 4 – 5, the AOR was 1.63 (95% CI 1.03–2.58). In the severe head injury group, the AOR was significantly higher for patients with a GCS of 14 – 15 [AOR 2.30 (1.12–4.70)], but not for patients with a lower GCS.</w:t>
            </w:r>
          </w:p>
        </w:tc>
      </w:tr>
      <w:tr w:rsidR="00CA0EF0" w:rsidRPr="00361E30" w14:paraId="38739677" w14:textId="77777777" w:rsidTr="003C13F4">
        <w:trPr>
          <w:cantSplit/>
          <w:trHeight w:val="3417"/>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0CF85264"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Kuhne et al (Mortality in severely injured elderly trauma patients--when does age become a</w:t>
            </w:r>
          </w:p>
          <w:p w14:paraId="2D7D8784"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risk factor?)</w:t>
            </w:r>
          </w:p>
        </w:tc>
        <w:tc>
          <w:tcPr>
            <w:tcW w:w="6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3C4ADD7"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2005</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6B4DF79B"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Medline</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920E1BB"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Retrospective review of prospectively collected trauma registry data (Germany) between 1993 to 2003</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D80967A"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To determine the age at which mortality rises significantly following major trauma</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919B476"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All patient with severe trauma (ISS ≥16) entered  into the State trauma registry (n=5376)</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A2D13AB"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Cohorts compare by 10-year age bands [15 - 55; 26-35; 36-45; 46 - 55; 56 - 65; 66 - 75 and &gt;75]</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E586A40"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Mortality adjusted for injury severity</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0F0FF02"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The inflexion point for mortality was between the 45 – 54 year group and the 55 – 64 year group, independent of injury severity.</w:t>
            </w:r>
          </w:p>
        </w:tc>
      </w:tr>
      <w:tr w:rsidR="00CA0EF0" w:rsidRPr="00361E30" w14:paraId="78809A9C" w14:textId="77777777" w:rsidTr="003C13F4">
        <w:trPr>
          <w:cantSplit/>
          <w:trHeight w:val="1134"/>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4560298D"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lastRenderedPageBreak/>
              <w:t>Lustenberger et al</w:t>
            </w:r>
          </w:p>
          <w:p w14:paraId="1526CEC2"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(Gunshot Injuries in the Elderly)</w:t>
            </w:r>
          </w:p>
        </w:tc>
        <w:tc>
          <w:tcPr>
            <w:tcW w:w="6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CD6955D"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2011</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1F2CBCB2"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Manual search of citations from selected papers</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24FBD14"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Review of data from the national trauma databank</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8155586"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To evaluate incidence of and outcomes after gunshot injury in the elderly age segment, to relate these outcomes to those in younger trauma patients, and to identify risk factors for death in the geriatric trauma population.</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57EC46F"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 xml:space="preserve">Patient admitted with gunshot wounds aged </w:t>
            </w:r>
            <w:r w:rsidRPr="00361E30">
              <w:rPr>
                <w:rFonts w:cstheme="minorHAnsi"/>
                <w:sz w:val="18"/>
                <w:szCs w:val="20"/>
              </w:rPr>
              <w:t>55–64 years, (n = 1,676) 65–74 years, (n = 727 and ) ≥75 years, (n = 787)</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B428620" w14:textId="77777777" w:rsidR="00CA0EF0" w:rsidRPr="00361E30" w:rsidRDefault="00CA0EF0" w:rsidP="003C13F4">
            <w:pPr>
              <w:spacing w:after="0" w:line="240" w:lineRule="auto"/>
              <w:jc w:val="left"/>
              <w:rPr>
                <w:rFonts w:eastAsia="Times New Roman" w:cstheme="minorHAnsi"/>
                <w:sz w:val="18"/>
                <w:szCs w:val="20"/>
              </w:rPr>
            </w:pPr>
            <w:r w:rsidRPr="00361E30">
              <w:rPr>
                <w:rFonts w:eastAsia="Times New Roman" w:cstheme="minorHAnsi"/>
                <w:sz w:val="18"/>
                <w:szCs w:val="20"/>
              </w:rPr>
              <w:t xml:space="preserve">Patients were compared in cohorts of 10 years (55 – 64; 65 – 74 and </w:t>
            </w:r>
            <w:r w:rsidRPr="00361E30">
              <w:rPr>
                <w:rFonts w:cstheme="minorHAnsi"/>
                <w:sz w:val="18"/>
                <w:szCs w:val="20"/>
              </w:rPr>
              <w:t>≥75 years)</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220757B"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Risk adjusted odds of death were reported. LOS in hospital and on ICU were also reported.</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247D343" w14:textId="77777777" w:rsidR="00CA0EF0" w:rsidRPr="00361E30" w:rsidRDefault="00CA0EF0" w:rsidP="003C13F4">
            <w:pPr>
              <w:autoSpaceDE w:val="0"/>
              <w:autoSpaceDN w:val="0"/>
              <w:adjustRightInd w:val="0"/>
              <w:spacing w:after="0" w:line="240" w:lineRule="auto"/>
              <w:jc w:val="left"/>
              <w:rPr>
                <w:rFonts w:eastAsia="Times New Roman" w:cstheme="minorHAnsi"/>
                <w:sz w:val="18"/>
                <w:szCs w:val="20"/>
              </w:rPr>
            </w:pPr>
            <w:r w:rsidRPr="00361E30">
              <w:rPr>
                <w:rFonts w:eastAsia="Times New Roman" w:cstheme="minorHAnsi"/>
                <w:sz w:val="18"/>
                <w:szCs w:val="20"/>
              </w:rPr>
              <w:t xml:space="preserve">Factors associated with increased risk of death [AOR] included </w:t>
            </w:r>
            <w:r w:rsidRPr="00361E30">
              <w:rPr>
                <w:rFonts w:cstheme="minorHAnsi"/>
                <w:sz w:val="18"/>
                <w:szCs w:val="20"/>
              </w:rPr>
              <w:t>GCS ≤ 8 [13.47 (95% CI 10.35–17.53); ISS ≥ 16 [5.50 (95% CI 4.23–7.16)]; SBP &lt;90 [5.27 (95% CI 3.89–7.14)]; Age group [1.74 (95% CI 1.50–2.03)]; Self-inflicted [2.80 (95% CI 1.86–4.21)]; Assault 1.88 [(95% CI .24–2.87)] and injury  pattern: Extremity fracture [0.55 (95% CI 0.32–0.95)]</w:t>
            </w:r>
          </w:p>
        </w:tc>
      </w:tr>
      <w:tr w:rsidR="00CA0EF0" w:rsidRPr="00361E30" w14:paraId="292A56E5" w14:textId="77777777" w:rsidTr="003C13F4">
        <w:trPr>
          <w:cantSplit/>
          <w:trHeight w:val="1134"/>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78B85ABD"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lastRenderedPageBreak/>
              <w:t>Richmond et al (Charactersitics and Outcomes of Serious Traumatic Injuries in Older Adults)</w:t>
            </w:r>
          </w:p>
        </w:tc>
        <w:tc>
          <w:tcPr>
            <w:tcW w:w="6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37DFF77"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2002</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23BE6D58"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Medline</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B759F23"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Retrospecitive analysis of prospectively collected data</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A66D735"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To characteri</w:t>
            </w:r>
            <w:r w:rsidR="0020173C">
              <w:rPr>
                <w:rFonts w:eastAsia="Times New Roman" w:cstheme="minorHAnsi"/>
                <w:sz w:val="18"/>
                <w:szCs w:val="20"/>
              </w:rPr>
              <w:t>s</w:t>
            </w:r>
            <w:r w:rsidRPr="00361E30">
              <w:rPr>
                <w:rFonts w:eastAsia="Times New Roman" w:cstheme="minorHAnsi"/>
                <w:sz w:val="18"/>
                <w:szCs w:val="20"/>
              </w:rPr>
              <w:t xml:space="preserve">e and compare the differences in injury characteristics and outcomes in older trauma patients. </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65AEFC2"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Patients aged 65 and older entered into the Pennsylvania Trauma Registry between 1988 and 1997. 38,7070 patients</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9ACC7B5"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Patients were compared in three age groups: 65 – 74 years, 75 – 84 years and ≥85 years</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476499E"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Adjusted odds of death</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8F2E43A"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Age treated as a continuous variable; AOR increased 1.05 for each additional year of age (95% CI 1.03 – 1.07). There was no difference in mortality between patients with and those without comorbidities. Other factors associated with increased AOR were injury severity score (referent 0-9; 10 – 15: 2.76 [95%CI1.7-4.4]; 16 – 25: 4.65 [95% CI 2.5 – 7.4]; ≥26: 25.51 [95% CI 14.5 – 44.8]); Mechanism of injury (referent penetrating; blunt 0.35 [95% CI 0.2 – 0.7]); Complications (referent none; infectious 1.05 [95% CI 1.0 – 1.1]; pulmonary 2.01 [95% CI 1.1 – 3.7]; unclassified 2.15 [95% CI 1.3 - 3.5]; cardiovascular 2.85 [95% CI 1.8 – 5.0]); body part injured (referent head/neck; extremity/pelvic girdle 0.58 [95% CI 0.4 – 0.9]</w:t>
            </w:r>
          </w:p>
        </w:tc>
      </w:tr>
      <w:tr w:rsidR="00CA0EF0" w:rsidRPr="00361E30" w14:paraId="6DED6B84" w14:textId="77777777" w:rsidTr="003C13F4">
        <w:trPr>
          <w:cantSplit/>
          <w:trHeight w:val="1134"/>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58545027"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lastRenderedPageBreak/>
              <w:t>Sampalis et al</w:t>
            </w:r>
            <w:r w:rsidRPr="00361E30">
              <w:rPr>
                <w:rFonts w:eastAsia="Times New Roman" w:cstheme="minorHAnsi"/>
                <w:sz w:val="18"/>
                <w:szCs w:val="20"/>
                <w:lang w:eastAsia="en-GB"/>
              </w:rPr>
              <w:t xml:space="preserve"> (Assessment of mortality in older trauma patients sustaining injuries from falls or motor vehicle collisions treated in regional level I trauma centers)</w:t>
            </w:r>
          </w:p>
        </w:tc>
        <w:tc>
          <w:tcPr>
            <w:tcW w:w="6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593D484"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2009</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034C9875"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Manual search of citations from selected papers</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C818570"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eastAsia="Times New Roman" w:cstheme="minorHAnsi"/>
                <w:sz w:val="18"/>
                <w:szCs w:val="20"/>
              </w:rPr>
              <w:t>A review of the</w:t>
            </w:r>
            <w:r w:rsidRPr="00361E30">
              <w:rPr>
                <w:rFonts w:cstheme="minorHAnsi"/>
                <w:sz w:val="18"/>
                <w:szCs w:val="20"/>
              </w:rPr>
              <w:t xml:space="preserve"> Quebec Trauma Registry (QTR), which includes data from patients treated for injuries at 3 Level I, 29 Level II and 21 Level III trauma centers and the </w:t>
            </w:r>
            <w:r w:rsidRPr="00361E30">
              <w:rPr>
                <w:rFonts w:cstheme="minorHAnsi"/>
                <w:i/>
                <w:iCs/>
                <w:sz w:val="18"/>
                <w:szCs w:val="20"/>
              </w:rPr>
              <w:t xml:space="preserve">Re´gie de l’Assurance Maladie du Que´bec </w:t>
            </w:r>
            <w:r w:rsidRPr="00361E30">
              <w:rPr>
                <w:rFonts w:cstheme="minorHAnsi"/>
                <w:sz w:val="18"/>
                <w:szCs w:val="20"/>
              </w:rPr>
              <w:t>(RAMQ)</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FE8F7B9"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To describe the</w:t>
            </w:r>
          </w:p>
          <w:p w14:paraId="2774637A"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characteristics</w:t>
            </w:r>
          </w:p>
          <w:p w14:paraId="37190F1F"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and outcomes and process – outcome associations of a cohort of older trauma patients treated in Quebec Level I trauma centers for injuries sustained in MVCs and Falls</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765DCE5"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Patient 65 years and older admitted to one of three level 1 trauma centres (n = 4717) in Quebec following a fall (n = 4111) or a motor vehicle crash (n = 606)</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9D825B7" w14:textId="77777777" w:rsidR="00CA0EF0" w:rsidRPr="00361E30" w:rsidRDefault="00CA0EF0" w:rsidP="003C13F4">
            <w:pPr>
              <w:spacing w:after="0" w:line="240" w:lineRule="auto"/>
              <w:jc w:val="left"/>
              <w:rPr>
                <w:rFonts w:eastAsia="Times New Roman" w:cstheme="minorHAnsi"/>
                <w:sz w:val="18"/>
                <w:szCs w:val="20"/>
              </w:rPr>
            </w:pPr>
            <w:r w:rsidRPr="00361E30">
              <w:rPr>
                <w:rFonts w:eastAsia="Times New Roman" w:cstheme="minorHAnsi"/>
                <w:sz w:val="18"/>
                <w:szCs w:val="20"/>
              </w:rPr>
              <w:t>The cohorts were compared according to mechanism of injury primarily. For calculation of odds ratios, age was treated as a continuous variable.</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42BC63A"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Risk adjusted odds of death were reported.</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E609CE0"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eastAsia="Times New Roman" w:cstheme="minorHAnsi"/>
                <w:sz w:val="18"/>
                <w:szCs w:val="20"/>
              </w:rPr>
              <w:t xml:space="preserve">Factors affecting mortality [AOR] included </w:t>
            </w:r>
            <w:r w:rsidRPr="00361E30">
              <w:rPr>
                <w:rFonts w:cstheme="minorHAnsi"/>
                <w:sz w:val="18"/>
                <w:szCs w:val="20"/>
              </w:rPr>
              <w:t>Male gender [AOR 0.57 (95% CI 0.45–0.71)];  Age (yrs) [AOR 1.06 (95% CI 1.04–1.07)];  ISS Category* [AOR 3.09 (95% CI 2.48–3.84)];  Number of Injuries (1–16) [AOR 1.07 (95% CI 1.03–1.12)];  Mechanism of Injury (Fall vs. Motor Vehicle Collision) [AOR 5.11 (1.84–14.17)]</w:t>
            </w:r>
          </w:p>
          <w:p w14:paraId="6B6F1650" w14:textId="77777777" w:rsidR="00CA0EF0" w:rsidRPr="00361E30" w:rsidRDefault="00CA0EF0" w:rsidP="003C13F4">
            <w:pPr>
              <w:autoSpaceDE w:val="0"/>
              <w:autoSpaceDN w:val="0"/>
              <w:adjustRightInd w:val="0"/>
              <w:spacing w:after="0" w:line="240" w:lineRule="auto"/>
              <w:jc w:val="left"/>
              <w:rPr>
                <w:rFonts w:cstheme="minorHAnsi"/>
                <w:sz w:val="18"/>
                <w:szCs w:val="20"/>
              </w:rPr>
            </w:pPr>
          </w:p>
          <w:p w14:paraId="1FB7EC35"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 ISS categories: 1–11, 12–24, 25–49, and 50–75.</w:t>
            </w:r>
          </w:p>
        </w:tc>
      </w:tr>
      <w:tr w:rsidR="00CA0EF0" w:rsidRPr="00361E30" w14:paraId="79EC2D62" w14:textId="77777777" w:rsidTr="003C13F4">
        <w:trPr>
          <w:cantSplit/>
          <w:trHeight w:val="1134"/>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4842A4FB"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Yeung et al (High risk trauma in older adults in Hong Kong: a multicentre study.)</w:t>
            </w:r>
          </w:p>
        </w:tc>
        <w:tc>
          <w:tcPr>
            <w:tcW w:w="6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FC01F1B"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2008</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48761431" w14:textId="77777777" w:rsidR="00CA0EF0" w:rsidRPr="00361E30" w:rsidRDefault="00CA0EF0" w:rsidP="003C13F4">
            <w:pPr>
              <w:spacing w:after="0" w:line="240" w:lineRule="auto"/>
              <w:ind w:left="113" w:right="113"/>
              <w:rPr>
                <w:rFonts w:eastAsia="Times New Roman" w:cstheme="minorHAnsi"/>
                <w:sz w:val="18"/>
                <w:szCs w:val="20"/>
              </w:rPr>
            </w:pPr>
            <w:r w:rsidRPr="00361E30">
              <w:rPr>
                <w:rFonts w:eastAsia="Times New Roman" w:cstheme="minorHAnsi"/>
                <w:sz w:val="18"/>
                <w:szCs w:val="20"/>
              </w:rPr>
              <w:t>Medline</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4F17D48"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 xml:space="preserve">Retrospective analysis of prospectively collected data from a centralised </w:t>
            </w:r>
          </w:p>
          <w:p w14:paraId="6F60190E"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trauma database.</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4AE2F7C"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To determine the injury characteristics of high risk older trauma patients and risk factors associated with increased mortality in this age group</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9609C90"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Patients aged 55 years and older presenting to a trauma receiving hospital in Hong Kong, and entered into the Hong Kong trauma registry. (n=810)</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A630519"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The patients were compared in three age groups: 55 - 74; 75 - 84 nd 85 and above</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3C7602E"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All-cause mortality. Adjusted odds ratios of death were also quoted.</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2C1A538"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 xml:space="preserve">AOR significantly greater with </w:t>
            </w:r>
            <w:r w:rsidRPr="00361E30">
              <w:rPr>
                <w:rFonts w:cstheme="minorHAnsi"/>
                <w:sz w:val="18"/>
                <w:szCs w:val="20"/>
              </w:rPr>
              <w:t xml:space="preserve">Age [Reference 55 – 74; AOR for Age 75 – 84: 3.526 (2.034, 6.113); Age ≥85  4.230 (2.188, 8.180); </w:t>
            </w:r>
            <w:r w:rsidRPr="00361E30">
              <w:rPr>
                <w:rFonts w:eastAsia="Times New Roman" w:cstheme="minorHAnsi"/>
                <w:sz w:val="18"/>
                <w:szCs w:val="20"/>
              </w:rPr>
              <w:t xml:space="preserve"> presence of comorbidities [2.404 (1.433, 4.032)]; GCS [Reference 13 – 15; AOR for</w:t>
            </w:r>
            <w:r w:rsidRPr="00361E30">
              <w:rPr>
                <w:rFonts w:cstheme="minorHAnsi"/>
                <w:sz w:val="18"/>
                <w:szCs w:val="20"/>
              </w:rPr>
              <w:t xml:space="preserve"> GCS 9 – 12: 3.175 (1.644, 6.129); GCS 6-8:  6.228 (3.157, 12.287); GCS 3 – 5:  23.184 (10.699, 50.239)] and     ISS.</w:t>
            </w:r>
          </w:p>
        </w:tc>
      </w:tr>
    </w:tbl>
    <w:p w14:paraId="7495F2D9" w14:textId="77777777" w:rsidR="00CA0EF0" w:rsidRPr="00361E30" w:rsidRDefault="00CA0EF0" w:rsidP="003C13F4"/>
    <w:p w14:paraId="37925E8D" w14:textId="77777777" w:rsidR="00CA0EF0" w:rsidRPr="00361E30" w:rsidRDefault="00CA0EF0">
      <w:pPr>
        <w:spacing w:line="276" w:lineRule="auto"/>
        <w:jc w:val="left"/>
      </w:pPr>
      <w:r w:rsidRPr="00361E30">
        <w:br w:type="page"/>
      </w:r>
    </w:p>
    <w:p w14:paraId="05421A79" w14:textId="77777777" w:rsidR="00CA0EF0" w:rsidRPr="00361E30" w:rsidRDefault="00CA0EF0" w:rsidP="003C13F4">
      <w:pPr>
        <w:pStyle w:val="ChapterHeading"/>
      </w:pPr>
      <w:bookmarkStart w:id="454" w:name="_Toc1902379"/>
      <w:r w:rsidRPr="00361E30">
        <w:lastRenderedPageBreak/>
        <w:t>Appendix 2 – Systematic Review (Care Process Factors)</w:t>
      </w:r>
      <w:bookmarkEnd w:id="454"/>
    </w:p>
    <w:tbl>
      <w:tblPr>
        <w:tblW w:w="9267" w:type="dxa"/>
        <w:tblInd w:w="-432" w:type="dxa"/>
        <w:tblLayout w:type="fixed"/>
        <w:tblCellMar>
          <w:top w:w="15" w:type="dxa"/>
          <w:left w:w="15" w:type="dxa"/>
          <w:bottom w:w="15" w:type="dxa"/>
          <w:right w:w="15" w:type="dxa"/>
        </w:tblCellMar>
        <w:tblLook w:val="04A0" w:firstRow="1" w:lastRow="0" w:firstColumn="1" w:lastColumn="0" w:noHBand="0" w:noVBand="1"/>
      </w:tblPr>
      <w:tblGrid>
        <w:gridCol w:w="1005"/>
        <w:gridCol w:w="720"/>
        <w:gridCol w:w="360"/>
        <w:gridCol w:w="1350"/>
        <w:gridCol w:w="1080"/>
        <w:gridCol w:w="1242"/>
        <w:gridCol w:w="1260"/>
        <w:gridCol w:w="1080"/>
        <w:gridCol w:w="1170"/>
      </w:tblGrid>
      <w:tr w:rsidR="00CA0EF0" w:rsidRPr="00361E30" w14:paraId="7840CF11" w14:textId="77777777" w:rsidTr="003C13F4">
        <w:trPr>
          <w:cantSplit/>
          <w:trHeight w:val="1623"/>
        </w:trPr>
        <w:tc>
          <w:tcPr>
            <w:tcW w:w="9267" w:type="dxa"/>
            <w:gridSpan w:val="9"/>
            <w:tcBorders>
              <w:top w:val="single" w:sz="6" w:space="0" w:color="000000"/>
              <w:left w:val="single" w:sz="6" w:space="0" w:color="000000"/>
              <w:bottom w:val="single" w:sz="6" w:space="0" w:color="000000"/>
              <w:right w:val="single" w:sz="6" w:space="0" w:color="000000"/>
            </w:tcBorders>
            <w:vAlign w:val="center"/>
          </w:tcPr>
          <w:p w14:paraId="53FE3FDD" w14:textId="77777777" w:rsidR="00CA0EF0" w:rsidRPr="00361E30" w:rsidRDefault="00CA0EF0" w:rsidP="003C13F4">
            <w:pPr>
              <w:spacing w:line="276" w:lineRule="auto"/>
              <w:jc w:val="center"/>
              <w:rPr>
                <w:rFonts w:cstheme="minorHAnsi"/>
                <w:b/>
                <w:sz w:val="18"/>
                <w:szCs w:val="20"/>
              </w:rPr>
            </w:pPr>
            <w:r w:rsidRPr="00361E30">
              <w:rPr>
                <w:rFonts w:cstheme="minorHAnsi"/>
                <w:b/>
                <w:sz w:val="18"/>
                <w:szCs w:val="20"/>
              </w:rPr>
              <w:t>Major Trauma in Older People – A Systematic Review of Effect of Clinical Decisions on Mortality</w:t>
            </w:r>
          </w:p>
          <w:p w14:paraId="5BE4EC0E" w14:textId="77777777" w:rsidR="00CA0EF0" w:rsidRPr="00361E30" w:rsidRDefault="00CA0EF0" w:rsidP="003C13F4">
            <w:pPr>
              <w:spacing w:line="276" w:lineRule="auto"/>
              <w:jc w:val="center"/>
              <w:rPr>
                <w:rFonts w:cstheme="minorHAnsi"/>
                <w:b/>
                <w:sz w:val="18"/>
                <w:szCs w:val="20"/>
              </w:rPr>
            </w:pPr>
            <w:r w:rsidRPr="00361E30">
              <w:rPr>
                <w:rFonts w:eastAsia="Times New Roman" w:cstheme="minorHAnsi"/>
                <w:b/>
                <w:sz w:val="18"/>
                <w:szCs w:val="20"/>
              </w:rPr>
              <w:t>Studies investigating whether specific treatment decisions affect mortality in older trauma patients</w:t>
            </w:r>
          </w:p>
        </w:tc>
      </w:tr>
      <w:tr w:rsidR="00CA0EF0" w:rsidRPr="00361E30" w14:paraId="6C16A1EA" w14:textId="77777777" w:rsidTr="003C13F4">
        <w:trPr>
          <w:cantSplit/>
          <w:trHeight w:val="1623"/>
        </w:trPr>
        <w:tc>
          <w:tcPr>
            <w:tcW w:w="10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hideMark/>
          </w:tcPr>
          <w:p w14:paraId="6954B449"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b/>
                <w:bCs/>
                <w:sz w:val="18"/>
                <w:szCs w:val="20"/>
              </w:rPr>
              <w:t>Paper</w:t>
            </w:r>
          </w:p>
        </w:tc>
        <w:tc>
          <w:tcPr>
            <w:tcW w:w="72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hideMark/>
          </w:tcPr>
          <w:p w14:paraId="7195511F"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b/>
                <w:bCs/>
                <w:sz w:val="18"/>
                <w:szCs w:val="20"/>
              </w:rPr>
              <w:t>Year of Publication</w:t>
            </w:r>
          </w:p>
        </w:tc>
        <w:tc>
          <w:tcPr>
            <w:tcW w:w="360" w:type="dxa"/>
            <w:tcBorders>
              <w:top w:val="single" w:sz="6" w:space="0" w:color="000000"/>
              <w:left w:val="single" w:sz="6" w:space="0" w:color="000000"/>
              <w:bottom w:val="single" w:sz="6" w:space="0" w:color="000000"/>
              <w:right w:val="single" w:sz="6" w:space="0" w:color="000000"/>
            </w:tcBorders>
            <w:textDirection w:val="btLr"/>
          </w:tcPr>
          <w:p w14:paraId="08561517" w14:textId="77777777" w:rsidR="00CA0EF0" w:rsidRPr="00361E30" w:rsidRDefault="00CA0EF0" w:rsidP="003C13F4">
            <w:pPr>
              <w:spacing w:after="0" w:line="0" w:lineRule="atLeast"/>
              <w:ind w:left="113" w:right="113"/>
              <w:rPr>
                <w:rFonts w:eastAsia="Times New Roman" w:cstheme="minorHAnsi"/>
                <w:b/>
                <w:bCs/>
                <w:sz w:val="18"/>
                <w:szCs w:val="20"/>
              </w:rPr>
            </w:pPr>
            <w:r w:rsidRPr="00361E30">
              <w:rPr>
                <w:rFonts w:eastAsia="Times New Roman" w:cstheme="minorHAnsi"/>
                <w:b/>
                <w:bCs/>
                <w:sz w:val="18"/>
                <w:szCs w:val="20"/>
              </w:rPr>
              <w:t xml:space="preserve">Database </w:t>
            </w:r>
          </w:p>
        </w:tc>
        <w:tc>
          <w:tcPr>
            <w:tcW w:w="135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973CC86"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b/>
                <w:bCs/>
                <w:sz w:val="18"/>
                <w:szCs w:val="20"/>
              </w:rPr>
              <w:t>Type of study</w:t>
            </w:r>
          </w:p>
        </w:tc>
        <w:tc>
          <w:tcPr>
            <w:tcW w:w="108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A7A2139"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b/>
                <w:bCs/>
                <w:sz w:val="18"/>
                <w:szCs w:val="20"/>
              </w:rPr>
              <w:t>Main Aim of Study</w:t>
            </w:r>
          </w:p>
        </w:tc>
        <w:tc>
          <w:tcPr>
            <w:tcW w:w="12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A595ACD" w14:textId="77777777" w:rsidR="00CA0EF0" w:rsidRPr="00361E30" w:rsidRDefault="00CA0EF0" w:rsidP="003C13F4">
            <w:pPr>
              <w:spacing w:after="0" w:line="0" w:lineRule="atLeast"/>
              <w:rPr>
                <w:rFonts w:eastAsia="Times New Roman" w:cstheme="minorHAnsi"/>
                <w:b/>
                <w:bCs/>
                <w:sz w:val="18"/>
                <w:szCs w:val="20"/>
              </w:rPr>
            </w:pPr>
            <w:r w:rsidRPr="00361E30">
              <w:rPr>
                <w:rFonts w:eastAsia="Times New Roman" w:cstheme="minorHAnsi"/>
                <w:b/>
                <w:bCs/>
                <w:sz w:val="18"/>
                <w:szCs w:val="20"/>
              </w:rPr>
              <w:t>Patient Group</w:t>
            </w:r>
          </w:p>
          <w:p w14:paraId="30FD552C"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b/>
                <w:bCs/>
                <w:sz w:val="18"/>
                <w:szCs w:val="20"/>
              </w:rPr>
              <w:t>(including sample size[n])</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1B945A4" w14:textId="77777777" w:rsidR="00CA0EF0" w:rsidRPr="00361E30" w:rsidRDefault="00CA0EF0" w:rsidP="003C13F4">
            <w:pPr>
              <w:spacing w:after="0" w:line="0" w:lineRule="atLeast"/>
              <w:rPr>
                <w:rFonts w:eastAsia="Times New Roman" w:cstheme="minorHAnsi"/>
                <w:b/>
                <w:bCs/>
                <w:sz w:val="18"/>
                <w:szCs w:val="20"/>
              </w:rPr>
            </w:pPr>
            <w:r w:rsidRPr="00361E30">
              <w:rPr>
                <w:rFonts w:eastAsia="Times New Roman" w:cstheme="minorHAnsi"/>
                <w:b/>
                <w:bCs/>
                <w:sz w:val="18"/>
                <w:szCs w:val="20"/>
              </w:rPr>
              <w:t>Comparator</w:t>
            </w:r>
          </w:p>
          <w:p w14:paraId="3BB15116"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b/>
                <w:bCs/>
                <w:sz w:val="18"/>
                <w:szCs w:val="20"/>
              </w:rPr>
              <w:t>(including sample size[n])</w:t>
            </w:r>
          </w:p>
        </w:tc>
        <w:tc>
          <w:tcPr>
            <w:tcW w:w="108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C808ECA"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b/>
                <w:bCs/>
                <w:sz w:val="18"/>
                <w:szCs w:val="20"/>
              </w:rPr>
              <w:t>Main Outcome Measure</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AF2A50A" w14:textId="77777777" w:rsidR="00CA0EF0" w:rsidRPr="00361E30" w:rsidRDefault="00CA0EF0" w:rsidP="003C13F4">
            <w:pPr>
              <w:spacing w:after="0" w:line="0" w:lineRule="atLeast"/>
              <w:rPr>
                <w:rFonts w:eastAsia="Times New Roman" w:cstheme="minorHAnsi"/>
                <w:b/>
                <w:bCs/>
                <w:sz w:val="18"/>
                <w:szCs w:val="20"/>
              </w:rPr>
            </w:pPr>
            <w:r w:rsidRPr="00361E30">
              <w:rPr>
                <w:rFonts w:eastAsia="Times New Roman" w:cstheme="minorHAnsi"/>
                <w:b/>
                <w:bCs/>
                <w:sz w:val="18"/>
                <w:szCs w:val="20"/>
              </w:rPr>
              <w:t>Main Findings</w:t>
            </w:r>
          </w:p>
          <w:p w14:paraId="19B23951" w14:textId="77777777" w:rsidR="00CA0EF0" w:rsidRPr="00361E30" w:rsidRDefault="00CA0EF0" w:rsidP="003C13F4">
            <w:pPr>
              <w:spacing w:after="0" w:line="0" w:lineRule="atLeast"/>
              <w:rPr>
                <w:rFonts w:eastAsia="Times New Roman" w:cstheme="minorHAnsi"/>
                <w:b/>
                <w:bCs/>
                <w:sz w:val="18"/>
                <w:szCs w:val="20"/>
              </w:rPr>
            </w:pPr>
            <w:r w:rsidRPr="00361E30">
              <w:rPr>
                <w:rFonts w:eastAsia="Times New Roman" w:cstheme="minorHAnsi"/>
                <w:b/>
                <w:bCs/>
                <w:sz w:val="18"/>
                <w:szCs w:val="20"/>
              </w:rPr>
              <w:t>(95% CI)</w:t>
            </w:r>
          </w:p>
          <w:p w14:paraId="654D933E" w14:textId="77777777" w:rsidR="00CA0EF0" w:rsidRPr="00361E30" w:rsidRDefault="00CA0EF0" w:rsidP="003C13F4">
            <w:pPr>
              <w:spacing w:after="0" w:line="0" w:lineRule="atLeast"/>
              <w:rPr>
                <w:rFonts w:eastAsia="Times New Roman" w:cstheme="minorHAnsi"/>
                <w:sz w:val="18"/>
                <w:szCs w:val="20"/>
              </w:rPr>
            </w:pPr>
          </w:p>
        </w:tc>
      </w:tr>
      <w:tr w:rsidR="00CA0EF0" w:rsidRPr="00361E30" w14:paraId="33C4F381" w14:textId="77777777" w:rsidTr="003C13F4">
        <w:trPr>
          <w:cantSplit/>
          <w:trHeight w:val="1134"/>
        </w:trPr>
        <w:tc>
          <w:tcPr>
            <w:tcW w:w="10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3B4E7988" w14:textId="77777777" w:rsidR="00CA0EF0" w:rsidRPr="00361E30" w:rsidRDefault="00CA0EF0" w:rsidP="003C13F4">
            <w:pPr>
              <w:autoSpaceDE w:val="0"/>
              <w:autoSpaceDN w:val="0"/>
              <w:adjustRightInd w:val="0"/>
              <w:spacing w:after="0" w:line="240" w:lineRule="auto"/>
              <w:ind w:left="113" w:right="113"/>
              <w:jc w:val="left"/>
              <w:rPr>
                <w:rFonts w:eastAsia="Times New Roman" w:cstheme="minorHAnsi"/>
                <w:sz w:val="18"/>
                <w:szCs w:val="20"/>
              </w:rPr>
            </w:pPr>
            <w:r w:rsidRPr="00361E30">
              <w:rPr>
                <w:rFonts w:cstheme="minorHAnsi"/>
                <w:sz w:val="18"/>
                <w:szCs w:val="20"/>
              </w:rPr>
              <w:t>Aitken et al Characteristics and Outcomes of Injured Older Adults After Hospital Admission</w:t>
            </w:r>
          </w:p>
        </w:tc>
        <w:tc>
          <w:tcPr>
            <w:tcW w:w="72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C99230F"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2010</w:t>
            </w:r>
          </w:p>
        </w:tc>
        <w:tc>
          <w:tcPr>
            <w:tcW w:w="360" w:type="dxa"/>
            <w:tcBorders>
              <w:top w:val="single" w:sz="6" w:space="0" w:color="000000"/>
              <w:left w:val="single" w:sz="6" w:space="0" w:color="000000"/>
              <w:bottom w:val="single" w:sz="6" w:space="0" w:color="000000"/>
              <w:right w:val="single" w:sz="6" w:space="0" w:color="000000"/>
            </w:tcBorders>
            <w:textDirection w:val="btLr"/>
          </w:tcPr>
          <w:p w14:paraId="29E2C952"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Medline, CINHAL</w:t>
            </w:r>
          </w:p>
        </w:tc>
        <w:tc>
          <w:tcPr>
            <w:tcW w:w="135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C522494"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Retrospective analysis of data from the Queensland Trauma Registry.</w:t>
            </w:r>
          </w:p>
        </w:tc>
        <w:tc>
          <w:tcPr>
            <w:tcW w:w="108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6524124"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To describe the seriously injured adult population aged 65 and older;</w:t>
            </w:r>
          </w:p>
          <w:p w14:paraId="4C99FA30"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compare the differences in injury characteristics and outcomes in three subgroups</w:t>
            </w:r>
          </w:p>
          <w:p w14:paraId="4A1FE3DF"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aged 65 to 74, 75 to 84, and 85 and older</w:t>
            </w:r>
          </w:p>
        </w:tc>
        <w:tc>
          <w:tcPr>
            <w:tcW w:w="12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475B316"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All patients aged 65 and older with major trauma entered into the Queensland Trauma Registry between 2003 and 2006 (n=6069)</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2641AFF"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Three cohorts compared: 65 - 74; 75 - 84 and 85 and older.</w:t>
            </w:r>
          </w:p>
        </w:tc>
        <w:tc>
          <w:tcPr>
            <w:tcW w:w="108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56C97D6"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Risk adjusted mortality (expressed as adjusted odds ratios)</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2098F23"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 xml:space="preserve">AOR: ICU admission </w:t>
            </w:r>
            <w:r w:rsidRPr="00361E30">
              <w:rPr>
                <w:rFonts w:cstheme="minorHAnsi"/>
                <w:sz w:val="18"/>
                <w:szCs w:val="20"/>
              </w:rPr>
              <w:t>6.78 (95% CI: 4.82–9.51); Surgery 0.56 (95% CI: 0.43–0.75)</w:t>
            </w:r>
          </w:p>
        </w:tc>
      </w:tr>
      <w:tr w:rsidR="00CA0EF0" w:rsidRPr="00361E30" w14:paraId="567E819C" w14:textId="77777777" w:rsidTr="003C13F4">
        <w:trPr>
          <w:cantSplit/>
          <w:trHeight w:val="1134"/>
        </w:trPr>
        <w:tc>
          <w:tcPr>
            <w:tcW w:w="10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25BE61C6"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Ayoung Chee et al</w:t>
            </w:r>
          </w:p>
          <w:p w14:paraId="13B9AE77"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Long Term Outcomes of Ground Level Falls in the Elderly</w:t>
            </w:r>
          </w:p>
        </w:tc>
        <w:tc>
          <w:tcPr>
            <w:tcW w:w="72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566D449"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2014</w:t>
            </w:r>
          </w:p>
        </w:tc>
        <w:tc>
          <w:tcPr>
            <w:tcW w:w="360" w:type="dxa"/>
            <w:tcBorders>
              <w:top w:val="single" w:sz="6" w:space="0" w:color="000000"/>
              <w:left w:val="single" w:sz="6" w:space="0" w:color="000000"/>
              <w:bottom w:val="single" w:sz="6" w:space="0" w:color="000000"/>
              <w:right w:val="single" w:sz="6" w:space="0" w:color="000000"/>
            </w:tcBorders>
            <w:textDirection w:val="btLr"/>
          </w:tcPr>
          <w:p w14:paraId="64EAD22E"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CINHAL</w:t>
            </w:r>
          </w:p>
        </w:tc>
        <w:tc>
          <w:tcPr>
            <w:tcW w:w="135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F8E0A80"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Retrospective analysis of data from single Level 1 trauma center</w:t>
            </w:r>
          </w:p>
        </w:tc>
        <w:tc>
          <w:tcPr>
            <w:tcW w:w="108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7359789"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To identify factors associated with 1-year mortality in patients 65 years and older suffering ground level falls.</w:t>
            </w:r>
          </w:p>
        </w:tc>
        <w:tc>
          <w:tcPr>
            <w:tcW w:w="12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E031DBD"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All adults older</w:t>
            </w:r>
          </w:p>
          <w:p w14:paraId="6898B3A0"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than 65 years, who were admitted to the Harborview Medical</w:t>
            </w:r>
          </w:p>
          <w:p w14:paraId="452FE468"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Center (HMC), with a diagnosis of a GLF, from January 2005 to</w:t>
            </w:r>
          </w:p>
          <w:p w14:paraId="595A371B" w14:textId="77777777" w:rsidR="00CA0EF0" w:rsidRPr="00361E30" w:rsidRDefault="00CA0EF0" w:rsidP="003C13F4">
            <w:pPr>
              <w:spacing w:after="0" w:line="0" w:lineRule="atLeast"/>
              <w:rPr>
                <w:rFonts w:cstheme="minorHAnsi"/>
                <w:sz w:val="18"/>
                <w:szCs w:val="20"/>
              </w:rPr>
            </w:pPr>
            <w:r w:rsidRPr="00361E30">
              <w:rPr>
                <w:rFonts w:cstheme="minorHAnsi"/>
                <w:sz w:val="18"/>
                <w:szCs w:val="20"/>
              </w:rPr>
              <w:t>December 2008</w:t>
            </w:r>
          </w:p>
          <w:p w14:paraId="7500F207" w14:textId="77777777" w:rsidR="00CA0EF0" w:rsidRPr="00361E30" w:rsidRDefault="00CA0EF0" w:rsidP="003C13F4">
            <w:pPr>
              <w:spacing w:after="0" w:line="0" w:lineRule="atLeast"/>
              <w:rPr>
                <w:rFonts w:eastAsia="Times New Roman" w:cstheme="minorHAnsi"/>
                <w:sz w:val="18"/>
                <w:szCs w:val="20"/>
              </w:rPr>
            </w:pPr>
            <w:r w:rsidRPr="00361E30">
              <w:rPr>
                <w:rFonts w:cstheme="minorHAnsi"/>
                <w:sz w:val="18"/>
                <w:szCs w:val="20"/>
              </w:rPr>
              <w:t>(n=1352)</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051F3F9"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Divided into age categories: 66-70; 71-80; 81-90 and&gt;90 years.</w:t>
            </w:r>
          </w:p>
        </w:tc>
        <w:tc>
          <w:tcPr>
            <w:tcW w:w="108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30973FF"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Risk adjusted mortality (expressed as adjusted and unadjusted odds ratios)</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CB3BDA0"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 xml:space="preserve">AOR: ICU admission </w:t>
            </w:r>
            <w:r w:rsidRPr="00361E30">
              <w:rPr>
                <w:rFonts w:cstheme="minorHAnsi"/>
                <w:sz w:val="18"/>
                <w:szCs w:val="20"/>
              </w:rPr>
              <w:t>1.47 (95% CI: 1.09-1.97)</w:t>
            </w:r>
          </w:p>
        </w:tc>
      </w:tr>
      <w:tr w:rsidR="00CA0EF0" w:rsidRPr="00361E30" w14:paraId="1F83EFCD" w14:textId="77777777" w:rsidTr="003C13F4">
        <w:trPr>
          <w:cantSplit/>
          <w:trHeight w:val="5091"/>
        </w:trPr>
        <w:tc>
          <w:tcPr>
            <w:tcW w:w="10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4E3F1962"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lastRenderedPageBreak/>
              <w:t>Meldon et al</w:t>
            </w:r>
          </w:p>
          <w:p w14:paraId="65BDAB07" w14:textId="77777777" w:rsidR="00CA0EF0" w:rsidRPr="00361E30" w:rsidRDefault="00CA0EF0" w:rsidP="003C13F4">
            <w:pPr>
              <w:autoSpaceDE w:val="0"/>
              <w:autoSpaceDN w:val="0"/>
              <w:adjustRightInd w:val="0"/>
              <w:spacing w:after="0" w:line="240" w:lineRule="auto"/>
              <w:ind w:left="113" w:right="113"/>
              <w:jc w:val="left"/>
              <w:rPr>
                <w:rFonts w:cstheme="minorHAnsi"/>
                <w:bCs/>
                <w:sz w:val="18"/>
                <w:szCs w:val="20"/>
              </w:rPr>
            </w:pPr>
            <w:r w:rsidRPr="00361E30">
              <w:rPr>
                <w:rFonts w:cstheme="minorHAnsi"/>
                <w:bCs/>
                <w:sz w:val="18"/>
                <w:szCs w:val="20"/>
              </w:rPr>
              <w:t>Trauma in the Very Elderly: A Community-Based Study of</w:t>
            </w:r>
          </w:p>
          <w:p w14:paraId="385710FF"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cstheme="minorHAnsi"/>
                <w:bCs/>
                <w:sz w:val="18"/>
                <w:szCs w:val="20"/>
              </w:rPr>
              <w:t>Outcomes at Trauma and Nontrauma Centers</w:t>
            </w:r>
          </w:p>
        </w:tc>
        <w:tc>
          <w:tcPr>
            <w:tcW w:w="72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F33DE39"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2002</w:t>
            </w:r>
          </w:p>
        </w:tc>
        <w:tc>
          <w:tcPr>
            <w:tcW w:w="360" w:type="dxa"/>
            <w:tcBorders>
              <w:top w:val="single" w:sz="6" w:space="0" w:color="000000"/>
              <w:left w:val="single" w:sz="6" w:space="0" w:color="000000"/>
              <w:bottom w:val="single" w:sz="6" w:space="0" w:color="000000"/>
              <w:right w:val="single" w:sz="6" w:space="0" w:color="000000"/>
            </w:tcBorders>
            <w:textDirection w:val="btLr"/>
          </w:tcPr>
          <w:p w14:paraId="03E13DE0"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Pubmed</w:t>
            </w:r>
          </w:p>
        </w:tc>
        <w:tc>
          <w:tcPr>
            <w:tcW w:w="135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30F75F1"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Retrospective analysis of US National Trauma Databank for 1996</w:t>
            </w:r>
          </w:p>
        </w:tc>
        <w:tc>
          <w:tcPr>
            <w:tcW w:w="108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32C87E7" w14:textId="77777777" w:rsidR="00CA0EF0" w:rsidRPr="00361E30" w:rsidRDefault="00CA0EF0" w:rsidP="003C13F4">
            <w:pPr>
              <w:autoSpaceDE w:val="0"/>
              <w:autoSpaceDN w:val="0"/>
              <w:adjustRightInd w:val="0"/>
              <w:spacing w:after="0" w:line="240" w:lineRule="auto"/>
              <w:jc w:val="left"/>
              <w:rPr>
                <w:rFonts w:cstheme="minorHAnsi"/>
                <w:bCs/>
                <w:sz w:val="18"/>
                <w:szCs w:val="20"/>
              </w:rPr>
            </w:pPr>
            <w:r w:rsidRPr="00361E30">
              <w:rPr>
                <w:rFonts w:cstheme="minorHAnsi"/>
                <w:bCs/>
                <w:sz w:val="18"/>
                <w:szCs w:val="20"/>
              </w:rPr>
              <w:t>to describe demographics,</w:t>
            </w:r>
          </w:p>
          <w:p w14:paraId="4E666B61" w14:textId="77777777" w:rsidR="00CA0EF0" w:rsidRPr="00361E30" w:rsidRDefault="00CA0EF0" w:rsidP="003C13F4">
            <w:pPr>
              <w:autoSpaceDE w:val="0"/>
              <w:autoSpaceDN w:val="0"/>
              <w:adjustRightInd w:val="0"/>
              <w:spacing w:after="0" w:line="240" w:lineRule="auto"/>
              <w:jc w:val="left"/>
              <w:rPr>
                <w:rFonts w:eastAsia="Times New Roman" w:cstheme="minorHAnsi"/>
                <w:sz w:val="18"/>
                <w:szCs w:val="20"/>
              </w:rPr>
            </w:pPr>
            <w:r w:rsidRPr="00361E30">
              <w:rPr>
                <w:rFonts w:cstheme="minorHAnsi"/>
                <w:bCs/>
                <w:sz w:val="18"/>
                <w:szCs w:val="20"/>
              </w:rPr>
              <w:t>mechanism of injury and injury severity of very elderly trauma patients and examine the association between trauma center (TC) verification and hospital mortality in this age group.</w:t>
            </w:r>
          </w:p>
        </w:tc>
        <w:tc>
          <w:tcPr>
            <w:tcW w:w="12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A32467F"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Patients aged &gt;80 years old entered on the NTDB in 1996. (n=455)</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5C76350" w14:textId="77777777" w:rsidR="00CA0EF0" w:rsidRPr="00361E30" w:rsidRDefault="00CA0EF0" w:rsidP="003C13F4">
            <w:pPr>
              <w:spacing w:after="0" w:line="0" w:lineRule="atLeast"/>
              <w:rPr>
                <w:rFonts w:eastAsia="Times New Roman" w:cstheme="minorHAnsi"/>
                <w:sz w:val="18"/>
                <w:szCs w:val="20"/>
              </w:rPr>
            </w:pPr>
          </w:p>
        </w:tc>
        <w:tc>
          <w:tcPr>
            <w:tcW w:w="108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D399A20"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Crude mortality rates.</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5DAA1F4" w14:textId="77777777" w:rsidR="00CA0EF0" w:rsidRPr="00361E30" w:rsidRDefault="00CA0EF0" w:rsidP="003C13F4">
            <w:pPr>
              <w:autoSpaceDE w:val="0"/>
              <w:autoSpaceDN w:val="0"/>
              <w:adjustRightInd w:val="0"/>
              <w:spacing w:after="0" w:line="240" w:lineRule="auto"/>
              <w:jc w:val="left"/>
              <w:rPr>
                <w:rFonts w:eastAsia="Times New Roman" w:cstheme="minorHAnsi"/>
                <w:sz w:val="18"/>
                <w:szCs w:val="20"/>
              </w:rPr>
            </w:pPr>
            <w:r w:rsidRPr="00361E30">
              <w:rPr>
                <w:rFonts w:cstheme="minorHAnsi"/>
                <w:bCs/>
                <w:sz w:val="18"/>
                <w:szCs w:val="20"/>
              </w:rPr>
              <w:t xml:space="preserve">TCs had significantly better outcomes than AC hospitals in a subset of severely injured patients (ISS 21-45) (56% v 8% survival; </w:t>
            </w:r>
            <w:r w:rsidRPr="00361E30">
              <w:rPr>
                <w:rFonts w:cstheme="minorHAnsi"/>
                <w:bCs/>
                <w:i/>
                <w:iCs/>
                <w:sz w:val="18"/>
                <w:szCs w:val="20"/>
              </w:rPr>
              <w:t xml:space="preserve">p </w:t>
            </w:r>
            <w:r w:rsidRPr="00361E30">
              <w:rPr>
                <w:rFonts w:cstheme="minorHAnsi"/>
                <w:bCs/>
                <w:sz w:val="18"/>
                <w:szCs w:val="20"/>
              </w:rPr>
              <w:t>&lt; 0.01).</w:t>
            </w:r>
          </w:p>
        </w:tc>
      </w:tr>
      <w:tr w:rsidR="00CA0EF0" w:rsidRPr="00361E30" w14:paraId="2A2BEBD4" w14:textId="77777777" w:rsidTr="003C13F4">
        <w:trPr>
          <w:cantSplit/>
          <w:trHeight w:val="5280"/>
        </w:trPr>
        <w:tc>
          <w:tcPr>
            <w:tcW w:w="10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23933D01" w14:textId="77777777" w:rsidR="00CA0EF0" w:rsidRPr="00361E30" w:rsidRDefault="00CA0EF0" w:rsidP="003C13F4">
            <w:pPr>
              <w:spacing w:after="0" w:line="0" w:lineRule="atLeast"/>
              <w:ind w:left="113" w:right="113"/>
              <w:rPr>
                <w:rFonts w:cstheme="minorHAnsi"/>
                <w:sz w:val="18"/>
                <w:szCs w:val="20"/>
              </w:rPr>
            </w:pPr>
            <w:r w:rsidRPr="00361E30">
              <w:rPr>
                <w:rFonts w:cstheme="minorHAnsi"/>
                <w:sz w:val="18"/>
                <w:szCs w:val="20"/>
              </w:rPr>
              <w:t>Moore et al</w:t>
            </w:r>
          </w:p>
          <w:p w14:paraId="6298054F"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cstheme="minorHAnsi"/>
                <w:sz w:val="18"/>
                <w:szCs w:val="20"/>
              </w:rPr>
              <w:t>Trauma centre outcome performance: A comparison of young adults and geriatric patients in an inclusive trauma system</w:t>
            </w:r>
          </w:p>
        </w:tc>
        <w:tc>
          <w:tcPr>
            <w:tcW w:w="72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D109F82"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2012</w:t>
            </w:r>
          </w:p>
        </w:tc>
        <w:tc>
          <w:tcPr>
            <w:tcW w:w="360" w:type="dxa"/>
            <w:tcBorders>
              <w:top w:val="single" w:sz="6" w:space="0" w:color="000000"/>
              <w:left w:val="single" w:sz="6" w:space="0" w:color="000000"/>
              <w:bottom w:val="single" w:sz="6" w:space="0" w:color="000000"/>
              <w:right w:val="single" w:sz="6" w:space="0" w:color="000000"/>
            </w:tcBorders>
            <w:textDirection w:val="btLr"/>
          </w:tcPr>
          <w:p w14:paraId="01C42914"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Pubmed</w:t>
            </w:r>
          </w:p>
        </w:tc>
        <w:tc>
          <w:tcPr>
            <w:tcW w:w="135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D6898A4"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Retrospective observational study</w:t>
            </w:r>
          </w:p>
        </w:tc>
        <w:tc>
          <w:tcPr>
            <w:tcW w:w="108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0B4A426" w14:textId="77777777" w:rsidR="00CA0EF0" w:rsidRPr="00361E30" w:rsidRDefault="00CA0EF0" w:rsidP="003C13F4">
            <w:pPr>
              <w:spacing w:after="0" w:line="0" w:lineRule="atLeast"/>
              <w:rPr>
                <w:rFonts w:eastAsia="Times New Roman" w:cstheme="minorHAnsi"/>
                <w:sz w:val="18"/>
                <w:szCs w:val="20"/>
              </w:rPr>
            </w:pPr>
            <w:r w:rsidRPr="00361E30">
              <w:rPr>
                <w:rFonts w:cstheme="minorHAnsi"/>
                <w:sz w:val="18"/>
                <w:szCs w:val="20"/>
              </w:rPr>
              <w:t>To evaluate whether trauma centres with lower/higher than expected mortality amongst patients &lt;65 years of age have similar results for geriatric patients.</w:t>
            </w:r>
          </w:p>
        </w:tc>
        <w:tc>
          <w:tcPr>
            <w:tcW w:w="12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D0A04BE"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All patients aged ≥65 years old entered on the Quebec Trauma Registry (n=30960) between 1999 and 2006.</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464DD0C"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All patients aged &lt;65 years old entered on the Quebec Trauma Registry (n=55283) between 1999 and 2006.</w:t>
            </w:r>
          </w:p>
        </w:tc>
        <w:tc>
          <w:tcPr>
            <w:tcW w:w="108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C80B7C1"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Correlation between hospital rank for outcomes of all trauma patients with outcomes for geriatric trauma patients.</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11628E6"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 xml:space="preserve">There was poor correlation between hospital rank for outcomes of all trauma patients compared with the rank for outcomes of geriatric trauma patients. </w:t>
            </w:r>
          </w:p>
        </w:tc>
      </w:tr>
      <w:tr w:rsidR="00CA0EF0" w:rsidRPr="00361E30" w14:paraId="443BCA01" w14:textId="77777777" w:rsidTr="003C13F4">
        <w:trPr>
          <w:cantSplit/>
          <w:trHeight w:val="5280"/>
        </w:trPr>
        <w:tc>
          <w:tcPr>
            <w:tcW w:w="10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7202E98C"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lastRenderedPageBreak/>
              <w:t>Nichol and Turner</w:t>
            </w:r>
          </w:p>
          <w:p w14:paraId="74C68F46"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cstheme="minorHAnsi"/>
                <w:sz w:val="18"/>
                <w:szCs w:val="20"/>
              </w:rPr>
              <w:t>Effectiveness of a regional trauma system in reducing mortality from major trauma: before and after study</w:t>
            </w:r>
          </w:p>
        </w:tc>
        <w:tc>
          <w:tcPr>
            <w:tcW w:w="72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0737488"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1997</w:t>
            </w:r>
          </w:p>
        </w:tc>
        <w:tc>
          <w:tcPr>
            <w:tcW w:w="360" w:type="dxa"/>
            <w:tcBorders>
              <w:top w:val="single" w:sz="6" w:space="0" w:color="000000"/>
              <w:left w:val="single" w:sz="6" w:space="0" w:color="000000"/>
              <w:bottom w:val="single" w:sz="6" w:space="0" w:color="000000"/>
              <w:right w:val="single" w:sz="6" w:space="0" w:color="000000"/>
            </w:tcBorders>
            <w:textDirection w:val="btLr"/>
          </w:tcPr>
          <w:p w14:paraId="684A41DF"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Pubmed/</w:t>
            </w:r>
          </w:p>
          <w:p w14:paraId="03CDF842"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Cochrane</w:t>
            </w:r>
          </w:p>
        </w:tc>
        <w:tc>
          <w:tcPr>
            <w:tcW w:w="135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FB9BEAB"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Prospective study of trauma care in a newly developed trauma center compared to control regions in the UK</w:t>
            </w:r>
          </w:p>
        </w:tc>
        <w:tc>
          <w:tcPr>
            <w:tcW w:w="108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3D44C8F" w14:textId="77777777" w:rsidR="00CA0EF0" w:rsidRPr="00361E30" w:rsidRDefault="00CA0EF0" w:rsidP="003C13F4">
            <w:pPr>
              <w:spacing w:after="0" w:line="0" w:lineRule="atLeast"/>
              <w:rPr>
                <w:rFonts w:eastAsia="Times New Roman" w:cstheme="minorHAnsi"/>
                <w:sz w:val="18"/>
                <w:szCs w:val="20"/>
              </w:rPr>
            </w:pPr>
            <w:r w:rsidRPr="00361E30">
              <w:rPr>
                <w:rFonts w:cstheme="minorHAnsi"/>
                <w:sz w:val="18"/>
                <w:szCs w:val="20"/>
              </w:rPr>
              <w:t>To assess the effect ofthe development of an experimental trauma centre and regional trauma system on the survival of patients with major trauma.</w:t>
            </w:r>
          </w:p>
        </w:tc>
        <w:tc>
          <w:tcPr>
            <w:tcW w:w="12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289EAC1"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Patients treated at the Trauma Centre</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FFFE207"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Patients treated at one of two control regions</w:t>
            </w:r>
          </w:p>
        </w:tc>
        <w:tc>
          <w:tcPr>
            <w:tcW w:w="108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68F004E"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Crude Mortality, categori</w:t>
            </w:r>
            <w:r w:rsidR="0020173C">
              <w:rPr>
                <w:rFonts w:eastAsia="Times New Roman" w:cstheme="minorHAnsi"/>
                <w:sz w:val="18"/>
                <w:szCs w:val="20"/>
              </w:rPr>
              <w:t>s</w:t>
            </w:r>
            <w:r w:rsidRPr="00361E30">
              <w:rPr>
                <w:rFonts w:eastAsia="Times New Roman" w:cstheme="minorHAnsi"/>
                <w:sz w:val="18"/>
                <w:szCs w:val="20"/>
              </w:rPr>
              <w:t>ed by injury severity.</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70BA167"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There was no significant difference in the change in mortality rates before and after implementation between the trauma center patients and patients treated at one of the control sites.</w:t>
            </w:r>
          </w:p>
        </w:tc>
      </w:tr>
      <w:tr w:rsidR="00CA0EF0" w:rsidRPr="00361E30" w14:paraId="65BF989B" w14:textId="77777777" w:rsidTr="003C13F4">
        <w:trPr>
          <w:cantSplit/>
          <w:trHeight w:val="4290"/>
        </w:trPr>
        <w:tc>
          <w:tcPr>
            <w:tcW w:w="10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44C15D2F" w14:textId="77777777" w:rsidR="00CA0EF0" w:rsidRPr="00361E30" w:rsidRDefault="00CA0EF0" w:rsidP="003C13F4">
            <w:pPr>
              <w:spacing w:after="0" w:line="0" w:lineRule="atLeast"/>
              <w:ind w:left="113" w:right="113"/>
              <w:rPr>
                <w:rFonts w:cstheme="minorHAnsi"/>
                <w:sz w:val="18"/>
                <w:szCs w:val="20"/>
              </w:rPr>
            </w:pPr>
            <w:r w:rsidRPr="00361E30">
              <w:rPr>
                <w:rFonts w:cstheme="minorHAnsi"/>
                <w:sz w:val="18"/>
                <w:szCs w:val="20"/>
              </w:rPr>
              <w:t>Nicholl et al</w:t>
            </w:r>
          </w:p>
          <w:p w14:paraId="49209F3A"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cstheme="minorHAnsi"/>
                <w:sz w:val="18"/>
                <w:szCs w:val="20"/>
              </w:rPr>
              <w:t>Effects of London helicopter emergency medical service on survival after trauma</w:t>
            </w:r>
          </w:p>
        </w:tc>
        <w:tc>
          <w:tcPr>
            <w:tcW w:w="72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3895508"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1995</w:t>
            </w:r>
          </w:p>
        </w:tc>
        <w:tc>
          <w:tcPr>
            <w:tcW w:w="360" w:type="dxa"/>
            <w:tcBorders>
              <w:top w:val="single" w:sz="6" w:space="0" w:color="000000"/>
              <w:left w:val="single" w:sz="6" w:space="0" w:color="000000"/>
              <w:bottom w:val="single" w:sz="6" w:space="0" w:color="000000"/>
              <w:right w:val="single" w:sz="6" w:space="0" w:color="000000"/>
            </w:tcBorders>
            <w:textDirection w:val="btLr"/>
          </w:tcPr>
          <w:p w14:paraId="468FC908"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Pubmed</w:t>
            </w:r>
          </w:p>
        </w:tc>
        <w:tc>
          <w:tcPr>
            <w:tcW w:w="135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520096E"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 xml:space="preserve">Prospective study of patients attended by the London Ambulance Service compared to matched controls attended by land ambulances </w:t>
            </w:r>
          </w:p>
        </w:tc>
        <w:tc>
          <w:tcPr>
            <w:tcW w:w="108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9168C6B"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To assess the effectiveness of the London Helicopter Emergency Medical Service on survival after trauma.</w:t>
            </w:r>
          </w:p>
        </w:tc>
        <w:tc>
          <w:tcPr>
            <w:tcW w:w="12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11594FA"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Patients attended by the London HEMS</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40105D2"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Matched patients attended by land ambulance services.</w:t>
            </w:r>
          </w:p>
        </w:tc>
        <w:tc>
          <w:tcPr>
            <w:tcW w:w="108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64942AC"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Crude mortality and relative risk of death.</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38FA437" w14:textId="77777777" w:rsidR="00CA0EF0" w:rsidRPr="00361E30" w:rsidRDefault="00CA0EF0" w:rsidP="003C13F4">
            <w:pPr>
              <w:spacing w:line="276" w:lineRule="auto"/>
              <w:jc w:val="left"/>
              <w:rPr>
                <w:rFonts w:eastAsia="Times New Roman" w:cstheme="minorHAnsi"/>
                <w:sz w:val="18"/>
                <w:szCs w:val="20"/>
                <w:lang w:eastAsia="en-GB"/>
              </w:rPr>
            </w:pPr>
            <w:r w:rsidRPr="00361E30">
              <w:rPr>
                <w:rFonts w:eastAsia="Times New Roman" w:cstheme="minorHAnsi"/>
                <w:sz w:val="18"/>
                <w:szCs w:val="20"/>
              </w:rPr>
              <w:t>There was no significant difference in death rates for older patients (aged ≥65 years) treated by the HEMS compared to those treated by land ambulance services.</w:t>
            </w:r>
            <w:r w:rsidRPr="00361E30">
              <w:rPr>
                <w:rFonts w:cstheme="minorHAnsi"/>
                <w:sz w:val="18"/>
                <w:szCs w:val="20"/>
              </w:rPr>
              <w:t xml:space="preserve"> Relative risk for patients aged 65 – 74: </w:t>
            </w:r>
            <w:r w:rsidRPr="00361E30">
              <w:rPr>
                <w:rFonts w:eastAsia="Times New Roman" w:cstheme="minorHAnsi"/>
                <w:sz w:val="18"/>
                <w:szCs w:val="20"/>
                <w:lang w:eastAsia="en-GB"/>
              </w:rPr>
              <w:t>1.4  (95% CI 0.8 to 2.5) and for patients aged &gt;75 1.8 (95% CI 1.0 – 3.1).</w:t>
            </w:r>
          </w:p>
          <w:p w14:paraId="589BA2C1" w14:textId="77777777" w:rsidR="00CA0EF0" w:rsidRPr="00361E30" w:rsidRDefault="00CA0EF0" w:rsidP="003C13F4">
            <w:pPr>
              <w:spacing w:after="0" w:line="0" w:lineRule="atLeast"/>
              <w:rPr>
                <w:rFonts w:eastAsia="Times New Roman" w:cstheme="minorHAnsi"/>
                <w:sz w:val="18"/>
                <w:szCs w:val="20"/>
              </w:rPr>
            </w:pPr>
          </w:p>
        </w:tc>
      </w:tr>
      <w:tr w:rsidR="00CA0EF0" w:rsidRPr="00361E30" w14:paraId="5CFBDC1E" w14:textId="77777777" w:rsidTr="003C13F4">
        <w:trPr>
          <w:cantSplit/>
          <w:trHeight w:val="3894"/>
        </w:trPr>
        <w:tc>
          <w:tcPr>
            <w:tcW w:w="10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024E71FE" w14:textId="77777777" w:rsidR="00CA0EF0" w:rsidRPr="00361E30" w:rsidRDefault="00CA0EF0" w:rsidP="003C13F4">
            <w:pPr>
              <w:autoSpaceDE w:val="0"/>
              <w:autoSpaceDN w:val="0"/>
              <w:adjustRightInd w:val="0"/>
              <w:spacing w:after="0" w:line="240" w:lineRule="auto"/>
              <w:ind w:left="113" w:right="113"/>
              <w:jc w:val="left"/>
              <w:rPr>
                <w:rFonts w:cstheme="minorHAnsi"/>
                <w:sz w:val="18"/>
                <w:szCs w:val="20"/>
              </w:rPr>
            </w:pPr>
            <w:r w:rsidRPr="00361E30">
              <w:rPr>
                <w:rFonts w:cstheme="minorHAnsi"/>
                <w:sz w:val="18"/>
                <w:szCs w:val="20"/>
              </w:rPr>
              <w:lastRenderedPageBreak/>
              <w:t>Richmond et al</w:t>
            </w:r>
          </w:p>
          <w:p w14:paraId="1677BE2B" w14:textId="77777777" w:rsidR="00CA0EF0" w:rsidRPr="00361E30" w:rsidRDefault="00CA0EF0" w:rsidP="003C13F4">
            <w:pPr>
              <w:autoSpaceDE w:val="0"/>
              <w:autoSpaceDN w:val="0"/>
              <w:adjustRightInd w:val="0"/>
              <w:spacing w:after="0" w:line="240" w:lineRule="auto"/>
              <w:ind w:left="113" w:right="113"/>
              <w:jc w:val="left"/>
              <w:rPr>
                <w:rFonts w:cstheme="minorHAnsi"/>
                <w:sz w:val="18"/>
                <w:szCs w:val="20"/>
              </w:rPr>
            </w:pPr>
            <w:r w:rsidRPr="00361E30">
              <w:rPr>
                <w:rFonts w:cstheme="minorHAnsi"/>
                <w:sz w:val="18"/>
                <w:szCs w:val="20"/>
              </w:rPr>
              <w:t>Characteristics and Outcomes of Serious Traumatic Injury in Older Adults</w:t>
            </w:r>
          </w:p>
        </w:tc>
        <w:tc>
          <w:tcPr>
            <w:tcW w:w="72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AC74780"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2002</w:t>
            </w:r>
          </w:p>
        </w:tc>
        <w:tc>
          <w:tcPr>
            <w:tcW w:w="360" w:type="dxa"/>
            <w:tcBorders>
              <w:top w:val="single" w:sz="6" w:space="0" w:color="000000"/>
              <w:left w:val="single" w:sz="6" w:space="0" w:color="000000"/>
              <w:bottom w:val="single" w:sz="6" w:space="0" w:color="000000"/>
              <w:right w:val="single" w:sz="6" w:space="0" w:color="000000"/>
            </w:tcBorders>
            <w:textDirection w:val="btLr"/>
          </w:tcPr>
          <w:p w14:paraId="1A0EB5BF"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Medline</w:t>
            </w:r>
          </w:p>
        </w:tc>
        <w:tc>
          <w:tcPr>
            <w:tcW w:w="135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15F155C"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Retrospective analysis from the Pennsylvania Trauma Systems Foundation</w:t>
            </w:r>
          </w:p>
        </w:tc>
        <w:tc>
          <w:tcPr>
            <w:tcW w:w="108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7C3545E" w14:textId="77777777" w:rsidR="00CA0EF0" w:rsidRPr="00361E30" w:rsidRDefault="00CA0EF0" w:rsidP="003C13F4">
            <w:pPr>
              <w:spacing w:after="0" w:line="240" w:lineRule="auto"/>
              <w:rPr>
                <w:rFonts w:eastAsia="Times New Roman" w:cstheme="minorHAnsi"/>
                <w:sz w:val="18"/>
                <w:szCs w:val="20"/>
              </w:rPr>
            </w:pPr>
            <w:r w:rsidRPr="00361E30">
              <w:rPr>
                <w:rFonts w:eastAsia="Times New Roman" w:cstheme="minorHAnsi"/>
                <w:sz w:val="18"/>
                <w:szCs w:val="20"/>
              </w:rPr>
              <w:t>To describe the seriously injured older adult. To identify risk factors for death, complications and discharge destination.</w:t>
            </w:r>
          </w:p>
        </w:tc>
        <w:tc>
          <w:tcPr>
            <w:tcW w:w="12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B889436"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Patients aged ≥65 years on the PTSF register from 1988 to 1997 (n=38707)</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1AA8B0C"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Compared in cohorts of 65 – 74, 75 – 84 and ≥85</w:t>
            </w:r>
          </w:p>
        </w:tc>
        <w:tc>
          <w:tcPr>
            <w:tcW w:w="108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6A5245F"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Risk adjusted mortality (expressed as adjusted odds ratios)</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871489F"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AOR for surgery  0.59 (95% CI 0.4 – 0.8)</w:t>
            </w:r>
          </w:p>
        </w:tc>
      </w:tr>
      <w:tr w:rsidR="00CA0EF0" w:rsidRPr="00361E30" w14:paraId="522CC3DB" w14:textId="77777777" w:rsidTr="003C13F4">
        <w:trPr>
          <w:cantSplit/>
          <w:trHeight w:val="5460"/>
        </w:trPr>
        <w:tc>
          <w:tcPr>
            <w:tcW w:w="10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45385B5E" w14:textId="77777777" w:rsidR="00CA0EF0" w:rsidRPr="00361E30" w:rsidRDefault="00CA0EF0" w:rsidP="003C13F4">
            <w:pPr>
              <w:spacing w:after="0" w:line="0" w:lineRule="atLeast"/>
              <w:ind w:left="113" w:right="113"/>
              <w:rPr>
                <w:rFonts w:cstheme="minorHAnsi"/>
                <w:sz w:val="18"/>
                <w:szCs w:val="20"/>
              </w:rPr>
            </w:pPr>
            <w:r w:rsidRPr="00361E30">
              <w:rPr>
                <w:rFonts w:cstheme="minorHAnsi"/>
                <w:sz w:val="18"/>
                <w:szCs w:val="20"/>
              </w:rPr>
              <w:t>Scheetz et al</w:t>
            </w:r>
          </w:p>
          <w:p w14:paraId="1E15F147" w14:textId="77777777" w:rsidR="00CA0EF0" w:rsidRPr="00361E30" w:rsidRDefault="00CA0EF0" w:rsidP="003C13F4">
            <w:pPr>
              <w:autoSpaceDE w:val="0"/>
              <w:autoSpaceDN w:val="0"/>
              <w:adjustRightInd w:val="0"/>
              <w:spacing w:after="0" w:line="240" w:lineRule="auto"/>
              <w:ind w:left="113" w:right="113"/>
              <w:jc w:val="left"/>
              <w:rPr>
                <w:rFonts w:cstheme="minorHAnsi"/>
                <w:sz w:val="18"/>
                <w:szCs w:val="20"/>
              </w:rPr>
            </w:pPr>
            <w:r w:rsidRPr="00361E30">
              <w:rPr>
                <w:rFonts w:cstheme="minorHAnsi"/>
                <w:sz w:val="18"/>
                <w:szCs w:val="20"/>
              </w:rPr>
              <w:t>Comparison of type and severity of major injuries among</w:t>
            </w:r>
          </w:p>
          <w:p w14:paraId="4AD5F940" w14:textId="77777777" w:rsidR="00CA0EF0" w:rsidRPr="00361E30" w:rsidRDefault="00CA0EF0" w:rsidP="003C13F4">
            <w:pPr>
              <w:spacing w:after="0" w:line="0" w:lineRule="atLeast"/>
              <w:ind w:left="113" w:right="113"/>
              <w:rPr>
                <w:rFonts w:cstheme="minorHAnsi"/>
                <w:sz w:val="18"/>
                <w:szCs w:val="20"/>
              </w:rPr>
            </w:pPr>
            <w:r w:rsidRPr="00361E30">
              <w:rPr>
                <w:rFonts w:cstheme="minorHAnsi"/>
                <w:sz w:val="18"/>
                <w:szCs w:val="20"/>
              </w:rPr>
              <w:t>Undertriaged and correctly triaged older patients</w:t>
            </w:r>
          </w:p>
        </w:tc>
        <w:tc>
          <w:tcPr>
            <w:tcW w:w="72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DC7D888"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2012</w:t>
            </w:r>
          </w:p>
        </w:tc>
        <w:tc>
          <w:tcPr>
            <w:tcW w:w="360" w:type="dxa"/>
            <w:tcBorders>
              <w:top w:val="single" w:sz="6" w:space="0" w:color="000000"/>
              <w:left w:val="single" w:sz="6" w:space="0" w:color="000000"/>
              <w:bottom w:val="single" w:sz="6" w:space="0" w:color="000000"/>
              <w:right w:val="single" w:sz="6" w:space="0" w:color="000000"/>
            </w:tcBorders>
            <w:textDirection w:val="btLr"/>
          </w:tcPr>
          <w:p w14:paraId="46CA896F"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Pubmed</w:t>
            </w:r>
          </w:p>
        </w:tc>
        <w:tc>
          <w:tcPr>
            <w:tcW w:w="135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30751B8"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Secondary analysis of data from the National Automotive Sampling System Crashworthiness Data System</w:t>
            </w:r>
          </w:p>
        </w:tc>
        <w:tc>
          <w:tcPr>
            <w:tcW w:w="108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AD6FD5A"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To describe the injury types, injury severity, and short-term survival outcomes of under-triaged</w:t>
            </w:r>
          </w:p>
          <w:p w14:paraId="14C222B1"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older adults injured in motor vehicle collisions,  compared to a group of correctly triaged older adults.</w:t>
            </w:r>
          </w:p>
        </w:tc>
        <w:tc>
          <w:tcPr>
            <w:tcW w:w="12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6B98E3B"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All patients 65 and older with AIS scores of 3, 4 or 5 entered onto the database between 2004 and 2008, inclusive. (n=66445)</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7925489"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Cohorts consisted of patients  who were under-triaged (n=17403)  and those who were correctly triaged (n=49042).</w:t>
            </w:r>
          </w:p>
        </w:tc>
        <w:tc>
          <w:tcPr>
            <w:tcW w:w="108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3C1E336"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Crude mortality.</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036677B" w14:textId="77777777" w:rsidR="00CA0EF0" w:rsidRPr="00361E30" w:rsidRDefault="00CA0EF0" w:rsidP="003C13F4">
            <w:pPr>
              <w:spacing w:line="276" w:lineRule="auto"/>
              <w:jc w:val="left"/>
              <w:rPr>
                <w:rFonts w:eastAsia="Times New Roman" w:cstheme="minorHAnsi"/>
                <w:sz w:val="18"/>
                <w:szCs w:val="20"/>
              </w:rPr>
            </w:pPr>
            <w:r w:rsidRPr="00361E30">
              <w:rPr>
                <w:rFonts w:eastAsia="Times New Roman" w:cstheme="minorHAnsi"/>
                <w:sz w:val="18"/>
                <w:szCs w:val="20"/>
              </w:rPr>
              <w:t xml:space="preserve">Crude mortality rates for the entire cohort: 6.0% for under-triaged patients and 11.8% for correctly triaged patients; deaths within 2 hours of admission 2.3% vs 2.2%; deaths within 24 hours 3.3% vs 3.9%; deaths between 48 and 72 hours 1.1% vs 0.6%. </w:t>
            </w:r>
          </w:p>
        </w:tc>
      </w:tr>
    </w:tbl>
    <w:p w14:paraId="1A629129" w14:textId="77777777" w:rsidR="00CA0EF0" w:rsidRPr="00361E30" w:rsidRDefault="00CA0EF0" w:rsidP="003C13F4"/>
    <w:p w14:paraId="52679B40" w14:textId="77777777" w:rsidR="00CA0EF0" w:rsidRPr="00361E30" w:rsidRDefault="00CA0EF0">
      <w:pPr>
        <w:spacing w:line="276" w:lineRule="auto"/>
        <w:jc w:val="left"/>
      </w:pPr>
      <w:r w:rsidRPr="00361E30">
        <w:br w:type="page"/>
      </w:r>
    </w:p>
    <w:p w14:paraId="6BBBB96B" w14:textId="77777777" w:rsidR="00CA0EF0" w:rsidRPr="00361E30" w:rsidRDefault="00CA0EF0" w:rsidP="003C13F4">
      <w:pPr>
        <w:pStyle w:val="ChapterHeading"/>
      </w:pPr>
      <w:bookmarkStart w:id="455" w:name="_Toc1902380"/>
      <w:r w:rsidRPr="00361E30">
        <w:lastRenderedPageBreak/>
        <w:t>Appendix 3 – Systematic Review (Treatment Decisions)</w:t>
      </w:r>
      <w:bookmarkEnd w:id="455"/>
    </w:p>
    <w:tbl>
      <w:tblPr>
        <w:tblW w:w="9357" w:type="dxa"/>
        <w:tblInd w:w="-432" w:type="dxa"/>
        <w:tblLayout w:type="fixed"/>
        <w:tblCellMar>
          <w:top w:w="15" w:type="dxa"/>
          <w:left w:w="15" w:type="dxa"/>
          <w:bottom w:w="15" w:type="dxa"/>
          <w:right w:w="15" w:type="dxa"/>
        </w:tblCellMar>
        <w:tblLook w:val="04A0" w:firstRow="1" w:lastRow="0" w:firstColumn="1" w:lastColumn="0" w:noHBand="0" w:noVBand="1"/>
      </w:tblPr>
      <w:tblGrid>
        <w:gridCol w:w="915"/>
        <w:gridCol w:w="720"/>
        <w:gridCol w:w="450"/>
        <w:gridCol w:w="1350"/>
        <w:gridCol w:w="1170"/>
        <w:gridCol w:w="1242"/>
        <w:gridCol w:w="1260"/>
        <w:gridCol w:w="990"/>
        <w:gridCol w:w="1260"/>
      </w:tblGrid>
      <w:tr w:rsidR="00CA0EF0" w:rsidRPr="00361E30" w14:paraId="6059F1DF" w14:textId="77777777" w:rsidTr="003C13F4">
        <w:trPr>
          <w:cantSplit/>
          <w:trHeight w:val="1140"/>
        </w:trPr>
        <w:tc>
          <w:tcPr>
            <w:tcW w:w="9357" w:type="dxa"/>
            <w:gridSpan w:val="9"/>
            <w:tcBorders>
              <w:top w:val="single" w:sz="6" w:space="0" w:color="000000"/>
              <w:left w:val="single" w:sz="6" w:space="0" w:color="000000"/>
              <w:bottom w:val="single" w:sz="6" w:space="0" w:color="000000"/>
              <w:right w:val="single" w:sz="6" w:space="0" w:color="000000"/>
            </w:tcBorders>
            <w:vAlign w:val="center"/>
          </w:tcPr>
          <w:p w14:paraId="1BC52F8A" w14:textId="77777777" w:rsidR="00CA0EF0" w:rsidRPr="00361E30" w:rsidRDefault="00CA0EF0" w:rsidP="003C13F4">
            <w:pPr>
              <w:spacing w:line="276" w:lineRule="auto"/>
              <w:jc w:val="center"/>
              <w:rPr>
                <w:rFonts w:eastAsia="Times New Roman" w:cstheme="minorHAnsi"/>
                <w:b/>
                <w:sz w:val="18"/>
                <w:szCs w:val="20"/>
              </w:rPr>
            </w:pPr>
            <w:r w:rsidRPr="00361E30">
              <w:rPr>
                <w:rFonts w:cstheme="minorHAnsi"/>
                <w:b/>
                <w:sz w:val="18"/>
                <w:szCs w:val="20"/>
              </w:rPr>
              <w:t>Major Trauma in Older People – A Systematic Review of Treatment Decisions for Older Trauma Patients</w:t>
            </w:r>
            <w:r w:rsidRPr="00361E30">
              <w:rPr>
                <w:rFonts w:eastAsia="Times New Roman" w:cstheme="minorHAnsi"/>
                <w:b/>
                <w:sz w:val="18"/>
                <w:szCs w:val="20"/>
              </w:rPr>
              <w:t xml:space="preserve"> </w:t>
            </w:r>
          </w:p>
          <w:p w14:paraId="76BD89BC" w14:textId="77777777" w:rsidR="00CA0EF0" w:rsidRPr="00361E30" w:rsidRDefault="00CA0EF0" w:rsidP="003C13F4">
            <w:pPr>
              <w:spacing w:after="0" w:line="0" w:lineRule="atLeast"/>
              <w:jc w:val="center"/>
              <w:rPr>
                <w:rFonts w:eastAsia="Times New Roman" w:cstheme="minorHAnsi"/>
                <w:b/>
                <w:bCs/>
                <w:sz w:val="18"/>
                <w:szCs w:val="20"/>
              </w:rPr>
            </w:pPr>
            <w:r w:rsidRPr="00361E30">
              <w:rPr>
                <w:rFonts w:eastAsia="Times New Roman" w:cstheme="minorHAnsi"/>
                <w:b/>
                <w:sz w:val="18"/>
                <w:szCs w:val="20"/>
              </w:rPr>
              <w:t>Studies investigating differences in treatment decisions between older and younger trauma patients</w:t>
            </w:r>
          </w:p>
        </w:tc>
      </w:tr>
      <w:tr w:rsidR="00CA0EF0" w:rsidRPr="00361E30" w14:paraId="5FF4A648" w14:textId="77777777" w:rsidTr="003C13F4">
        <w:trPr>
          <w:cantSplit/>
          <w:trHeight w:val="1623"/>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hideMark/>
          </w:tcPr>
          <w:p w14:paraId="75A0EC86"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b/>
                <w:bCs/>
                <w:sz w:val="18"/>
                <w:szCs w:val="20"/>
              </w:rPr>
              <w:t>Paper</w:t>
            </w:r>
          </w:p>
        </w:tc>
        <w:tc>
          <w:tcPr>
            <w:tcW w:w="72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hideMark/>
          </w:tcPr>
          <w:p w14:paraId="399EBBD4"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b/>
                <w:bCs/>
                <w:sz w:val="18"/>
                <w:szCs w:val="20"/>
              </w:rPr>
              <w:t>Year of Publication</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19988444" w14:textId="77777777" w:rsidR="00CA0EF0" w:rsidRPr="00361E30" w:rsidRDefault="00CA0EF0" w:rsidP="003C13F4">
            <w:pPr>
              <w:spacing w:after="0" w:line="0" w:lineRule="atLeast"/>
              <w:ind w:left="113" w:right="113"/>
              <w:rPr>
                <w:rFonts w:eastAsia="Times New Roman" w:cstheme="minorHAnsi"/>
                <w:b/>
                <w:bCs/>
                <w:sz w:val="18"/>
                <w:szCs w:val="20"/>
              </w:rPr>
            </w:pPr>
            <w:r w:rsidRPr="00361E30">
              <w:rPr>
                <w:rFonts w:eastAsia="Times New Roman" w:cstheme="minorHAnsi"/>
                <w:b/>
                <w:bCs/>
                <w:sz w:val="18"/>
                <w:szCs w:val="20"/>
              </w:rPr>
              <w:t xml:space="preserve">Database </w:t>
            </w:r>
          </w:p>
        </w:tc>
        <w:tc>
          <w:tcPr>
            <w:tcW w:w="135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B16ECCA"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b/>
                <w:bCs/>
                <w:sz w:val="18"/>
                <w:szCs w:val="20"/>
              </w:rPr>
              <w:t>Type of study</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986AAD2"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b/>
                <w:bCs/>
                <w:sz w:val="18"/>
                <w:szCs w:val="20"/>
              </w:rPr>
              <w:t>Main Aim of Study</w:t>
            </w:r>
          </w:p>
        </w:tc>
        <w:tc>
          <w:tcPr>
            <w:tcW w:w="12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E53FEED" w14:textId="77777777" w:rsidR="00CA0EF0" w:rsidRPr="00361E30" w:rsidRDefault="00CA0EF0" w:rsidP="003C13F4">
            <w:pPr>
              <w:spacing w:after="0" w:line="0" w:lineRule="atLeast"/>
              <w:rPr>
                <w:rFonts w:eastAsia="Times New Roman" w:cstheme="minorHAnsi"/>
                <w:b/>
                <w:bCs/>
                <w:sz w:val="18"/>
                <w:szCs w:val="20"/>
              </w:rPr>
            </w:pPr>
            <w:r w:rsidRPr="00361E30">
              <w:rPr>
                <w:rFonts w:eastAsia="Times New Roman" w:cstheme="minorHAnsi"/>
                <w:b/>
                <w:bCs/>
                <w:sz w:val="18"/>
                <w:szCs w:val="20"/>
              </w:rPr>
              <w:t>Patient Group</w:t>
            </w:r>
          </w:p>
          <w:p w14:paraId="47678C42"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b/>
                <w:bCs/>
                <w:sz w:val="18"/>
                <w:szCs w:val="20"/>
              </w:rPr>
              <w:t>(including sample size[n])</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A7CA8B9" w14:textId="77777777" w:rsidR="00CA0EF0" w:rsidRPr="00361E30" w:rsidRDefault="00CA0EF0" w:rsidP="003C13F4">
            <w:pPr>
              <w:spacing w:after="0" w:line="0" w:lineRule="atLeast"/>
              <w:rPr>
                <w:rFonts w:eastAsia="Times New Roman" w:cstheme="minorHAnsi"/>
                <w:b/>
                <w:bCs/>
                <w:sz w:val="18"/>
                <w:szCs w:val="20"/>
              </w:rPr>
            </w:pPr>
            <w:r w:rsidRPr="00361E30">
              <w:rPr>
                <w:rFonts w:eastAsia="Times New Roman" w:cstheme="minorHAnsi"/>
                <w:b/>
                <w:bCs/>
                <w:sz w:val="18"/>
                <w:szCs w:val="20"/>
              </w:rPr>
              <w:t>Comparator</w:t>
            </w:r>
          </w:p>
          <w:p w14:paraId="4B61BEDD"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b/>
                <w:bCs/>
                <w:sz w:val="18"/>
                <w:szCs w:val="20"/>
              </w:rPr>
              <w:t>(including sample size[n])</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FE3EF36"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b/>
                <w:bCs/>
                <w:sz w:val="18"/>
                <w:szCs w:val="20"/>
              </w:rPr>
              <w:t>Main Outcome Measure</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65CDD08" w14:textId="77777777" w:rsidR="00CA0EF0" w:rsidRPr="00361E30" w:rsidRDefault="00CA0EF0" w:rsidP="003C13F4">
            <w:pPr>
              <w:spacing w:after="0" w:line="0" w:lineRule="atLeast"/>
              <w:rPr>
                <w:rFonts w:eastAsia="Times New Roman" w:cstheme="minorHAnsi"/>
                <w:b/>
                <w:bCs/>
                <w:sz w:val="18"/>
                <w:szCs w:val="20"/>
              </w:rPr>
            </w:pPr>
            <w:r w:rsidRPr="00361E30">
              <w:rPr>
                <w:rFonts w:eastAsia="Times New Roman" w:cstheme="minorHAnsi"/>
                <w:b/>
                <w:bCs/>
                <w:sz w:val="18"/>
                <w:szCs w:val="20"/>
              </w:rPr>
              <w:t>Main Findings</w:t>
            </w:r>
          </w:p>
          <w:p w14:paraId="139863D6" w14:textId="77777777" w:rsidR="00CA0EF0" w:rsidRPr="00361E30" w:rsidRDefault="00CA0EF0" w:rsidP="003C13F4">
            <w:pPr>
              <w:spacing w:after="0" w:line="0" w:lineRule="atLeast"/>
              <w:rPr>
                <w:rFonts w:eastAsia="Times New Roman" w:cstheme="minorHAnsi"/>
                <w:b/>
                <w:bCs/>
                <w:sz w:val="18"/>
                <w:szCs w:val="20"/>
              </w:rPr>
            </w:pPr>
            <w:r w:rsidRPr="00361E30">
              <w:rPr>
                <w:rFonts w:eastAsia="Times New Roman" w:cstheme="minorHAnsi"/>
                <w:b/>
                <w:bCs/>
                <w:sz w:val="18"/>
                <w:szCs w:val="20"/>
              </w:rPr>
              <w:t>(95% CI)</w:t>
            </w:r>
          </w:p>
          <w:p w14:paraId="583AB9BF" w14:textId="77777777" w:rsidR="00CA0EF0" w:rsidRPr="00361E30" w:rsidRDefault="00CA0EF0" w:rsidP="003C13F4">
            <w:pPr>
              <w:spacing w:after="0" w:line="0" w:lineRule="atLeast"/>
              <w:rPr>
                <w:rFonts w:eastAsia="Times New Roman" w:cstheme="minorHAnsi"/>
                <w:sz w:val="18"/>
                <w:szCs w:val="20"/>
              </w:rPr>
            </w:pPr>
          </w:p>
        </w:tc>
      </w:tr>
      <w:tr w:rsidR="00CA0EF0" w:rsidRPr="00361E30" w14:paraId="0878841B" w14:textId="77777777" w:rsidTr="003C13F4">
        <w:trPr>
          <w:cantSplit/>
          <w:trHeight w:val="4315"/>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479C0673"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Grant et al</w:t>
            </w:r>
          </w:p>
          <w:p w14:paraId="47B05201" w14:textId="77777777" w:rsidR="00CA0EF0" w:rsidRPr="00361E30" w:rsidRDefault="00CA0EF0" w:rsidP="003C13F4">
            <w:pPr>
              <w:autoSpaceDE w:val="0"/>
              <w:autoSpaceDN w:val="0"/>
              <w:adjustRightInd w:val="0"/>
              <w:spacing w:after="0" w:line="240" w:lineRule="auto"/>
              <w:ind w:left="113" w:right="113"/>
              <w:jc w:val="left"/>
              <w:rPr>
                <w:rFonts w:eastAsia="Times New Roman" w:cstheme="minorHAnsi"/>
                <w:sz w:val="18"/>
                <w:szCs w:val="20"/>
              </w:rPr>
            </w:pPr>
            <w:r w:rsidRPr="00361E30">
              <w:rPr>
                <w:rFonts w:cstheme="minorHAnsi"/>
                <w:sz w:val="18"/>
                <w:szCs w:val="20"/>
              </w:rPr>
              <w:t>The management of elderly blunt trauma victims in Scotland: evidence of ageism?</w:t>
            </w:r>
          </w:p>
        </w:tc>
        <w:tc>
          <w:tcPr>
            <w:tcW w:w="72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246BD3D"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2000</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7ED6B4EF"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Pubmed</w:t>
            </w:r>
          </w:p>
        </w:tc>
        <w:tc>
          <w:tcPr>
            <w:tcW w:w="135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DE8249F"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Retrospective observational study</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DD19B8A"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To determine whether age had an independent effect in key steps within the process of trauma care.</w:t>
            </w:r>
          </w:p>
        </w:tc>
        <w:tc>
          <w:tcPr>
            <w:tcW w:w="12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D48C451"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All patients entered onto the Scottish Trauma Audit Group database between July 1996 and June 1998, inclusive. (n=11545)</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BA02055"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Patients aged ≥65 years old (n=3393) were compared to those aged &lt;65 years (n=8152)</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9052C9B"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 xml:space="preserve">Odds ratios for receiving specific interventions </w:t>
            </w:r>
            <w:r w:rsidRPr="00361E30">
              <w:rPr>
                <w:rFonts w:eastAsia="Times New Roman" w:cstheme="minorHAnsi"/>
                <w:sz w:val="18"/>
                <w:szCs w:val="20"/>
                <w:u w:val="single"/>
              </w:rPr>
              <w:t>(comparing a 70 year old patient with a patient aged 30 years old)</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68CF3FA"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eastAsia="Times New Roman" w:cstheme="minorHAnsi"/>
                <w:sz w:val="18"/>
                <w:szCs w:val="20"/>
              </w:rPr>
              <w:t xml:space="preserve">Odds of referral to  neurosurgical centre if significant head trauma but not in coma - </w:t>
            </w:r>
            <w:r w:rsidRPr="00361E30">
              <w:rPr>
                <w:rFonts w:cstheme="minorHAnsi"/>
                <w:sz w:val="18"/>
                <w:szCs w:val="20"/>
              </w:rPr>
              <w:t>0.5252 (95%CI: 0.3633-0.7592); odds of admission to ICU if ISS &gt;15 - 0.7438 (95% CI 0.5787 - 0.9559).</w:t>
            </w:r>
            <w:r w:rsidRPr="00361E30">
              <w:rPr>
                <w:rFonts w:eastAsia="Times New Roman" w:cstheme="minorHAnsi"/>
                <w:sz w:val="18"/>
                <w:szCs w:val="20"/>
              </w:rPr>
              <w:t xml:space="preserve"> </w:t>
            </w:r>
          </w:p>
        </w:tc>
      </w:tr>
      <w:tr w:rsidR="00CA0EF0" w:rsidRPr="00361E30" w14:paraId="187D573B" w14:textId="77777777" w:rsidTr="003C13F4">
        <w:trPr>
          <w:cantSplit/>
          <w:trHeight w:val="1134"/>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1270C1D3" w14:textId="77777777" w:rsidR="00CA0EF0" w:rsidRPr="00361E30" w:rsidRDefault="00CA0EF0" w:rsidP="003C13F4">
            <w:pPr>
              <w:spacing w:after="0" w:line="0" w:lineRule="atLeast"/>
              <w:ind w:left="113" w:right="113"/>
              <w:rPr>
                <w:rFonts w:cstheme="minorHAnsi"/>
                <w:sz w:val="18"/>
                <w:szCs w:val="20"/>
              </w:rPr>
            </w:pPr>
            <w:r w:rsidRPr="00361E30">
              <w:rPr>
                <w:rFonts w:cstheme="minorHAnsi"/>
                <w:sz w:val="18"/>
                <w:szCs w:val="20"/>
              </w:rPr>
              <w:t>Lukin et al</w:t>
            </w:r>
          </w:p>
          <w:p w14:paraId="0AC8701B" w14:textId="77777777" w:rsidR="00CA0EF0" w:rsidRPr="00361E30" w:rsidRDefault="00CA0EF0" w:rsidP="003C13F4">
            <w:pPr>
              <w:spacing w:after="0" w:line="0" w:lineRule="atLeast"/>
              <w:ind w:left="113" w:right="113"/>
              <w:rPr>
                <w:rFonts w:cstheme="minorHAnsi"/>
                <w:sz w:val="18"/>
                <w:szCs w:val="20"/>
              </w:rPr>
            </w:pPr>
            <w:r w:rsidRPr="00361E30">
              <w:rPr>
                <w:rFonts w:cstheme="minorHAnsi"/>
                <w:sz w:val="18"/>
                <w:szCs w:val="20"/>
              </w:rPr>
              <w:t>Triaging older major trauma patients in the</w:t>
            </w:r>
          </w:p>
          <w:p w14:paraId="468174FB" w14:textId="77777777" w:rsidR="00CA0EF0" w:rsidRPr="00361E30" w:rsidRDefault="00CA0EF0" w:rsidP="003C13F4">
            <w:pPr>
              <w:spacing w:after="0" w:line="0" w:lineRule="atLeast"/>
              <w:ind w:left="113" w:right="113"/>
              <w:rPr>
                <w:rFonts w:cstheme="minorHAnsi"/>
                <w:sz w:val="18"/>
                <w:szCs w:val="20"/>
              </w:rPr>
            </w:pPr>
            <w:r w:rsidRPr="00361E30">
              <w:rPr>
                <w:rFonts w:cstheme="minorHAnsi"/>
                <w:sz w:val="18"/>
                <w:szCs w:val="20"/>
              </w:rPr>
              <w:t>emergency department: an observational study</w:t>
            </w:r>
          </w:p>
        </w:tc>
        <w:tc>
          <w:tcPr>
            <w:tcW w:w="72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F718B5C"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2017</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71FC41E1"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Pubmed; CINAHL</w:t>
            </w:r>
          </w:p>
        </w:tc>
        <w:tc>
          <w:tcPr>
            <w:tcW w:w="135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5783F82"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Multicentre observational study</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1295849" w14:textId="77777777" w:rsidR="00CA0EF0" w:rsidRPr="00361E30" w:rsidRDefault="00CA0EF0" w:rsidP="003C13F4">
            <w:pPr>
              <w:spacing w:after="0" w:line="0" w:lineRule="atLeast"/>
              <w:rPr>
                <w:rFonts w:cstheme="minorHAnsi"/>
                <w:sz w:val="18"/>
                <w:szCs w:val="20"/>
              </w:rPr>
            </w:pPr>
            <w:r w:rsidRPr="00361E30">
              <w:rPr>
                <w:rFonts w:cstheme="minorHAnsi"/>
                <w:sz w:val="18"/>
                <w:szCs w:val="20"/>
              </w:rPr>
              <w:t>To determine whether there are differences in triage outcomes for older and younger major trauma patients presenting to Emergency Departments in Australia</w:t>
            </w:r>
          </w:p>
        </w:tc>
        <w:tc>
          <w:tcPr>
            <w:tcW w:w="12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A2CBE50"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All patients aged ≥15 years registered on the Queensland Trauma Registry between 1</w:t>
            </w:r>
            <w:r w:rsidRPr="00361E30">
              <w:rPr>
                <w:rFonts w:eastAsia="Times New Roman" w:cstheme="minorHAnsi"/>
                <w:sz w:val="18"/>
                <w:szCs w:val="20"/>
                <w:vertAlign w:val="superscript"/>
              </w:rPr>
              <w:t>st</w:t>
            </w:r>
            <w:r w:rsidRPr="00361E30">
              <w:rPr>
                <w:rFonts w:eastAsia="Times New Roman" w:cstheme="minorHAnsi"/>
                <w:sz w:val="18"/>
                <w:szCs w:val="20"/>
              </w:rPr>
              <w:t xml:space="preserve"> Jan 2005 and 31</w:t>
            </w:r>
            <w:r w:rsidRPr="00361E30">
              <w:rPr>
                <w:rFonts w:eastAsia="Times New Roman" w:cstheme="minorHAnsi"/>
                <w:sz w:val="18"/>
                <w:szCs w:val="20"/>
                <w:vertAlign w:val="superscript"/>
              </w:rPr>
              <w:t>st</w:t>
            </w:r>
            <w:r w:rsidRPr="00361E30">
              <w:rPr>
                <w:rFonts w:eastAsia="Times New Roman" w:cstheme="minorHAnsi"/>
                <w:sz w:val="18"/>
                <w:szCs w:val="20"/>
              </w:rPr>
              <w:t xml:space="preserve"> Dec 2009. All patients had an ISS of &gt;15 </w:t>
            </w:r>
          </w:p>
          <w:p w14:paraId="318DDC14"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(n=6923)</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A40BD04"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Patients were compared in age cohorts: 15 – 34 years (2654); 35 – 54 years (1884); 55 – 74 years (1373); ≥75 years (1012)</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09FFC73"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Adjusted odds of being triaged to the highest acuity ATS categories (ATS categories 1 and 2), adjusting for ISS, RTS, injury characteristics and acute care factors</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4A491E1"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The adjusted odds of being triaged to ATS categories 1 and 2 were 0.68 (95% CI 0.57 to 0.81) for patients aged 55 to 74 years old and 0.46 (95% CI 0.37 to 0.56) for those aged ≥75 years (using the age group 15 – 34 years as a reference)</w:t>
            </w:r>
          </w:p>
        </w:tc>
      </w:tr>
      <w:tr w:rsidR="00CA0EF0" w:rsidRPr="00361E30" w14:paraId="468DF616" w14:textId="77777777" w:rsidTr="003C13F4">
        <w:trPr>
          <w:cantSplit/>
          <w:trHeight w:val="5280"/>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1B883AE4" w14:textId="77777777" w:rsidR="00CA0EF0" w:rsidRPr="00361E30" w:rsidRDefault="00CA0EF0" w:rsidP="003C13F4">
            <w:pPr>
              <w:spacing w:after="0" w:line="0" w:lineRule="atLeast"/>
              <w:ind w:left="113" w:right="113"/>
              <w:rPr>
                <w:rFonts w:cstheme="minorHAnsi"/>
                <w:sz w:val="18"/>
                <w:szCs w:val="20"/>
              </w:rPr>
            </w:pPr>
            <w:r w:rsidRPr="00361E30">
              <w:rPr>
                <w:rFonts w:cstheme="minorHAnsi"/>
                <w:sz w:val="18"/>
                <w:szCs w:val="20"/>
              </w:rPr>
              <w:lastRenderedPageBreak/>
              <w:t>Moore et al</w:t>
            </w:r>
          </w:p>
          <w:p w14:paraId="5448091B"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cstheme="minorHAnsi"/>
                <w:sz w:val="18"/>
                <w:szCs w:val="20"/>
              </w:rPr>
              <w:t>Trauma centre outcome performance: A comparison of young adults and geriatric patients in an inclusive trauma system</w:t>
            </w:r>
          </w:p>
        </w:tc>
        <w:tc>
          <w:tcPr>
            <w:tcW w:w="72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A922733"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2012</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03F6B9EE"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Pubmed</w:t>
            </w:r>
          </w:p>
        </w:tc>
        <w:tc>
          <w:tcPr>
            <w:tcW w:w="135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B47903E"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Retrospective observational study</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3755783" w14:textId="77777777" w:rsidR="00CA0EF0" w:rsidRPr="00361E30" w:rsidRDefault="00CA0EF0" w:rsidP="003C13F4">
            <w:pPr>
              <w:spacing w:after="0" w:line="0" w:lineRule="atLeast"/>
              <w:rPr>
                <w:rFonts w:eastAsia="Times New Roman" w:cstheme="minorHAnsi"/>
                <w:sz w:val="18"/>
                <w:szCs w:val="20"/>
              </w:rPr>
            </w:pPr>
            <w:r w:rsidRPr="00361E30">
              <w:rPr>
                <w:rFonts w:cstheme="minorHAnsi"/>
                <w:sz w:val="18"/>
                <w:szCs w:val="20"/>
              </w:rPr>
              <w:t>To evaluate whether trauma centres with lower/higher than expected mortality amongst patients &lt;65 years of age have similar results for geriatric patients.</w:t>
            </w:r>
          </w:p>
        </w:tc>
        <w:tc>
          <w:tcPr>
            <w:tcW w:w="12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7AB373F"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All patients aged ≥65 years old entered on the Quebec Trauma Registry (n=30960) between 1999 and 2006.</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E73530F"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All patients aged &lt;65 years old entered on the Quebec Trauma Registry (n=55283) between 1999 and 2006.</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9466B4C"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Percentage of patient seen in a Level I or II trauma centre</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D8F1E66"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Significantly less older patients received definitive care in a Level I or II trauma centre compared to the younger cohort (71% vs 81%, p = 0.001). This was due to less referrals from Level II and IV hospitals.</w:t>
            </w:r>
          </w:p>
        </w:tc>
      </w:tr>
      <w:tr w:rsidR="00CA0EF0" w:rsidRPr="00361E30" w14:paraId="19C207FA" w14:textId="77777777" w:rsidTr="003C13F4">
        <w:trPr>
          <w:cantSplit/>
          <w:trHeight w:val="1134"/>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4F268B53"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Nakamura et al</w:t>
            </w:r>
          </w:p>
          <w:p w14:paraId="14BBC71F"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cstheme="minorHAnsi"/>
                <w:sz w:val="18"/>
                <w:szCs w:val="20"/>
              </w:rPr>
              <w:t>Evaluating Age in the Field Triage of Injured Persons</w:t>
            </w:r>
          </w:p>
        </w:tc>
        <w:tc>
          <w:tcPr>
            <w:tcW w:w="72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2D2AD2F"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2012</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674A8B09"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Pubmed</w:t>
            </w:r>
          </w:p>
        </w:tc>
        <w:tc>
          <w:tcPr>
            <w:tcW w:w="135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1C4C37F"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Retrospective observational study</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48CA6D7" w14:textId="77777777" w:rsidR="00CA0EF0" w:rsidRPr="00361E30" w:rsidRDefault="00CA0EF0" w:rsidP="003C13F4">
            <w:pPr>
              <w:autoSpaceDE w:val="0"/>
              <w:autoSpaceDN w:val="0"/>
              <w:adjustRightInd w:val="0"/>
              <w:spacing w:after="0" w:line="240" w:lineRule="auto"/>
              <w:jc w:val="left"/>
              <w:rPr>
                <w:rFonts w:eastAsia="Times New Roman" w:cstheme="minorHAnsi"/>
                <w:sz w:val="18"/>
                <w:szCs w:val="20"/>
              </w:rPr>
            </w:pPr>
            <w:r w:rsidRPr="00361E30">
              <w:rPr>
                <w:rFonts w:cstheme="minorHAnsi"/>
                <w:sz w:val="18"/>
                <w:szCs w:val="20"/>
              </w:rPr>
              <w:t>To evaluate trauma under-triage by age group, the association between age and serious injury after accounting for other field triage criteria and confounders, and the potential effect of a mandatory age triage criterion for field triage.</w:t>
            </w:r>
          </w:p>
        </w:tc>
        <w:tc>
          <w:tcPr>
            <w:tcW w:w="12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2E97FCB"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All injured patients (children and</w:t>
            </w:r>
          </w:p>
          <w:p w14:paraId="52D8419F"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adults) for whom the 911 EMS system was activated and there</w:t>
            </w:r>
          </w:p>
          <w:p w14:paraId="4D5A576A" w14:textId="77777777" w:rsidR="00CA0EF0" w:rsidRPr="00361E30" w:rsidRDefault="00CA0EF0" w:rsidP="003C13F4">
            <w:pPr>
              <w:autoSpaceDE w:val="0"/>
              <w:autoSpaceDN w:val="0"/>
              <w:adjustRightInd w:val="0"/>
              <w:spacing w:after="0" w:line="240" w:lineRule="auto"/>
              <w:jc w:val="left"/>
              <w:rPr>
                <w:rFonts w:eastAsia="Times New Roman" w:cstheme="minorHAnsi"/>
                <w:sz w:val="18"/>
                <w:szCs w:val="20"/>
              </w:rPr>
            </w:pPr>
            <w:r w:rsidRPr="00361E30">
              <w:rPr>
                <w:rFonts w:cstheme="minorHAnsi"/>
                <w:sz w:val="18"/>
                <w:szCs w:val="20"/>
              </w:rPr>
              <w:t>was transport to an acute care hospital (trauma and non-trauma centers) within the 6 predefined geographic regions (n=260027).</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DD86882"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 xml:space="preserve">Patients subdivided by age into deciles. </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22E0564"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eastAsia="Times New Roman" w:cstheme="minorHAnsi"/>
                <w:sz w:val="18"/>
                <w:szCs w:val="20"/>
              </w:rPr>
              <w:t xml:space="preserve">Percentage of patients under-triaged, as defined by </w:t>
            </w:r>
            <w:r w:rsidRPr="00361E30">
              <w:rPr>
                <w:rFonts w:cstheme="minorHAnsi"/>
                <w:sz w:val="18"/>
                <w:szCs w:val="20"/>
              </w:rPr>
              <w:t>(1) patients</w:t>
            </w:r>
          </w:p>
          <w:p w14:paraId="0A918FB8"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with ISS ≥ 16 and not meeting any field triage criteria regardless of destination hospital; or (2) patients with ISS ≥16 and initial transport to a non–Level I or II</w:t>
            </w:r>
          </w:p>
          <w:p w14:paraId="0D4336C6" w14:textId="77777777" w:rsidR="00CA0EF0" w:rsidRPr="00361E30" w:rsidRDefault="00CA0EF0" w:rsidP="003C13F4">
            <w:pPr>
              <w:autoSpaceDE w:val="0"/>
              <w:autoSpaceDN w:val="0"/>
              <w:adjustRightInd w:val="0"/>
              <w:spacing w:after="0" w:line="240" w:lineRule="auto"/>
              <w:jc w:val="left"/>
              <w:rPr>
                <w:rFonts w:eastAsia="Times New Roman" w:cstheme="minorHAnsi"/>
                <w:sz w:val="18"/>
                <w:szCs w:val="20"/>
              </w:rPr>
            </w:pPr>
            <w:r w:rsidRPr="00361E30">
              <w:rPr>
                <w:rFonts w:cstheme="minorHAnsi"/>
                <w:sz w:val="18"/>
                <w:szCs w:val="20"/>
              </w:rPr>
              <w:t>hospital regardless of triage criteria.</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69914DB"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Percentage of under-triaged patients increased from age 60 onwards; in patients aged 90 years plus, it was 60%.</w:t>
            </w:r>
          </w:p>
        </w:tc>
      </w:tr>
      <w:tr w:rsidR="00CA0EF0" w:rsidRPr="00361E30" w14:paraId="228ECBB3" w14:textId="77777777" w:rsidTr="003C13F4">
        <w:trPr>
          <w:cantSplit/>
          <w:trHeight w:val="1134"/>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43B8C34F"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lastRenderedPageBreak/>
              <w:t>Scheetz et al</w:t>
            </w:r>
          </w:p>
          <w:p w14:paraId="22297E19" w14:textId="77777777" w:rsidR="00CA0EF0" w:rsidRPr="00361E30" w:rsidRDefault="00CA0EF0" w:rsidP="003C13F4">
            <w:pPr>
              <w:autoSpaceDE w:val="0"/>
              <w:autoSpaceDN w:val="0"/>
              <w:adjustRightInd w:val="0"/>
              <w:spacing w:after="0" w:line="240" w:lineRule="auto"/>
              <w:ind w:left="113" w:right="113"/>
              <w:jc w:val="left"/>
              <w:rPr>
                <w:rFonts w:cstheme="minorHAnsi"/>
                <w:color w:val="292526"/>
                <w:sz w:val="18"/>
                <w:szCs w:val="20"/>
              </w:rPr>
            </w:pPr>
            <w:r w:rsidRPr="00361E30">
              <w:rPr>
                <w:rFonts w:cstheme="minorHAnsi"/>
                <w:color w:val="292526"/>
                <w:sz w:val="18"/>
                <w:szCs w:val="20"/>
              </w:rPr>
              <w:t>Effectiveness of Prehospital Trauma Triage</w:t>
            </w:r>
          </w:p>
          <w:p w14:paraId="2CD75B1A" w14:textId="77777777" w:rsidR="00CA0EF0" w:rsidRPr="00361E30" w:rsidRDefault="00CA0EF0" w:rsidP="003C13F4">
            <w:pPr>
              <w:autoSpaceDE w:val="0"/>
              <w:autoSpaceDN w:val="0"/>
              <w:adjustRightInd w:val="0"/>
              <w:spacing w:after="0" w:line="240" w:lineRule="auto"/>
              <w:ind w:left="113" w:right="113"/>
              <w:jc w:val="left"/>
              <w:rPr>
                <w:rFonts w:cstheme="minorHAnsi"/>
                <w:color w:val="292526"/>
                <w:sz w:val="18"/>
                <w:szCs w:val="20"/>
              </w:rPr>
            </w:pPr>
            <w:r w:rsidRPr="00361E30">
              <w:rPr>
                <w:rFonts w:cstheme="minorHAnsi"/>
                <w:color w:val="292526"/>
                <w:sz w:val="18"/>
                <w:szCs w:val="20"/>
              </w:rPr>
              <w:t>Guidelines for the Identification of Major Trauma in</w:t>
            </w:r>
          </w:p>
          <w:p w14:paraId="5CCEBC00"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cstheme="minorHAnsi"/>
                <w:color w:val="292526"/>
                <w:sz w:val="18"/>
                <w:szCs w:val="20"/>
              </w:rPr>
              <w:t>Elderly Motor Vehicle Crash Victims</w:t>
            </w:r>
          </w:p>
        </w:tc>
        <w:tc>
          <w:tcPr>
            <w:tcW w:w="72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20F37C0"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2003</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1CDA7BDF"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CINHAL</w:t>
            </w:r>
          </w:p>
        </w:tc>
        <w:tc>
          <w:tcPr>
            <w:tcW w:w="135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4CED98F"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Retrospective observational study</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E7CE844" w14:textId="77777777" w:rsidR="00CA0EF0" w:rsidRPr="00361E30" w:rsidRDefault="00CA0EF0" w:rsidP="003C13F4">
            <w:pPr>
              <w:autoSpaceDE w:val="0"/>
              <w:autoSpaceDN w:val="0"/>
              <w:adjustRightInd w:val="0"/>
              <w:spacing w:after="0" w:line="240" w:lineRule="auto"/>
              <w:jc w:val="left"/>
              <w:rPr>
                <w:rFonts w:cstheme="minorHAnsi"/>
                <w:color w:val="292526"/>
                <w:sz w:val="18"/>
                <w:szCs w:val="20"/>
              </w:rPr>
            </w:pPr>
            <w:r w:rsidRPr="00361E30">
              <w:rPr>
                <w:rFonts w:eastAsia="Times New Roman" w:cstheme="minorHAnsi"/>
                <w:sz w:val="18"/>
                <w:szCs w:val="20"/>
              </w:rPr>
              <w:t xml:space="preserve">To examine </w:t>
            </w:r>
            <w:r w:rsidRPr="00361E30">
              <w:rPr>
                <w:rFonts w:cstheme="minorHAnsi"/>
                <w:color w:val="292526"/>
                <w:sz w:val="18"/>
                <w:szCs w:val="20"/>
              </w:rPr>
              <w:t>the sensitivity and specificity of one state’s prehospital</w:t>
            </w:r>
          </w:p>
          <w:p w14:paraId="68E73DB6" w14:textId="77777777" w:rsidR="00CA0EF0" w:rsidRPr="00361E30" w:rsidRDefault="00CA0EF0" w:rsidP="003C13F4">
            <w:pPr>
              <w:autoSpaceDE w:val="0"/>
              <w:autoSpaceDN w:val="0"/>
              <w:adjustRightInd w:val="0"/>
              <w:spacing w:after="0" w:line="240" w:lineRule="auto"/>
              <w:jc w:val="left"/>
              <w:rPr>
                <w:rFonts w:eastAsia="Times New Roman" w:cstheme="minorHAnsi"/>
                <w:sz w:val="18"/>
                <w:szCs w:val="20"/>
              </w:rPr>
            </w:pPr>
            <w:r w:rsidRPr="00361E30">
              <w:rPr>
                <w:rFonts w:cstheme="minorHAnsi"/>
                <w:color w:val="292526"/>
                <w:sz w:val="18"/>
                <w:szCs w:val="20"/>
              </w:rPr>
              <w:t>trauma triage guidelines for adults, with a particular focus on the triage of elderly persons.</w:t>
            </w:r>
          </w:p>
        </w:tc>
        <w:tc>
          <w:tcPr>
            <w:tcW w:w="12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A375420" w14:textId="77777777" w:rsidR="00CA0EF0" w:rsidRPr="00361E30" w:rsidRDefault="00CA0EF0" w:rsidP="003C13F4">
            <w:pPr>
              <w:autoSpaceDE w:val="0"/>
              <w:autoSpaceDN w:val="0"/>
              <w:adjustRightInd w:val="0"/>
              <w:spacing w:after="0" w:line="240" w:lineRule="auto"/>
              <w:jc w:val="left"/>
              <w:rPr>
                <w:rFonts w:eastAsia="Times New Roman" w:cstheme="minorHAnsi"/>
                <w:sz w:val="18"/>
                <w:szCs w:val="20"/>
              </w:rPr>
            </w:pPr>
            <w:r w:rsidRPr="00361E30">
              <w:rPr>
                <w:rFonts w:cstheme="minorHAnsi"/>
                <w:color w:val="292526"/>
                <w:sz w:val="18"/>
                <w:szCs w:val="20"/>
              </w:rPr>
              <w:t>All adults aged 25 years and older who were involved in motor vehicle–related crashes, admitted to trauma center or nontrauma acute care hospitals in 3 New Jersey counties. In the year 2000. (n=2063)</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7A2FD69"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Comparators were those aged ≥65 (n=1600) and those 25 to 64 years old (n=463).</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2E057F3"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The sensitivity and specificity of pre-hospital triage in detecting major trauma (ISS ≥16) in each age and gender cohort of patients.</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39ABE99"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 xml:space="preserve">Sensitivity of pre-hospital triage and (percentage of patients under-triaged) for each age/gender group: Youger males </w:t>
            </w:r>
            <w:r w:rsidRPr="00361E30">
              <w:rPr>
                <w:rFonts w:cstheme="minorHAnsi"/>
                <w:color w:val="292526"/>
                <w:sz w:val="18"/>
                <w:szCs w:val="20"/>
              </w:rPr>
              <w:t>0.9246 (8%); Younger females 0.8807 (12%); older males 0.8214 (18%) and older females 0.8478 (15%)</w:t>
            </w:r>
          </w:p>
        </w:tc>
      </w:tr>
      <w:tr w:rsidR="00CA0EF0" w:rsidRPr="00361E30" w14:paraId="0DFCEB81" w14:textId="77777777" w:rsidTr="003C13F4">
        <w:trPr>
          <w:cantSplit/>
          <w:trHeight w:val="1134"/>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5B295CE1"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Scheetz et al</w:t>
            </w:r>
          </w:p>
          <w:p w14:paraId="5CDD0F2F" w14:textId="77777777" w:rsidR="00CA0EF0" w:rsidRPr="00361E30" w:rsidRDefault="00CA0EF0" w:rsidP="003C13F4">
            <w:pPr>
              <w:spacing w:after="0" w:line="240" w:lineRule="auto"/>
              <w:ind w:left="113" w:right="113"/>
              <w:jc w:val="left"/>
              <w:outlineLvl w:val="0"/>
              <w:rPr>
                <w:rFonts w:eastAsia="Times New Roman" w:cstheme="minorHAnsi"/>
                <w:bCs/>
                <w:kern w:val="36"/>
                <w:sz w:val="18"/>
                <w:szCs w:val="20"/>
                <w:lang w:eastAsia="en-GB"/>
              </w:rPr>
            </w:pPr>
            <w:r w:rsidRPr="00361E30">
              <w:rPr>
                <w:rFonts w:eastAsia="Times New Roman" w:cstheme="minorHAnsi"/>
                <w:bCs/>
                <w:kern w:val="36"/>
                <w:sz w:val="18"/>
                <w:szCs w:val="20"/>
                <w:lang w:eastAsia="en-GB"/>
              </w:rPr>
              <w:t>Trauma center versus non-trauma center admissions in adult trauma victims by age and gender.</w:t>
            </w:r>
          </w:p>
          <w:p w14:paraId="279C6A0C" w14:textId="77777777" w:rsidR="00CA0EF0" w:rsidRPr="00361E30" w:rsidRDefault="00CA0EF0" w:rsidP="003C13F4">
            <w:pPr>
              <w:spacing w:after="0" w:line="0" w:lineRule="atLeast"/>
              <w:ind w:left="113" w:right="113"/>
              <w:rPr>
                <w:rFonts w:eastAsia="Times New Roman" w:cstheme="minorHAnsi"/>
                <w:sz w:val="18"/>
                <w:szCs w:val="20"/>
              </w:rPr>
            </w:pPr>
          </w:p>
        </w:tc>
        <w:tc>
          <w:tcPr>
            <w:tcW w:w="72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69D1E62"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2004</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44A36F24"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CINHAL, Pubmed</w:t>
            </w:r>
          </w:p>
        </w:tc>
        <w:tc>
          <w:tcPr>
            <w:tcW w:w="135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CEB943D"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Retrospective observational study</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4A2D20A" w14:textId="77777777" w:rsidR="00CA0EF0" w:rsidRPr="00361E30" w:rsidRDefault="00CA0EF0" w:rsidP="003C13F4">
            <w:pPr>
              <w:spacing w:line="276" w:lineRule="auto"/>
              <w:jc w:val="left"/>
              <w:rPr>
                <w:rFonts w:eastAsia="Times New Roman" w:cstheme="minorHAnsi"/>
                <w:sz w:val="18"/>
                <w:szCs w:val="20"/>
                <w:lang w:eastAsia="en-GB"/>
              </w:rPr>
            </w:pPr>
            <w:r w:rsidRPr="00361E30">
              <w:rPr>
                <w:rFonts w:eastAsia="Times New Roman" w:cstheme="minorHAnsi"/>
                <w:sz w:val="18"/>
                <w:szCs w:val="20"/>
              </w:rPr>
              <w:t xml:space="preserve">To determine </w:t>
            </w:r>
            <w:r w:rsidRPr="00361E30">
              <w:rPr>
                <w:rFonts w:eastAsia="Times New Roman" w:cstheme="minorHAnsi"/>
                <w:sz w:val="18"/>
                <w:szCs w:val="20"/>
                <w:lang w:eastAsia="en-GB"/>
              </w:rPr>
              <w:t>the proportion of patients with major traumatic injuries who were admitted to TCs and NTCs, Using injury severity scores (ISSs) ≥ 16 to denote major trauma</w:t>
            </w:r>
          </w:p>
          <w:p w14:paraId="75606FFE" w14:textId="77777777" w:rsidR="00CA0EF0" w:rsidRPr="00361E30" w:rsidRDefault="00CA0EF0" w:rsidP="003C13F4">
            <w:pPr>
              <w:spacing w:after="0" w:line="0" w:lineRule="atLeast"/>
              <w:rPr>
                <w:rFonts w:eastAsia="Times New Roman" w:cstheme="minorHAnsi"/>
                <w:sz w:val="18"/>
                <w:szCs w:val="20"/>
              </w:rPr>
            </w:pPr>
          </w:p>
        </w:tc>
        <w:tc>
          <w:tcPr>
            <w:tcW w:w="12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FB5637B"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All patients admitted to TCs and NTCs in the New Jersey area in 2000, with a diagnosis of major traumatic injury (n=5172)</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CB61111"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Comparators were  those aged ≥65 years and those aged 25 – 64 years.</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FB99989"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 xml:space="preserve">The percentage of patients with ISS </w:t>
            </w:r>
            <w:r w:rsidRPr="00361E30">
              <w:rPr>
                <w:rFonts w:eastAsia="Times New Roman" w:cstheme="minorHAnsi"/>
                <w:sz w:val="18"/>
                <w:szCs w:val="20"/>
                <w:lang w:eastAsia="en-GB"/>
              </w:rPr>
              <w:t>≥ 16 admitted to TCs, compared by age and gender groupings.</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E43E6DF"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 xml:space="preserve">For patients with ISS </w:t>
            </w:r>
            <w:r w:rsidRPr="00361E30">
              <w:rPr>
                <w:rFonts w:eastAsia="Times New Roman" w:cstheme="minorHAnsi"/>
                <w:sz w:val="18"/>
                <w:szCs w:val="20"/>
                <w:lang w:eastAsia="en-GB"/>
              </w:rPr>
              <w:t xml:space="preserve">≥ 16, </w:t>
            </w:r>
            <w:r w:rsidRPr="00361E30">
              <w:rPr>
                <w:rFonts w:eastAsia="Times New Roman" w:cstheme="minorHAnsi"/>
                <w:sz w:val="18"/>
                <w:szCs w:val="20"/>
              </w:rPr>
              <w:t xml:space="preserve">young males were most likely to be admitted to TCs (82%) while older females were least likely to be admitted (60%).  </w:t>
            </w:r>
          </w:p>
        </w:tc>
      </w:tr>
      <w:tr w:rsidR="00CA0EF0" w:rsidRPr="00361E30" w14:paraId="300542A9" w14:textId="77777777" w:rsidTr="003C13F4">
        <w:trPr>
          <w:cantSplit/>
          <w:trHeight w:val="1134"/>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3AE37C52"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lastRenderedPageBreak/>
              <w:t>Lane et al</w:t>
            </w:r>
          </w:p>
          <w:p w14:paraId="44252211" w14:textId="77777777" w:rsidR="00CA0EF0" w:rsidRPr="00361E30" w:rsidRDefault="00CA0EF0" w:rsidP="003C13F4">
            <w:pPr>
              <w:autoSpaceDE w:val="0"/>
              <w:autoSpaceDN w:val="0"/>
              <w:adjustRightInd w:val="0"/>
              <w:spacing w:after="0" w:line="240" w:lineRule="auto"/>
              <w:ind w:left="113" w:right="113"/>
              <w:jc w:val="left"/>
              <w:rPr>
                <w:rFonts w:eastAsia="Times New Roman" w:cstheme="minorHAnsi"/>
                <w:sz w:val="18"/>
                <w:szCs w:val="20"/>
              </w:rPr>
            </w:pPr>
            <w:r w:rsidRPr="00361E30">
              <w:rPr>
                <w:rFonts w:cstheme="minorHAnsi"/>
                <w:sz w:val="18"/>
                <w:szCs w:val="20"/>
              </w:rPr>
              <w:t>Geriatric Trauma Patients—Are They Receiving Trauma Center Care?</w:t>
            </w:r>
          </w:p>
        </w:tc>
        <w:tc>
          <w:tcPr>
            <w:tcW w:w="72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F98BC91"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2002</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0186F114"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Manual Search</w:t>
            </w:r>
          </w:p>
        </w:tc>
        <w:tc>
          <w:tcPr>
            <w:tcW w:w="135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0DB3D0C"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Retrospective observational study</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5C1B25A" w14:textId="77777777" w:rsidR="00CA0EF0" w:rsidRPr="00361E30" w:rsidRDefault="00CA0EF0" w:rsidP="003C13F4">
            <w:pPr>
              <w:autoSpaceDE w:val="0"/>
              <w:autoSpaceDN w:val="0"/>
              <w:adjustRightInd w:val="0"/>
              <w:spacing w:after="0" w:line="240" w:lineRule="auto"/>
              <w:jc w:val="left"/>
              <w:rPr>
                <w:rFonts w:eastAsia="Times New Roman" w:cstheme="minorHAnsi"/>
                <w:sz w:val="18"/>
                <w:szCs w:val="20"/>
              </w:rPr>
            </w:pPr>
            <w:r w:rsidRPr="00361E30">
              <w:rPr>
                <w:rFonts w:cstheme="minorHAnsi"/>
                <w:sz w:val="18"/>
                <w:szCs w:val="20"/>
              </w:rPr>
              <w:t>To evaluate whether severely injured geriatric patients were as likely to be treated at designated trauma centers (TCs) within the statewide trauma system (as younger patients).</w:t>
            </w:r>
          </w:p>
        </w:tc>
        <w:tc>
          <w:tcPr>
            <w:tcW w:w="12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2E4067E" w14:textId="77777777" w:rsidR="00CA0EF0" w:rsidRPr="00361E30" w:rsidRDefault="00CA0EF0" w:rsidP="003C13F4">
            <w:pPr>
              <w:autoSpaceDE w:val="0"/>
              <w:autoSpaceDN w:val="0"/>
              <w:adjustRightInd w:val="0"/>
              <w:spacing w:after="0" w:line="240" w:lineRule="auto"/>
              <w:jc w:val="left"/>
              <w:rPr>
                <w:rFonts w:eastAsia="Times New Roman" w:cstheme="minorHAnsi"/>
                <w:sz w:val="18"/>
                <w:szCs w:val="20"/>
              </w:rPr>
            </w:pPr>
            <w:r w:rsidRPr="00361E30">
              <w:rPr>
                <w:rFonts w:cstheme="minorHAnsi"/>
                <w:sz w:val="18"/>
                <w:szCs w:val="20"/>
              </w:rPr>
              <w:t>All patients admitted hospitals in the state of Pennysylvania in 1997 with an ISS &gt;15 (n=8,980)</w:t>
            </w:r>
          </w:p>
          <w:p w14:paraId="10D9DF33" w14:textId="77777777" w:rsidR="00CA0EF0" w:rsidRPr="00361E30" w:rsidRDefault="00CA0EF0" w:rsidP="003C13F4">
            <w:pPr>
              <w:spacing w:after="0" w:line="0" w:lineRule="atLeast"/>
              <w:rPr>
                <w:rFonts w:eastAsia="Times New Roman" w:cstheme="minorHAnsi"/>
                <w:sz w:val="18"/>
                <w:szCs w:val="20"/>
              </w:rPr>
            </w:pP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1546FB0"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Cohorts were compared by age: patients aged ≥65  years (n=</w:t>
            </w:r>
            <w:r w:rsidRPr="00361E30">
              <w:rPr>
                <w:rFonts w:cstheme="minorHAnsi"/>
                <w:sz w:val="18"/>
                <w:szCs w:val="20"/>
              </w:rPr>
              <w:t xml:space="preserve">3,125) and </w:t>
            </w:r>
            <w:r w:rsidRPr="00361E30">
              <w:rPr>
                <w:rFonts w:eastAsia="Times New Roman" w:cstheme="minorHAnsi"/>
                <w:sz w:val="18"/>
                <w:szCs w:val="20"/>
              </w:rPr>
              <w:t xml:space="preserve"> patients aged &lt;65 years (n=</w:t>
            </w:r>
            <w:r w:rsidRPr="00361E30">
              <w:rPr>
                <w:rFonts w:cstheme="minorHAnsi"/>
                <w:sz w:val="18"/>
                <w:szCs w:val="20"/>
              </w:rPr>
              <w:t>5,855)</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F4D6357"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 xml:space="preserve">Percentage of patients with ISS &gt;15 admitted to TCs; odds of being admitted to a TC, adjusted for known covariates (including </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6E8E77C"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For older patients, 36.9% were admitted to trauma centres (35.16% of females and 38.20% of males); for younger patients 47% were admitted to trauma centres (45.41% of females and 47.48% of males). Age was found to be a significant negative predictor of admission to a TC, after controlling for injury severity.</w:t>
            </w:r>
          </w:p>
        </w:tc>
      </w:tr>
      <w:tr w:rsidR="00CA0EF0" w:rsidRPr="00361E30" w14:paraId="24C26178" w14:textId="77777777" w:rsidTr="003C13F4">
        <w:trPr>
          <w:cantSplit/>
          <w:trHeight w:val="1134"/>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14:paraId="54DB133A"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Kirkman et al</w:t>
            </w:r>
          </w:p>
          <w:p w14:paraId="737D7CFF"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cstheme="minorHAnsi"/>
                <w:sz w:val="18"/>
                <w:szCs w:val="20"/>
              </w:rPr>
              <w:t>Increased mortality associated with cerebral contusions following trauma in the elderly: bad patients or bad management?</w:t>
            </w:r>
          </w:p>
        </w:tc>
        <w:tc>
          <w:tcPr>
            <w:tcW w:w="72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031362D"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2013</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6AF839C8"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Manual Search</w:t>
            </w:r>
          </w:p>
        </w:tc>
        <w:tc>
          <w:tcPr>
            <w:tcW w:w="135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FCD9AE7"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Retrospective observational study</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DBC6377"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To determine whether the care provided for older head injured patients with cerebral contusions was different from that provided for younger patients</w:t>
            </w:r>
          </w:p>
        </w:tc>
        <w:tc>
          <w:tcPr>
            <w:tcW w:w="12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F409403"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 xml:space="preserve">All patients entered onto the UK TARN database from March 1988 to May 2012 with a primary diagnosis of cerebral contusion, no other brain injury of </w:t>
            </w:r>
            <w:r w:rsidRPr="00361E30">
              <w:rPr>
                <w:rFonts w:eastAsia="Times New Roman" w:cstheme="minorHAnsi"/>
                <w:sz w:val="18"/>
                <w:szCs w:val="20"/>
              </w:rPr>
              <w:t>≥4 and no other extra-cranial injury of ≥3 (n=4387)</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B7B1161"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 xml:space="preserve">Patients were divided into cohorts by age.  </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B568B5B"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Proportion of patients referred to a neurosurgical centre, time to CT and seniority of most senior attending physician.</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22D0916"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Older patients were significantly less likely to be referred to a neurosurgical centre.</w:t>
            </w:r>
          </w:p>
        </w:tc>
      </w:tr>
      <w:tr w:rsidR="00CA0EF0" w:rsidRPr="00361E30" w14:paraId="0703FF48" w14:textId="77777777" w:rsidTr="003C13F4">
        <w:trPr>
          <w:cantSplit/>
          <w:trHeight w:val="1134"/>
        </w:trPr>
        <w:tc>
          <w:tcPr>
            <w:tcW w:w="9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021EF37"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lastRenderedPageBreak/>
              <w:t>Giannoudis et al</w:t>
            </w:r>
          </w:p>
          <w:p w14:paraId="40E2FAC8" w14:textId="77777777" w:rsidR="00CA0EF0" w:rsidRPr="00361E30" w:rsidRDefault="00CA0EF0" w:rsidP="003C13F4">
            <w:pPr>
              <w:spacing w:after="0" w:line="0" w:lineRule="atLeast"/>
              <w:rPr>
                <w:rFonts w:eastAsia="Times New Roman" w:cstheme="minorHAnsi"/>
                <w:sz w:val="18"/>
                <w:szCs w:val="20"/>
              </w:rPr>
            </w:pPr>
            <w:r w:rsidRPr="00361E30">
              <w:rPr>
                <w:rFonts w:cstheme="minorHAnsi"/>
                <w:sz w:val="18"/>
                <w:szCs w:val="20"/>
              </w:rPr>
              <w:t>Severe and multiple trauma in older patients; incidence and mortality</w:t>
            </w:r>
          </w:p>
        </w:tc>
        <w:tc>
          <w:tcPr>
            <w:tcW w:w="72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EBB906A"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2008</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5CA01077" w14:textId="77777777" w:rsidR="00CA0EF0" w:rsidRPr="00361E30" w:rsidRDefault="00CA0EF0" w:rsidP="003C13F4">
            <w:pPr>
              <w:spacing w:after="0" w:line="0" w:lineRule="atLeast"/>
              <w:ind w:left="113" w:right="113"/>
              <w:rPr>
                <w:rFonts w:eastAsia="Times New Roman" w:cstheme="minorHAnsi"/>
                <w:sz w:val="18"/>
                <w:szCs w:val="20"/>
              </w:rPr>
            </w:pPr>
            <w:r w:rsidRPr="00361E30">
              <w:rPr>
                <w:rFonts w:eastAsia="Times New Roman" w:cstheme="minorHAnsi"/>
                <w:sz w:val="18"/>
                <w:szCs w:val="20"/>
              </w:rPr>
              <w:t>Manual Search</w:t>
            </w:r>
          </w:p>
        </w:tc>
        <w:tc>
          <w:tcPr>
            <w:tcW w:w="135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3A49CE5"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Retrospective observational study</w:t>
            </w:r>
          </w:p>
        </w:tc>
        <w:tc>
          <w:tcPr>
            <w:tcW w:w="11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D23B3BD"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To examine the differences between severely injured older patients (aged over 65 years)</w:t>
            </w:r>
          </w:p>
          <w:p w14:paraId="3DB33C7E"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compared with similarly injured younger adults in terms of incidence, inpatient mortality and factors predicting outcome.</w:t>
            </w:r>
          </w:p>
        </w:tc>
        <w:tc>
          <w:tcPr>
            <w:tcW w:w="12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02477A8" w14:textId="77777777" w:rsidR="00CA0EF0" w:rsidRPr="00361E30" w:rsidRDefault="00CA0EF0" w:rsidP="003C13F4">
            <w:pPr>
              <w:autoSpaceDE w:val="0"/>
              <w:autoSpaceDN w:val="0"/>
              <w:adjustRightInd w:val="0"/>
              <w:spacing w:after="0" w:line="240" w:lineRule="auto"/>
              <w:jc w:val="left"/>
              <w:rPr>
                <w:rFonts w:cstheme="minorHAnsi"/>
                <w:sz w:val="18"/>
                <w:szCs w:val="20"/>
              </w:rPr>
            </w:pPr>
            <w:r w:rsidRPr="00361E30">
              <w:rPr>
                <w:rFonts w:cstheme="minorHAnsi"/>
                <w:sz w:val="18"/>
                <w:szCs w:val="20"/>
              </w:rPr>
              <w:t xml:space="preserve">All patients </w:t>
            </w:r>
            <w:r w:rsidRPr="00361E30">
              <w:rPr>
                <w:rFonts w:eastAsia="Times New Roman" w:cstheme="minorHAnsi"/>
                <w:sz w:val="18"/>
                <w:szCs w:val="20"/>
              </w:rPr>
              <w:t xml:space="preserve">with an ISS of ≥16 </w:t>
            </w:r>
            <w:r w:rsidRPr="00361E30">
              <w:rPr>
                <w:rFonts w:cstheme="minorHAnsi"/>
                <w:sz w:val="18"/>
                <w:szCs w:val="20"/>
              </w:rPr>
              <w:t>on the TARN database who were admitted to the Leads General Infirmary Level 1 Trauma Centre between 1996 and 2001 inclusive (n= 3172)</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20F1F41"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Cohorts were compared by age group: younger adults (16 – 64) and older adults (≥65 years).</w:t>
            </w:r>
          </w:p>
        </w:tc>
        <w:tc>
          <w:tcPr>
            <w:tcW w:w="9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92ED570"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 xml:space="preserve">Proportion of patients having surgical intervention. </w:t>
            </w:r>
          </w:p>
        </w:tc>
        <w:tc>
          <w:tcPr>
            <w:tcW w:w="1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4BECE7A" w14:textId="77777777" w:rsidR="00CA0EF0" w:rsidRPr="00361E30" w:rsidRDefault="00CA0EF0" w:rsidP="003C13F4">
            <w:pPr>
              <w:spacing w:after="0" w:line="0" w:lineRule="atLeast"/>
              <w:rPr>
                <w:rFonts w:eastAsia="Times New Roman" w:cstheme="minorHAnsi"/>
                <w:sz w:val="18"/>
                <w:szCs w:val="20"/>
              </w:rPr>
            </w:pPr>
            <w:r w:rsidRPr="00361E30">
              <w:rPr>
                <w:rFonts w:eastAsia="Times New Roman" w:cstheme="minorHAnsi"/>
                <w:sz w:val="18"/>
                <w:szCs w:val="20"/>
              </w:rPr>
              <w:t>Significantly less older patients had surgical intervention as part of their treatment compared to the younger age group (41% vs 62%; p &lt; 0.001)</w:t>
            </w:r>
          </w:p>
        </w:tc>
      </w:tr>
    </w:tbl>
    <w:p w14:paraId="3F652248" w14:textId="77777777" w:rsidR="00CA0EF0" w:rsidRPr="00361E30" w:rsidRDefault="00CA0EF0" w:rsidP="003C13F4"/>
    <w:p w14:paraId="25E0F5AE" w14:textId="77777777" w:rsidR="00CA0EF0" w:rsidRPr="00361E30" w:rsidRDefault="00CA0EF0">
      <w:pPr>
        <w:spacing w:line="276" w:lineRule="auto"/>
        <w:jc w:val="left"/>
      </w:pPr>
      <w:r w:rsidRPr="00361E30">
        <w:br w:type="page"/>
      </w:r>
    </w:p>
    <w:p w14:paraId="423DDFAA" w14:textId="77777777" w:rsidR="00CA0EF0" w:rsidRPr="00361E30" w:rsidRDefault="00CA0EF0" w:rsidP="003C13F4">
      <w:pPr>
        <w:pStyle w:val="ChapterHeading"/>
      </w:pPr>
      <w:bookmarkStart w:id="456" w:name="_Toc1902381"/>
      <w:r w:rsidRPr="00361E30">
        <w:lastRenderedPageBreak/>
        <w:t>Appendix 4 – List of Interviewees</w:t>
      </w:r>
      <w:bookmarkEnd w:id="456"/>
    </w:p>
    <w:tbl>
      <w:tblPr>
        <w:tblStyle w:val="TableGrid2"/>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1350"/>
        <w:gridCol w:w="450"/>
        <w:gridCol w:w="90"/>
        <w:gridCol w:w="2070"/>
        <w:gridCol w:w="1530"/>
        <w:gridCol w:w="450"/>
        <w:gridCol w:w="630"/>
        <w:gridCol w:w="450"/>
        <w:gridCol w:w="1260"/>
      </w:tblGrid>
      <w:tr w:rsidR="00CA0EF0" w:rsidRPr="00361E30" w14:paraId="5FB63CD5" w14:textId="77777777" w:rsidTr="003C13F4">
        <w:trPr>
          <w:cantSplit/>
          <w:trHeight w:val="2242"/>
        </w:trPr>
        <w:tc>
          <w:tcPr>
            <w:tcW w:w="738" w:type="dxa"/>
            <w:tcBorders>
              <w:top w:val="single" w:sz="4" w:space="0" w:color="auto"/>
              <w:bottom w:val="single" w:sz="4" w:space="0" w:color="auto"/>
            </w:tcBorders>
            <w:textDirection w:val="btLr"/>
          </w:tcPr>
          <w:p w14:paraId="5ABA5339" w14:textId="77777777" w:rsidR="00CA0EF0" w:rsidRPr="00361E30" w:rsidRDefault="00CA0EF0" w:rsidP="003C13F4">
            <w:pPr>
              <w:spacing w:line="240" w:lineRule="auto"/>
              <w:ind w:left="113" w:right="113"/>
              <w:rPr>
                <w:rFonts w:cstheme="minorHAnsi"/>
                <w:b/>
                <w:sz w:val="20"/>
                <w:szCs w:val="20"/>
                <w:lang w:val="en-GB"/>
              </w:rPr>
            </w:pPr>
            <w:r w:rsidRPr="00361E30">
              <w:rPr>
                <w:rFonts w:cstheme="minorHAnsi"/>
                <w:b/>
                <w:sz w:val="20"/>
                <w:szCs w:val="20"/>
                <w:lang w:val="en-GB"/>
              </w:rPr>
              <w:t>ID</w:t>
            </w:r>
          </w:p>
        </w:tc>
        <w:tc>
          <w:tcPr>
            <w:tcW w:w="1350" w:type="dxa"/>
            <w:tcBorders>
              <w:top w:val="single" w:sz="4" w:space="0" w:color="auto"/>
              <w:bottom w:val="single" w:sz="4" w:space="0" w:color="auto"/>
            </w:tcBorders>
            <w:textDirection w:val="btLr"/>
          </w:tcPr>
          <w:p w14:paraId="3917A313" w14:textId="77777777" w:rsidR="00CA0EF0" w:rsidRPr="00361E30" w:rsidRDefault="00CA0EF0" w:rsidP="003C13F4">
            <w:pPr>
              <w:spacing w:line="240" w:lineRule="auto"/>
              <w:ind w:left="113" w:right="113"/>
              <w:rPr>
                <w:rFonts w:cstheme="minorHAnsi"/>
                <w:b/>
                <w:sz w:val="20"/>
                <w:szCs w:val="20"/>
                <w:lang w:val="en-GB"/>
              </w:rPr>
            </w:pPr>
            <w:r w:rsidRPr="00361E30">
              <w:rPr>
                <w:rFonts w:cstheme="minorHAnsi"/>
                <w:b/>
                <w:sz w:val="20"/>
                <w:szCs w:val="20"/>
                <w:lang w:val="en-GB"/>
              </w:rPr>
              <w:t>Date</w:t>
            </w:r>
          </w:p>
        </w:tc>
        <w:tc>
          <w:tcPr>
            <w:tcW w:w="540" w:type="dxa"/>
            <w:gridSpan w:val="2"/>
            <w:tcBorders>
              <w:top w:val="single" w:sz="4" w:space="0" w:color="auto"/>
              <w:bottom w:val="single" w:sz="4" w:space="0" w:color="auto"/>
            </w:tcBorders>
            <w:textDirection w:val="btLr"/>
          </w:tcPr>
          <w:p w14:paraId="5AD7E2EC" w14:textId="77777777" w:rsidR="00CA0EF0" w:rsidRPr="00361E30" w:rsidRDefault="00CA0EF0" w:rsidP="003C13F4">
            <w:pPr>
              <w:spacing w:line="240" w:lineRule="auto"/>
              <w:ind w:left="113" w:right="113"/>
              <w:rPr>
                <w:rFonts w:cstheme="minorHAnsi"/>
                <w:b/>
                <w:sz w:val="20"/>
                <w:szCs w:val="20"/>
                <w:lang w:val="en-GB"/>
              </w:rPr>
            </w:pPr>
            <w:r w:rsidRPr="00361E30">
              <w:rPr>
                <w:rFonts w:cstheme="minorHAnsi"/>
                <w:b/>
                <w:sz w:val="20"/>
                <w:szCs w:val="20"/>
                <w:lang w:val="en-GB"/>
              </w:rPr>
              <w:t>Duration (min)</w:t>
            </w:r>
          </w:p>
        </w:tc>
        <w:tc>
          <w:tcPr>
            <w:tcW w:w="2070" w:type="dxa"/>
            <w:tcBorders>
              <w:top w:val="single" w:sz="4" w:space="0" w:color="auto"/>
              <w:bottom w:val="single" w:sz="4" w:space="0" w:color="auto"/>
            </w:tcBorders>
            <w:textDirection w:val="btLr"/>
          </w:tcPr>
          <w:p w14:paraId="27295B77" w14:textId="77777777" w:rsidR="00CA0EF0" w:rsidRPr="00361E30" w:rsidRDefault="00CA0EF0" w:rsidP="003C13F4">
            <w:pPr>
              <w:spacing w:line="240" w:lineRule="auto"/>
              <w:ind w:left="113" w:right="113"/>
              <w:rPr>
                <w:rFonts w:cstheme="minorHAnsi"/>
                <w:b/>
                <w:sz w:val="20"/>
                <w:szCs w:val="20"/>
                <w:lang w:val="en-GB"/>
              </w:rPr>
            </w:pPr>
            <w:r w:rsidRPr="00361E30">
              <w:rPr>
                <w:rFonts w:cstheme="minorHAnsi"/>
                <w:b/>
                <w:sz w:val="20"/>
                <w:szCs w:val="20"/>
                <w:lang w:val="en-GB"/>
              </w:rPr>
              <w:t>Grade of Staff</w:t>
            </w:r>
          </w:p>
        </w:tc>
        <w:tc>
          <w:tcPr>
            <w:tcW w:w="1530" w:type="dxa"/>
            <w:tcBorders>
              <w:top w:val="single" w:sz="4" w:space="0" w:color="auto"/>
              <w:bottom w:val="single" w:sz="4" w:space="0" w:color="auto"/>
            </w:tcBorders>
            <w:textDirection w:val="btLr"/>
          </w:tcPr>
          <w:p w14:paraId="78A6B500" w14:textId="77777777" w:rsidR="00CA0EF0" w:rsidRPr="00361E30" w:rsidRDefault="00CA0EF0" w:rsidP="003C13F4">
            <w:pPr>
              <w:spacing w:line="240" w:lineRule="auto"/>
              <w:ind w:left="113" w:right="113"/>
              <w:rPr>
                <w:rFonts w:cstheme="minorHAnsi"/>
                <w:b/>
                <w:sz w:val="20"/>
                <w:szCs w:val="20"/>
                <w:lang w:val="en-GB"/>
              </w:rPr>
            </w:pPr>
            <w:r w:rsidRPr="00361E30">
              <w:rPr>
                <w:rFonts w:cstheme="minorHAnsi"/>
                <w:b/>
                <w:sz w:val="20"/>
                <w:szCs w:val="20"/>
                <w:lang w:val="en-GB"/>
              </w:rPr>
              <w:t>Profession/</w:t>
            </w:r>
          </w:p>
          <w:p w14:paraId="2E7AB9DC" w14:textId="77777777" w:rsidR="00CA0EF0" w:rsidRPr="00361E30" w:rsidRDefault="00CA0EF0" w:rsidP="003C13F4">
            <w:pPr>
              <w:spacing w:line="240" w:lineRule="auto"/>
              <w:ind w:left="113" w:right="113"/>
              <w:rPr>
                <w:rFonts w:cstheme="minorHAnsi"/>
                <w:b/>
                <w:sz w:val="20"/>
                <w:szCs w:val="20"/>
                <w:lang w:val="en-GB"/>
              </w:rPr>
            </w:pPr>
            <w:r w:rsidRPr="00361E30">
              <w:rPr>
                <w:rFonts w:cstheme="minorHAnsi"/>
                <w:b/>
                <w:sz w:val="20"/>
                <w:szCs w:val="20"/>
                <w:lang w:val="en-GB"/>
              </w:rPr>
              <w:t>Specialty</w:t>
            </w:r>
          </w:p>
        </w:tc>
        <w:tc>
          <w:tcPr>
            <w:tcW w:w="450" w:type="dxa"/>
            <w:tcBorders>
              <w:top w:val="single" w:sz="4" w:space="0" w:color="auto"/>
              <w:bottom w:val="single" w:sz="4" w:space="0" w:color="auto"/>
            </w:tcBorders>
            <w:textDirection w:val="btLr"/>
          </w:tcPr>
          <w:p w14:paraId="35390650" w14:textId="77777777" w:rsidR="00CA0EF0" w:rsidRPr="00361E30" w:rsidRDefault="00CA0EF0" w:rsidP="003C13F4">
            <w:pPr>
              <w:spacing w:line="240" w:lineRule="auto"/>
              <w:ind w:left="113" w:right="113"/>
              <w:rPr>
                <w:rFonts w:cstheme="minorHAnsi"/>
                <w:b/>
                <w:sz w:val="20"/>
                <w:szCs w:val="20"/>
                <w:lang w:val="en-GB"/>
              </w:rPr>
            </w:pPr>
            <w:r w:rsidRPr="00361E30">
              <w:rPr>
                <w:rFonts w:cstheme="minorHAnsi"/>
                <w:b/>
                <w:sz w:val="20"/>
                <w:szCs w:val="20"/>
                <w:lang w:val="en-GB"/>
              </w:rPr>
              <w:t>Years of experience</w:t>
            </w:r>
          </w:p>
        </w:tc>
        <w:tc>
          <w:tcPr>
            <w:tcW w:w="630" w:type="dxa"/>
            <w:tcBorders>
              <w:top w:val="single" w:sz="4" w:space="0" w:color="auto"/>
              <w:bottom w:val="single" w:sz="4" w:space="0" w:color="auto"/>
            </w:tcBorders>
            <w:textDirection w:val="btLr"/>
          </w:tcPr>
          <w:p w14:paraId="67B3F949" w14:textId="77777777" w:rsidR="00CA0EF0" w:rsidRPr="00361E30" w:rsidRDefault="00CA0EF0" w:rsidP="003C13F4">
            <w:pPr>
              <w:spacing w:line="240" w:lineRule="auto"/>
              <w:ind w:left="113" w:right="113"/>
              <w:rPr>
                <w:rFonts w:cstheme="minorHAnsi"/>
                <w:b/>
                <w:sz w:val="20"/>
                <w:szCs w:val="20"/>
                <w:lang w:val="en-GB"/>
              </w:rPr>
            </w:pPr>
            <w:r w:rsidRPr="00361E30">
              <w:rPr>
                <w:rFonts w:cstheme="minorHAnsi"/>
                <w:b/>
                <w:sz w:val="20"/>
                <w:szCs w:val="20"/>
                <w:lang w:val="en-GB"/>
              </w:rPr>
              <w:t>Years at the Hospital (Site 01 or Site 02)</w:t>
            </w:r>
          </w:p>
        </w:tc>
        <w:tc>
          <w:tcPr>
            <w:tcW w:w="450" w:type="dxa"/>
            <w:tcBorders>
              <w:top w:val="single" w:sz="4" w:space="0" w:color="auto"/>
              <w:bottom w:val="single" w:sz="4" w:space="0" w:color="auto"/>
            </w:tcBorders>
            <w:textDirection w:val="btLr"/>
          </w:tcPr>
          <w:p w14:paraId="7E6F57A2" w14:textId="77777777" w:rsidR="00CA0EF0" w:rsidRPr="00361E30" w:rsidRDefault="00CA0EF0" w:rsidP="003C13F4">
            <w:pPr>
              <w:spacing w:line="240" w:lineRule="auto"/>
              <w:ind w:left="113" w:right="113"/>
              <w:rPr>
                <w:rFonts w:cstheme="minorHAnsi"/>
                <w:b/>
                <w:sz w:val="20"/>
                <w:szCs w:val="20"/>
                <w:lang w:val="en-GB"/>
              </w:rPr>
            </w:pPr>
            <w:r w:rsidRPr="00361E30">
              <w:rPr>
                <w:rFonts w:cstheme="minorHAnsi"/>
                <w:b/>
                <w:sz w:val="20"/>
                <w:szCs w:val="20"/>
                <w:lang w:val="en-GB"/>
              </w:rPr>
              <w:t>Gender</w:t>
            </w:r>
          </w:p>
        </w:tc>
        <w:tc>
          <w:tcPr>
            <w:tcW w:w="1260" w:type="dxa"/>
            <w:tcBorders>
              <w:top w:val="single" w:sz="4" w:space="0" w:color="auto"/>
              <w:bottom w:val="single" w:sz="4" w:space="0" w:color="auto"/>
            </w:tcBorders>
            <w:textDirection w:val="btLr"/>
          </w:tcPr>
          <w:p w14:paraId="1081D432" w14:textId="77777777" w:rsidR="00CA0EF0" w:rsidRPr="00361E30" w:rsidRDefault="00CA0EF0" w:rsidP="003C13F4">
            <w:pPr>
              <w:spacing w:line="240" w:lineRule="auto"/>
              <w:ind w:left="113" w:right="113"/>
              <w:rPr>
                <w:rFonts w:cstheme="minorHAnsi"/>
                <w:b/>
                <w:sz w:val="20"/>
                <w:szCs w:val="20"/>
                <w:lang w:val="en-GB"/>
              </w:rPr>
            </w:pPr>
            <w:r w:rsidRPr="00361E30">
              <w:rPr>
                <w:rFonts w:cstheme="minorHAnsi"/>
                <w:b/>
                <w:sz w:val="20"/>
                <w:szCs w:val="20"/>
                <w:lang w:val="en-GB"/>
              </w:rPr>
              <w:t>Operational/Strategic</w:t>
            </w:r>
          </w:p>
        </w:tc>
      </w:tr>
      <w:tr w:rsidR="00CA0EF0" w:rsidRPr="00361E30" w14:paraId="76878EBD" w14:textId="77777777" w:rsidTr="003C13F4">
        <w:tc>
          <w:tcPr>
            <w:tcW w:w="6678" w:type="dxa"/>
            <w:gridSpan w:val="7"/>
            <w:tcBorders>
              <w:top w:val="single" w:sz="4" w:space="0" w:color="auto"/>
              <w:bottom w:val="single" w:sz="4" w:space="0" w:color="auto"/>
            </w:tcBorders>
            <w:shd w:val="clear" w:color="auto" w:fill="D9D9D9" w:themeFill="background1" w:themeFillShade="D9"/>
          </w:tcPr>
          <w:p w14:paraId="6D4899D5" w14:textId="77777777" w:rsidR="00CA0EF0" w:rsidRPr="00361E30" w:rsidRDefault="00CA0EF0" w:rsidP="003C13F4">
            <w:pPr>
              <w:spacing w:line="240" w:lineRule="auto"/>
              <w:rPr>
                <w:rFonts w:cstheme="minorHAnsi"/>
                <w:b/>
                <w:sz w:val="20"/>
                <w:szCs w:val="20"/>
                <w:lang w:val="en-GB"/>
              </w:rPr>
            </w:pPr>
            <w:r w:rsidRPr="00361E30">
              <w:rPr>
                <w:rFonts w:cstheme="minorHAnsi"/>
                <w:b/>
                <w:sz w:val="20"/>
                <w:szCs w:val="20"/>
                <w:lang w:val="en-GB"/>
              </w:rPr>
              <w:t>Site 01</w:t>
            </w:r>
          </w:p>
        </w:tc>
        <w:tc>
          <w:tcPr>
            <w:tcW w:w="630" w:type="dxa"/>
            <w:tcBorders>
              <w:top w:val="single" w:sz="4" w:space="0" w:color="auto"/>
              <w:bottom w:val="single" w:sz="4" w:space="0" w:color="auto"/>
            </w:tcBorders>
          </w:tcPr>
          <w:p w14:paraId="15427425" w14:textId="77777777" w:rsidR="00CA0EF0" w:rsidRPr="00361E30" w:rsidRDefault="00CA0EF0" w:rsidP="003C13F4">
            <w:pPr>
              <w:spacing w:line="240" w:lineRule="auto"/>
              <w:rPr>
                <w:rFonts w:cstheme="minorHAnsi"/>
                <w:sz w:val="20"/>
                <w:szCs w:val="20"/>
                <w:lang w:val="en-GB"/>
              </w:rPr>
            </w:pPr>
          </w:p>
        </w:tc>
        <w:tc>
          <w:tcPr>
            <w:tcW w:w="450" w:type="dxa"/>
            <w:tcBorders>
              <w:top w:val="single" w:sz="4" w:space="0" w:color="auto"/>
              <w:bottom w:val="single" w:sz="4" w:space="0" w:color="auto"/>
            </w:tcBorders>
          </w:tcPr>
          <w:p w14:paraId="316E7B58" w14:textId="77777777" w:rsidR="00CA0EF0" w:rsidRPr="00361E30" w:rsidRDefault="00CA0EF0" w:rsidP="003C13F4">
            <w:pPr>
              <w:spacing w:line="240" w:lineRule="auto"/>
              <w:rPr>
                <w:rFonts w:cstheme="minorHAnsi"/>
                <w:sz w:val="20"/>
                <w:szCs w:val="20"/>
                <w:lang w:val="en-GB"/>
              </w:rPr>
            </w:pPr>
          </w:p>
        </w:tc>
        <w:tc>
          <w:tcPr>
            <w:tcW w:w="1260" w:type="dxa"/>
            <w:tcBorders>
              <w:top w:val="single" w:sz="4" w:space="0" w:color="auto"/>
              <w:bottom w:val="single" w:sz="4" w:space="0" w:color="auto"/>
            </w:tcBorders>
          </w:tcPr>
          <w:p w14:paraId="767EB8E1" w14:textId="77777777" w:rsidR="00CA0EF0" w:rsidRPr="00361E30" w:rsidRDefault="00CA0EF0" w:rsidP="003C13F4">
            <w:pPr>
              <w:spacing w:line="240" w:lineRule="auto"/>
              <w:rPr>
                <w:rFonts w:cstheme="minorHAnsi"/>
                <w:sz w:val="20"/>
                <w:szCs w:val="20"/>
                <w:lang w:val="en-GB"/>
              </w:rPr>
            </w:pPr>
          </w:p>
        </w:tc>
      </w:tr>
      <w:tr w:rsidR="00CA0EF0" w:rsidRPr="00361E30" w14:paraId="6D103C21" w14:textId="77777777" w:rsidTr="003C13F4">
        <w:tc>
          <w:tcPr>
            <w:tcW w:w="738" w:type="dxa"/>
            <w:tcBorders>
              <w:top w:val="single" w:sz="4" w:space="0" w:color="auto"/>
            </w:tcBorders>
          </w:tcPr>
          <w:p w14:paraId="497BE45E"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DR01</w:t>
            </w:r>
          </w:p>
        </w:tc>
        <w:tc>
          <w:tcPr>
            <w:tcW w:w="1350" w:type="dxa"/>
            <w:tcBorders>
              <w:top w:val="single" w:sz="4" w:space="0" w:color="auto"/>
            </w:tcBorders>
          </w:tcPr>
          <w:p w14:paraId="30F4BFCB"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28/06/2017</w:t>
            </w:r>
          </w:p>
        </w:tc>
        <w:tc>
          <w:tcPr>
            <w:tcW w:w="450" w:type="dxa"/>
            <w:tcBorders>
              <w:top w:val="single" w:sz="4" w:space="0" w:color="auto"/>
            </w:tcBorders>
          </w:tcPr>
          <w:p w14:paraId="386E99D3"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56</w:t>
            </w:r>
          </w:p>
        </w:tc>
        <w:tc>
          <w:tcPr>
            <w:tcW w:w="2160" w:type="dxa"/>
            <w:gridSpan w:val="2"/>
            <w:tcBorders>
              <w:top w:val="single" w:sz="4" w:space="0" w:color="auto"/>
            </w:tcBorders>
          </w:tcPr>
          <w:p w14:paraId="06100DA5"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OT/</w:t>
            </w:r>
          </w:p>
          <w:p w14:paraId="30E82C30"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Trauma Coordinator</w:t>
            </w:r>
          </w:p>
        </w:tc>
        <w:tc>
          <w:tcPr>
            <w:tcW w:w="1530" w:type="dxa"/>
            <w:tcBorders>
              <w:top w:val="single" w:sz="4" w:space="0" w:color="auto"/>
            </w:tcBorders>
          </w:tcPr>
          <w:p w14:paraId="55F3FE95"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Trauma Team</w:t>
            </w:r>
          </w:p>
        </w:tc>
        <w:tc>
          <w:tcPr>
            <w:tcW w:w="450" w:type="dxa"/>
            <w:tcBorders>
              <w:top w:val="single" w:sz="4" w:space="0" w:color="auto"/>
            </w:tcBorders>
          </w:tcPr>
          <w:p w14:paraId="0C7A8F78"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 xml:space="preserve">11 </w:t>
            </w:r>
          </w:p>
          <w:p w14:paraId="54DEB34D" w14:textId="77777777" w:rsidR="00CA0EF0" w:rsidRPr="00361E30" w:rsidRDefault="00CA0EF0" w:rsidP="003C13F4">
            <w:pPr>
              <w:spacing w:line="240" w:lineRule="auto"/>
              <w:rPr>
                <w:rFonts w:cstheme="minorHAnsi"/>
                <w:sz w:val="20"/>
                <w:szCs w:val="20"/>
                <w:lang w:val="en-GB"/>
              </w:rPr>
            </w:pPr>
          </w:p>
        </w:tc>
        <w:tc>
          <w:tcPr>
            <w:tcW w:w="630" w:type="dxa"/>
            <w:tcBorders>
              <w:top w:val="single" w:sz="4" w:space="0" w:color="auto"/>
            </w:tcBorders>
          </w:tcPr>
          <w:p w14:paraId="7E918076"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NR</w:t>
            </w:r>
          </w:p>
        </w:tc>
        <w:tc>
          <w:tcPr>
            <w:tcW w:w="450" w:type="dxa"/>
            <w:tcBorders>
              <w:top w:val="single" w:sz="4" w:space="0" w:color="auto"/>
            </w:tcBorders>
          </w:tcPr>
          <w:p w14:paraId="2EFA39DC"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F</w:t>
            </w:r>
          </w:p>
        </w:tc>
        <w:tc>
          <w:tcPr>
            <w:tcW w:w="1260" w:type="dxa"/>
            <w:tcBorders>
              <w:top w:val="single" w:sz="4" w:space="0" w:color="auto"/>
            </w:tcBorders>
          </w:tcPr>
          <w:p w14:paraId="508A84AA"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Both</w:t>
            </w:r>
          </w:p>
        </w:tc>
      </w:tr>
      <w:tr w:rsidR="00CA0EF0" w:rsidRPr="00361E30" w14:paraId="557DEA65" w14:textId="77777777" w:rsidTr="003C13F4">
        <w:tc>
          <w:tcPr>
            <w:tcW w:w="738" w:type="dxa"/>
          </w:tcPr>
          <w:p w14:paraId="22DFBE0B"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DR02</w:t>
            </w:r>
          </w:p>
        </w:tc>
        <w:tc>
          <w:tcPr>
            <w:tcW w:w="1350" w:type="dxa"/>
          </w:tcPr>
          <w:p w14:paraId="7C8A6FCE"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28/06/2017</w:t>
            </w:r>
          </w:p>
        </w:tc>
        <w:tc>
          <w:tcPr>
            <w:tcW w:w="450" w:type="dxa"/>
          </w:tcPr>
          <w:p w14:paraId="65F01A6F"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38</w:t>
            </w:r>
          </w:p>
        </w:tc>
        <w:tc>
          <w:tcPr>
            <w:tcW w:w="2160" w:type="dxa"/>
            <w:gridSpan w:val="2"/>
          </w:tcPr>
          <w:p w14:paraId="4733040B"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Senior House Officer</w:t>
            </w:r>
          </w:p>
        </w:tc>
        <w:tc>
          <w:tcPr>
            <w:tcW w:w="1530" w:type="dxa"/>
          </w:tcPr>
          <w:p w14:paraId="0B2EED2C"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ICU</w:t>
            </w:r>
          </w:p>
        </w:tc>
        <w:tc>
          <w:tcPr>
            <w:tcW w:w="450" w:type="dxa"/>
          </w:tcPr>
          <w:p w14:paraId="224D55ED"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 xml:space="preserve">6 </w:t>
            </w:r>
          </w:p>
          <w:p w14:paraId="0BE62DA2" w14:textId="77777777" w:rsidR="00CA0EF0" w:rsidRPr="00361E30" w:rsidRDefault="00CA0EF0" w:rsidP="003C13F4">
            <w:pPr>
              <w:spacing w:line="240" w:lineRule="auto"/>
              <w:rPr>
                <w:rFonts w:cstheme="minorHAnsi"/>
                <w:sz w:val="20"/>
                <w:szCs w:val="20"/>
                <w:lang w:val="en-GB"/>
              </w:rPr>
            </w:pPr>
          </w:p>
        </w:tc>
        <w:tc>
          <w:tcPr>
            <w:tcW w:w="630" w:type="dxa"/>
          </w:tcPr>
          <w:p w14:paraId="18714CBD"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2</w:t>
            </w:r>
          </w:p>
        </w:tc>
        <w:tc>
          <w:tcPr>
            <w:tcW w:w="450" w:type="dxa"/>
          </w:tcPr>
          <w:p w14:paraId="4D999A91"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M</w:t>
            </w:r>
          </w:p>
        </w:tc>
        <w:tc>
          <w:tcPr>
            <w:tcW w:w="1260" w:type="dxa"/>
          </w:tcPr>
          <w:p w14:paraId="18CB9774"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Operational</w:t>
            </w:r>
          </w:p>
        </w:tc>
      </w:tr>
      <w:tr w:rsidR="00CA0EF0" w:rsidRPr="00361E30" w14:paraId="76D41DC3" w14:textId="77777777" w:rsidTr="003C13F4">
        <w:tc>
          <w:tcPr>
            <w:tcW w:w="738" w:type="dxa"/>
          </w:tcPr>
          <w:p w14:paraId="5A9619CE"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DR03</w:t>
            </w:r>
          </w:p>
        </w:tc>
        <w:tc>
          <w:tcPr>
            <w:tcW w:w="1350" w:type="dxa"/>
          </w:tcPr>
          <w:p w14:paraId="4B68CA01"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28/06/2017</w:t>
            </w:r>
          </w:p>
        </w:tc>
        <w:tc>
          <w:tcPr>
            <w:tcW w:w="450" w:type="dxa"/>
          </w:tcPr>
          <w:p w14:paraId="0E1A5DDC"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53</w:t>
            </w:r>
          </w:p>
        </w:tc>
        <w:tc>
          <w:tcPr>
            <w:tcW w:w="2160" w:type="dxa"/>
            <w:gridSpan w:val="2"/>
          </w:tcPr>
          <w:p w14:paraId="248F7E11" w14:textId="77777777" w:rsidR="00CA0EF0" w:rsidRPr="00361E30" w:rsidRDefault="00CA0EF0" w:rsidP="003C13F4">
            <w:pPr>
              <w:spacing w:line="240" w:lineRule="auto"/>
              <w:rPr>
                <w:lang w:val="en-GB"/>
              </w:rPr>
            </w:pPr>
            <w:r w:rsidRPr="00361E30">
              <w:rPr>
                <w:lang w:val="en-GB"/>
              </w:rPr>
              <w:t>HOD/</w:t>
            </w:r>
          </w:p>
          <w:p w14:paraId="2FE40E0B" w14:textId="77777777" w:rsidR="00CA0EF0" w:rsidRPr="00361E30" w:rsidRDefault="00CA0EF0" w:rsidP="003C13F4">
            <w:pPr>
              <w:spacing w:line="240" w:lineRule="auto"/>
              <w:rPr>
                <w:lang w:val="en-GB"/>
              </w:rPr>
            </w:pPr>
            <w:r w:rsidRPr="00361E30">
              <w:rPr>
                <w:lang w:val="en-GB"/>
              </w:rPr>
              <w:t xml:space="preserve">Consultant </w:t>
            </w:r>
          </w:p>
        </w:tc>
        <w:tc>
          <w:tcPr>
            <w:tcW w:w="1530" w:type="dxa"/>
          </w:tcPr>
          <w:p w14:paraId="5AFB9ADB" w14:textId="77777777" w:rsidR="00CA0EF0" w:rsidRPr="00361E30" w:rsidRDefault="00CA0EF0" w:rsidP="003C13F4">
            <w:pPr>
              <w:spacing w:line="240" w:lineRule="auto"/>
              <w:rPr>
                <w:rFonts w:cstheme="minorHAnsi"/>
                <w:sz w:val="20"/>
                <w:szCs w:val="20"/>
                <w:lang w:val="en-GB"/>
              </w:rPr>
            </w:pPr>
            <w:r w:rsidRPr="00361E30">
              <w:rPr>
                <w:lang w:val="en-GB"/>
              </w:rPr>
              <w:t>Geriatrics</w:t>
            </w:r>
          </w:p>
        </w:tc>
        <w:tc>
          <w:tcPr>
            <w:tcW w:w="450" w:type="dxa"/>
          </w:tcPr>
          <w:p w14:paraId="01709BC1"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 xml:space="preserve">35 </w:t>
            </w:r>
          </w:p>
          <w:p w14:paraId="5813E692" w14:textId="77777777" w:rsidR="00CA0EF0" w:rsidRPr="00361E30" w:rsidRDefault="00CA0EF0" w:rsidP="003C13F4">
            <w:pPr>
              <w:spacing w:line="240" w:lineRule="auto"/>
              <w:rPr>
                <w:rFonts w:cstheme="minorHAnsi"/>
                <w:sz w:val="20"/>
                <w:szCs w:val="20"/>
                <w:lang w:val="en-GB"/>
              </w:rPr>
            </w:pPr>
          </w:p>
        </w:tc>
        <w:tc>
          <w:tcPr>
            <w:tcW w:w="630" w:type="dxa"/>
          </w:tcPr>
          <w:p w14:paraId="0E81565F"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11</w:t>
            </w:r>
          </w:p>
        </w:tc>
        <w:tc>
          <w:tcPr>
            <w:tcW w:w="450" w:type="dxa"/>
          </w:tcPr>
          <w:p w14:paraId="12DB2599"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F</w:t>
            </w:r>
          </w:p>
        </w:tc>
        <w:tc>
          <w:tcPr>
            <w:tcW w:w="1260" w:type="dxa"/>
          </w:tcPr>
          <w:p w14:paraId="7C3E2310"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Both</w:t>
            </w:r>
          </w:p>
        </w:tc>
      </w:tr>
      <w:tr w:rsidR="00CA0EF0" w:rsidRPr="00361E30" w14:paraId="58FEA353" w14:textId="77777777" w:rsidTr="003C13F4">
        <w:tc>
          <w:tcPr>
            <w:tcW w:w="738" w:type="dxa"/>
          </w:tcPr>
          <w:p w14:paraId="4286B2E8"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DR04</w:t>
            </w:r>
          </w:p>
        </w:tc>
        <w:tc>
          <w:tcPr>
            <w:tcW w:w="1350" w:type="dxa"/>
          </w:tcPr>
          <w:p w14:paraId="448A4BDE"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29/06/2017</w:t>
            </w:r>
          </w:p>
        </w:tc>
        <w:tc>
          <w:tcPr>
            <w:tcW w:w="450" w:type="dxa"/>
          </w:tcPr>
          <w:p w14:paraId="088D5879"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39</w:t>
            </w:r>
          </w:p>
        </w:tc>
        <w:tc>
          <w:tcPr>
            <w:tcW w:w="2160" w:type="dxa"/>
            <w:gridSpan w:val="2"/>
          </w:tcPr>
          <w:p w14:paraId="3187BEBF"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 xml:space="preserve">Business Manager </w:t>
            </w:r>
          </w:p>
        </w:tc>
        <w:tc>
          <w:tcPr>
            <w:tcW w:w="1530" w:type="dxa"/>
          </w:tcPr>
          <w:p w14:paraId="3FAD8658"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Emergency/</w:t>
            </w:r>
          </w:p>
          <w:p w14:paraId="7F07B974"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Acute Care</w:t>
            </w:r>
          </w:p>
        </w:tc>
        <w:tc>
          <w:tcPr>
            <w:tcW w:w="450" w:type="dxa"/>
          </w:tcPr>
          <w:p w14:paraId="66628F06"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35</w:t>
            </w:r>
          </w:p>
        </w:tc>
        <w:tc>
          <w:tcPr>
            <w:tcW w:w="630" w:type="dxa"/>
          </w:tcPr>
          <w:p w14:paraId="6E15CAFE"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35</w:t>
            </w:r>
          </w:p>
        </w:tc>
        <w:tc>
          <w:tcPr>
            <w:tcW w:w="450" w:type="dxa"/>
          </w:tcPr>
          <w:p w14:paraId="55196F1A"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F</w:t>
            </w:r>
          </w:p>
        </w:tc>
        <w:tc>
          <w:tcPr>
            <w:tcW w:w="1260" w:type="dxa"/>
          </w:tcPr>
          <w:p w14:paraId="4BC829F6"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Strategic</w:t>
            </w:r>
          </w:p>
        </w:tc>
      </w:tr>
      <w:tr w:rsidR="00CA0EF0" w:rsidRPr="00361E30" w14:paraId="7F587375" w14:textId="77777777" w:rsidTr="003C13F4">
        <w:tc>
          <w:tcPr>
            <w:tcW w:w="738" w:type="dxa"/>
          </w:tcPr>
          <w:p w14:paraId="3BCC82A4"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DR05</w:t>
            </w:r>
          </w:p>
        </w:tc>
        <w:tc>
          <w:tcPr>
            <w:tcW w:w="1350" w:type="dxa"/>
          </w:tcPr>
          <w:p w14:paraId="2FBC9F1A"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29/06/2017</w:t>
            </w:r>
          </w:p>
        </w:tc>
        <w:tc>
          <w:tcPr>
            <w:tcW w:w="450" w:type="dxa"/>
          </w:tcPr>
          <w:p w14:paraId="723073E5"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27</w:t>
            </w:r>
          </w:p>
        </w:tc>
        <w:tc>
          <w:tcPr>
            <w:tcW w:w="2160" w:type="dxa"/>
            <w:gridSpan w:val="2"/>
          </w:tcPr>
          <w:p w14:paraId="47DB1506"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Senior Nurse/</w:t>
            </w:r>
          </w:p>
          <w:p w14:paraId="3AC25255"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Nurse Manager</w:t>
            </w:r>
          </w:p>
        </w:tc>
        <w:tc>
          <w:tcPr>
            <w:tcW w:w="1530" w:type="dxa"/>
          </w:tcPr>
          <w:p w14:paraId="4BDD67D6"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Emergency Department</w:t>
            </w:r>
          </w:p>
        </w:tc>
        <w:tc>
          <w:tcPr>
            <w:tcW w:w="450" w:type="dxa"/>
          </w:tcPr>
          <w:p w14:paraId="07E5583C"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17</w:t>
            </w:r>
          </w:p>
        </w:tc>
        <w:tc>
          <w:tcPr>
            <w:tcW w:w="630" w:type="dxa"/>
          </w:tcPr>
          <w:p w14:paraId="0476A0F6"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12</w:t>
            </w:r>
          </w:p>
        </w:tc>
        <w:tc>
          <w:tcPr>
            <w:tcW w:w="450" w:type="dxa"/>
          </w:tcPr>
          <w:p w14:paraId="5609A275"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F</w:t>
            </w:r>
          </w:p>
        </w:tc>
        <w:tc>
          <w:tcPr>
            <w:tcW w:w="1260" w:type="dxa"/>
          </w:tcPr>
          <w:p w14:paraId="4AAA38F9"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Both</w:t>
            </w:r>
          </w:p>
        </w:tc>
      </w:tr>
      <w:tr w:rsidR="00CA0EF0" w:rsidRPr="00361E30" w14:paraId="4617B5B7" w14:textId="77777777" w:rsidTr="003C13F4">
        <w:tc>
          <w:tcPr>
            <w:tcW w:w="738" w:type="dxa"/>
          </w:tcPr>
          <w:p w14:paraId="7F5248E2"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DR06</w:t>
            </w:r>
          </w:p>
        </w:tc>
        <w:tc>
          <w:tcPr>
            <w:tcW w:w="1350" w:type="dxa"/>
          </w:tcPr>
          <w:p w14:paraId="12C31033"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29/06/2017</w:t>
            </w:r>
          </w:p>
        </w:tc>
        <w:tc>
          <w:tcPr>
            <w:tcW w:w="450" w:type="dxa"/>
          </w:tcPr>
          <w:p w14:paraId="60511F03"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38</w:t>
            </w:r>
          </w:p>
        </w:tc>
        <w:tc>
          <w:tcPr>
            <w:tcW w:w="2160" w:type="dxa"/>
            <w:gridSpan w:val="2"/>
          </w:tcPr>
          <w:p w14:paraId="231F8F8E"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Registrar</w:t>
            </w:r>
          </w:p>
        </w:tc>
        <w:tc>
          <w:tcPr>
            <w:tcW w:w="1530" w:type="dxa"/>
          </w:tcPr>
          <w:p w14:paraId="0CD30FC8"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Emergency Medicine</w:t>
            </w:r>
          </w:p>
        </w:tc>
        <w:tc>
          <w:tcPr>
            <w:tcW w:w="450" w:type="dxa"/>
          </w:tcPr>
          <w:p w14:paraId="1811334A"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17</w:t>
            </w:r>
          </w:p>
        </w:tc>
        <w:tc>
          <w:tcPr>
            <w:tcW w:w="630" w:type="dxa"/>
          </w:tcPr>
          <w:p w14:paraId="66E96A3C"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13</w:t>
            </w:r>
          </w:p>
        </w:tc>
        <w:tc>
          <w:tcPr>
            <w:tcW w:w="450" w:type="dxa"/>
          </w:tcPr>
          <w:p w14:paraId="239D5D29"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M</w:t>
            </w:r>
          </w:p>
        </w:tc>
        <w:tc>
          <w:tcPr>
            <w:tcW w:w="1260" w:type="dxa"/>
          </w:tcPr>
          <w:p w14:paraId="670BADCE"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Operational</w:t>
            </w:r>
          </w:p>
        </w:tc>
      </w:tr>
      <w:tr w:rsidR="00CA0EF0" w:rsidRPr="00361E30" w14:paraId="0DC2AC0F" w14:textId="77777777" w:rsidTr="003C13F4">
        <w:tc>
          <w:tcPr>
            <w:tcW w:w="738" w:type="dxa"/>
          </w:tcPr>
          <w:p w14:paraId="16A30D51"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DR07</w:t>
            </w:r>
          </w:p>
        </w:tc>
        <w:tc>
          <w:tcPr>
            <w:tcW w:w="1350" w:type="dxa"/>
          </w:tcPr>
          <w:p w14:paraId="08429C1E"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30/06/2017</w:t>
            </w:r>
          </w:p>
        </w:tc>
        <w:tc>
          <w:tcPr>
            <w:tcW w:w="450" w:type="dxa"/>
          </w:tcPr>
          <w:p w14:paraId="7E6BED82"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61</w:t>
            </w:r>
          </w:p>
        </w:tc>
        <w:tc>
          <w:tcPr>
            <w:tcW w:w="2160" w:type="dxa"/>
            <w:gridSpan w:val="2"/>
          </w:tcPr>
          <w:p w14:paraId="0D83806D"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Nurse/</w:t>
            </w:r>
          </w:p>
          <w:p w14:paraId="08E2942B"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Trauma Coordinator</w:t>
            </w:r>
          </w:p>
        </w:tc>
        <w:tc>
          <w:tcPr>
            <w:tcW w:w="1530" w:type="dxa"/>
          </w:tcPr>
          <w:p w14:paraId="775ADC6E"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Trauma Team</w:t>
            </w:r>
          </w:p>
        </w:tc>
        <w:tc>
          <w:tcPr>
            <w:tcW w:w="450" w:type="dxa"/>
          </w:tcPr>
          <w:p w14:paraId="73C76B9B"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17</w:t>
            </w:r>
          </w:p>
        </w:tc>
        <w:tc>
          <w:tcPr>
            <w:tcW w:w="630" w:type="dxa"/>
          </w:tcPr>
          <w:p w14:paraId="44781F0E"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4</w:t>
            </w:r>
          </w:p>
        </w:tc>
        <w:tc>
          <w:tcPr>
            <w:tcW w:w="450" w:type="dxa"/>
          </w:tcPr>
          <w:p w14:paraId="4F4C3EC4"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F</w:t>
            </w:r>
          </w:p>
        </w:tc>
        <w:tc>
          <w:tcPr>
            <w:tcW w:w="1260" w:type="dxa"/>
          </w:tcPr>
          <w:p w14:paraId="3B10C782"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Operational</w:t>
            </w:r>
          </w:p>
        </w:tc>
      </w:tr>
      <w:tr w:rsidR="00CA0EF0" w:rsidRPr="00361E30" w14:paraId="2CE7A386" w14:textId="77777777" w:rsidTr="003C13F4">
        <w:tc>
          <w:tcPr>
            <w:tcW w:w="738" w:type="dxa"/>
          </w:tcPr>
          <w:p w14:paraId="004F6929"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DR08</w:t>
            </w:r>
          </w:p>
        </w:tc>
        <w:tc>
          <w:tcPr>
            <w:tcW w:w="1350" w:type="dxa"/>
          </w:tcPr>
          <w:p w14:paraId="0181F5BB"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30/06/2017</w:t>
            </w:r>
          </w:p>
        </w:tc>
        <w:tc>
          <w:tcPr>
            <w:tcW w:w="450" w:type="dxa"/>
          </w:tcPr>
          <w:p w14:paraId="71BCC460"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31</w:t>
            </w:r>
          </w:p>
        </w:tc>
        <w:tc>
          <w:tcPr>
            <w:tcW w:w="2160" w:type="dxa"/>
            <w:gridSpan w:val="2"/>
          </w:tcPr>
          <w:p w14:paraId="71C67CFD"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 xml:space="preserve">Occupational Therapist </w:t>
            </w:r>
          </w:p>
        </w:tc>
        <w:tc>
          <w:tcPr>
            <w:tcW w:w="1530" w:type="dxa"/>
          </w:tcPr>
          <w:p w14:paraId="66B5DA89" w14:textId="77777777" w:rsidR="00CA0EF0" w:rsidRPr="00361E30" w:rsidRDefault="00CA0EF0" w:rsidP="003C13F4">
            <w:pPr>
              <w:spacing w:before="100" w:beforeAutospacing="1" w:after="100" w:afterAutospacing="1" w:line="240" w:lineRule="auto"/>
              <w:jc w:val="left"/>
              <w:rPr>
                <w:rFonts w:cstheme="minorHAnsi"/>
                <w:sz w:val="20"/>
                <w:szCs w:val="20"/>
                <w:lang w:val="en-GB"/>
              </w:rPr>
            </w:pPr>
            <w:r w:rsidRPr="00361E30">
              <w:rPr>
                <w:rFonts w:cstheme="minorHAnsi"/>
                <w:sz w:val="20"/>
                <w:szCs w:val="20"/>
                <w:lang w:val="en-GB"/>
              </w:rPr>
              <w:t>Orthopaedics/ Rehabiitation</w:t>
            </w:r>
          </w:p>
        </w:tc>
        <w:tc>
          <w:tcPr>
            <w:tcW w:w="450" w:type="dxa"/>
          </w:tcPr>
          <w:p w14:paraId="698DB7DF"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7</w:t>
            </w:r>
          </w:p>
        </w:tc>
        <w:tc>
          <w:tcPr>
            <w:tcW w:w="630" w:type="dxa"/>
          </w:tcPr>
          <w:p w14:paraId="7CD3DABF"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2</w:t>
            </w:r>
          </w:p>
        </w:tc>
        <w:tc>
          <w:tcPr>
            <w:tcW w:w="450" w:type="dxa"/>
          </w:tcPr>
          <w:p w14:paraId="667BD170"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F</w:t>
            </w:r>
          </w:p>
        </w:tc>
        <w:tc>
          <w:tcPr>
            <w:tcW w:w="1260" w:type="dxa"/>
          </w:tcPr>
          <w:p w14:paraId="371E9FDD"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Operational</w:t>
            </w:r>
          </w:p>
        </w:tc>
      </w:tr>
      <w:tr w:rsidR="00CA0EF0" w:rsidRPr="00361E30" w14:paraId="4BC87009" w14:textId="77777777" w:rsidTr="003C13F4">
        <w:tc>
          <w:tcPr>
            <w:tcW w:w="738" w:type="dxa"/>
          </w:tcPr>
          <w:p w14:paraId="4D791509"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DR09</w:t>
            </w:r>
          </w:p>
        </w:tc>
        <w:tc>
          <w:tcPr>
            <w:tcW w:w="1350" w:type="dxa"/>
          </w:tcPr>
          <w:p w14:paraId="3928CD71"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30/06/2017</w:t>
            </w:r>
          </w:p>
        </w:tc>
        <w:tc>
          <w:tcPr>
            <w:tcW w:w="450" w:type="dxa"/>
          </w:tcPr>
          <w:p w14:paraId="6D5E335A"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41</w:t>
            </w:r>
          </w:p>
        </w:tc>
        <w:tc>
          <w:tcPr>
            <w:tcW w:w="2160" w:type="dxa"/>
            <w:gridSpan w:val="2"/>
          </w:tcPr>
          <w:p w14:paraId="51E4F297" w14:textId="77777777" w:rsidR="00CA0EF0" w:rsidRPr="00361E30" w:rsidRDefault="00CA0EF0" w:rsidP="003C13F4">
            <w:pPr>
              <w:spacing w:line="240" w:lineRule="auto"/>
              <w:rPr>
                <w:lang w:val="en-GB"/>
              </w:rPr>
            </w:pPr>
            <w:r w:rsidRPr="00361E30">
              <w:rPr>
                <w:lang w:val="en-GB"/>
              </w:rPr>
              <w:t>HOD/</w:t>
            </w:r>
          </w:p>
          <w:p w14:paraId="573B5E1A" w14:textId="77777777" w:rsidR="00CA0EF0" w:rsidRPr="00361E30" w:rsidRDefault="00CA0EF0" w:rsidP="003C13F4">
            <w:pPr>
              <w:spacing w:line="240" w:lineRule="auto"/>
              <w:rPr>
                <w:lang w:val="en-GB"/>
              </w:rPr>
            </w:pPr>
            <w:r w:rsidRPr="00361E30">
              <w:rPr>
                <w:lang w:val="en-GB"/>
              </w:rPr>
              <w:t>Consultant</w:t>
            </w:r>
          </w:p>
        </w:tc>
        <w:tc>
          <w:tcPr>
            <w:tcW w:w="1530" w:type="dxa"/>
          </w:tcPr>
          <w:p w14:paraId="1B95DDB8"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Emergency Medicine</w:t>
            </w:r>
          </w:p>
        </w:tc>
        <w:tc>
          <w:tcPr>
            <w:tcW w:w="450" w:type="dxa"/>
          </w:tcPr>
          <w:p w14:paraId="5F67A040"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24</w:t>
            </w:r>
          </w:p>
        </w:tc>
        <w:tc>
          <w:tcPr>
            <w:tcW w:w="630" w:type="dxa"/>
          </w:tcPr>
          <w:p w14:paraId="257BB13C"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15</w:t>
            </w:r>
          </w:p>
        </w:tc>
        <w:tc>
          <w:tcPr>
            <w:tcW w:w="450" w:type="dxa"/>
          </w:tcPr>
          <w:p w14:paraId="154B198D"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F</w:t>
            </w:r>
          </w:p>
        </w:tc>
        <w:tc>
          <w:tcPr>
            <w:tcW w:w="1260" w:type="dxa"/>
          </w:tcPr>
          <w:p w14:paraId="7D1FE606"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Both</w:t>
            </w:r>
          </w:p>
        </w:tc>
      </w:tr>
      <w:tr w:rsidR="00CA0EF0" w:rsidRPr="00361E30" w14:paraId="61F5381E" w14:textId="77777777" w:rsidTr="003C13F4">
        <w:tc>
          <w:tcPr>
            <w:tcW w:w="738" w:type="dxa"/>
          </w:tcPr>
          <w:p w14:paraId="637EECD9"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DR10</w:t>
            </w:r>
          </w:p>
        </w:tc>
        <w:tc>
          <w:tcPr>
            <w:tcW w:w="1350" w:type="dxa"/>
          </w:tcPr>
          <w:p w14:paraId="17512A09"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30/06/2017</w:t>
            </w:r>
          </w:p>
        </w:tc>
        <w:tc>
          <w:tcPr>
            <w:tcW w:w="450" w:type="dxa"/>
          </w:tcPr>
          <w:p w14:paraId="1FC64FA6"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55</w:t>
            </w:r>
          </w:p>
        </w:tc>
        <w:tc>
          <w:tcPr>
            <w:tcW w:w="2160" w:type="dxa"/>
            <w:gridSpan w:val="2"/>
          </w:tcPr>
          <w:p w14:paraId="15EA4582" w14:textId="77777777" w:rsidR="00CA0EF0" w:rsidRPr="00361E30" w:rsidRDefault="00CA0EF0" w:rsidP="003C13F4">
            <w:pPr>
              <w:spacing w:line="240" w:lineRule="auto"/>
              <w:rPr>
                <w:lang w:val="en-GB"/>
              </w:rPr>
            </w:pPr>
            <w:r w:rsidRPr="00361E30">
              <w:rPr>
                <w:lang w:val="en-GB"/>
              </w:rPr>
              <w:t>Senior Clinician/</w:t>
            </w:r>
          </w:p>
          <w:p w14:paraId="57795A87" w14:textId="77777777" w:rsidR="00CA0EF0" w:rsidRPr="00361E30" w:rsidRDefault="00CA0EF0" w:rsidP="003C13F4">
            <w:pPr>
              <w:spacing w:line="240" w:lineRule="auto"/>
              <w:rPr>
                <w:lang w:val="en-GB"/>
              </w:rPr>
            </w:pPr>
            <w:r w:rsidRPr="00361E30">
              <w:rPr>
                <w:lang w:val="en-GB"/>
              </w:rPr>
              <w:t xml:space="preserve">Consultant </w:t>
            </w:r>
          </w:p>
        </w:tc>
        <w:tc>
          <w:tcPr>
            <w:tcW w:w="1530" w:type="dxa"/>
          </w:tcPr>
          <w:p w14:paraId="6592BFC3" w14:textId="77777777" w:rsidR="00CA0EF0" w:rsidRPr="00361E30" w:rsidRDefault="00CA0EF0" w:rsidP="003C13F4">
            <w:pPr>
              <w:spacing w:line="240" w:lineRule="auto"/>
              <w:rPr>
                <w:rFonts w:cstheme="minorHAnsi"/>
                <w:sz w:val="20"/>
                <w:szCs w:val="20"/>
                <w:lang w:val="en-GB"/>
              </w:rPr>
            </w:pPr>
            <w:r w:rsidRPr="00361E30">
              <w:rPr>
                <w:lang w:val="en-GB"/>
              </w:rPr>
              <w:t>Rehabilitation Services</w:t>
            </w:r>
          </w:p>
        </w:tc>
        <w:tc>
          <w:tcPr>
            <w:tcW w:w="450" w:type="dxa"/>
          </w:tcPr>
          <w:p w14:paraId="49D38A0F"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20</w:t>
            </w:r>
          </w:p>
        </w:tc>
        <w:tc>
          <w:tcPr>
            <w:tcW w:w="630" w:type="dxa"/>
          </w:tcPr>
          <w:p w14:paraId="536442B5"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8</w:t>
            </w:r>
          </w:p>
        </w:tc>
        <w:tc>
          <w:tcPr>
            <w:tcW w:w="450" w:type="dxa"/>
          </w:tcPr>
          <w:p w14:paraId="485FEAC0"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F</w:t>
            </w:r>
          </w:p>
        </w:tc>
        <w:tc>
          <w:tcPr>
            <w:tcW w:w="1260" w:type="dxa"/>
          </w:tcPr>
          <w:p w14:paraId="22BDAF27"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Both</w:t>
            </w:r>
          </w:p>
        </w:tc>
      </w:tr>
      <w:tr w:rsidR="00CA0EF0" w:rsidRPr="00361E30" w14:paraId="76FE382A" w14:textId="77777777" w:rsidTr="003C13F4">
        <w:tc>
          <w:tcPr>
            <w:tcW w:w="738" w:type="dxa"/>
            <w:tcBorders>
              <w:bottom w:val="single" w:sz="4" w:space="0" w:color="auto"/>
            </w:tcBorders>
          </w:tcPr>
          <w:p w14:paraId="1776C5A5"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DR11</w:t>
            </w:r>
          </w:p>
        </w:tc>
        <w:tc>
          <w:tcPr>
            <w:tcW w:w="1350" w:type="dxa"/>
            <w:tcBorders>
              <w:bottom w:val="single" w:sz="4" w:space="0" w:color="auto"/>
            </w:tcBorders>
          </w:tcPr>
          <w:p w14:paraId="42891040"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03/07/2017</w:t>
            </w:r>
          </w:p>
          <w:p w14:paraId="1F4141C4"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(telephone)</w:t>
            </w:r>
          </w:p>
        </w:tc>
        <w:tc>
          <w:tcPr>
            <w:tcW w:w="450" w:type="dxa"/>
            <w:tcBorders>
              <w:bottom w:val="single" w:sz="4" w:space="0" w:color="auto"/>
            </w:tcBorders>
          </w:tcPr>
          <w:p w14:paraId="2584BFDE"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38</w:t>
            </w:r>
          </w:p>
        </w:tc>
        <w:tc>
          <w:tcPr>
            <w:tcW w:w="2160" w:type="dxa"/>
            <w:gridSpan w:val="2"/>
            <w:tcBorders>
              <w:bottom w:val="single" w:sz="4" w:space="0" w:color="auto"/>
            </w:tcBorders>
          </w:tcPr>
          <w:p w14:paraId="70C15BF2"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Consultant Paramedic/</w:t>
            </w:r>
          </w:p>
          <w:p w14:paraId="44F14AE0"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Preceptor/Educator</w:t>
            </w:r>
          </w:p>
        </w:tc>
        <w:tc>
          <w:tcPr>
            <w:tcW w:w="1530" w:type="dxa"/>
            <w:tcBorders>
              <w:bottom w:val="single" w:sz="4" w:space="0" w:color="auto"/>
            </w:tcBorders>
          </w:tcPr>
          <w:p w14:paraId="77D245DE"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Ambulance Service</w:t>
            </w:r>
          </w:p>
        </w:tc>
        <w:tc>
          <w:tcPr>
            <w:tcW w:w="450" w:type="dxa"/>
            <w:tcBorders>
              <w:bottom w:val="single" w:sz="4" w:space="0" w:color="auto"/>
            </w:tcBorders>
          </w:tcPr>
          <w:p w14:paraId="58CF5553"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24</w:t>
            </w:r>
          </w:p>
        </w:tc>
        <w:tc>
          <w:tcPr>
            <w:tcW w:w="630" w:type="dxa"/>
            <w:tcBorders>
              <w:bottom w:val="single" w:sz="4" w:space="0" w:color="auto"/>
            </w:tcBorders>
          </w:tcPr>
          <w:p w14:paraId="25093EC6"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15</w:t>
            </w:r>
          </w:p>
        </w:tc>
        <w:tc>
          <w:tcPr>
            <w:tcW w:w="450" w:type="dxa"/>
            <w:tcBorders>
              <w:bottom w:val="single" w:sz="4" w:space="0" w:color="auto"/>
            </w:tcBorders>
          </w:tcPr>
          <w:p w14:paraId="6EBA01CD"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M</w:t>
            </w:r>
          </w:p>
        </w:tc>
        <w:tc>
          <w:tcPr>
            <w:tcW w:w="1260" w:type="dxa"/>
            <w:tcBorders>
              <w:bottom w:val="single" w:sz="4" w:space="0" w:color="auto"/>
            </w:tcBorders>
          </w:tcPr>
          <w:p w14:paraId="70E40770"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Both</w:t>
            </w:r>
          </w:p>
        </w:tc>
      </w:tr>
      <w:tr w:rsidR="00CA0EF0" w:rsidRPr="00361E30" w14:paraId="30CD934A" w14:textId="77777777" w:rsidTr="003C13F4">
        <w:tc>
          <w:tcPr>
            <w:tcW w:w="9018" w:type="dxa"/>
            <w:gridSpan w:val="10"/>
            <w:tcBorders>
              <w:top w:val="single" w:sz="4" w:space="0" w:color="auto"/>
              <w:bottom w:val="single" w:sz="4" w:space="0" w:color="auto"/>
            </w:tcBorders>
            <w:shd w:val="clear" w:color="auto" w:fill="D9D9D9" w:themeFill="background1" w:themeFillShade="D9"/>
          </w:tcPr>
          <w:p w14:paraId="11BD936E" w14:textId="77777777" w:rsidR="00CA0EF0" w:rsidRPr="00361E30" w:rsidRDefault="00CA0EF0" w:rsidP="003C13F4">
            <w:pPr>
              <w:spacing w:line="240" w:lineRule="auto"/>
              <w:rPr>
                <w:rFonts w:cstheme="minorHAnsi"/>
                <w:b/>
                <w:sz w:val="20"/>
                <w:szCs w:val="20"/>
                <w:lang w:val="en-GB"/>
              </w:rPr>
            </w:pPr>
            <w:r w:rsidRPr="00361E30">
              <w:rPr>
                <w:rFonts w:cstheme="minorHAnsi"/>
                <w:b/>
                <w:sz w:val="20"/>
                <w:szCs w:val="20"/>
                <w:lang w:val="en-GB"/>
              </w:rPr>
              <w:t>Site 02</w:t>
            </w:r>
          </w:p>
        </w:tc>
      </w:tr>
      <w:tr w:rsidR="00CA0EF0" w:rsidRPr="00361E30" w14:paraId="737B0A49" w14:textId="77777777" w:rsidTr="003C13F4">
        <w:tc>
          <w:tcPr>
            <w:tcW w:w="738" w:type="dxa"/>
            <w:tcBorders>
              <w:top w:val="single" w:sz="4" w:space="0" w:color="auto"/>
            </w:tcBorders>
          </w:tcPr>
          <w:p w14:paraId="59985DCA"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AT01</w:t>
            </w:r>
          </w:p>
        </w:tc>
        <w:tc>
          <w:tcPr>
            <w:tcW w:w="1350" w:type="dxa"/>
            <w:tcBorders>
              <w:top w:val="single" w:sz="4" w:space="0" w:color="auto"/>
            </w:tcBorders>
          </w:tcPr>
          <w:p w14:paraId="4552FB67"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31/08/2017</w:t>
            </w:r>
          </w:p>
        </w:tc>
        <w:tc>
          <w:tcPr>
            <w:tcW w:w="450" w:type="dxa"/>
            <w:tcBorders>
              <w:top w:val="single" w:sz="4" w:space="0" w:color="auto"/>
            </w:tcBorders>
          </w:tcPr>
          <w:p w14:paraId="1B838346"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50</w:t>
            </w:r>
          </w:p>
        </w:tc>
        <w:tc>
          <w:tcPr>
            <w:tcW w:w="2160" w:type="dxa"/>
            <w:gridSpan w:val="2"/>
            <w:tcBorders>
              <w:top w:val="single" w:sz="4" w:space="0" w:color="auto"/>
            </w:tcBorders>
          </w:tcPr>
          <w:p w14:paraId="1F4FDAA4"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Lead Physiotherapist</w:t>
            </w:r>
          </w:p>
        </w:tc>
        <w:tc>
          <w:tcPr>
            <w:tcW w:w="1530" w:type="dxa"/>
            <w:tcBorders>
              <w:top w:val="single" w:sz="4" w:space="0" w:color="auto"/>
            </w:tcBorders>
          </w:tcPr>
          <w:p w14:paraId="5583809F"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Trauma/</w:t>
            </w:r>
          </w:p>
          <w:p w14:paraId="30EA32B2"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Rehabilitation</w:t>
            </w:r>
          </w:p>
        </w:tc>
        <w:tc>
          <w:tcPr>
            <w:tcW w:w="450" w:type="dxa"/>
            <w:tcBorders>
              <w:top w:val="single" w:sz="4" w:space="0" w:color="auto"/>
            </w:tcBorders>
          </w:tcPr>
          <w:p w14:paraId="23A7B5D3"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15</w:t>
            </w:r>
          </w:p>
        </w:tc>
        <w:tc>
          <w:tcPr>
            <w:tcW w:w="630" w:type="dxa"/>
            <w:tcBorders>
              <w:top w:val="single" w:sz="4" w:space="0" w:color="auto"/>
            </w:tcBorders>
          </w:tcPr>
          <w:p w14:paraId="73F72D5A"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5</w:t>
            </w:r>
          </w:p>
        </w:tc>
        <w:tc>
          <w:tcPr>
            <w:tcW w:w="450" w:type="dxa"/>
            <w:tcBorders>
              <w:top w:val="single" w:sz="4" w:space="0" w:color="auto"/>
            </w:tcBorders>
          </w:tcPr>
          <w:p w14:paraId="6C93BD65"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F</w:t>
            </w:r>
          </w:p>
        </w:tc>
        <w:tc>
          <w:tcPr>
            <w:tcW w:w="1260" w:type="dxa"/>
            <w:tcBorders>
              <w:top w:val="single" w:sz="4" w:space="0" w:color="auto"/>
            </w:tcBorders>
          </w:tcPr>
          <w:p w14:paraId="7AD5B483"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Both</w:t>
            </w:r>
          </w:p>
        </w:tc>
      </w:tr>
      <w:tr w:rsidR="00CA0EF0" w:rsidRPr="00361E30" w14:paraId="2F9C58CC" w14:textId="77777777" w:rsidTr="003C13F4">
        <w:tc>
          <w:tcPr>
            <w:tcW w:w="738" w:type="dxa"/>
          </w:tcPr>
          <w:p w14:paraId="524686BC"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AT02</w:t>
            </w:r>
          </w:p>
          <w:p w14:paraId="76ABA9A5" w14:textId="77777777" w:rsidR="00CA0EF0" w:rsidRPr="00361E30" w:rsidRDefault="00CA0EF0" w:rsidP="003C13F4">
            <w:pPr>
              <w:spacing w:line="240" w:lineRule="auto"/>
              <w:rPr>
                <w:rFonts w:cstheme="minorHAnsi"/>
                <w:sz w:val="20"/>
                <w:szCs w:val="20"/>
                <w:lang w:val="en-GB"/>
              </w:rPr>
            </w:pPr>
          </w:p>
        </w:tc>
        <w:tc>
          <w:tcPr>
            <w:tcW w:w="1350" w:type="dxa"/>
          </w:tcPr>
          <w:p w14:paraId="3298067E"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01/09/2017</w:t>
            </w:r>
          </w:p>
        </w:tc>
        <w:tc>
          <w:tcPr>
            <w:tcW w:w="450" w:type="dxa"/>
          </w:tcPr>
          <w:p w14:paraId="0D3DEAD1"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39</w:t>
            </w:r>
          </w:p>
        </w:tc>
        <w:tc>
          <w:tcPr>
            <w:tcW w:w="2160" w:type="dxa"/>
            <w:gridSpan w:val="2"/>
          </w:tcPr>
          <w:p w14:paraId="1B65FBA4"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Registrar</w:t>
            </w:r>
          </w:p>
        </w:tc>
        <w:tc>
          <w:tcPr>
            <w:tcW w:w="1530" w:type="dxa"/>
          </w:tcPr>
          <w:p w14:paraId="32738065"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ICU</w:t>
            </w:r>
          </w:p>
        </w:tc>
        <w:tc>
          <w:tcPr>
            <w:tcW w:w="450" w:type="dxa"/>
          </w:tcPr>
          <w:p w14:paraId="141176EA"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9</w:t>
            </w:r>
          </w:p>
        </w:tc>
        <w:tc>
          <w:tcPr>
            <w:tcW w:w="630" w:type="dxa"/>
          </w:tcPr>
          <w:p w14:paraId="7D0BA8C6"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7/12</w:t>
            </w:r>
          </w:p>
        </w:tc>
        <w:tc>
          <w:tcPr>
            <w:tcW w:w="450" w:type="dxa"/>
          </w:tcPr>
          <w:p w14:paraId="4356B5DB"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M</w:t>
            </w:r>
          </w:p>
        </w:tc>
        <w:tc>
          <w:tcPr>
            <w:tcW w:w="1260" w:type="dxa"/>
          </w:tcPr>
          <w:p w14:paraId="708B6B32"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Operational</w:t>
            </w:r>
          </w:p>
        </w:tc>
      </w:tr>
      <w:tr w:rsidR="00CA0EF0" w:rsidRPr="00361E30" w14:paraId="62B1340A" w14:textId="77777777" w:rsidTr="003C13F4">
        <w:tc>
          <w:tcPr>
            <w:tcW w:w="738" w:type="dxa"/>
          </w:tcPr>
          <w:p w14:paraId="1C0758DD"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AT03</w:t>
            </w:r>
          </w:p>
        </w:tc>
        <w:tc>
          <w:tcPr>
            <w:tcW w:w="1350" w:type="dxa"/>
          </w:tcPr>
          <w:p w14:paraId="60E8C616"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01/09/2017</w:t>
            </w:r>
          </w:p>
        </w:tc>
        <w:tc>
          <w:tcPr>
            <w:tcW w:w="450" w:type="dxa"/>
          </w:tcPr>
          <w:p w14:paraId="5D0435D9"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39</w:t>
            </w:r>
          </w:p>
        </w:tc>
        <w:tc>
          <w:tcPr>
            <w:tcW w:w="2160" w:type="dxa"/>
            <w:gridSpan w:val="2"/>
          </w:tcPr>
          <w:p w14:paraId="0592A957"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Registrar</w:t>
            </w:r>
          </w:p>
        </w:tc>
        <w:tc>
          <w:tcPr>
            <w:tcW w:w="1530" w:type="dxa"/>
          </w:tcPr>
          <w:p w14:paraId="66772A79"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Emergency Medicine</w:t>
            </w:r>
          </w:p>
        </w:tc>
        <w:tc>
          <w:tcPr>
            <w:tcW w:w="450" w:type="dxa"/>
          </w:tcPr>
          <w:p w14:paraId="04A542D2"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7</w:t>
            </w:r>
          </w:p>
        </w:tc>
        <w:tc>
          <w:tcPr>
            <w:tcW w:w="630" w:type="dxa"/>
          </w:tcPr>
          <w:p w14:paraId="5301241E"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1/12</w:t>
            </w:r>
          </w:p>
        </w:tc>
        <w:tc>
          <w:tcPr>
            <w:tcW w:w="450" w:type="dxa"/>
          </w:tcPr>
          <w:p w14:paraId="6DD364B8"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F</w:t>
            </w:r>
          </w:p>
        </w:tc>
        <w:tc>
          <w:tcPr>
            <w:tcW w:w="1260" w:type="dxa"/>
          </w:tcPr>
          <w:p w14:paraId="61CBCE2B"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Operational</w:t>
            </w:r>
          </w:p>
        </w:tc>
      </w:tr>
      <w:tr w:rsidR="00CA0EF0" w:rsidRPr="00361E30" w14:paraId="1041721E" w14:textId="77777777" w:rsidTr="003C13F4">
        <w:tc>
          <w:tcPr>
            <w:tcW w:w="738" w:type="dxa"/>
          </w:tcPr>
          <w:p w14:paraId="43265D77"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AT04</w:t>
            </w:r>
          </w:p>
        </w:tc>
        <w:tc>
          <w:tcPr>
            <w:tcW w:w="1350" w:type="dxa"/>
          </w:tcPr>
          <w:p w14:paraId="31DC8568"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06/09/2017</w:t>
            </w:r>
          </w:p>
        </w:tc>
        <w:tc>
          <w:tcPr>
            <w:tcW w:w="450" w:type="dxa"/>
          </w:tcPr>
          <w:p w14:paraId="73F6C530"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53</w:t>
            </w:r>
          </w:p>
        </w:tc>
        <w:tc>
          <w:tcPr>
            <w:tcW w:w="2160" w:type="dxa"/>
            <w:gridSpan w:val="2"/>
          </w:tcPr>
          <w:p w14:paraId="5CF7BD8B"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Nurse/</w:t>
            </w:r>
          </w:p>
          <w:p w14:paraId="272F681F"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Trauma Coordinator</w:t>
            </w:r>
          </w:p>
        </w:tc>
        <w:tc>
          <w:tcPr>
            <w:tcW w:w="1530" w:type="dxa"/>
          </w:tcPr>
          <w:p w14:paraId="60BA32F2"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Trauma Team</w:t>
            </w:r>
          </w:p>
        </w:tc>
        <w:tc>
          <w:tcPr>
            <w:tcW w:w="450" w:type="dxa"/>
          </w:tcPr>
          <w:p w14:paraId="624144E7"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19</w:t>
            </w:r>
          </w:p>
        </w:tc>
        <w:tc>
          <w:tcPr>
            <w:tcW w:w="630" w:type="dxa"/>
          </w:tcPr>
          <w:p w14:paraId="7CFD4DB2"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19</w:t>
            </w:r>
          </w:p>
        </w:tc>
        <w:tc>
          <w:tcPr>
            <w:tcW w:w="450" w:type="dxa"/>
          </w:tcPr>
          <w:p w14:paraId="1C9AA891"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M</w:t>
            </w:r>
          </w:p>
        </w:tc>
        <w:tc>
          <w:tcPr>
            <w:tcW w:w="1260" w:type="dxa"/>
          </w:tcPr>
          <w:p w14:paraId="744182BD"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Both</w:t>
            </w:r>
          </w:p>
        </w:tc>
      </w:tr>
      <w:tr w:rsidR="00CA0EF0" w:rsidRPr="00361E30" w14:paraId="0228F2A6" w14:textId="77777777" w:rsidTr="003C13F4">
        <w:tc>
          <w:tcPr>
            <w:tcW w:w="738" w:type="dxa"/>
          </w:tcPr>
          <w:p w14:paraId="39C39A47"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AT05</w:t>
            </w:r>
          </w:p>
        </w:tc>
        <w:tc>
          <w:tcPr>
            <w:tcW w:w="1350" w:type="dxa"/>
          </w:tcPr>
          <w:p w14:paraId="2002642C"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06/09/2017</w:t>
            </w:r>
          </w:p>
        </w:tc>
        <w:tc>
          <w:tcPr>
            <w:tcW w:w="450" w:type="dxa"/>
          </w:tcPr>
          <w:p w14:paraId="16C99F50"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39</w:t>
            </w:r>
          </w:p>
        </w:tc>
        <w:tc>
          <w:tcPr>
            <w:tcW w:w="2160" w:type="dxa"/>
            <w:gridSpan w:val="2"/>
          </w:tcPr>
          <w:p w14:paraId="4FF183CC"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Advanced Paramedic</w:t>
            </w:r>
          </w:p>
        </w:tc>
        <w:tc>
          <w:tcPr>
            <w:tcW w:w="1530" w:type="dxa"/>
          </w:tcPr>
          <w:p w14:paraId="7F5A0ABD"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Ambulance Service</w:t>
            </w:r>
          </w:p>
        </w:tc>
        <w:tc>
          <w:tcPr>
            <w:tcW w:w="450" w:type="dxa"/>
          </w:tcPr>
          <w:p w14:paraId="3C5AE880"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20</w:t>
            </w:r>
          </w:p>
        </w:tc>
        <w:tc>
          <w:tcPr>
            <w:tcW w:w="630" w:type="dxa"/>
          </w:tcPr>
          <w:p w14:paraId="06964973"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20</w:t>
            </w:r>
          </w:p>
        </w:tc>
        <w:tc>
          <w:tcPr>
            <w:tcW w:w="450" w:type="dxa"/>
          </w:tcPr>
          <w:p w14:paraId="4E8C772D"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M</w:t>
            </w:r>
          </w:p>
        </w:tc>
        <w:tc>
          <w:tcPr>
            <w:tcW w:w="1260" w:type="dxa"/>
          </w:tcPr>
          <w:p w14:paraId="7DC4CE3D"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Operational</w:t>
            </w:r>
          </w:p>
        </w:tc>
      </w:tr>
      <w:tr w:rsidR="00CA0EF0" w:rsidRPr="00361E30" w14:paraId="57245608" w14:textId="77777777" w:rsidTr="003C13F4">
        <w:tc>
          <w:tcPr>
            <w:tcW w:w="738" w:type="dxa"/>
          </w:tcPr>
          <w:p w14:paraId="77F180C6"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AT06</w:t>
            </w:r>
          </w:p>
        </w:tc>
        <w:tc>
          <w:tcPr>
            <w:tcW w:w="1350" w:type="dxa"/>
          </w:tcPr>
          <w:p w14:paraId="06E62E29"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07/09/2017</w:t>
            </w:r>
          </w:p>
        </w:tc>
        <w:tc>
          <w:tcPr>
            <w:tcW w:w="450" w:type="dxa"/>
          </w:tcPr>
          <w:p w14:paraId="4785999C"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31</w:t>
            </w:r>
          </w:p>
        </w:tc>
        <w:tc>
          <w:tcPr>
            <w:tcW w:w="2160" w:type="dxa"/>
            <w:gridSpan w:val="2"/>
          </w:tcPr>
          <w:p w14:paraId="6B62D0C8"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Deputy Director of Operations</w:t>
            </w:r>
          </w:p>
        </w:tc>
        <w:tc>
          <w:tcPr>
            <w:tcW w:w="1530" w:type="dxa"/>
          </w:tcPr>
          <w:p w14:paraId="48F08410"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Emergency/ Acute Care</w:t>
            </w:r>
          </w:p>
        </w:tc>
        <w:tc>
          <w:tcPr>
            <w:tcW w:w="450" w:type="dxa"/>
          </w:tcPr>
          <w:p w14:paraId="4E0739F2"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23</w:t>
            </w:r>
          </w:p>
        </w:tc>
        <w:tc>
          <w:tcPr>
            <w:tcW w:w="630" w:type="dxa"/>
          </w:tcPr>
          <w:p w14:paraId="0646D47B"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23</w:t>
            </w:r>
          </w:p>
        </w:tc>
        <w:tc>
          <w:tcPr>
            <w:tcW w:w="450" w:type="dxa"/>
          </w:tcPr>
          <w:p w14:paraId="665224CF"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F</w:t>
            </w:r>
          </w:p>
        </w:tc>
        <w:tc>
          <w:tcPr>
            <w:tcW w:w="1260" w:type="dxa"/>
          </w:tcPr>
          <w:p w14:paraId="785B06E4"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Strategic</w:t>
            </w:r>
          </w:p>
        </w:tc>
      </w:tr>
      <w:tr w:rsidR="00CA0EF0" w:rsidRPr="00361E30" w14:paraId="32055BB5" w14:textId="77777777" w:rsidTr="003C13F4">
        <w:tc>
          <w:tcPr>
            <w:tcW w:w="738" w:type="dxa"/>
          </w:tcPr>
          <w:p w14:paraId="28055ED4"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AT07</w:t>
            </w:r>
          </w:p>
        </w:tc>
        <w:tc>
          <w:tcPr>
            <w:tcW w:w="1350" w:type="dxa"/>
          </w:tcPr>
          <w:p w14:paraId="7113B066"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12/09/2017</w:t>
            </w:r>
          </w:p>
        </w:tc>
        <w:tc>
          <w:tcPr>
            <w:tcW w:w="450" w:type="dxa"/>
          </w:tcPr>
          <w:p w14:paraId="1B631A8A"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36</w:t>
            </w:r>
          </w:p>
        </w:tc>
        <w:tc>
          <w:tcPr>
            <w:tcW w:w="2160" w:type="dxa"/>
            <w:gridSpan w:val="2"/>
          </w:tcPr>
          <w:p w14:paraId="43FDDFBF"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Nurse</w:t>
            </w:r>
          </w:p>
        </w:tc>
        <w:tc>
          <w:tcPr>
            <w:tcW w:w="1530" w:type="dxa"/>
          </w:tcPr>
          <w:p w14:paraId="7D7D8464"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Emergency Medicine</w:t>
            </w:r>
          </w:p>
        </w:tc>
        <w:tc>
          <w:tcPr>
            <w:tcW w:w="450" w:type="dxa"/>
          </w:tcPr>
          <w:p w14:paraId="534CE0A5"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1</w:t>
            </w:r>
          </w:p>
        </w:tc>
        <w:tc>
          <w:tcPr>
            <w:tcW w:w="630" w:type="dxa"/>
          </w:tcPr>
          <w:p w14:paraId="4752FE92"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1</w:t>
            </w:r>
          </w:p>
        </w:tc>
        <w:tc>
          <w:tcPr>
            <w:tcW w:w="450" w:type="dxa"/>
          </w:tcPr>
          <w:p w14:paraId="55FCFEB4"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F</w:t>
            </w:r>
          </w:p>
        </w:tc>
        <w:tc>
          <w:tcPr>
            <w:tcW w:w="1260" w:type="dxa"/>
          </w:tcPr>
          <w:p w14:paraId="65C42D29"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Operational</w:t>
            </w:r>
          </w:p>
        </w:tc>
      </w:tr>
      <w:tr w:rsidR="00CA0EF0" w:rsidRPr="00361E30" w14:paraId="164A4FD9" w14:textId="77777777" w:rsidTr="003C13F4">
        <w:tc>
          <w:tcPr>
            <w:tcW w:w="738" w:type="dxa"/>
          </w:tcPr>
          <w:p w14:paraId="129BF21E"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AT08</w:t>
            </w:r>
          </w:p>
        </w:tc>
        <w:tc>
          <w:tcPr>
            <w:tcW w:w="1350" w:type="dxa"/>
          </w:tcPr>
          <w:p w14:paraId="03A427B1"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15/09/2017</w:t>
            </w:r>
          </w:p>
        </w:tc>
        <w:tc>
          <w:tcPr>
            <w:tcW w:w="450" w:type="dxa"/>
          </w:tcPr>
          <w:p w14:paraId="4B936D05"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41</w:t>
            </w:r>
          </w:p>
        </w:tc>
        <w:tc>
          <w:tcPr>
            <w:tcW w:w="2160" w:type="dxa"/>
            <w:gridSpan w:val="2"/>
          </w:tcPr>
          <w:p w14:paraId="71CA29BC"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Consultant</w:t>
            </w:r>
          </w:p>
        </w:tc>
        <w:tc>
          <w:tcPr>
            <w:tcW w:w="1530" w:type="dxa"/>
          </w:tcPr>
          <w:p w14:paraId="73B01817"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Ortho-Geriatrics</w:t>
            </w:r>
          </w:p>
        </w:tc>
        <w:tc>
          <w:tcPr>
            <w:tcW w:w="450" w:type="dxa"/>
          </w:tcPr>
          <w:p w14:paraId="459921DE"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17</w:t>
            </w:r>
          </w:p>
        </w:tc>
        <w:tc>
          <w:tcPr>
            <w:tcW w:w="630" w:type="dxa"/>
          </w:tcPr>
          <w:p w14:paraId="1EB510B3"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3</w:t>
            </w:r>
          </w:p>
        </w:tc>
        <w:tc>
          <w:tcPr>
            <w:tcW w:w="450" w:type="dxa"/>
          </w:tcPr>
          <w:p w14:paraId="234E6EB5"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F</w:t>
            </w:r>
          </w:p>
        </w:tc>
        <w:tc>
          <w:tcPr>
            <w:tcW w:w="1260" w:type="dxa"/>
          </w:tcPr>
          <w:p w14:paraId="12F9DAC4"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Both</w:t>
            </w:r>
          </w:p>
        </w:tc>
      </w:tr>
      <w:tr w:rsidR="00CA0EF0" w:rsidRPr="00361E30" w14:paraId="3DFE30EC" w14:textId="77777777" w:rsidTr="003C13F4">
        <w:tc>
          <w:tcPr>
            <w:tcW w:w="738" w:type="dxa"/>
            <w:tcBorders>
              <w:bottom w:val="single" w:sz="4" w:space="0" w:color="auto"/>
            </w:tcBorders>
          </w:tcPr>
          <w:p w14:paraId="3BE5E59D"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AT09</w:t>
            </w:r>
          </w:p>
        </w:tc>
        <w:tc>
          <w:tcPr>
            <w:tcW w:w="1350" w:type="dxa"/>
            <w:tcBorders>
              <w:bottom w:val="single" w:sz="4" w:space="0" w:color="auto"/>
            </w:tcBorders>
          </w:tcPr>
          <w:p w14:paraId="7DA69132"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18/09/2017</w:t>
            </w:r>
          </w:p>
        </w:tc>
        <w:tc>
          <w:tcPr>
            <w:tcW w:w="450" w:type="dxa"/>
            <w:tcBorders>
              <w:bottom w:val="single" w:sz="4" w:space="0" w:color="auto"/>
            </w:tcBorders>
          </w:tcPr>
          <w:p w14:paraId="7A1D3135"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44</w:t>
            </w:r>
          </w:p>
        </w:tc>
        <w:tc>
          <w:tcPr>
            <w:tcW w:w="2160" w:type="dxa"/>
            <w:gridSpan w:val="2"/>
            <w:tcBorders>
              <w:bottom w:val="single" w:sz="4" w:space="0" w:color="auto"/>
            </w:tcBorders>
          </w:tcPr>
          <w:p w14:paraId="4CF5BCCF"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Consultant</w:t>
            </w:r>
          </w:p>
        </w:tc>
        <w:tc>
          <w:tcPr>
            <w:tcW w:w="1530" w:type="dxa"/>
            <w:tcBorders>
              <w:bottom w:val="single" w:sz="4" w:space="0" w:color="auto"/>
            </w:tcBorders>
          </w:tcPr>
          <w:p w14:paraId="0A592319"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Emergency Medicine</w:t>
            </w:r>
          </w:p>
        </w:tc>
        <w:tc>
          <w:tcPr>
            <w:tcW w:w="450" w:type="dxa"/>
            <w:tcBorders>
              <w:bottom w:val="single" w:sz="4" w:space="0" w:color="auto"/>
            </w:tcBorders>
          </w:tcPr>
          <w:p w14:paraId="18A43E04"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11</w:t>
            </w:r>
          </w:p>
        </w:tc>
        <w:tc>
          <w:tcPr>
            <w:tcW w:w="630" w:type="dxa"/>
            <w:tcBorders>
              <w:bottom w:val="single" w:sz="4" w:space="0" w:color="auto"/>
            </w:tcBorders>
          </w:tcPr>
          <w:p w14:paraId="6FEBE150"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5/12</w:t>
            </w:r>
          </w:p>
        </w:tc>
        <w:tc>
          <w:tcPr>
            <w:tcW w:w="450" w:type="dxa"/>
            <w:tcBorders>
              <w:bottom w:val="single" w:sz="4" w:space="0" w:color="auto"/>
            </w:tcBorders>
          </w:tcPr>
          <w:p w14:paraId="472FAD4D"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M</w:t>
            </w:r>
          </w:p>
        </w:tc>
        <w:tc>
          <w:tcPr>
            <w:tcW w:w="1260" w:type="dxa"/>
            <w:tcBorders>
              <w:bottom w:val="single" w:sz="4" w:space="0" w:color="auto"/>
            </w:tcBorders>
          </w:tcPr>
          <w:p w14:paraId="0B184AE7" w14:textId="77777777" w:rsidR="00CA0EF0" w:rsidRPr="00361E30" w:rsidRDefault="00CA0EF0" w:rsidP="003C13F4">
            <w:pPr>
              <w:spacing w:line="240" w:lineRule="auto"/>
              <w:rPr>
                <w:rFonts w:cstheme="minorHAnsi"/>
                <w:sz w:val="20"/>
                <w:szCs w:val="20"/>
                <w:lang w:val="en-GB"/>
              </w:rPr>
            </w:pPr>
            <w:r w:rsidRPr="00361E30">
              <w:rPr>
                <w:rFonts w:cstheme="minorHAnsi"/>
                <w:sz w:val="20"/>
                <w:szCs w:val="20"/>
                <w:lang w:val="en-GB"/>
              </w:rPr>
              <w:t>Both</w:t>
            </w:r>
          </w:p>
        </w:tc>
      </w:tr>
    </w:tbl>
    <w:p w14:paraId="5BA79FA1" w14:textId="77777777" w:rsidR="00CA0EF0" w:rsidRPr="00361E30" w:rsidRDefault="00CA0EF0" w:rsidP="003C13F4"/>
    <w:p w14:paraId="48A3D1C8" w14:textId="77777777" w:rsidR="00CA0EF0" w:rsidRPr="00361E30" w:rsidRDefault="00CA0EF0">
      <w:pPr>
        <w:spacing w:line="276" w:lineRule="auto"/>
        <w:jc w:val="left"/>
      </w:pPr>
      <w:r w:rsidRPr="00361E30">
        <w:br w:type="page"/>
      </w:r>
    </w:p>
    <w:p w14:paraId="4FB3CDE2" w14:textId="77777777" w:rsidR="00CA0EF0" w:rsidRPr="00361E30" w:rsidRDefault="00CA0EF0" w:rsidP="003C13F4">
      <w:pPr>
        <w:pStyle w:val="ChapterHeading"/>
      </w:pPr>
      <w:bookmarkStart w:id="457" w:name="_Toc1902382"/>
      <w:r w:rsidRPr="00361E30">
        <w:lastRenderedPageBreak/>
        <w:t>Appendix 5 – Topic Guide</w:t>
      </w:r>
      <w:bookmarkEnd w:id="457"/>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020"/>
        <w:gridCol w:w="5476"/>
      </w:tblGrid>
      <w:tr w:rsidR="00CA0EF0" w:rsidRPr="00361E30" w14:paraId="2DE71599" w14:textId="77777777" w:rsidTr="003C13F4">
        <w:tc>
          <w:tcPr>
            <w:tcW w:w="8694" w:type="dxa"/>
            <w:gridSpan w:val="2"/>
            <w:tcBorders>
              <w:top w:val="single" w:sz="4" w:space="0" w:color="auto"/>
              <w:bottom w:val="single" w:sz="4" w:space="0" w:color="auto"/>
            </w:tcBorders>
            <w:shd w:val="clear" w:color="auto" w:fill="D9D9D9" w:themeFill="background1" w:themeFillShade="D9"/>
          </w:tcPr>
          <w:p w14:paraId="3FEE23FA" w14:textId="77777777" w:rsidR="00CA0EF0" w:rsidRPr="00361E30" w:rsidRDefault="00CA0EF0" w:rsidP="003C13F4">
            <w:pPr>
              <w:spacing w:line="240" w:lineRule="auto"/>
              <w:jc w:val="left"/>
              <w:rPr>
                <w:rFonts w:cstheme="minorHAnsi"/>
                <w:b/>
                <w:sz w:val="20"/>
                <w:szCs w:val="20"/>
                <w:lang w:val="en-GB"/>
              </w:rPr>
            </w:pPr>
            <w:r w:rsidRPr="00361E30">
              <w:rPr>
                <w:rFonts w:cstheme="minorHAnsi"/>
                <w:b/>
                <w:sz w:val="20"/>
                <w:szCs w:val="20"/>
                <w:lang w:val="en-GB"/>
              </w:rPr>
              <w:t>Topic Guides for Operational and Strategic Level Staff</w:t>
            </w:r>
          </w:p>
        </w:tc>
      </w:tr>
      <w:tr w:rsidR="00CA0EF0" w:rsidRPr="00361E30" w14:paraId="5B69AF9D" w14:textId="77777777" w:rsidTr="003C13F4">
        <w:tc>
          <w:tcPr>
            <w:tcW w:w="3078" w:type="dxa"/>
            <w:tcBorders>
              <w:top w:val="single" w:sz="4" w:space="0" w:color="auto"/>
              <w:bottom w:val="single" w:sz="4" w:space="0" w:color="auto"/>
            </w:tcBorders>
          </w:tcPr>
          <w:p w14:paraId="15345804" w14:textId="77777777" w:rsidR="00CA0EF0" w:rsidRPr="00361E30" w:rsidRDefault="00CA0EF0" w:rsidP="003C13F4">
            <w:pPr>
              <w:spacing w:line="240" w:lineRule="auto"/>
              <w:jc w:val="left"/>
              <w:rPr>
                <w:rFonts w:cstheme="minorHAnsi"/>
                <w:b/>
                <w:sz w:val="20"/>
                <w:szCs w:val="20"/>
                <w:lang w:val="en-GB"/>
              </w:rPr>
            </w:pPr>
            <w:r w:rsidRPr="00361E30">
              <w:rPr>
                <w:rFonts w:cstheme="minorHAnsi"/>
                <w:b/>
                <w:sz w:val="20"/>
                <w:szCs w:val="20"/>
                <w:lang w:val="en-GB"/>
              </w:rPr>
              <w:t>Topic/Initial Question</w:t>
            </w:r>
          </w:p>
        </w:tc>
        <w:tc>
          <w:tcPr>
            <w:tcW w:w="5616" w:type="dxa"/>
            <w:tcBorders>
              <w:top w:val="single" w:sz="4" w:space="0" w:color="auto"/>
              <w:bottom w:val="single" w:sz="4" w:space="0" w:color="auto"/>
            </w:tcBorders>
          </w:tcPr>
          <w:p w14:paraId="1421453B" w14:textId="77777777" w:rsidR="00CA0EF0" w:rsidRPr="00361E30" w:rsidRDefault="00CA0EF0" w:rsidP="003C13F4">
            <w:pPr>
              <w:spacing w:line="240" w:lineRule="auto"/>
              <w:jc w:val="left"/>
              <w:rPr>
                <w:rFonts w:cstheme="minorHAnsi"/>
                <w:b/>
                <w:sz w:val="20"/>
                <w:szCs w:val="20"/>
                <w:lang w:val="en-GB"/>
              </w:rPr>
            </w:pPr>
            <w:r w:rsidRPr="00361E30">
              <w:rPr>
                <w:rFonts w:cstheme="minorHAnsi"/>
                <w:b/>
                <w:sz w:val="20"/>
                <w:szCs w:val="20"/>
                <w:lang w:val="en-GB"/>
              </w:rPr>
              <w:t>Comments</w:t>
            </w:r>
          </w:p>
        </w:tc>
      </w:tr>
      <w:tr w:rsidR="00CA0EF0" w:rsidRPr="00361E30" w14:paraId="3E08C50F" w14:textId="77777777" w:rsidTr="003C13F4">
        <w:tc>
          <w:tcPr>
            <w:tcW w:w="8694" w:type="dxa"/>
            <w:gridSpan w:val="2"/>
            <w:tcBorders>
              <w:top w:val="single" w:sz="4" w:space="0" w:color="auto"/>
              <w:bottom w:val="single" w:sz="4" w:space="0" w:color="auto"/>
            </w:tcBorders>
            <w:shd w:val="clear" w:color="auto" w:fill="D9D9D9" w:themeFill="background1" w:themeFillShade="D9"/>
          </w:tcPr>
          <w:p w14:paraId="0083094F" w14:textId="77777777" w:rsidR="00CA0EF0" w:rsidRPr="00361E30" w:rsidRDefault="00CA0EF0" w:rsidP="003C13F4">
            <w:pPr>
              <w:spacing w:line="240" w:lineRule="auto"/>
              <w:jc w:val="left"/>
              <w:rPr>
                <w:rFonts w:cstheme="minorHAnsi"/>
                <w:b/>
                <w:sz w:val="20"/>
                <w:szCs w:val="20"/>
                <w:lang w:val="en-GB"/>
              </w:rPr>
            </w:pPr>
            <w:r w:rsidRPr="00361E30">
              <w:rPr>
                <w:rFonts w:cstheme="minorHAnsi"/>
                <w:b/>
                <w:sz w:val="20"/>
                <w:szCs w:val="20"/>
                <w:lang w:val="en-GB"/>
              </w:rPr>
              <w:t>Group 1 Interview Topic Guide (Operational Staff)</w:t>
            </w:r>
          </w:p>
        </w:tc>
      </w:tr>
      <w:tr w:rsidR="00CA0EF0" w:rsidRPr="00361E30" w14:paraId="10C4F066" w14:textId="77777777" w:rsidTr="003C13F4">
        <w:tc>
          <w:tcPr>
            <w:tcW w:w="3078" w:type="dxa"/>
            <w:tcBorders>
              <w:top w:val="single" w:sz="4" w:space="0" w:color="auto"/>
            </w:tcBorders>
          </w:tcPr>
          <w:p w14:paraId="717CB47A"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What are the older people that you see in this hospital like? How do they compare with older people in other areas?</w:t>
            </w:r>
          </w:p>
        </w:tc>
        <w:tc>
          <w:tcPr>
            <w:tcW w:w="5616" w:type="dxa"/>
            <w:tcBorders>
              <w:top w:val="single" w:sz="4" w:space="0" w:color="auto"/>
            </w:tcBorders>
          </w:tcPr>
          <w:p w14:paraId="5824A46E" w14:textId="77777777" w:rsidR="00CA0EF0" w:rsidRPr="00361E30" w:rsidRDefault="00CA0EF0" w:rsidP="003C13F4">
            <w:pPr>
              <w:spacing w:line="240" w:lineRule="auto"/>
              <w:jc w:val="left"/>
              <w:rPr>
                <w:rFonts w:cstheme="minorHAnsi"/>
                <w:i/>
                <w:sz w:val="20"/>
                <w:szCs w:val="20"/>
                <w:lang w:val="en-GB"/>
              </w:rPr>
            </w:pPr>
            <w:r w:rsidRPr="00361E30">
              <w:rPr>
                <w:rFonts w:cstheme="minorHAnsi"/>
                <w:i/>
                <w:sz w:val="20"/>
                <w:szCs w:val="20"/>
                <w:lang w:val="en-GB"/>
              </w:rPr>
              <w:t>This gave an opportunity to explore the potential differences between older people served by the Site in which these interviews were being undertaken, and also gave some indication of how interviewees viewed older people in their care.</w:t>
            </w:r>
          </w:p>
        </w:tc>
      </w:tr>
      <w:tr w:rsidR="00CA0EF0" w:rsidRPr="00361E30" w14:paraId="72E08685" w14:textId="77777777" w:rsidTr="003C13F4">
        <w:tc>
          <w:tcPr>
            <w:tcW w:w="3078" w:type="dxa"/>
          </w:tcPr>
          <w:p w14:paraId="6E4723C3"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Tell me what happens when an older person with trauma comes into the ED?</w:t>
            </w:r>
          </w:p>
        </w:tc>
        <w:tc>
          <w:tcPr>
            <w:tcW w:w="5616" w:type="dxa"/>
          </w:tcPr>
          <w:p w14:paraId="3A33DE36" w14:textId="77777777" w:rsidR="00CA0EF0" w:rsidRPr="00361E30" w:rsidRDefault="00CA0EF0" w:rsidP="003C13F4">
            <w:pPr>
              <w:spacing w:line="240" w:lineRule="auto"/>
              <w:jc w:val="left"/>
              <w:rPr>
                <w:rFonts w:cstheme="minorHAnsi"/>
                <w:i/>
                <w:sz w:val="20"/>
                <w:szCs w:val="20"/>
                <w:lang w:val="en-GB"/>
              </w:rPr>
            </w:pPr>
            <w:r w:rsidRPr="00361E30">
              <w:rPr>
                <w:rFonts w:cstheme="minorHAnsi"/>
                <w:i/>
                <w:sz w:val="20"/>
                <w:szCs w:val="20"/>
                <w:lang w:val="en-GB"/>
              </w:rPr>
              <w:t>This was a good ‘lead’ into further discussions as it will give a broad idea of how the team works and how they see their function. It will also allow comparison with the policies for trauma management (see individual interviews)</w:t>
            </w:r>
          </w:p>
        </w:tc>
      </w:tr>
      <w:tr w:rsidR="00CA0EF0" w:rsidRPr="00361E30" w14:paraId="72F3CB0F" w14:textId="77777777" w:rsidTr="003C13F4">
        <w:tc>
          <w:tcPr>
            <w:tcW w:w="3078" w:type="dxa"/>
          </w:tcPr>
          <w:p w14:paraId="2A959268"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What are the strengths of this approach?</w:t>
            </w:r>
          </w:p>
        </w:tc>
        <w:tc>
          <w:tcPr>
            <w:tcW w:w="5616" w:type="dxa"/>
          </w:tcPr>
          <w:p w14:paraId="471E5D72" w14:textId="77777777" w:rsidR="00CA0EF0" w:rsidRPr="00361E30" w:rsidRDefault="00CA0EF0" w:rsidP="003C13F4">
            <w:pPr>
              <w:spacing w:line="240" w:lineRule="auto"/>
              <w:jc w:val="left"/>
              <w:rPr>
                <w:rFonts w:cstheme="minorHAnsi"/>
                <w:i/>
                <w:sz w:val="20"/>
                <w:szCs w:val="20"/>
                <w:lang w:val="en-GB"/>
              </w:rPr>
            </w:pPr>
            <w:r w:rsidRPr="00361E30">
              <w:rPr>
                <w:rFonts w:cstheme="minorHAnsi"/>
                <w:i/>
                <w:sz w:val="20"/>
                <w:szCs w:val="20"/>
                <w:lang w:val="en-GB"/>
              </w:rPr>
              <w:t>This allowed participants to reflect on what they think works in the current system. Focusing on perceived positives first will help ‘break the ice’ and hopefully encourage more candid discussions on both strengths and weaknesses</w:t>
            </w:r>
          </w:p>
        </w:tc>
      </w:tr>
      <w:tr w:rsidR="00CA0EF0" w:rsidRPr="00361E30" w14:paraId="224B1FA3" w14:textId="77777777" w:rsidTr="003C13F4">
        <w:tc>
          <w:tcPr>
            <w:tcW w:w="3078" w:type="dxa"/>
          </w:tcPr>
          <w:p w14:paraId="0DC1E6D4"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Are there any problems or challenges with this approach?</w:t>
            </w:r>
          </w:p>
        </w:tc>
        <w:tc>
          <w:tcPr>
            <w:tcW w:w="5616" w:type="dxa"/>
          </w:tcPr>
          <w:p w14:paraId="62C1078A" w14:textId="77777777" w:rsidR="00CA0EF0" w:rsidRPr="00361E30" w:rsidRDefault="00CA0EF0" w:rsidP="003C13F4">
            <w:pPr>
              <w:spacing w:line="240" w:lineRule="auto"/>
              <w:jc w:val="left"/>
              <w:rPr>
                <w:rFonts w:cstheme="minorHAnsi"/>
                <w:i/>
                <w:sz w:val="20"/>
                <w:szCs w:val="20"/>
                <w:lang w:val="en-GB"/>
              </w:rPr>
            </w:pPr>
            <w:r w:rsidRPr="00361E30">
              <w:rPr>
                <w:rFonts w:cstheme="minorHAnsi"/>
                <w:i/>
                <w:sz w:val="20"/>
                <w:szCs w:val="20"/>
                <w:lang w:val="en-GB"/>
              </w:rPr>
              <w:t>Gave an opportunity for critical thinking and constructive reflection on their current roles and the performance of the team.</w:t>
            </w:r>
          </w:p>
        </w:tc>
      </w:tr>
      <w:tr w:rsidR="00CA0EF0" w:rsidRPr="00361E30" w14:paraId="251314BC" w14:textId="77777777" w:rsidTr="003C13F4">
        <w:tc>
          <w:tcPr>
            <w:tcW w:w="3078" w:type="dxa"/>
          </w:tcPr>
          <w:p w14:paraId="37097646"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Do you have any suggestions on how the system might be changed to improve the service provided?</w:t>
            </w:r>
          </w:p>
        </w:tc>
        <w:tc>
          <w:tcPr>
            <w:tcW w:w="5616" w:type="dxa"/>
          </w:tcPr>
          <w:p w14:paraId="010B2EE7" w14:textId="77777777" w:rsidR="00CA0EF0" w:rsidRPr="00361E30" w:rsidRDefault="00CA0EF0" w:rsidP="003C13F4">
            <w:pPr>
              <w:spacing w:line="240" w:lineRule="auto"/>
              <w:jc w:val="left"/>
              <w:rPr>
                <w:rFonts w:cstheme="minorHAnsi"/>
                <w:i/>
                <w:sz w:val="20"/>
                <w:szCs w:val="20"/>
                <w:lang w:val="en-GB"/>
              </w:rPr>
            </w:pPr>
            <w:r w:rsidRPr="00361E30">
              <w:rPr>
                <w:rFonts w:cstheme="minorHAnsi"/>
                <w:i/>
                <w:sz w:val="20"/>
                <w:szCs w:val="20"/>
                <w:lang w:val="en-GB"/>
              </w:rPr>
              <w:t>Allowed the opportunity for participants to offer suggestions for improvement and will empower them to talk more freely about the system and suggest innovative approaches – this in turn will also lead to highlighting of areas that possibly need improvement and encourage some ‘lateral thinking’</w:t>
            </w:r>
          </w:p>
        </w:tc>
      </w:tr>
      <w:tr w:rsidR="00CA0EF0" w:rsidRPr="00361E30" w14:paraId="0E5B48DB" w14:textId="77777777" w:rsidTr="003C13F4">
        <w:tc>
          <w:tcPr>
            <w:tcW w:w="3078" w:type="dxa"/>
          </w:tcPr>
          <w:p w14:paraId="680F2858"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Are older trauma patients treated the same as younger people?</w:t>
            </w:r>
          </w:p>
        </w:tc>
        <w:tc>
          <w:tcPr>
            <w:tcW w:w="5616" w:type="dxa"/>
          </w:tcPr>
          <w:p w14:paraId="288B9837" w14:textId="77777777" w:rsidR="00CA0EF0" w:rsidRPr="00361E30" w:rsidRDefault="00CA0EF0" w:rsidP="003C13F4">
            <w:pPr>
              <w:spacing w:line="240" w:lineRule="auto"/>
              <w:jc w:val="left"/>
              <w:rPr>
                <w:rFonts w:cstheme="minorHAnsi"/>
                <w:i/>
                <w:sz w:val="20"/>
                <w:szCs w:val="20"/>
                <w:lang w:val="en-GB"/>
              </w:rPr>
            </w:pPr>
            <w:r w:rsidRPr="00361E30">
              <w:rPr>
                <w:rFonts w:cstheme="minorHAnsi"/>
                <w:i/>
                <w:sz w:val="20"/>
                <w:szCs w:val="20"/>
                <w:lang w:val="en-GB"/>
              </w:rPr>
              <w:t>This was a critical aspect of the study – it is important to determine whether there are differences in providers’ perceptions of the way older patients are treated, and whether this in turn is reflected in actual outcomes.</w:t>
            </w:r>
          </w:p>
        </w:tc>
      </w:tr>
      <w:tr w:rsidR="00CA0EF0" w:rsidRPr="00361E30" w14:paraId="63AEB7D8" w14:textId="77777777" w:rsidTr="003C13F4">
        <w:tc>
          <w:tcPr>
            <w:tcW w:w="3078" w:type="dxa"/>
            <w:tcBorders>
              <w:bottom w:val="single" w:sz="4" w:space="0" w:color="auto"/>
            </w:tcBorders>
          </w:tcPr>
          <w:p w14:paraId="5F06A8FD"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How do you decide whether a patient should be resuscitated? Is this different for older versus younger people?</w:t>
            </w:r>
          </w:p>
        </w:tc>
        <w:tc>
          <w:tcPr>
            <w:tcW w:w="5616" w:type="dxa"/>
            <w:tcBorders>
              <w:bottom w:val="single" w:sz="4" w:space="0" w:color="auto"/>
            </w:tcBorders>
          </w:tcPr>
          <w:p w14:paraId="1D8DCAED" w14:textId="77777777" w:rsidR="00CA0EF0" w:rsidRPr="00361E30" w:rsidRDefault="00CA0EF0" w:rsidP="003C13F4">
            <w:pPr>
              <w:spacing w:line="240" w:lineRule="auto"/>
              <w:jc w:val="left"/>
              <w:rPr>
                <w:rFonts w:cstheme="minorHAnsi"/>
                <w:i/>
                <w:sz w:val="20"/>
                <w:szCs w:val="20"/>
                <w:lang w:val="en-GB"/>
              </w:rPr>
            </w:pPr>
            <w:r w:rsidRPr="00361E30">
              <w:rPr>
                <w:rFonts w:cstheme="minorHAnsi"/>
                <w:i/>
                <w:sz w:val="20"/>
                <w:szCs w:val="20"/>
                <w:lang w:val="en-GB"/>
              </w:rPr>
              <w:t>The decision on when to resuscitate is important in determining the ‘effectiveness’ of treatment, particularly in older people. There is little data on the approach to this question in older people. Insights into this area will be of importance in understanding the institutional approach to the management of older people.</w:t>
            </w:r>
          </w:p>
        </w:tc>
      </w:tr>
      <w:tr w:rsidR="00CA0EF0" w:rsidRPr="00361E30" w14:paraId="7C18C41E" w14:textId="77777777" w:rsidTr="003C13F4">
        <w:tc>
          <w:tcPr>
            <w:tcW w:w="8694" w:type="dxa"/>
            <w:gridSpan w:val="2"/>
            <w:tcBorders>
              <w:top w:val="single" w:sz="4" w:space="0" w:color="auto"/>
              <w:bottom w:val="single" w:sz="4" w:space="0" w:color="auto"/>
            </w:tcBorders>
            <w:shd w:val="clear" w:color="auto" w:fill="D9D9D9" w:themeFill="background1" w:themeFillShade="D9"/>
          </w:tcPr>
          <w:p w14:paraId="40CFB9D4" w14:textId="77777777" w:rsidR="00CA0EF0" w:rsidRPr="00361E30" w:rsidRDefault="00CA0EF0" w:rsidP="003C13F4">
            <w:pPr>
              <w:spacing w:line="240" w:lineRule="auto"/>
              <w:jc w:val="left"/>
              <w:rPr>
                <w:rFonts w:cstheme="minorHAnsi"/>
                <w:b/>
                <w:sz w:val="20"/>
                <w:szCs w:val="20"/>
                <w:lang w:val="en-GB"/>
              </w:rPr>
            </w:pPr>
            <w:r w:rsidRPr="00361E30">
              <w:rPr>
                <w:rFonts w:cstheme="minorHAnsi"/>
                <w:b/>
                <w:sz w:val="20"/>
                <w:szCs w:val="20"/>
                <w:lang w:val="en-GB"/>
              </w:rPr>
              <w:t>Group 2 Interview Topic Guide (Strategic Level Staff)</w:t>
            </w:r>
          </w:p>
        </w:tc>
      </w:tr>
      <w:tr w:rsidR="00CA0EF0" w:rsidRPr="00361E30" w14:paraId="5513AC4C" w14:textId="77777777" w:rsidTr="003C13F4">
        <w:tc>
          <w:tcPr>
            <w:tcW w:w="3078" w:type="dxa"/>
            <w:tcBorders>
              <w:top w:val="single" w:sz="4" w:space="0" w:color="auto"/>
            </w:tcBorders>
          </w:tcPr>
          <w:p w14:paraId="5D28A563"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How is the trauma team constituted? What is the rationale behind this?</w:t>
            </w:r>
          </w:p>
        </w:tc>
        <w:tc>
          <w:tcPr>
            <w:tcW w:w="5616" w:type="dxa"/>
            <w:tcBorders>
              <w:top w:val="single" w:sz="4" w:space="0" w:color="auto"/>
            </w:tcBorders>
          </w:tcPr>
          <w:p w14:paraId="7B5DB5C8" w14:textId="77777777" w:rsidR="00CA0EF0" w:rsidRPr="00361E30" w:rsidRDefault="00CA0EF0" w:rsidP="003C13F4">
            <w:pPr>
              <w:spacing w:line="240" w:lineRule="auto"/>
              <w:jc w:val="left"/>
              <w:rPr>
                <w:rFonts w:cstheme="minorHAnsi"/>
                <w:i/>
                <w:sz w:val="20"/>
                <w:szCs w:val="20"/>
                <w:lang w:val="en-GB"/>
              </w:rPr>
            </w:pPr>
            <w:r w:rsidRPr="00361E30">
              <w:rPr>
                <w:rFonts w:cstheme="minorHAnsi"/>
                <w:i/>
                <w:sz w:val="20"/>
                <w:szCs w:val="20"/>
                <w:lang w:val="en-GB"/>
              </w:rPr>
              <w:t>This was a good ‘lead’ into further discussions as it will give a broad idea of the thinking behind how the team should work. It will also allow comparison with the way operational staff see it working</w:t>
            </w:r>
          </w:p>
        </w:tc>
      </w:tr>
      <w:tr w:rsidR="00CA0EF0" w:rsidRPr="00361E30" w14:paraId="70AFDC20" w14:textId="77777777" w:rsidTr="003C13F4">
        <w:tc>
          <w:tcPr>
            <w:tcW w:w="3078" w:type="dxa"/>
          </w:tcPr>
          <w:p w14:paraId="6EC5B626"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Are there any differences to the response to trauma in older compared to younger people?</w:t>
            </w:r>
          </w:p>
        </w:tc>
        <w:tc>
          <w:tcPr>
            <w:tcW w:w="5616" w:type="dxa"/>
          </w:tcPr>
          <w:p w14:paraId="31E9C824" w14:textId="77777777" w:rsidR="00CA0EF0" w:rsidRPr="00361E30" w:rsidRDefault="00CA0EF0" w:rsidP="003C13F4">
            <w:pPr>
              <w:spacing w:line="240" w:lineRule="auto"/>
              <w:jc w:val="left"/>
              <w:rPr>
                <w:rFonts w:cstheme="minorHAnsi"/>
                <w:i/>
                <w:sz w:val="20"/>
                <w:szCs w:val="20"/>
                <w:lang w:val="en-GB"/>
              </w:rPr>
            </w:pPr>
            <w:r w:rsidRPr="00361E30">
              <w:rPr>
                <w:rFonts w:cstheme="minorHAnsi"/>
                <w:i/>
                <w:sz w:val="20"/>
                <w:szCs w:val="20"/>
                <w:lang w:val="en-GB"/>
              </w:rPr>
              <w:t>This was a critical aspect of the study – it is important to determine whether there are differences in institutional approach to older trauma patients.</w:t>
            </w:r>
          </w:p>
        </w:tc>
      </w:tr>
      <w:tr w:rsidR="00CA0EF0" w:rsidRPr="00361E30" w14:paraId="72CDF8BB" w14:textId="77777777" w:rsidTr="003C13F4">
        <w:tc>
          <w:tcPr>
            <w:tcW w:w="3078" w:type="dxa"/>
          </w:tcPr>
          <w:p w14:paraId="259CA9AB"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What are the strengths of your current response, particularly with regard to older people?</w:t>
            </w:r>
          </w:p>
        </w:tc>
        <w:tc>
          <w:tcPr>
            <w:tcW w:w="5616" w:type="dxa"/>
          </w:tcPr>
          <w:p w14:paraId="0625CA49" w14:textId="77777777" w:rsidR="00CA0EF0" w:rsidRPr="00361E30" w:rsidRDefault="00CA0EF0" w:rsidP="003C13F4">
            <w:pPr>
              <w:spacing w:line="240" w:lineRule="auto"/>
              <w:jc w:val="left"/>
              <w:rPr>
                <w:rFonts w:cstheme="minorHAnsi"/>
                <w:i/>
                <w:sz w:val="20"/>
                <w:szCs w:val="20"/>
                <w:lang w:val="en-GB"/>
              </w:rPr>
            </w:pPr>
            <w:r w:rsidRPr="00361E30">
              <w:rPr>
                <w:rFonts w:cstheme="minorHAnsi"/>
                <w:i/>
                <w:sz w:val="20"/>
                <w:szCs w:val="20"/>
                <w:lang w:val="en-GB"/>
              </w:rPr>
              <w:t>This allowed participants to reflect on what they think works in the current system. Focusing on perceived positives first will help ‘break the ice’ and hopefully encourage more candid discussions on both strengths and weaknesses</w:t>
            </w:r>
          </w:p>
        </w:tc>
      </w:tr>
      <w:tr w:rsidR="00CA0EF0" w:rsidRPr="00361E30" w14:paraId="264EFD90" w14:textId="77777777" w:rsidTr="003C13F4">
        <w:tc>
          <w:tcPr>
            <w:tcW w:w="3078" w:type="dxa"/>
          </w:tcPr>
          <w:p w14:paraId="62CC1033"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Are there any areas that need improvement in this regard?</w:t>
            </w:r>
          </w:p>
        </w:tc>
        <w:tc>
          <w:tcPr>
            <w:tcW w:w="5616" w:type="dxa"/>
          </w:tcPr>
          <w:p w14:paraId="49964E84" w14:textId="77777777" w:rsidR="00CA0EF0" w:rsidRPr="00361E30" w:rsidRDefault="00CA0EF0" w:rsidP="003C13F4">
            <w:pPr>
              <w:spacing w:line="240" w:lineRule="auto"/>
              <w:jc w:val="left"/>
              <w:rPr>
                <w:rFonts w:cstheme="minorHAnsi"/>
                <w:i/>
                <w:sz w:val="20"/>
                <w:szCs w:val="20"/>
                <w:lang w:val="en-GB"/>
              </w:rPr>
            </w:pPr>
            <w:r w:rsidRPr="00361E30">
              <w:rPr>
                <w:rFonts w:cstheme="minorHAnsi"/>
                <w:i/>
                <w:sz w:val="20"/>
                <w:szCs w:val="20"/>
                <w:lang w:val="en-GB"/>
              </w:rPr>
              <w:t>Gave an opportunity for critical thinking and constructive reflection on their current performance of the team.</w:t>
            </w:r>
          </w:p>
        </w:tc>
      </w:tr>
      <w:tr w:rsidR="00CA0EF0" w:rsidRPr="00361E30" w14:paraId="0593CA2F" w14:textId="77777777" w:rsidTr="003C13F4">
        <w:tc>
          <w:tcPr>
            <w:tcW w:w="3078" w:type="dxa"/>
          </w:tcPr>
          <w:p w14:paraId="3F624E76"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Are the policies for managing older trauma patients the same as those for younger patients?</w:t>
            </w:r>
          </w:p>
        </w:tc>
        <w:tc>
          <w:tcPr>
            <w:tcW w:w="5616" w:type="dxa"/>
          </w:tcPr>
          <w:p w14:paraId="3968D3D8" w14:textId="77777777" w:rsidR="00CA0EF0" w:rsidRPr="00361E30" w:rsidRDefault="00CA0EF0" w:rsidP="003C13F4">
            <w:pPr>
              <w:spacing w:line="240" w:lineRule="auto"/>
              <w:jc w:val="left"/>
              <w:rPr>
                <w:rFonts w:cstheme="minorHAnsi"/>
                <w:i/>
                <w:sz w:val="20"/>
                <w:szCs w:val="20"/>
                <w:lang w:val="en-GB"/>
              </w:rPr>
            </w:pPr>
            <w:r w:rsidRPr="00361E30">
              <w:rPr>
                <w:rFonts w:cstheme="minorHAnsi"/>
                <w:i/>
                <w:sz w:val="20"/>
                <w:szCs w:val="20"/>
                <w:lang w:val="en-GB"/>
              </w:rPr>
              <w:t>It was useful to see if strategic level staff perceive any difference between the policies guiding trauma management and the actual trauma response (see question above)</w:t>
            </w:r>
          </w:p>
        </w:tc>
      </w:tr>
      <w:tr w:rsidR="00CA0EF0" w:rsidRPr="00361E30" w14:paraId="1892F6F7" w14:textId="77777777" w:rsidTr="003C13F4">
        <w:tc>
          <w:tcPr>
            <w:tcW w:w="3078" w:type="dxa"/>
          </w:tcPr>
          <w:p w14:paraId="11C00FD8"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How does the trauma response link in with the overall care of older people in the hospital?</w:t>
            </w:r>
          </w:p>
        </w:tc>
        <w:tc>
          <w:tcPr>
            <w:tcW w:w="5616" w:type="dxa"/>
          </w:tcPr>
          <w:p w14:paraId="102C8FBD" w14:textId="77777777" w:rsidR="00CA0EF0" w:rsidRPr="00361E30" w:rsidRDefault="00CA0EF0" w:rsidP="003C13F4">
            <w:pPr>
              <w:spacing w:line="240" w:lineRule="auto"/>
              <w:jc w:val="left"/>
              <w:rPr>
                <w:rFonts w:cstheme="minorHAnsi"/>
                <w:i/>
                <w:sz w:val="20"/>
                <w:szCs w:val="20"/>
                <w:lang w:val="en-GB"/>
              </w:rPr>
            </w:pPr>
            <w:r w:rsidRPr="00361E30">
              <w:rPr>
                <w:rFonts w:cstheme="minorHAnsi"/>
                <w:i/>
                <w:sz w:val="20"/>
                <w:szCs w:val="20"/>
                <w:lang w:val="en-GB"/>
              </w:rPr>
              <w:t>This helped introduce the concept of trauma as an institution-wide responsibility and to open discussions about the importance of trauma management to the institution as a whole.</w:t>
            </w:r>
          </w:p>
        </w:tc>
      </w:tr>
      <w:tr w:rsidR="00CA0EF0" w:rsidRPr="00361E30" w14:paraId="3FE35B67" w14:textId="77777777" w:rsidTr="003C13F4">
        <w:tc>
          <w:tcPr>
            <w:tcW w:w="3078" w:type="dxa"/>
            <w:tcBorders>
              <w:bottom w:val="single" w:sz="4" w:space="0" w:color="auto"/>
            </w:tcBorders>
          </w:tcPr>
          <w:p w14:paraId="59192923" w14:textId="77777777" w:rsidR="00CA0EF0" w:rsidRPr="00361E30" w:rsidRDefault="00CA0EF0" w:rsidP="003C13F4">
            <w:pPr>
              <w:spacing w:line="240" w:lineRule="auto"/>
              <w:jc w:val="left"/>
              <w:rPr>
                <w:rFonts w:cstheme="minorHAnsi"/>
                <w:sz w:val="20"/>
                <w:szCs w:val="20"/>
                <w:lang w:val="en-GB"/>
              </w:rPr>
            </w:pPr>
            <w:r w:rsidRPr="00361E30">
              <w:rPr>
                <w:rFonts w:cstheme="minorHAnsi"/>
                <w:sz w:val="20"/>
                <w:szCs w:val="20"/>
                <w:lang w:val="en-GB"/>
              </w:rPr>
              <w:t>Are there policies in place at the Trust regarding decisions to resuscitate patients? How do these apply to older trauma patients?</w:t>
            </w:r>
          </w:p>
        </w:tc>
        <w:tc>
          <w:tcPr>
            <w:tcW w:w="5616" w:type="dxa"/>
            <w:tcBorders>
              <w:bottom w:val="single" w:sz="4" w:space="0" w:color="auto"/>
            </w:tcBorders>
          </w:tcPr>
          <w:p w14:paraId="354C0187" w14:textId="77777777" w:rsidR="00CA0EF0" w:rsidRPr="00361E30" w:rsidRDefault="00CA0EF0" w:rsidP="003C13F4">
            <w:pPr>
              <w:spacing w:line="240" w:lineRule="auto"/>
              <w:jc w:val="left"/>
              <w:rPr>
                <w:rFonts w:cstheme="minorHAnsi"/>
                <w:i/>
                <w:sz w:val="20"/>
                <w:szCs w:val="20"/>
                <w:lang w:val="en-GB"/>
              </w:rPr>
            </w:pPr>
            <w:r w:rsidRPr="00361E30">
              <w:rPr>
                <w:rFonts w:cstheme="minorHAnsi"/>
                <w:i/>
                <w:sz w:val="20"/>
                <w:szCs w:val="20"/>
                <w:lang w:val="en-GB"/>
              </w:rPr>
              <w:t xml:space="preserve">The decision on when to resuscitate is important in determining the ‘effectiveness’ of treatment, particularly in older people. There is little data on the approach to this question in older people. </w:t>
            </w:r>
          </w:p>
        </w:tc>
      </w:tr>
    </w:tbl>
    <w:p w14:paraId="10366393" w14:textId="77777777" w:rsidR="00CA0EF0" w:rsidRPr="00361E30" w:rsidRDefault="00CA0EF0" w:rsidP="003C13F4">
      <w:pPr>
        <w:pStyle w:val="ChapterHeading"/>
      </w:pPr>
      <w:bookmarkStart w:id="458" w:name="_Toc1902383"/>
      <w:r w:rsidRPr="00361E30">
        <w:lastRenderedPageBreak/>
        <w:t>Appendix 6 – Supporting Documents for Phase 2 of the Study</w:t>
      </w:r>
      <w:bookmarkEnd w:id="458"/>
    </w:p>
    <w:p w14:paraId="1196BA20" w14:textId="77777777" w:rsidR="00CA0EF0" w:rsidRPr="00361E30" w:rsidRDefault="00CA0EF0" w:rsidP="003C13F4">
      <w:pPr>
        <w:pStyle w:val="Heading1"/>
      </w:pPr>
      <w:bookmarkStart w:id="459" w:name="_Toc1902384"/>
      <w:r w:rsidRPr="00361E30">
        <w:t>Letter of Introduction</w:t>
      </w:r>
      <w:bookmarkEnd w:id="459"/>
    </w:p>
    <w:p w14:paraId="5E6F082F" w14:textId="428504C0" w:rsidR="00CA0EF0" w:rsidRPr="00361E30" w:rsidRDefault="00993D1E" w:rsidP="003C13F4">
      <w:r>
        <w:rPr>
          <w:noProof/>
          <w:lang w:eastAsia="en-GB"/>
        </w:rPr>
        <mc:AlternateContent>
          <mc:Choice Requires="wps">
            <w:drawing>
              <wp:anchor distT="0" distB="0" distL="114300" distR="114300" simplePos="0" relativeHeight="251667968" behindDoc="0" locked="0" layoutInCell="1" allowOverlap="1" wp14:anchorId="04141684" wp14:editId="118B2D27">
                <wp:simplePos x="0" y="0"/>
                <wp:positionH relativeFrom="column">
                  <wp:posOffset>351790</wp:posOffset>
                </wp:positionH>
                <wp:positionV relativeFrom="paragraph">
                  <wp:posOffset>7169150</wp:posOffset>
                </wp:positionV>
                <wp:extent cx="891540" cy="243840"/>
                <wp:effectExtent l="0" t="0" r="22860" b="22860"/>
                <wp:wrapNone/>
                <wp:docPr id="47" name="Rectangle 47"/>
                <wp:cNvGraphicFramePr/>
                <a:graphic xmlns:a="http://schemas.openxmlformats.org/drawingml/2006/main">
                  <a:graphicData uri="http://schemas.microsoft.com/office/word/2010/wordprocessingShape">
                    <wps:wsp>
                      <wps:cNvSpPr/>
                      <wps:spPr>
                        <a:xfrm>
                          <a:off x="0" y="0"/>
                          <a:ext cx="891540" cy="24384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863D7" id="Rectangle 47" o:spid="_x0000_s1026" style="position:absolute;margin-left:27.7pt;margin-top:564.5pt;width:70.2pt;height:19.2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" fillcolor="black [3200]" strokecolor="black [480]" strokeweight="2pt"/>
            </w:pict>
          </mc:Fallback>
        </mc:AlternateContent>
      </w:r>
      <w:r w:rsidR="00CA0EF0" w:rsidRPr="00361E30">
        <w:rPr>
          <w:noProof/>
          <w:lang w:eastAsia="en-GB"/>
        </w:rPr>
        <w:drawing>
          <wp:inline distT="0" distB="0" distL="0" distR="0" wp14:anchorId="7BBEDB25" wp14:editId="63EA0B5B">
            <wp:extent cx="5394960" cy="791119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4960" cy="7911194"/>
                    </a:xfrm>
                    <a:prstGeom prst="rect">
                      <a:avLst/>
                    </a:prstGeom>
                    <a:noFill/>
                    <a:ln>
                      <a:noFill/>
                    </a:ln>
                  </pic:spPr>
                </pic:pic>
              </a:graphicData>
            </a:graphic>
          </wp:inline>
        </w:drawing>
      </w:r>
    </w:p>
    <w:p w14:paraId="6499D381" w14:textId="77777777" w:rsidR="00CA0EF0" w:rsidRPr="00361E30" w:rsidRDefault="00CA0EF0">
      <w:pPr>
        <w:spacing w:line="276" w:lineRule="auto"/>
        <w:jc w:val="left"/>
      </w:pPr>
      <w:r w:rsidRPr="00361E30">
        <w:br w:type="page"/>
      </w:r>
    </w:p>
    <w:p w14:paraId="7C53F34C" w14:textId="77777777" w:rsidR="00CA0EF0" w:rsidRPr="00993D1E" w:rsidRDefault="00CA0EF0" w:rsidP="003C13F4">
      <w:pPr>
        <w:pStyle w:val="Heading1"/>
        <w:rPr>
          <w:lang w:val="fr-FR"/>
        </w:rPr>
      </w:pPr>
      <w:bookmarkStart w:id="460" w:name="_Toc1902385"/>
      <w:r w:rsidRPr="00993D1E">
        <w:rPr>
          <w:lang w:val="fr-FR"/>
        </w:rPr>
        <w:lastRenderedPageBreak/>
        <w:t>Participant Information Sheet</w:t>
      </w:r>
      <w:bookmarkEnd w:id="460"/>
    </w:p>
    <w:p w14:paraId="3BA998FB" w14:textId="77777777" w:rsidR="00CA0EF0" w:rsidRPr="00993D1E" w:rsidRDefault="00CA0EF0" w:rsidP="003C13F4">
      <w:pPr>
        <w:spacing w:after="0" w:line="240" w:lineRule="auto"/>
        <w:jc w:val="center"/>
        <w:rPr>
          <w:b/>
          <w:color w:val="31849B" w:themeColor="accent5" w:themeShade="BF"/>
          <w:sz w:val="28"/>
          <w:szCs w:val="28"/>
          <w:lang w:val="fr-FR"/>
        </w:rPr>
      </w:pPr>
      <w:r w:rsidRPr="00993D1E">
        <w:rPr>
          <w:b/>
          <w:color w:val="31849B" w:themeColor="accent5" w:themeShade="BF"/>
          <w:sz w:val="28"/>
          <w:szCs w:val="28"/>
          <w:lang w:val="fr-FR"/>
        </w:rPr>
        <w:t>Participant Information Sheet</w:t>
      </w:r>
    </w:p>
    <w:p w14:paraId="745E9E16" w14:textId="77777777" w:rsidR="00CA0EF0" w:rsidRPr="00993D1E" w:rsidRDefault="00CA0EF0" w:rsidP="003C13F4">
      <w:pPr>
        <w:spacing w:after="0" w:line="240" w:lineRule="auto"/>
        <w:rPr>
          <w:lang w:val="fr-FR"/>
        </w:rPr>
      </w:pPr>
    </w:p>
    <w:p w14:paraId="6CE3A814" w14:textId="77777777" w:rsidR="00CA0EF0" w:rsidRPr="00993D1E" w:rsidRDefault="00CA0EF0" w:rsidP="003C13F4">
      <w:pPr>
        <w:spacing w:after="0" w:line="240" w:lineRule="auto"/>
        <w:rPr>
          <w:lang w:val="fr-FR"/>
        </w:rPr>
      </w:pPr>
    </w:p>
    <w:p w14:paraId="74B3EB4B" w14:textId="77777777" w:rsidR="00CA0EF0" w:rsidRPr="00361E30" w:rsidRDefault="00CA0EF0" w:rsidP="003C13F4">
      <w:pPr>
        <w:spacing w:after="0" w:line="240" w:lineRule="auto"/>
        <w:rPr>
          <w:color w:val="000000"/>
        </w:rPr>
      </w:pPr>
      <w:r w:rsidRPr="00361E30">
        <w:rPr>
          <w:color w:val="000000"/>
        </w:rPr>
        <w:t>1.</w:t>
      </w:r>
      <w:r w:rsidRPr="00361E30">
        <w:rPr>
          <w:color w:val="000000"/>
        </w:rPr>
        <w:tab/>
        <w:t xml:space="preserve">Research </w:t>
      </w:r>
      <w:r w:rsidRPr="00361E30">
        <w:rPr>
          <w:color w:val="000000"/>
          <w:shd w:val="clear" w:color="auto" w:fill="FFFFFF"/>
        </w:rPr>
        <w:t>Project Title:</w:t>
      </w:r>
    </w:p>
    <w:p w14:paraId="355688F8" w14:textId="77777777" w:rsidR="00CA0EF0" w:rsidRPr="00361E30" w:rsidRDefault="00CA0EF0" w:rsidP="003C13F4">
      <w:pPr>
        <w:spacing w:after="0" w:line="240" w:lineRule="auto"/>
        <w:rPr>
          <w:color w:val="000000"/>
        </w:rPr>
      </w:pPr>
    </w:p>
    <w:p w14:paraId="53D15B26" w14:textId="77777777" w:rsidR="00CA0EF0" w:rsidRPr="00361E30" w:rsidRDefault="00CA0EF0" w:rsidP="003C13F4">
      <w:pPr>
        <w:spacing w:after="0" w:line="240" w:lineRule="auto"/>
      </w:pPr>
      <w:r w:rsidRPr="00361E30">
        <w:t>Trauma outcomes in older people in the United Kingdom – how does the organisation and delivery of trauma care impact on casemix adjusted mortality in this population?</w:t>
      </w:r>
    </w:p>
    <w:p w14:paraId="21A29E78" w14:textId="77777777" w:rsidR="00CA0EF0" w:rsidRPr="00361E30" w:rsidRDefault="00CA0EF0" w:rsidP="003C13F4">
      <w:pPr>
        <w:spacing w:after="0" w:line="240" w:lineRule="auto"/>
        <w:rPr>
          <w:color w:val="000000"/>
        </w:rPr>
      </w:pPr>
    </w:p>
    <w:p w14:paraId="76A61704" w14:textId="77777777" w:rsidR="00CA0EF0" w:rsidRPr="00361E30" w:rsidRDefault="00CA0EF0" w:rsidP="003C13F4">
      <w:pPr>
        <w:spacing w:after="0" w:line="240" w:lineRule="auto"/>
        <w:rPr>
          <w:color w:val="000000"/>
        </w:rPr>
      </w:pPr>
      <w:r w:rsidRPr="00361E30">
        <w:rPr>
          <w:color w:val="000000"/>
        </w:rPr>
        <w:t>2.</w:t>
      </w:r>
      <w:r w:rsidRPr="00361E30">
        <w:rPr>
          <w:color w:val="000000"/>
        </w:rPr>
        <w:tab/>
      </w:r>
      <w:r w:rsidRPr="00361E30">
        <w:rPr>
          <w:color w:val="000000"/>
          <w:shd w:val="clear" w:color="auto" w:fill="FFFFFF"/>
        </w:rPr>
        <w:t>Invitation paragraph</w:t>
      </w:r>
    </w:p>
    <w:p w14:paraId="5CCDE1D9" w14:textId="77777777" w:rsidR="00CA0EF0" w:rsidRPr="00361E30" w:rsidRDefault="00CA0EF0" w:rsidP="003C13F4">
      <w:pPr>
        <w:spacing w:after="0" w:line="240" w:lineRule="auto"/>
        <w:rPr>
          <w:color w:val="000000"/>
        </w:rPr>
      </w:pPr>
    </w:p>
    <w:p w14:paraId="615E232A" w14:textId="77777777" w:rsidR="00CA0EF0" w:rsidRPr="00361E30" w:rsidRDefault="00CA0EF0" w:rsidP="003C13F4">
      <w:pPr>
        <w:spacing w:after="0" w:line="240" w:lineRule="auto"/>
        <w:rPr>
          <w:iCs/>
          <w:color w:val="000000"/>
          <w:szCs w:val="24"/>
        </w:rPr>
      </w:pPr>
      <w:r w:rsidRPr="00361E30">
        <w:rPr>
          <w:iCs/>
          <w:color w:val="000000"/>
          <w:szCs w:val="24"/>
          <w:shd w:val="clear" w:color="auto" w:fill="FFFFFF"/>
        </w:rPr>
        <w:t>You are being invited to take part in a research project investigating how the organisation and provision of services for older trauma patients might affect their outcome. Before you decide it is important for you to understand why the research is being done and what it will involve. Please take time to read the following information carefully and discuss it with others if you wish. Ask us if there is anything that is not clear or if you would like more information. Take time to decide whether or not you wish to take part. Thank you for reading this.</w:t>
      </w:r>
    </w:p>
    <w:p w14:paraId="7377DA39" w14:textId="77777777" w:rsidR="00CA0EF0" w:rsidRPr="00361E30" w:rsidRDefault="00CA0EF0" w:rsidP="003C13F4">
      <w:pPr>
        <w:spacing w:after="0" w:line="240" w:lineRule="auto"/>
        <w:rPr>
          <w:color w:val="000000"/>
        </w:rPr>
      </w:pPr>
    </w:p>
    <w:p w14:paraId="57FB9FFC" w14:textId="77777777" w:rsidR="00CA0EF0" w:rsidRPr="00361E30" w:rsidRDefault="00CA0EF0" w:rsidP="003C13F4">
      <w:pPr>
        <w:spacing w:after="0" w:line="240" w:lineRule="auto"/>
        <w:rPr>
          <w:color w:val="000000"/>
        </w:rPr>
      </w:pPr>
      <w:r w:rsidRPr="00361E30">
        <w:rPr>
          <w:color w:val="000000"/>
        </w:rPr>
        <w:t>3.</w:t>
      </w:r>
      <w:r w:rsidRPr="00361E30">
        <w:rPr>
          <w:color w:val="000000"/>
        </w:rPr>
        <w:tab/>
      </w:r>
      <w:r w:rsidRPr="00361E30">
        <w:rPr>
          <w:color w:val="000000"/>
          <w:shd w:val="clear" w:color="auto" w:fill="FFFFFF"/>
        </w:rPr>
        <w:t>What is the project’s purpose?</w:t>
      </w:r>
    </w:p>
    <w:p w14:paraId="6B357A4F" w14:textId="77777777" w:rsidR="00CA0EF0" w:rsidRPr="00361E30" w:rsidRDefault="00CA0EF0" w:rsidP="003C13F4">
      <w:pPr>
        <w:spacing w:after="0" w:line="240" w:lineRule="auto"/>
        <w:rPr>
          <w:color w:val="000000"/>
        </w:rPr>
      </w:pPr>
    </w:p>
    <w:p w14:paraId="7DA21AE3" w14:textId="77777777" w:rsidR="00CA0EF0" w:rsidRPr="00361E30" w:rsidRDefault="00CA0EF0" w:rsidP="003C13F4">
      <w:pPr>
        <w:spacing w:after="0" w:line="240" w:lineRule="auto"/>
        <w:rPr>
          <w:color w:val="000000"/>
        </w:rPr>
      </w:pPr>
      <w:r w:rsidRPr="00361E30">
        <w:rPr>
          <w:color w:val="000000"/>
        </w:rPr>
        <w:t>This project aims to better understand how the care provided to older people who have suffered major injuries might affect their outcome. Most research into the provision of care for trauma victims has been conducted on younger people, and there is evidence that these findings might not be applicable to older people. The initial phases of this study looked at data on seriously injured older patients from the Trauma Audit and Research Network (TARN) database, to identify the factors that affect survival after injury. Using this data, we were also able to compare individual hospitals with regard to how well they did in relation to their older trauma patients. This phase of the study involves interviewing staff from selected hospitals to identify good practice and areas for improvement in the care of older trauma patients.</w:t>
      </w:r>
    </w:p>
    <w:p w14:paraId="4EEE6FC6" w14:textId="77777777" w:rsidR="00CA0EF0" w:rsidRPr="00361E30" w:rsidRDefault="00CA0EF0" w:rsidP="003C13F4">
      <w:pPr>
        <w:spacing w:after="0" w:line="240" w:lineRule="auto"/>
        <w:rPr>
          <w:color w:val="000000"/>
        </w:rPr>
      </w:pPr>
    </w:p>
    <w:p w14:paraId="2C42DBC4" w14:textId="77777777" w:rsidR="00CA0EF0" w:rsidRPr="00361E30" w:rsidRDefault="00CA0EF0" w:rsidP="003C13F4">
      <w:pPr>
        <w:spacing w:after="0" w:line="240" w:lineRule="auto"/>
        <w:rPr>
          <w:color w:val="000000"/>
        </w:rPr>
      </w:pPr>
      <w:r w:rsidRPr="00361E30">
        <w:rPr>
          <w:color w:val="000000"/>
        </w:rPr>
        <w:t>4.</w:t>
      </w:r>
      <w:r w:rsidRPr="00361E30">
        <w:rPr>
          <w:color w:val="000000"/>
        </w:rPr>
        <w:tab/>
      </w:r>
      <w:r w:rsidRPr="00361E30">
        <w:rPr>
          <w:color w:val="000000"/>
          <w:shd w:val="clear" w:color="auto" w:fill="FFFFFF"/>
        </w:rPr>
        <w:t>Why have I been chosen?</w:t>
      </w:r>
    </w:p>
    <w:p w14:paraId="1BF5CA11" w14:textId="77777777" w:rsidR="00CA0EF0" w:rsidRPr="00361E30" w:rsidRDefault="00CA0EF0" w:rsidP="003C13F4">
      <w:pPr>
        <w:spacing w:after="0" w:line="240" w:lineRule="auto"/>
        <w:rPr>
          <w:color w:val="000000"/>
        </w:rPr>
      </w:pPr>
    </w:p>
    <w:p w14:paraId="3F55BC2D" w14:textId="77777777" w:rsidR="00CA0EF0" w:rsidRPr="00361E30" w:rsidRDefault="00CA0EF0" w:rsidP="003C13F4">
      <w:pPr>
        <w:spacing w:after="0" w:line="240" w:lineRule="auto"/>
        <w:rPr>
          <w:color w:val="000000"/>
        </w:rPr>
      </w:pPr>
      <w:r w:rsidRPr="00361E30">
        <w:rPr>
          <w:color w:val="000000"/>
        </w:rPr>
        <w:t xml:space="preserve">Your hospital was identified as having results from the initial phases of the study which were not fully explained by the factors we know affect outcome in older trauma patients. You were selected to take part in this phase of the study because you are involved in providing, organising and/or planning trauma care or care of older patients in your hospital, and would thus be able to discuss how this is done and provide an opinion on its effectiveness. </w:t>
      </w:r>
    </w:p>
    <w:p w14:paraId="5720E78F" w14:textId="77777777" w:rsidR="00CA0EF0" w:rsidRPr="00361E30" w:rsidRDefault="00CA0EF0" w:rsidP="003C13F4">
      <w:pPr>
        <w:spacing w:after="0" w:line="240" w:lineRule="auto"/>
        <w:rPr>
          <w:color w:val="000000"/>
        </w:rPr>
      </w:pPr>
    </w:p>
    <w:p w14:paraId="2460314B" w14:textId="77777777" w:rsidR="00CA0EF0" w:rsidRPr="00361E30" w:rsidRDefault="00CA0EF0" w:rsidP="003C13F4">
      <w:pPr>
        <w:spacing w:after="0" w:line="240" w:lineRule="auto"/>
        <w:rPr>
          <w:color w:val="000000"/>
        </w:rPr>
      </w:pPr>
      <w:r w:rsidRPr="00361E30">
        <w:rPr>
          <w:color w:val="000000"/>
        </w:rPr>
        <w:t>5.</w:t>
      </w:r>
      <w:r w:rsidRPr="00361E30">
        <w:rPr>
          <w:color w:val="000000"/>
        </w:rPr>
        <w:tab/>
      </w:r>
      <w:r w:rsidRPr="00361E30">
        <w:rPr>
          <w:color w:val="000000"/>
          <w:shd w:val="clear" w:color="auto" w:fill="FFFFFF"/>
        </w:rPr>
        <w:t>Do I have to take part?</w:t>
      </w:r>
    </w:p>
    <w:p w14:paraId="194FC3A5" w14:textId="77777777" w:rsidR="00CA0EF0" w:rsidRPr="00361E30" w:rsidRDefault="00CA0EF0" w:rsidP="003C13F4">
      <w:pPr>
        <w:spacing w:after="0" w:line="240" w:lineRule="auto"/>
        <w:rPr>
          <w:color w:val="000000"/>
        </w:rPr>
      </w:pPr>
    </w:p>
    <w:p w14:paraId="241149AA" w14:textId="77777777" w:rsidR="00CA0EF0" w:rsidRPr="00361E30" w:rsidRDefault="00CA0EF0" w:rsidP="003C13F4">
      <w:pPr>
        <w:spacing w:after="0" w:line="240" w:lineRule="auto"/>
        <w:rPr>
          <w:iCs/>
          <w:szCs w:val="24"/>
        </w:rPr>
      </w:pPr>
      <w:r w:rsidRPr="00361E30">
        <w:rPr>
          <w:iCs/>
          <w:color w:val="000000"/>
          <w:shd w:val="clear" w:color="auto" w:fill="FFFFFF"/>
        </w:rPr>
        <w:t xml:space="preserve">It is up to you to decide whether or not to take part. </w:t>
      </w:r>
      <w:r w:rsidRPr="00361E30">
        <w:rPr>
          <w:iCs/>
          <w:szCs w:val="24"/>
        </w:rPr>
        <w:t>If you do decide to take part you will be given this information sheet to keep (and be asked to sign a consent form) and you can still withdraw at any time without it affecting you in any way. You do not have to give a reason. However, please note that once the interviews have been completed and analysed, it may be difficult for us to remove your comments from the data, as the data will have been anonymised at this stage.</w:t>
      </w:r>
    </w:p>
    <w:p w14:paraId="4643C57D" w14:textId="77777777" w:rsidR="00CA0EF0" w:rsidRPr="00361E30" w:rsidRDefault="00CA0EF0" w:rsidP="003C13F4">
      <w:pPr>
        <w:spacing w:after="0" w:line="240" w:lineRule="auto"/>
        <w:rPr>
          <w:i/>
          <w:iCs/>
          <w:color w:val="000000"/>
          <w:shd w:val="clear" w:color="auto" w:fill="FFFFFF"/>
        </w:rPr>
      </w:pPr>
    </w:p>
    <w:p w14:paraId="30FC383C" w14:textId="77777777" w:rsidR="00CA0EF0" w:rsidRPr="00361E30" w:rsidRDefault="00CA0EF0" w:rsidP="003C13F4">
      <w:pPr>
        <w:spacing w:after="0" w:line="240" w:lineRule="auto"/>
        <w:rPr>
          <w:color w:val="000000"/>
        </w:rPr>
      </w:pPr>
    </w:p>
    <w:p w14:paraId="570617E2" w14:textId="77777777" w:rsidR="00CA0EF0" w:rsidRPr="00361E30" w:rsidRDefault="00CA0EF0" w:rsidP="003C13F4">
      <w:pPr>
        <w:spacing w:after="0" w:line="240" w:lineRule="auto"/>
        <w:rPr>
          <w:color w:val="000000"/>
        </w:rPr>
      </w:pPr>
      <w:r w:rsidRPr="00361E30">
        <w:rPr>
          <w:color w:val="000000"/>
        </w:rPr>
        <w:t>6.</w:t>
      </w:r>
      <w:r w:rsidRPr="00361E30">
        <w:rPr>
          <w:color w:val="000000"/>
        </w:rPr>
        <w:tab/>
      </w:r>
      <w:r w:rsidRPr="00361E30">
        <w:rPr>
          <w:color w:val="000000"/>
          <w:shd w:val="clear" w:color="auto" w:fill="FFFFFF"/>
        </w:rPr>
        <w:t>What will happen to me if I take part?</w:t>
      </w:r>
    </w:p>
    <w:p w14:paraId="1FCF1AE3" w14:textId="77777777" w:rsidR="00CA0EF0" w:rsidRPr="00361E30" w:rsidRDefault="00CA0EF0" w:rsidP="003C13F4">
      <w:pPr>
        <w:spacing w:after="0" w:line="240" w:lineRule="auto"/>
        <w:rPr>
          <w:color w:val="000000"/>
        </w:rPr>
      </w:pPr>
    </w:p>
    <w:p w14:paraId="67472B83" w14:textId="77777777" w:rsidR="00CA0EF0" w:rsidRPr="00361E30" w:rsidRDefault="00CA0EF0" w:rsidP="003C13F4">
      <w:pPr>
        <w:spacing w:after="0" w:line="240" w:lineRule="auto"/>
        <w:rPr>
          <w:color w:val="000000"/>
        </w:rPr>
      </w:pPr>
      <w:r w:rsidRPr="00361E30">
        <w:rPr>
          <w:color w:val="000000"/>
        </w:rPr>
        <w:t xml:space="preserve">If you agree to take part, you will be invited to be interviewed by the principal investigator on this project. This will take approximately 45 minutes to 1 hour and will take place in your </w:t>
      </w:r>
      <w:r w:rsidRPr="00361E30">
        <w:rPr>
          <w:color w:val="000000"/>
        </w:rPr>
        <w:lastRenderedPageBreak/>
        <w:t xml:space="preserve">hospital. The </w:t>
      </w:r>
      <w:r w:rsidRPr="00361E30">
        <w:t>Interviewer will contact you to sort out the most convenient date and time for you</w:t>
      </w:r>
      <w:r w:rsidRPr="00361E30">
        <w:rPr>
          <w:color w:val="000000"/>
        </w:rPr>
        <w:t>.</w:t>
      </w:r>
    </w:p>
    <w:p w14:paraId="305D3182" w14:textId="77777777" w:rsidR="00CA0EF0" w:rsidRPr="00361E30" w:rsidRDefault="00CA0EF0" w:rsidP="003C13F4">
      <w:pPr>
        <w:spacing w:after="0" w:line="240" w:lineRule="auto"/>
        <w:rPr>
          <w:color w:val="000000"/>
        </w:rPr>
      </w:pPr>
    </w:p>
    <w:p w14:paraId="024117CE" w14:textId="77777777" w:rsidR="00CA0EF0" w:rsidRPr="00361E30" w:rsidRDefault="00CA0EF0" w:rsidP="003C13F4">
      <w:pPr>
        <w:spacing w:after="0" w:line="240" w:lineRule="auto"/>
        <w:rPr>
          <w:color w:val="000000"/>
        </w:rPr>
      </w:pPr>
    </w:p>
    <w:p w14:paraId="163AE991" w14:textId="77777777" w:rsidR="00CA0EF0" w:rsidRPr="00361E30" w:rsidRDefault="00CA0EF0" w:rsidP="003C13F4">
      <w:pPr>
        <w:spacing w:after="0" w:line="240" w:lineRule="auto"/>
        <w:rPr>
          <w:color w:val="000000"/>
        </w:rPr>
      </w:pPr>
      <w:r w:rsidRPr="00361E30">
        <w:rPr>
          <w:color w:val="000000"/>
        </w:rPr>
        <w:t>7.</w:t>
      </w:r>
      <w:r w:rsidRPr="00361E30">
        <w:rPr>
          <w:color w:val="000000"/>
        </w:rPr>
        <w:tab/>
      </w:r>
      <w:r w:rsidRPr="00361E30">
        <w:rPr>
          <w:color w:val="000000"/>
          <w:shd w:val="clear" w:color="auto" w:fill="FFFFFF"/>
        </w:rPr>
        <w:t>What do I have to do?</w:t>
      </w:r>
    </w:p>
    <w:p w14:paraId="6D1F2E33" w14:textId="77777777" w:rsidR="00CA0EF0" w:rsidRPr="00361E30" w:rsidRDefault="00CA0EF0" w:rsidP="003C13F4">
      <w:pPr>
        <w:spacing w:after="0" w:line="240" w:lineRule="auto"/>
        <w:rPr>
          <w:color w:val="000000"/>
        </w:rPr>
      </w:pPr>
    </w:p>
    <w:p w14:paraId="603C5928" w14:textId="77777777" w:rsidR="00CA0EF0" w:rsidRPr="00361E30" w:rsidRDefault="00CA0EF0" w:rsidP="003C13F4">
      <w:pPr>
        <w:spacing w:after="0" w:line="240" w:lineRule="auto"/>
      </w:pPr>
      <w:r w:rsidRPr="00361E30">
        <w:t>Once you have agreed to take part, we will request that you attend on the date of the interview. We will work with a coordinator in your hospital to try to get a date that is mutually convenient for you and the interviewer. We will give you at least 2 weeks’ notice of the date of the session. We expect that the interview will take between 45 minutes and 1 hour. Once you the session is completed, you will have no further obligations to the study.</w:t>
      </w:r>
    </w:p>
    <w:p w14:paraId="06352C7A" w14:textId="77777777" w:rsidR="00CA0EF0" w:rsidRPr="00361E30" w:rsidRDefault="00CA0EF0" w:rsidP="003C13F4">
      <w:pPr>
        <w:spacing w:after="0" w:line="240" w:lineRule="auto"/>
      </w:pPr>
    </w:p>
    <w:p w14:paraId="40F7E8BC" w14:textId="77777777" w:rsidR="00CA0EF0" w:rsidRPr="00361E30" w:rsidRDefault="00CA0EF0" w:rsidP="003C13F4">
      <w:pPr>
        <w:spacing w:after="0" w:line="240" w:lineRule="auto"/>
      </w:pPr>
      <w:r w:rsidRPr="00361E30">
        <w:t>8.</w:t>
      </w:r>
      <w:r w:rsidRPr="00361E30">
        <w:tab/>
        <w:t>Will I be recorded, and how will the recorded media be used?</w:t>
      </w:r>
    </w:p>
    <w:p w14:paraId="01A858C8" w14:textId="77777777" w:rsidR="00CA0EF0" w:rsidRPr="00361E30" w:rsidRDefault="00CA0EF0" w:rsidP="003C13F4">
      <w:pPr>
        <w:spacing w:after="0" w:line="240" w:lineRule="auto"/>
      </w:pPr>
    </w:p>
    <w:p w14:paraId="32629406" w14:textId="77777777" w:rsidR="00CA0EF0" w:rsidRPr="00361E30" w:rsidRDefault="00CA0EF0" w:rsidP="003C13F4">
      <w:pPr>
        <w:spacing w:after="0" w:line="240" w:lineRule="auto"/>
        <w:rPr>
          <w:iCs/>
          <w:szCs w:val="24"/>
        </w:rPr>
      </w:pPr>
      <w:r w:rsidRPr="00361E30">
        <w:rPr>
          <w:iCs/>
          <w:shd w:val="clear" w:color="auto" w:fill="FFFFFF"/>
        </w:rPr>
        <w:t>The audio recordings made during this research will be used only for analysis. Some quotes will be used in conference presentations and publications, but these will be anonymised. No other use will be made of them without your written permission, and no one outside the project will be allowed access to the original recordings</w:t>
      </w:r>
      <w:r w:rsidRPr="00361E30">
        <w:rPr>
          <w:iCs/>
          <w:szCs w:val="24"/>
        </w:rPr>
        <w:t>. The original recordings will be destroyed once they have been transcribed.</w:t>
      </w:r>
    </w:p>
    <w:p w14:paraId="0AD579D5" w14:textId="77777777" w:rsidR="00CA0EF0" w:rsidRPr="00361E30" w:rsidRDefault="00CA0EF0" w:rsidP="003C13F4">
      <w:pPr>
        <w:spacing w:after="0" w:line="240" w:lineRule="auto"/>
        <w:rPr>
          <w:iCs/>
          <w:szCs w:val="24"/>
        </w:rPr>
      </w:pPr>
    </w:p>
    <w:p w14:paraId="3AAFA294" w14:textId="77777777" w:rsidR="00CA0EF0" w:rsidRPr="00361E30" w:rsidRDefault="00CA0EF0" w:rsidP="003C13F4">
      <w:pPr>
        <w:spacing w:after="0" w:line="240" w:lineRule="auto"/>
        <w:rPr>
          <w:iCs/>
        </w:rPr>
      </w:pPr>
      <w:r w:rsidRPr="00361E30">
        <w:rPr>
          <w:iCs/>
        </w:rPr>
        <w:t>In the long term, the data from this study may be used again to compare the opinions of ED staff in this study with those of staff in other countries or with similar interviews done in the future. Such data will give us information about differences in healthcare providers’ opinions and beliefs in different countries and at different periods in time,</w:t>
      </w:r>
      <w:r w:rsidRPr="00361E30">
        <w:rPr>
          <w:rFonts w:ascii="Times New Roman" w:hAnsi="Times New Roman" w:cs="Times New Roman"/>
          <w:sz w:val="24"/>
          <w:szCs w:val="24"/>
        </w:rPr>
        <w:t xml:space="preserve"> </w:t>
      </w:r>
      <w:r w:rsidRPr="00361E30">
        <w:rPr>
          <w:iCs/>
        </w:rPr>
        <w:t>but the data will remain anonymous to future researchers both with regard to individual participants and their hospitals.</w:t>
      </w:r>
    </w:p>
    <w:p w14:paraId="7EFCE0D0" w14:textId="77777777" w:rsidR="00CA0EF0" w:rsidRPr="00361E30" w:rsidRDefault="00CA0EF0" w:rsidP="003C13F4">
      <w:pPr>
        <w:spacing w:after="0" w:line="240" w:lineRule="auto"/>
      </w:pPr>
    </w:p>
    <w:p w14:paraId="46499A60" w14:textId="77777777" w:rsidR="00CA0EF0" w:rsidRPr="00361E30" w:rsidRDefault="00CA0EF0" w:rsidP="003C13F4">
      <w:pPr>
        <w:spacing w:after="0" w:line="240" w:lineRule="auto"/>
      </w:pPr>
      <w:r w:rsidRPr="00361E30">
        <w:t>9.</w:t>
      </w:r>
      <w:r w:rsidRPr="00361E30">
        <w:rPr>
          <w:i/>
          <w:iCs/>
        </w:rPr>
        <w:tab/>
      </w:r>
      <w:r w:rsidRPr="00361E30">
        <w:t>What are the possible disadvantages and risks of taking part?</w:t>
      </w:r>
    </w:p>
    <w:p w14:paraId="10B436CF" w14:textId="77777777" w:rsidR="00CA0EF0" w:rsidRPr="00361E30" w:rsidRDefault="00CA0EF0" w:rsidP="003C13F4">
      <w:pPr>
        <w:spacing w:after="0" w:line="240" w:lineRule="auto"/>
      </w:pPr>
    </w:p>
    <w:p w14:paraId="6CA7662F" w14:textId="77777777" w:rsidR="00CA0EF0" w:rsidRPr="00361E30" w:rsidRDefault="00CA0EF0" w:rsidP="003C13F4">
      <w:pPr>
        <w:spacing w:after="0" w:line="240" w:lineRule="auto"/>
      </w:pPr>
      <w:r w:rsidRPr="00361E30">
        <w:t>While we make every effort to keep the identity of our participants confidential, there is a small risk that you may be identified with specific comments from the interviews in the final project report (given the context of the discussion and your role within the hospital). This is far less likely for participants who hold relatively junior positions within your hospital (where there are several people in your role), but more likely for more senior staff, such as lead clinicians and senior managers (where you may be the only person with your responsibilities in the hospital). Additionally, this breach of confidentiality is unlikely to occur in external reports as your hospital will not be identified in these reports. However, we do intend to present a summary of our findings to your hospital, and in this setting there is a small risk of breach of confidentiality. However, all reasonable efforts will be made to minimise this, including not using interview data in our reports if it is likely to be linked to specific individuals.</w:t>
      </w:r>
    </w:p>
    <w:p w14:paraId="6D0801BF" w14:textId="77777777" w:rsidR="00CA0EF0" w:rsidRPr="00361E30" w:rsidRDefault="00CA0EF0" w:rsidP="003C13F4">
      <w:pPr>
        <w:spacing w:after="0" w:line="240" w:lineRule="auto"/>
      </w:pPr>
    </w:p>
    <w:p w14:paraId="6737F325" w14:textId="77777777" w:rsidR="00CA0EF0" w:rsidRPr="00361E30" w:rsidRDefault="00CA0EF0" w:rsidP="003C13F4">
      <w:pPr>
        <w:spacing w:after="0" w:line="240" w:lineRule="auto"/>
      </w:pPr>
      <w:r w:rsidRPr="00361E30">
        <w:t>10.</w:t>
      </w:r>
      <w:r w:rsidRPr="00361E30">
        <w:tab/>
        <w:t>What are the possible benefits of taking part?</w:t>
      </w:r>
    </w:p>
    <w:p w14:paraId="6877CEE5" w14:textId="77777777" w:rsidR="00CA0EF0" w:rsidRPr="00361E30" w:rsidRDefault="00CA0EF0" w:rsidP="003C13F4">
      <w:pPr>
        <w:spacing w:after="0" w:line="240" w:lineRule="auto"/>
      </w:pPr>
    </w:p>
    <w:p w14:paraId="57491C14" w14:textId="77777777" w:rsidR="00CA0EF0" w:rsidRPr="00361E30" w:rsidRDefault="00CA0EF0" w:rsidP="003C13F4">
      <w:pPr>
        <w:spacing w:after="0" w:line="240" w:lineRule="auto"/>
        <w:rPr>
          <w:iCs/>
        </w:rPr>
      </w:pPr>
      <w:r w:rsidRPr="00361E30">
        <w:rPr>
          <w:iCs/>
          <w:shd w:val="clear" w:color="auto" w:fill="FFFFFF"/>
        </w:rPr>
        <w:t>Whilst there are no immediate benefits for those people participating in the project, it is hoped that this work will help us to better understand what is required to provide high quality care to older people who have suffered major injuries.</w:t>
      </w:r>
    </w:p>
    <w:p w14:paraId="2AC712E5" w14:textId="77777777" w:rsidR="00CA0EF0" w:rsidRPr="00361E30" w:rsidRDefault="00CA0EF0" w:rsidP="003C13F4">
      <w:pPr>
        <w:spacing w:after="0" w:line="240" w:lineRule="auto"/>
      </w:pPr>
    </w:p>
    <w:p w14:paraId="322C96B0" w14:textId="77777777" w:rsidR="00CA0EF0" w:rsidRPr="00361E30" w:rsidRDefault="00CA0EF0" w:rsidP="003C13F4">
      <w:pPr>
        <w:spacing w:after="0" w:line="240" w:lineRule="auto"/>
      </w:pPr>
      <w:r w:rsidRPr="00361E30">
        <w:t>11.</w:t>
      </w:r>
      <w:r w:rsidRPr="00361E30">
        <w:tab/>
        <w:t>What happens if the research study stops earlier than expected?</w:t>
      </w:r>
    </w:p>
    <w:p w14:paraId="739D99F4" w14:textId="77777777" w:rsidR="00CA0EF0" w:rsidRPr="00361E30" w:rsidRDefault="00CA0EF0" w:rsidP="003C13F4">
      <w:pPr>
        <w:spacing w:after="0" w:line="240" w:lineRule="auto"/>
      </w:pPr>
    </w:p>
    <w:p w14:paraId="00281271" w14:textId="77777777" w:rsidR="00CA0EF0" w:rsidRPr="00361E30" w:rsidRDefault="00CA0EF0" w:rsidP="003C13F4">
      <w:pPr>
        <w:spacing w:after="0" w:line="240" w:lineRule="auto"/>
      </w:pPr>
      <w:r w:rsidRPr="00361E30">
        <w:t>If the research study stops early, you will be informed by the lead researcher. If you have already taken part in an interview, this data will be used as part of the research. If you have not yet taken part, you will no longer be required to do so.</w:t>
      </w:r>
    </w:p>
    <w:p w14:paraId="1C5822A3" w14:textId="77777777" w:rsidR="00CA0EF0" w:rsidRPr="00361E30" w:rsidRDefault="00CA0EF0" w:rsidP="003C13F4">
      <w:pPr>
        <w:spacing w:after="0" w:line="240" w:lineRule="auto"/>
      </w:pPr>
    </w:p>
    <w:p w14:paraId="7C3599C9" w14:textId="77777777" w:rsidR="00CA0EF0" w:rsidRPr="00361E30" w:rsidRDefault="00CA0EF0" w:rsidP="003C13F4">
      <w:pPr>
        <w:spacing w:after="0" w:line="240" w:lineRule="auto"/>
      </w:pPr>
      <w:r w:rsidRPr="00361E30">
        <w:br w:type="page"/>
      </w:r>
      <w:r w:rsidRPr="00361E30">
        <w:lastRenderedPageBreak/>
        <w:t>12.</w:t>
      </w:r>
      <w:r w:rsidRPr="00361E30">
        <w:tab/>
        <w:t>What if something goes wrong?</w:t>
      </w:r>
    </w:p>
    <w:p w14:paraId="2F59A2B1" w14:textId="77777777" w:rsidR="00CA0EF0" w:rsidRPr="00361E30" w:rsidRDefault="00CA0EF0" w:rsidP="003C13F4">
      <w:pPr>
        <w:spacing w:after="0" w:line="240" w:lineRule="auto"/>
      </w:pPr>
    </w:p>
    <w:p w14:paraId="1CC31EB8" w14:textId="77777777" w:rsidR="00CA0EF0" w:rsidRPr="00361E30" w:rsidRDefault="00CA0EF0" w:rsidP="003C13F4">
      <w:pPr>
        <w:spacing w:after="0" w:line="240" w:lineRule="auto"/>
      </w:pPr>
      <w:r w:rsidRPr="00361E30">
        <w:t>If anything goes wrong, or you have a complaint or comment to make about the research process, you should contact the principal researcher in the first instance:</w:t>
      </w:r>
    </w:p>
    <w:p w14:paraId="047E3816" w14:textId="77777777" w:rsidR="00CA0EF0" w:rsidRPr="00361E30" w:rsidRDefault="00CA0EF0" w:rsidP="003C13F4">
      <w:pPr>
        <w:spacing w:after="0" w:line="240" w:lineRule="auto"/>
      </w:pPr>
    </w:p>
    <w:p w14:paraId="793A6327" w14:textId="77777777" w:rsidR="00CA0EF0" w:rsidRPr="00361E30" w:rsidRDefault="00CA0EF0" w:rsidP="003C13F4">
      <w:pPr>
        <w:spacing w:after="0" w:line="240" w:lineRule="auto"/>
      </w:pPr>
      <w:r w:rsidRPr="00361E30">
        <w:t>Dr Ian Sammy</w:t>
      </w:r>
    </w:p>
    <w:p w14:paraId="4FFAD417" w14:textId="77777777" w:rsidR="00CA0EF0" w:rsidRPr="00361E30" w:rsidRDefault="00CA0EF0" w:rsidP="003C13F4">
      <w:pPr>
        <w:spacing w:after="0" w:line="240" w:lineRule="auto"/>
      </w:pPr>
    </w:p>
    <w:p w14:paraId="64A7592F" w14:textId="77777777" w:rsidR="00CA0EF0" w:rsidRPr="00361E30" w:rsidRDefault="00CA0EF0" w:rsidP="003C13F4">
      <w:pPr>
        <w:spacing w:after="0" w:line="240" w:lineRule="auto"/>
      </w:pPr>
      <w:r w:rsidRPr="00361E30">
        <w:t>If you are not satisfied with the response you receive, you can contact the Dean of the School of Health and Related Research:</w:t>
      </w:r>
    </w:p>
    <w:p w14:paraId="03155052" w14:textId="77777777" w:rsidR="00CA0EF0" w:rsidRPr="00361E30" w:rsidRDefault="00CA0EF0" w:rsidP="003C13F4">
      <w:pPr>
        <w:spacing w:after="0" w:line="240" w:lineRule="auto"/>
      </w:pPr>
    </w:p>
    <w:p w14:paraId="63B71102" w14:textId="77777777" w:rsidR="00CA0EF0" w:rsidRPr="00361E30" w:rsidRDefault="00CA0EF0" w:rsidP="003C13F4">
      <w:pPr>
        <w:spacing w:after="0" w:line="240" w:lineRule="auto"/>
      </w:pPr>
      <w:r w:rsidRPr="00361E30">
        <w:t>Professor Jon Nicholl</w:t>
      </w:r>
    </w:p>
    <w:p w14:paraId="011474EA" w14:textId="77777777" w:rsidR="00CA0EF0" w:rsidRPr="00361E30" w:rsidRDefault="00CA0EF0" w:rsidP="003C13F4">
      <w:pPr>
        <w:spacing w:after="0" w:line="240" w:lineRule="auto"/>
      </w:pPr>
    </w:p>
    <w:p w14:paraId="08D5F0CE" w14:textId="77777777" w:rsidR="00CA0EF0" w:rsidRPr="00361E30" w:rsidRDefault="00CA0EF0" w:rsidP="003C13F4">
      <w:pPr>
        <w:spacing w:after="0" w:line="240" w:lineRule="auto"/>
      </w:pPr>
      <w:r w:rsidRPr="00361E30">
        <w:t>Contact information for both of these individuals is given at the end of this information sheet.</w:t>
      </w:r>
    </w:p>
    <w:p w14:paraId="1283C05E" w14:textId="77777777" w:rsidR="00CA0EF0" w:rsidRPr="00361E30" w:rsidRDefault="00CA0EF0" w:rsidP="003C13F4">
      <w:pPr>
        <w:spacing w:after="0" w:line="240" w:lineRule="auto"/>
      </w:pPr>
    </w:p>
    <w:p w14:paraId="63779799" w14:textId="77777777" w:rsidR="00CA0EF0" w:rsidRPr="00361E30" w:rsidRDefault="00CA0EF0" w:rsidP="003C13F4">
      <w:pPr>
        <w:spacing w:after="0" w:line="240" w:lineRule="auto"/>
      </w:pPr>
      <w:r w:rsidRPr="00361E30">
        <w:t>13.</w:t>
      </w:r>
      <w:r w:rsidRPr="00361E30">
        <w:tab/>
        <w:t>Will my taking part in this project be kept confidential?</w:t>
      </w:r>
    </w:p>
    <w:p w14:paraId="7DFFA8AD" w14:textId="77777777" w:rsidR="00CA0EF0" w:rsidRPr="00361E30" w:rsidRDefault="00CA0EF0" w:rsidP="003C13F4">
      <w:pPr>
        <w:spacing w:after="0" w:line="240" w:lineRule="auto"/>
      </w:pPr>
    </w:p>
    <w:p w14:paraId="53F6E025" w14:textId="77777777" w:rsidR="00CA0EF0" w:rsidRPr="00361E30" w:rsidRDefault="00CA0EF0" w:rsidP="003C13F4">
      <w:pPr>
        <w:spacing w:after="0" w:line="240" w:lineRule="auto"/>
        <w:rPr>
          <w:iCs/>
        </w:rPr>
      </w:pPr>
      <w:r w:rsidRPr="00361E30">
        <w:rPr>
          <w:iCs/>
          <w:shd w:val="clear" w:color="auto" w:fill="FFFFFF"/>
        </w:rPr>
        <w:t xml:space="preserve">All the information that we collect about you during the course of the research will be kept strictly confidential. </w:t>
      </w:r>
      <w:r w:rsidRPr="00361E30">
        <w:rPr>
          <w:iCs/>
          <w:szCs w:val="24"/>
        </w:rPr>
        <w:t>You will not be named in any reports or publications. Please note that there is a small risk of loss of anonymity, as described in Section 9 above, but we will make every reasonable effort to minimise this risk.</w:t>
      </w:r>
    </w:p>
    <w:p w14:paraId="4101C97A" w14:textId="77777777" w:rsidR="00CA0EF0" w:rsidRPr="00361E30" w:rsidRDefault="00CA0EF0" w:rsidP="003C13F4">
      <w:pPr>
        <w:spacing w:after="0" w:line="240" w:lineRule="auto"/>
      </w:pPr>
    </w:p>
    <w:p w14:paraId="7C9B2595" w14:textId="77777777" w:rsidR="00CA0EF0" w:rsidRPr="00361E30" w:rsidRDefault="00CA0EF0" w:rsidP="003C13F4">
      <w:pPr>
        <w:spacing w:after="0" w:line="240" w:lineRule="auto"/>
      </w:pPr>
    </w:p>
    <w:p w14:paraId="66FDC448" w14:textId="77777777" w:rsidR="00CA0EF0" w:rsidRPr="00361E30" w:rsidRDefault="00CA0EF0" w:rsidP="003C13F4">
      <w:pPr>
        <w:spacing w:after="0" w:line="240" w:lineRule="auto"/>
      </w:pPr>
      <w:r w:rsidRPr="00361E30">
        <w:t>14.</w:t>
      </w:r>
      <w:r w:rsidRPr="00361E30">
        <w:tab/>
        <w:t>What will happen to the results of the research project?</w:t>
      </w:r>
    </w:p>
    <w:p w14:paraId="305FE170" w14:textId="77777777" w:rsidR="00CA0EF0" w:rsidRPr="00361E30" w:rsidRDefault="00CA0EF0" w:rsidP="003C13F4">
      <w:pPr>
        <w:spacing w:after="0" w:line="240" w:lineRule="auto"/>
      </w:pPr>
    </w:p>
    <w:p w14:paraId="69585303" w14:textId="77777777" w:rsidR="00CA0EF0" w:rsidRPr="00361E30" w:rsidRDefault="00CA0EF0" w:rsidP="003C13F4">
      <w:pPr>
        <w:spacing w:after="0" w:line="240" w:lineRule="auto"/>
      </w:pPr>
      <w:r w:rsidRPr="00361E30">
        <w:t>The results of this project will form a part of the lead researcher’s PhD thesis. Results pertinent to your hospital will be presented to staff at the hospital, including the study participants. We intend to present these results at the International Conference of Emergency Medicine in 2018, and will be submitting the research to an international journal for publication in 2018/2019. As described in Section 8, the data from this study may be used in future research, but individuals and hospitals will be anonymised in any data used in future research.</w:t>
      </w:r>
    </w:p>
    <w:p w14:paraId="7C75854F" w14:textId="77777777" w:rsidR="00CA0EF0" w:rsidRPr="00361E30" w:rsidRDefault="00CA0EF0" w:rsidP="003C13F4">
      <w:pPr>
        <w:spacing w:after="0" w:line="240" w:lineRule="auto"/>
      </w:pPr>
    </w:p>
    <w:p w14:paraId="43882521" w14:textId="77777777" w:rsidR="00CA0EF0" w:rsidRPr="00361E30" w:rsidRDefault="00CA0EF0" w:rsidP="003C13F4">
      <w:pPr>
        <w:spacing w:after="0" w:line="240" w:lineRule="auto"/>
      </w:pPr>
      <w:r w:rsidRPr="00361E30">
        <w:t>15.</w:t>
      </w:r>
      <w:r w:rsidRPr="00361E30">
        <w:tab/>
        <w:t>Who is organising and funding the research?</w:t>
      </w:r>
    </w:p>
    <w:p w14:paraId="59053F86" w14:textId="77777777" w:rsidR="00CA0EF0" w:rsidRPr="00361E30" w:rsidRDefault="00CA0EF0" w:rsidP="003C13F4">
      <w:pPr>
        <w:spacing w:after="0" w:line="240" w:lineRule="auto"/>
      </w:pPr>
    </w:p>
    <w:p w14:paraId="3962DE08" w14:textId="77777777" w:rsidR="00CA0EF0" w:rsidRPr="00361E30" w:rsidRDefault="00CA0EF0" w:rsidP="003C13F4">
      <w:pPr>
        <w:spacing w:after="0" w:line="240" w:lineRule="auto"/>
      </w:pPr>
      <w:r w:rsidRPr="00361E30">
        <w:t>The primary researcher’s salary is funded by the Trauma Audit and Research Network of the United Kingdom (a department of the University of Manchester). The primary researcher is supervised by senior staff at the School of Health and Related Research, at the University of Sheffield.</w:t>
      </w:r>
    </w:p>
    <w:p w14:paraId="20ECB765" w14:textId="77777777" w:rsidR="00CA0EF0" w:rsidRPr="00361E30" w:rsidRDefault="00CA0EF0" w:rsidP="003C13F4">
      <w:pPr>
        <w:spacing w:after="0" w:line="240" w:lineRule="auto"/>
      </w:pPr>
    </w:p>
    <w:p w14:paraId="3444530B" w14:textId="77777777" w:rsidR="00CA0EF0" w:rsidRPr="00361E30" w:rsidRDefault="00CA0EF0" w:rsidP="003C13F4">
      <w:pPr>
        <w:spacing w:after="0" w:line="240" w:lineRule="auto"/>
      </w:pPr>
      <w:r w:rsidRPr="00361E30">
        <w:t>16.</w:t>
      </w:r>
      <w:r w:rsidRPr="00361E30">
        <w:tab/>
        <w:t>Who has ethically reviewed the project?</w:t>
      </w:r>
    </w:p>
    <w:p w14:paraId="3C328D0F" w14:textId="77777777" w:rsidR="00CA0EF0" w:rsidRPr="00361E30" w:rsidRDefault="00CA0EF0" w:rsidP="003C13F4">
      <w:pPr>
        <w:spacing w:after="0" w:line="240" w:lineRule="auto"/>
      </w:pPr>
    </w:p>
    <w:p w14:paraId="7A5A5DE6" w14:textId="77777777" w:rsidR="00CA0EF0" w:rsidRPr="00361E30" w:rsidRDefault="00CA0EF0" w:rsidP="003C13F4">
      <w:pPr>
        <w:spacing w:after="0" w:line="240" w:lineRule="auto"/>
      </w:pPr>
      <w:r w:rsidRPr="00361E30">
        <w:t>This research project has been ethically reviewed by the Research Ethics Committee of the University of Sheffield, School of Health and Related Research. The research has also obtained research and development (R&amp;D) approval from your hospital.</w:t>
      </w:r>
    </w:p>
    <w:p w14:paraId="77D13E82" w14:textId="77777777" w:rsidR="00CA0EF0" w:rsidRPr="00361E30" w:rsidRDefault="00CA0EF0" w:rsidP="003C13F4">
      <w:pPr>
        <w:spacing w:after="0" w:line="240" w:lineRule="auto"/>
      </w:pPr>
    </w:p>
    <w:p w14:paraId="3157E81B" w14:textId="77777777" w:rsidR="00CA0EF0" w:rsidRPr="00361E30" w:rsidRDefault="00CA0EF0" w:rsidP="003C13F4">
      <w:pPr>
        <w:spacing w:after="0" w:line="240" w:lineRule="auto"/>
      </w:pPr>
      <w:r w:rsidRPr="00361E30">
        <w:t>17.</w:t>
      </w:r>
      <w:r w:rsidRPr="00361E30">
        <w:tab/>
        <w:t>Contact for further information</w:t>
      </w:r>
    </w:p>
    <w:p w14:paraId="1470166C" w14:textId="77777777" w:rsidR="00CA0EF0" w:rsidRPr="00361E30" w:rsidRDefault="00CA0EF0" w:rsidP="003C13F4">
      <w:pPr>
        <w:spacing w:after="0" w:line="240" w:lineRule="auto"/>
      </w:pPr>
    </w:p>
    <w:p w14:paraId="2B18F312" w14:textId="77777777" w:rsidR="00CA0EF0" w:rsidRPr="00361E30" w:rsidRDefault="00CA0EF0" w:rsidP="003C13F4">
      <w:pPr>
        <w:spacing w:after="0" w:line="240" w:lineRule="auto"/>
      </w:pPr>
      <w:r w:rsidRPr="00361E30">
        <w:t>If you require further information about this research project, you can contact the principal researcher:</w:t>
      </w:r>
      <w:r w:rsidRPr="00361E30">
        <w:br/>
      </w:r>
    </w:p>
    <w:p w14:paraId="7731B81A" w14:textId="77777777" w:rsidR="00CA0EF0" w:rsidRPr="00361E30" w:rsidRDefault="00CA0EF0" w:rsidP="003C13F4">
      <w:pPr>
        <w:spacing w:after="0" w:line="240" w:lineRule="auto"/>
      </w:pPr>
      <w:r w:rsidRPr="00361E30">
        <w:t>Dr Ian Sammy</w:t>
      </w:r>
    </w:p>
    <w:p w14:paraId="4970B0FC" w14:textId="77777777" w:rsidR="00CA0EF0" w:rsidRPr="00361E30" w:rsidRDefault="00CA0EF0" w:rsidP="003C13F4">
      <w:pPr>
        <w:spacing w:after="0" w:line="240" w:lineRule="auto"/>
      </w:pPr>
      <w:r w:rsidRPr="00361E30">
        <w:t>School of Health and Related Research</w:t>
      </w:r>
    </w:p>
    <w:p w14:paraId="034290FD" w14:textId="77777777" w:rsidR="00CA0EF0" w:rsidRPr="00361E30" w:rsidRDefault="00CA0EF0" w:rsidP="003C13F4">
      <w:pPr>
        <w:spacing w:after="0" w:line="240" w:lineRule="auto"/>
      </w:pPr>
      <w:r w:rsidRPr="00361E30">
        <w:t>The University of Sheffield</w:t>
      </w:r>
    </w:p>
    <w:p w14:paraId="2BC0DA6E" w14:textId="77777777" w:rsidR="00CA0EF0" w:rsidRPr="00361E30" w:rsidRDefault="00CA0EF0" w:rsidP="003C13F4">
      <w:pPr>
        <w:spacing w:after="0" w:line="240" w:lineRule="auto"/>
      </w:pPr>
      <w:r w:rsidRPr="00361E30">
        <w:t>Regent Court, 30 Regent Street S1 4DA</w:t>
      </w:r>
    </w:p>
    <w:p w14:paraId="2088815C" w14:textId="77777777" w:rsidR="00CA0EF0" w:rsidRPr="00993D1E" w:rsidRDefault="00CA0EF0" w:rsidP="003C13F4">
      <w:pPr>
        <w:spacing w:after="0" w:line="240" w:lineRule="auto"/>
        <w:rPr>
          <w:lang w:val="fr-FR"/>
        </w:rPr>
      </w:pPr>
      <w:r w:rsidRPr="00993D1E">
        <w:rPr>
          <w:lang w:val="fr-FR"/>
        </w:rPr>
        <w:lastRenderedPageBreak/>
        <w:t>Tel: 0114 222 4319</w:t>
      </w:r>
    </w:p>
    <w:p w14:paraId="2FD77745" w14:textId="77777777" w:rsidR="00CA0EF0" w:rsidRPr="00993D1E" w:rsidRDefault="00CA0EF0" w:rsidP="003C13F4">
      <w:pPr>
        <w:spacing w:after="0" w:line="240" w:lineRule="auto"/>
        <w:rPr>
          <w:color w:val="0000FF"/>
          <w:u w:val="single"/>
          <w:lang w:val="fr-FR"/>
        </w:rPr>
      </w:pPr>
      <w:r w:rsidRPr="00993D1E">
        <w:rPr>
          <w:lang w:val="fr-FR"/>
        </w:rPr>
        <w:t xml:space="preserve">Email: </w:t>
      </w:r>
      <w:hyperlink r:id="rId46" w:history="1">
        <w:r w:rsidRPr="00993D1E">
          <w:rPr>
            <w:color w:val="0000FF"/>
            <w:u w:val="single"/>
            <w:lang w:val="fr-FR"/>
          </w:rPr>
          <w:t>iasammy1@sheffield.ac.uk</w:t>
        </w:r>
      </w:hyperlink>
    </w:p>
    <w:p w14:paraId="78076B87" w14:textId="77777777" w:rsidR="00CA0EF0" w:rsidRPr="00993D1E" w:rsidRDefault="00CA0EF0" w:rsidP="003C13F4">
      <w:pPr>
        <w:spacing w:after="0" w:line="240" w:lineRule="auto"/>
        <w:rPr>
          <w:color w:val="0000FF"/>
          <w:u w:val="single"/>
          <w:lang w:val="fr-FR"/>
        </w:rPr>
      </w:pPr>
    </w:p>
    <w:p w14:paraId="4FB51599" w14:textId="77777777" w:rsidR="00CA0EF0" w:rsidRPr="00361E30" w:rsidRDefault="00CA0EF0" w:rsidP="003C13F4">
      <w:pPr>
        <w:spacing w:after="0" w:line="240" w:lineRule="auto"/>
      </w:pPr>
      <w:r w:rsidRPr="00361E30">
        <w:t>Contact information for the Dean of the School of Health and Related Research is given below:</w:t>
      </w:r>
    </w:p>
    <w:p w14:paraId="710A7CA6" w14:textId="77777777" w:rsidR="00CA0EF0" w:rsidRPr="00361E30" w:rsidRDefault="00CA0EF0" w:rsidP="003C13F4">
      <w:pPr>
        <w:spacing w:after="0" w:line="240" w:lineRule="auto"/>
      </w:pPr>
    </w:p>
    <w:p w14:paraId="3A5CE5FD" w14:textId="77777777" w:rsidR="00CA0EF0" w:rsidRPr="00361E30" w:rsidRDefault="00CA0EF0" w:rsidP="003C13F4">
      <w:pPr>
        <w:spacing w:after="0" w:line="240" w:lineRule="auto"/>
      </w:pPr>
      <w:r w:rsidRPr="00361E30">
        <w:t>Professor Jon Nicholl</w:t>
      </w:r>
    </w:p>
    <w:p w14:paraId="18EFF427" w14:textId="77777777" w:rsidR="00CA0EF0" w:rsidRPr="00361E30" w:rsidRDefault="00CA0EF0" w:rsidP="003C13F4">
      <w:pPr>
        <w:spacing w:after="0" w:line="240" w:lineRule="auto"/>
      </w:pPr>
      <w:r w:rsidRPr="00361E30">
        <w:t>Dean of the School of Health and Related Research</w:t>
      </w:r>
    </w:p>
    <w:p w14:paraId="48763C75" w14:textId="77777777" w:rsidR="00CA0EF0" w:rsidRPr="00361E30" w:rsidRDefault="00CA0EF0" w:rsidP="003C13F4">
      <w:pPr>
        <w:spacing w:after="0" w:line="240" w:lineRule="auto"/>
      </w:pPr>
      <w:r w:rsidRPr="00361E30">
        <w:t>The University of Sheffield</w:t>
      </w:r>
    </w:p>
    <w:p w14:paraId="7AFA287F" w14:textId="77777777" w:rsidR="00CA0EF0" w:rsidRPr="00361E30" w:rsidRDefault="00CA0EF0" w:rsidP="003C13F4">
      <w:pPr>
        <w:spacing w:after="0" w:line="240" w:lineRule="auto"/>
      </w:pPr>
      <w:r w:rsidRPr="00361E30">
        <w:t>Regent Court, 30 Regent Street S1 4DA</w:t>
      </w:r>
    </w:p>
    <w:p w14:paraId="69F081BA" w14:textId="77777777" w:rsidR="00CA0EF0" w:rsidRPr="00993D1E" w:rsidRDefault="00CA0EF0" w:rsidP="003C13F4">
      <w:pPr>
        <w:spacing w:after="0" w:line="240" w:lineRule="auto"/>
        <w:rPr>
          <w:lang w:val="fr-FR"/>
        </w:rPr>
      </w:pPr>
      <w:r w:rsidRPr="00993D1E">
        <w:rPr>
          <w:lang w:val="fr-FR"/>
        </w:rPr>
        <w:t>Tel: 0</w:t>
      </w:r>
      <w:r w:rsidRPr="00993D1E">
        <w:rPr>
          <w:szCs w:val="24"/>
          <w:lang w:val="fr-FR"/>
        </w:rPr>
        <w:t>114 222 5453</w:t>
      </w:r>
    </w:p>
    <w:p w14:paraId="4AADA47F" w14:textId="77777777" w:rsidR="00CA0EF0" w:rsidRPr="00993D1E" w:rsidRDefault="00CA0EF0" w:rsidP="003C13F4">
      <w:pPr>
        <w:spacing w:after="0" w:line="240" w:lineRule="auto"/>
        <w:rPr>
          <w:lang w:val="fr-FR"/>
        </w:rPr>
      </w:pPr>
      <w:r w:rsidRPr="00993D1E">
        <w:rPr>
          <w:lang w:val="fr-FR"/>
        </w:rPr>
        <w:t>Email: j.nicholl@sheffield.ac.uk</w:t>
      </w:r>
    </w:p>
    <w:p w14:paraId="028C7382" w14:textId="77777777" w:rsidR="00CA0EF0" w:rsidRPr="00993D1E" w:rsidRDefault="00CA0EF0" w:rsidP="003C13F4">
      <w:pPr>
        <w:spacing w:after="0" w:line="240" w:lineRule="auto"/>
        <w:rPr>
          <w:lang w:val="fr-FR"/>
        </w:rPr>
      </w:pPr>
    </w:p>
    <w:p w14:paraId="6137EDC2" w14:textId="77777777" w:rsidR="00CA0EF0" w:rsidRPr="00993D1E" w:rsidRDefault="00CA0EF0" w:rsidP="003C13F4">
      <w:pPr>
        <w:spacing w:after="0" w:line="240" w:lineRule="auto"/>
        <w:rPr>
          <w:lang w:val="fr-FR"/>
        </w:rPr>
      </w:pPr>
    </w:p>
    <w:p w14:paraId="39A919C6" w14:textId="77777777" w:rsidR="00CA0EF0" w:rsidRPr="00361E30" w:rsidRDefault="00CA0EF0" w:rsidP="003C13F4">
      <w:pPr>
        <w:spacing w:after="0" w:line="240" w:lineRule="auto"/>
      </w:pPr>
      <w:r w:rsidRPr="00361E30">
        <w:t>If you agree to participate in this research, you will be given a copy of this information sheet and your signed consent form to keep for your personal records.</w:t>
      </w:r>
    </w:p>
    <w:p w14:paraId="274E99CC" w14:textId="77777777" w:rsidR="00CA0EF0" w:rsidRPr="00361E30" w:rsidRDefault="00CA0EF0" w:rsidP="003C13F4">
      <w:pPr>
        <w:spacing w:after="0" w:line="240" w:lineRule="auto"/>
      </w:pPr>
    </w:p>
    <w:p w14:paraId="0D6EEAEC" w14:textId="77777777" w:rsidR="00CA0EF0" w:rsidRPr="00361E30" w:rsidRDefault="00CA0EF0" w:rsidP="003C13F4">
      <w:pPr>
        <w:spacing w:after="0" w:line="240" w:lineRule="auto"/>
      </w:pPr>
      <w:r w:rsidRPr="00361E30">
        <w:t>Thank you for taking the time to read this information sheet. We hope you will be able to take part in our research. If you have any further questions or comments, please feel free to contact us.</w:t>
      </w:r>
    </w:p>
    <w:p w14:paraId="733721F8" w14:textId="77777777" w:rsidR="00CA0EF0" w:rsidRPr="00361E30" w:rsidRDefault="00CA0EF0">
      <w:pPr>
        <w:spacing w:line="276" w:lineRule="auto"/>
        <w:jc w:val="left"/>
      </w:pPr>
      <w:r w:rsidRPr="00361E30">
        <w:br w:type="page"/>
      </w:r>
    </w:p>
    <w:p w14:paraId="251F16D0" w14:textId="77777777" w:rsidR="00CA0EF0" w:rsidRPr="00361E30" w:rsidRDefault="00CA0EF0" w:rsidP="003C13F4">
      <w:pPr>
        <w:pStyle w:val="Heading1"/>
        <w:rPr>
          <w:rFonts w:eastAsia="Times New Roman"/>
        </w:rPr>
      </w:pPr>
      <w:bookmarkStart w:id="461" w:name="_Toc1902386"/>
      <w:r w:rsidRPr="00361E30">
        <w:rPr>
          <w:rFonts w:eastAsia="Times New Roman"/>
        </w:rPr>
        <w:lastRenderedPageBreak/>
        <w:t>Consent Form</w:t>
      </w:r>
      <w:bookmarkEnd w:id="461"/>
    </w:p>
    <w:p w14:paraId="34BAFCCF" w14:textId="77777777" w:rsidR="00CA0EF0" w:rsidRPr="00361E30" w:rsidRDefault="00CA0EF0" w:rsidP="003C13F4">
      <w:pPr>
        <w:spacing w:after="0" w:line="240" w:lineRule="auto"/>
        <w:jc w:val="center"/>
        <w:rPr>
          <w:rFonts w:eastAsia="Times New Roman" w:cstheme="minorHAnsi"/>
          <w:b/>
          <w:color w:val="00B0F0"/>
          <w:sz w:val="32"/>
          <w:szCs w:val="32"/>
          <w14:shadow w14:blurRad="50800" w14:dist="38100" w14:dir="2700000" w14:sx="100000" w14:sy="100000" w14:kx="0" w14:ky="0" w14:algn="tl">
            <w14:srgbClr w14:val="000000">
              <w14:alpha w14:val="60000"/>
            </w14:srgbClr>
          </w14:shadow>
        </w:rPr>
      </w:pPr>
      <w:r w:rsidRPr="00361E30">
        <w:rPr>
          <w:rFonts w:eastAsia="Times New Roman" w:cstheme="minorHAnsi"/>
          <w:b/>
          <w:color w:val="00B0F0"/>
          <w:sz w:val="32"/>
          <w:szCs w:val="32"/>
          <w14:shadow w14:blurRad="50800" w14:dist="38100" w14:dir="2700000" w14:sx="100000" w14:sy="100000" w14:kx="0" w14:ky="0" w14:algn="tl">
            <w14:srgbClr w14:val="000000">
              <w14:alpha w14:val="60000"/>
            </w14:srgbClr>
          </w14:shadow>
        </w:rPr>
        <w:t>Participant Consent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48"/>
        <w:gridCol w:w="1038"/>
      </w:tblGrid>
      <w:tr w:rsidR="00CA0EF0" w:rsidRPr="00361E30" w14:paraId="18D8BFAC" w14:textId="77777777" w:rsidTr="003C13F4">
        <w:tc>
          <w:tcPr>
            <w:tcW w:w="9286" w:type="dxa"/>
            <w:gridSpan w:val="2"/>
          </w:tcPr>
          <w:p w14:paraId="04816379" w14:textId="77777777" w:rsidR="00CA0EF0" w:rsidRPr="00361E30" w:rsidRDefault="00CA0EF0" w:rsidP="003C13F4">
            <w:pPr>
              <w:spacing w:after="0" w:line="240" w:lineRule="auto"/>
              <w:rPr>
                <w:rFonts w:ascii="Times New Roman" w:eastAsia="Times New Roman" w:hAnsi="Times New Roman" w:cs="Times New Roman"/>
                <w:sz w:val="24"/>
                <w:szCs w:val="24"/>
              </w:rPr>
            </w:pPr>
            <w:r w:rsidRPr="00361E30">
              <w:rPr>
                <w:rFonts w:ascii="TUOS Blake" w:eastAsia="Times New Roman" w:hAnsi="TUOS Blake" w:cs="Arial"/>
                <w:sz w:val="24"/>
                <w:szCs w:val="24"/>
                <w:u w:val="single"/>
              </w:rPr>
              <w:t>Title of Research Project:</w:t>
            </w:r>
            <w:r w:rsidRPr="00361E30">
              <w:rPr>
                <w:rFonts w:ascii="TUOS Blake" w:eastAsia="Times New Roman" w:hAnsi="TUOS Blake" w:cs="Arial"/>
                <w:sz w:val="24"/>
                <w:szCs w:val="24"/>
              </w:rPr>
              <w:t xml:space="preserve"> </w:t>
            </w:r>
            <w:r w:rsidRPr="00361E30">
              <w:rPr>
                <w:rFonts w:ascii="Calibri" w:eastAsia="Times New Roman" w:hAnsi="Calibri" w:cs="Times New Roman"/>
                <w:sz w:val="24"/>
                <w:szCs w:val="24"/>
              </w:rPr>
              <w:t>Trauma outcomes in older people in the United Kingdom – how does the organisation and delivery of trauma care impact on casemix adjusted mortality in this population?</w:t>
            </w:r>
          </w:p>
          <w:p w14:paraId="72D1DD5D" w14:textId="77777777" w:rsidR="00CA0EF0" w:rsidRPr="00361E30" w:rsidRDefault="00CA0EF0" w:rsidP="003C13F4">
            <w:pPr>
              <w:spacing w:after="0" w:line="240" w:lineRule="auto"/>
              <w:jc w:val="left"/>
              <w:rPr>
                <w:rFonts w:ascii="TUOS Blake" w:eastAsia="Times New Roman" w:hAnsi="TUOS Blake" w:cs="Arial"/>
                <w:sz w:val="24"/>
                <w:szCs w:val="24"/>
              </w:rPr>
            </w:pPr>
            <w:r w:rsidRPr="00361E30">
              <w:rPr>
                <w:rFonts w:ascii="TUOS Blake" w:eastAsia="Times New Roman" w:hAnsi="TUOS Blake" w:cs="Arial"/>
                <w:sz w:val="24"/>
                <w:szCs w:val="24"/>
                <w:u w:val="single"/>
              </w:rPr>
              <w:t>Name of Researcher:</w:t>
            </w:r>
            <w:r w:rsidRPr="00361E30">
              <w:rPr>
                <w:rFonts w:ascii="TUOS Blake" w:eastAsia="Times New Roman" w:hAnsi="TUOS Blake" w:cs="Arial"/>
                <w:sz w:val="24"/>
                <w:szCs w:val="24"/>
              </w:rPr>
              <w:t xml:space="preserve"> Ian Sammy</w:t>
            </w:r>
          </w:p>
          <w:p w14:paraId="782632C4" w14:textId="77777777" w:rsidR="00CA0EF0" w:rsidRPr="00361E30" w:rsidRDefault="00CA0EF0" w:rsidP="003C13F4">
            <w:pPr>
              <w:spacing w:after="0" w:line="240" w:lineRule="auto"/>
              <w:jc w:val="left"/>
              <w:rPr>
                <w:rFonts w:ascii="TUOS Blake" w:eastAsia="Times New Roman" w:hAnsi="TUOS Blake" w:cs="Arial"/>
                <w:sz w:val="24"/>
                <w:szCs w:val="24"/>
              </w:rPr>
            </w:pPr>
          </w:p>
          <w:p w14:paraId="6C767E50" w14:textId="77777777" w:rsidR="00CA0EF0" w:rsidRPr="00361E30" w:rsidRDefault="00CA0EF0" w:rsidP="003C13F4">
            <w:pPr>
              <w:spacing w:after="0" w:line="240" w:lineRule="auto"/>
              <w:jc w:val="left"/>
              <w:rPr>
                <w:rFonts w:ascii="TUOS Blake" w:eastAsia="Times New Roman" w:hAnsi="TUOS Blake" w:cs="Arial"/>
                <w:b/>
                <w:bCs/>
                <w:sz w:val="24"/>
                <w:szCs w:val="24"/>
              </w:rPr>
            </w:pPr>
            <w:r w:rsidRPr="00361E30">
              <w:rPr>
                <w:rFonts w:ascii="TUOS Blake" w:eastAsia="Times New Roman" w:hAnsi="TUOS Blake" w:cs="Times New Roman"/>
                <w:b/>
                <w:bCs/>
                <w:sz w:val="24"/>
                <w:szCs w:val="24"/>
              </w:rPr>
              <w:t>Participant Identification Number for this project:</w:t>
            </w:r>
            <w:r w:rsidRPr="00361E30">
              <w:rPr>
                <w:rFonts w:ascii="TUOS Blake" w:eastAsia="Times New Roman" w:hAnsi="TUOS Blake" w:cs="Arial"/>
                <w:b/>
                <w:bCs/>
                <w:sz w:val="24"/>
                <w:szCs w:val="24"/>
              </w:rPr>
              <w:tab/>
              <w:t xml:space="preserve">           Please initial box:</w:t>
            </w:r>
          </w:p>
        </w:tc>
      </w:tr>
      <w:tr w:rsidR="00CA0EF0" w:rsidRPr="00361E30" w14:paraId="1BF98C17" w14:textId="77777777" w:rsidTr="003C13F4">
        <w:tc>
          <w:tcPr>
            <w:tcW w:w="8118" w:type="dxa"/>
          </w:tcPr>
          <w:p w14:paraId="4E3DDFA8" w14:textId="77777777" w:rsidR="00CA0EF0" w:rsidRPr="00361E30" w:rsidRDefault="00CA0EF0" w:rsidP="003C13F4">
            <w:pPr>
              <w:numPr>
                <w:ilvl w:val="0"/>
                <w:numId w:val="48"/>
              </w:numPr>
              <w:tabs>
                <w:tab w:val="num" w:pos="360"/>
              </w:tabs>
              <w:spacing w:after="0" w:line="240" w:lineRule="auto"/>
              <w:ind w:left="360"/>
              <w:jc w:val="left"/>
              <w:rPr>
                <w:rFonts w:ascii="TUOS Blake" w:eastAsia="Times New Roman" w:hAnsi="TUOS Blake" w:cs="Arial"/>
              </w:rPr>
            </w:pPr>
            <w:r w:rsidRPr="00361E30">
              <w:rPr>
                <w:rFonts w:ascii="TUOS Blake" w:eastAsia="Times New Roman" w:hAnsi="TUOS Blake" w:cs="Arial"/>
              </w:rPr>
              <w:t xml:space="preserve">I confirm that I have read and understand the information sheet dated </w:t>
            </w:r>
            <w:r w:rsidRPr="00361E30">
              <w:rPr>
                <w:rFonts w:ascii="TUOS Blake" w:eastAsia="Times New Roman" w:hAnsi="TUOS Blake" w:cs="Arial"/>
                <w:i/>
              </w:rPr>
              <w:t>21</w:t>
            </w:r>
            <w:r w:rsidRPr="00361E30">
              <w:rPr>
                <w:rFonts w:ascii="TUOS Blake" w:eastAsia="Times New Roman" w:hAnsi="TUOS Blake" w:cs="Arial"/>
                <w:i/>
                <w:vertAlign w:val="superscript"/>
              </w:rPr>
              <w:t>st</w:t>
            </w:r>
            <w:r w:rsidRPr="00361E30">
              <w:rPr>
                <w:rFonts w:ascii="TUOS Blake" w:eastAsia="Times New Roman" w:hAnsi="TUOS Blake" w:cs="Arial"/>
                <w:i/>
              </w:rPr>
              <w:t xml:space="preserve"> December 2015</w:t>
            </w:r>
            <w:r w:rsidRPr="00361E30">
              <w:rPr>
                <w:rFonts w:ascii="TUOS Blake" w:eastAsia="Times New Roman" w:hAnsi="TUOS Blake" w:cs="Arial"/>
              </w:rPr>
              <w:t xml:space="preserve"> explaining the above research project</w:t>
            </w:r>
            <w:r w:rsidRPr="00361E30">
              <w:rPr>
                <w:rFonts w:ascii="TUOS Blake" w:eastAsia="Times New Roman" w:hAnsi="TUOS Blake" w:cs="Arial"/>
              </w:rPr>
              <w:br/>
              <w:t>and I have had the opportunity to ask questions about the project.</w:t>
            </w:r>
          </w:p>
        </w:tc>
        <w:tc>
          <w:tcPr>
            <w:tcW w:w="1168" w:type="dxa"/>
          </w:tcPr>
          <w:p w14:paraId="36BA1662" w14:textId="77777777" w:rsidR="00CA0EF0" w:rsidRPr="00361E30" w:rsidRDefault="00CA0EF0" w:rsidP="003C13F4">
            <w:pPr>
              <w:spacing w:after="0" w:line="240" w:lineRule="auto"/>
              <w:rPr>
                <w:rFonts w:ascii="TUOS Blake" w:eastAsia="Times New Roman" w:hAnsi="TUOS Blake" w:cs="Arial"/>
                <w:i/>
                <w:iCs/>
                <w:sz w:val="24"/>
                <w:szCs w:val="24"/>
              </w:rPr>
            </w:pPr>
            <w:r w:rsidRPr="00361E30">
              <w:rPr>
                <w:rFonts w:ascii="TUOS Blake" w:eastAsia="Times New Roman" w:hAnsi="TUOS Blake" w:cs="Arial"/>
                <w:noProof/>
                <w:lang w:eastAsia="en-GB"/>
              </w:rPr>
              <mc:AlternateContent>
                <mc:Choice Requires="wps">
                  <w:drawing>
                    <wp:anchor distT="0" distB="0" distL="114300" distR="114300" simplePos="0" relativeHeight="251656704" behindDoc="0" locked="0" layoutInCell="1" allowOverlap="1" wp14:anchorId="24C29813" wp14:editId="5850C799">
                      <wp:simplePos x="0" y="0"/>
                      <wp:positionH relativeFrom="column">
                        <wp:posOffset>-17145</wp:posOffset>
                      </wp:positionH>
                      <wp:positionV relativeFrom="paragraph">
                        <wp:posOffset>95250</wp:posOffset>
                      </wp:positionV>
                      <wp:extent cx="457200" cy="342900"/>
                      <wp:effectExtent l="8890" t="9525" r="10160" b="952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24304" id="Rectangle 43" o:spid="_x0000_s1026" style="position:absolute;margin-left:-1.35pt;margin-top:7.5pt;width:36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"/>
                  </w:pict>
                </mc:Fallback>
              </mc:AlternateContent>
            </w:r>
            <w:r w:rsidRPr="00361E30">
              <w:rPr>
                <w:rFonts w:ascii="TUOS Blake" w:eastAsia="Times New Roman" w:hAnsi="TUOS Blake" w:cs="Arial"/>
                <w:i/>
                <w:iCs/>
                <w:sz w:val="24"/>
                <w:szCs w:val="24"/>
              </w:rPr>
              <w:t xml:space="preserve"> </w:t>
            </w:r>
          </w:p>
        </w:tc>
      </w:tr>
      <w:tr w:rsidR="00CA0EF0" w:rsidRPr="00361E30" w14:paraId="361E81FB" w14:textId="77777777" w:rsidTr="003C13F4">
        <w:tc>
          <w:tcPr>
            <w:tcW w:w="8118" w:type="dxa"/>
          </w:tcPr>
          <w:p w14:paraId="4F8003B4" w14:textId="77777777" w:rsidR="00CA0EF0" w:rsidRPr="00361E30" w:rsidRDefault="00CA0EF0" w:rsidP="003C13F4">
            <w:pPr>
              <w:numPr>
                <w:ilvl w:val="0"/>
                <w:numId w:val="48"/>
              </w:numPr>
              <w:tabs>
                <w:tab w:val="num" w:pos="360"/>
              </w:tabs>
              <w:spacing w:after="0" w:line="240" w:lineRule="auto"/>
              <w:ind w:left="360"/>
              <w:jc w:val="left"/>
              <w:rPr>
                <w:rFonts w:ascii="TUOS Blake" w:eastAsia="Times New Roman" w:hAnsi="TUOS Blake" w:cs="Arial"/>
              </w:rPr>
            </w:pPr>
            <w:r w:rsidRPr="00361E30">
              <w:rPr>
                <w:rFonts w:ascii="TUOS Blake" w:eastAsia="Times New Roman" w:hAnsi="TUOS Blake" w:cs="Arial"/>
              </w:rPr>
              <w:t>I understand that my participation is voluntary and that I am free to withdraw</w:t>
            </w:r>
            <w:r w:rsidRPr="00361E30">
              <w:rPr>
                <w:rFonts w:ascii="TUOS Blake" w:eastAsia="Times New Roman" w:hAnsi="TUOS Blake" w:cs="Arial"/>
              </w:rPr>
              <w:br/>
              <w:t>at any time without giving any reason and without there being any negative</w:t>
            </w:r>
            <w:r w:rsidRPr="00361E30">
              <w:rPr>
                <w:rFonts w:ascii="TUOS Blake" w:eastAsia="Times New Roman" w:hAnsi="TUOS Blake" w:cs="Arial"/>
              </w:rPr>
              <w:br/>
              <w:t>consequences. In addition, should I not wish to answer any particular</w:t>
            </w:r>
            <w:r w:rsidRPr="00361E30">
              <w:rPr>
                <w:rFonts w:ascii="TUOS Blake" w:eastAsia="Times New Roman" w:hAnsi="TUOS Blake" w:cs="Arial"/>
              </w:rPr>
              <w:br/>
              <w:t xml:space="preserve">question or questions, I am free to decline. </w:t>
            </w:r>
          </w:p>
          <w:p w14:paraId="7D1AF6D0" w14:textId="77777777" w:rsidR="00CA0EF0" w:rsidRPr="00361E30" w:rsidRDefault="00CA0EF0" w:rsidP="003C13F4">
            <w:pPr>
              <w:spacing w:after="0" w:line="240" w:lineRule="auto"/>
              <w:ind w:left="360"/>
              <w:jc w:val="left"/>
              <w:rPr>
                <w:rFonts w:ascii="TUOS Blake" w:eastAsia="Times New Roman" w:hAnsi="TUOS Blake" w:cs="Arial"/>
                <w:sz w:val="20"/>
                <w:szCs w:val="20"/>
              </w:rPr>
            </w:pPr>
            <w:r w:rsidRPr="00361E30">
              <w:rPr>
                <w:rFonts w:ascii="TUOS Blake" w:eastAsia="Times New Roman" w:hAnsi="TUOS Blake" w:cs="Arial"/>
                <w:i/>
                <w:iCs/>
                <w:sz w:val="20"/>
                <w:szCs w:val="20"/>
              </w:rPr>
              <w:t>(Lead Researcher: Ian Sammy. Tel: 0114 222 4319; email iasammy1@sheffield.ac.uk)</w:t>
            </w:r>
          </w:p>
        </w:tc>
        <w:tc>
          <w:tcPr>
            <w:tcW w:w="1168" w:type="dxa"/>
          </w:tcPr>
          <w:p w14:paraId="0E7B9562" w14:textId="77777777" w:rsidR="00CA0EF0" w:rsidRPr="00361E30" w:rsidRDefault="00CA0EF0" w:rsidP="003C13F4">
            <w:pPr>
              <w:spacing w:after="0" w:line="240" w:lineRule="auto"/>
              <w:jc w:val="left"/>
              <w:rPr>
                <w:rFonts w:ascii="TUOS Blake" w:eastAsia="Times New Roman" w:hAnsi="TUOS Blake" w:cs="Arial"/>
                <w:sz w:val="24"/>
                <w:szCs w:val="24"/>
              </w:rPr>
            </w:pPr>
            <w:r w:rsidRPr="00361E30">
              <w:rPr>
                <w:rFonts w:ascii="TUOS Blake" w:eastAsia="Times New Roman" w:hAnsi="TUOS Blake" w:cs="Arial"/>
                <w:noProof/>
                <w:sz w:val="24"/>
                <w:szCs w:val="24"/>
                <w:lang w:eastAsia="en-GB"/>
              </w:rPr>
              <mc:AlternateContent>
                <mc:Choice Requires="wps">
                  <w:drawing>
                    <wp:anchor distT="0" distB="0" distL="114300" distR="114300" simplePos="0" relativeHeight="251658752" behindDoc="0" locked="0" layoutInCell="1" allowOverlap="1" wp14:anchorId="2E06295A" wp14:editId="3D6D2355">
                      <wp:simplePos x="0" y="0"/>
                      <wp:positionH relativeFrom="column">
                        <wp:posOffset>-11430</wp:posOffset>
                      </wp:positionH>
                      <wp:positionV relativeFrom="paragraph">
                        <wp:posOffset>277495</wp:posOffset>
                      </wp:positionV>
                      <wp:extent cx="457200" cy="342900"/>
                      <wp:effectExtent l="5080" t="5080" r="13970" b="1397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57987" id="Rectangle 42" o:spid="_x0000_s1026" style="position:absolute;margin-left:-.9pt;margin-top:21.85pt;width:36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"/>
                  </w:pict>
                </mc:Fallback>
              </mc:AlternateContent>
            </w:r>
          </w:p>
        </w:tc>
      </w:tr>
      <w:tr w:rsidR="00CA0EF0" w:rsidRPr="00361E30" w14:paraId="2C18AA51" w14:textId="77777777" w:rsidTr="003C13F4">
        <w:tc>
          <w:tcPr>
            <w:tcW w:w="8118" w:type="dxa"/>
          </w:tcPr>
          <w:p w14:paraId="4B6D488F" w14:textId="77777777" w:rsidR="00CA0EF0" w:rsidRPr="00361E30" w:rsidRDefault="00CA0EF0" w:rsidP="003C13F4">
            <w:pPr>
              <w:numPr>
                <w:ilvl w:val="0"/>
                <w:numId w:val="48"/>
              </w:numPr>
              <w:tabs>
                <w:tab w:val="left" w:pos="360"/>
              </w:tabs>
              <w:spacing w:after="0" w:line="240" w:lineRule="auto"/>
              <w:ind w:left="360"/>
              <w:jc w:val="left"/>
              <w:rPr>
                <w:rFonts w:ascii="TUOS Blake" w:eastAsia="Times New Roman" w:hAnsi="TUOS Blake" w:cs="Arial"/>
              </w:rPr>
            </w:pPr>
            <w:r w:rsidRPr="00361E30">
              <w:rPr>
                <w:rFonts w:ascii="TUOS Blake" w:eastAsia="Times New Roman" w:hAnsi="TUOS Blake" w:cs="Arial"/>
              </w:rPr>
              <w:t>I understand that my responses will be kept strictly confidential.</w:t>
            </w:r>
            <w:r w:rsidRPr="00361E30">
              <w:rPr>
                <w:rFonts w:ascii="TUOS Blake" w:eastAsia="Times New Roman" w:hAnsi="TUOS Blake" w:cs="Arial"/>
              </w:rPr>
              <w:br/>
              <w:t>I give permission for members of the research team to have access to my</w:t>
            </w:r>
            <w:r w:rsidRPr="00361E30">
              <w:rPr>
                <w:rFonts w:ascii="TUOS Blake" w:eastAsia="Times New Roman" w:hAnsi="TUOS Blake" w:cs="Arial"/>
              </w:rPr>
              <w:br/>
              <w:t>anonymised responses. I understand that my name will not be linked with</w:t>
            </w:r>
            <w:r w:rsidRPr="00361E30">
              <w:rPr>
                <w:rFonts w:ascii="TUOS Blake" w:eastAsia="Times New Roman" w:hAnsi="TUOS Blake" w:cs="Arial"/>
              </w:rPr>
              <w:br/>
              <w:t>the research materials, and I will not be identified in the</w:t>
            </w:r>
            <w:r w:rsidRPr="00361E30">
              <w:rPr>
                <w:rFonts w:ascii="TUOS Blake" w:eastAsia="Times New Roman" w:hAnsi="TUOS Blake" w:cs="Arial"/>
              </w:rPr>
              <w:br/>
              <w:t xml:space="preserve">report or reports that result from the research.  </w:t>
            </w:r>
          </w:p>
        </w:tc>
        <w:tc>
          <w:tcPr>
            <w:tcW w:w="1168" w:type="dxa"/>
          </w:tcPr>
          <w:p w14:paraId="3A856FA4" w14:textId="77777777" w:rsidR="00CA0EF0" w:rsidRPr="00361E30" w:rsidRDefault="00CA0EF0" w:rsidP="003C13F4">
            <w:pPr>
              <w:spacing w:after="0" w:line="240" w:lineRule="auto"/>
              <w:jc w:val="left"/>
              <w:rPr>
                <w:rFonts w:ascii="TUOS Blake" w:eastAsia="Times New Roman" w:hAnsi="TUOS Blake" w:cs="Arial"/>
                <w:sz w:val="24"/>
                <w:szCs w:val="24"/>
              </w:rPr>
            </w:pPr>
            <w:r w:rsidRPr="00361E30">
              <w:rPr>
                <w:rFonts w:ascii="TUOS Blake" w:eastAsia="Times New Roman" w:hAnsi="TUOS Blake" w:cs="Arial"/>
                <w:noProof/>
                <w:lang w:eastAsia="en-GB"/>
              </w:rPr>
              <mc:AlternateContent>
                <mc:Choice Requires="wps">
                  <w:drawing>
                    <wp:anchor distT="0" distB="0" distL="114300" distR="114300" simplePos="0" relativeHeight="251660800" behindDoc="0" locked="0" layoutInCell="1" allowOverlap="1" wp14:anchorId="1EF15237" wp14:editId="2AEBD5C2">
                      <wp:simplePos x="0" y="0"/>
                      <wp:positionH relativeFrom="column">
                        <wp:posOffset>-11430</wp:posOffset>
                      </wp:positionH>
                      <wp:positionV relativeFrom="paragraph">
                        <wp:posOffset>282575</wp:posOffset>
                      </wp:positionV>
                      <wp:extent cx="457200" cy="342900"/>
                      <wp:effectExtent l="5080" t="5715" r="13970" b="1333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D6136" id="Rectangle 41" o:spid="_x0000_s1026" style="position:absolute;margin-left:-.9pt;margin-top:22.25pt;width:36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"/>
                  </w:pict>
                </mc:Fallback>
              </mc:AlternateContent>
            </w:r>
          </w:p>
        </w:tc>
      </w:tr>
      <w:tr w:rsidR="00CA0EF0" w:rsidRPr="00361E30" w14:paraId="637792A9" w14:textId="77777777" w:rsidTr="003C13F4">
        <w:tc>
          <w:tcPr>
            <w:tcW w:w="8118" w:type="dxa"/>
          </w:tcPr>
          <w:p w14:paraId="494AA0B2" w14:textId="77777777" w:rsidR="00CA0EF0" w:rsidRPr="00361E30" w:rsidRDefault="00CA0EF0" w:rsidP="003C13F4">
            <w:pPr>
              <w:tabs>
                <w:tab w:val="left" w:pos="360"/>
              </w:tabs>
              <w:spacing w:after="0" w:line="240" w:lineRule="auto"/>
              <w:ind w:left="360"/>
              <w:jc w:val="left"/>
              <w:rPr>
                <w:rFonts w:ascii="TUOS Blake" w:eastAsia="Times New Roman" w:hAnsi="TUOS Blake" w:cs="Arial"/>
              </w:rPr>
            </w:pPr>
          </w:p>
          <w:p w14:paraId="4F039A24" w14:textId="77777777" w:rsidR="00CA0EF0" w:rsidRPr="00361E30" w:rsidRDefault="00CA0EF0" w:rsidP="003C13F4">
            <w:pPr>
              <w:tabs>
                <w:tab w:val="left" w:pos="360"/>
              </w:tabs>
              <w:spacing w:after="0" w:line="240" w:lineRule="auto"/>
              <w:jc w:val="left"/>
              <w:rPr>
                <w:rFonts w:ascii="TUOS Blake" w:eastAsia="Times New Roman" w:hAnsi="TUOS Blake" w:cs="Arial"/>
              </w:rPr>
            </w:pPr>
            <w:r w:rsidRPr="00361E30">
              <w:rPr>
                <w:rFonts w:ascii="TUOS Blake" w:eastAsia="Times New Roman" w:hAnsi="TUOS Blake" w:cs="Arial"/>
              </w:rPr>
              <w:t xml:space="preserve">4.     I agree for the data collected from me to be used in future research </w:t>
            </w:r>
          </w:p>
          <w:p w14:paraId="583D29DF" w14:textId="77777777" w:rsidR="00CA0EF0" w:rsidRPr="00361E30" w:rsidRDefault="00CA0EF0" w:rsidP="003C13F4">
            <w:pPr>
              <w:spacing w:after="0" w:line="240" w:lineRule="auto"/>
              <w:jc w:val="left"/>
              <w:rPr>
                <w:rFonts w:ascii="TUOS Blake" w:eastAsia="Times New Roman" w:hAnsi="TUOS Blake" w:cs="Arial"/>
                <w:sz w:val="24"/>
                <w:szCs w:val="24"/>
              </w:rPr>
            </w:pPr>
          </w:p>
        </w:tc>
        <w:tc>
          <w:tcPr>
            <w:tcW w:w="1168" w:type="dxa"/>
          </w:tcPr>
          <w:p w14:paraId="3D7C4533" w14:textId="77777777" w:rsidR="00CA0EF0" w:rsidRPr="00361E30" w:rsidRDefault="00CA0EF0" w:rsidP="003C13F4">
            <w:pPr>
              <w:spacing w:after="0" w:line="240" w:lineRule="auto"/>
              <w:jc w:val="left"/>
              <w:rPr>
                <w:rFonts w:ascii="TUOS Blake" w:eastAsia="Times New Roman" w:hAnsi="TUOS Blake" w:cs="Arial"/>
                <w:sz w:val="24"/>
                <w:szCs w:val="24"/>
              </w:rPr>
            </w:pPr>
            <w:r w:rsidRPr="00361E30">
              <w:rPr>
                <w:rFonts w:ascii="TUOS Blake" w:eastAsia="Times New Roman" w:hAnsi="TUOS Blake" w:cs="Arial"/>
                <w:noProof/>
                <w:lang w:eastAsia="en-GB"/>
              </w:rPr>
              <mc:AlternateContent>
                <mc:Choice Requires="wps">
                  <w:drawing>
                    <wp:anchor distT="0" distB="0" distL="114300" distR="114300" simplePos="0" relativeHeight="251662848" behindDoc="0" locked="0" layoutInCell="1" allowOverlap="1" wp14:anchorId="34743BC9" wp14:editId="6A264C5C">
                      <wp:simplePos x="0" y="0"/>
                      <wp:positionH relativeFrom="column">
                        <wp:posOffset>6286</wp:posOffset>
                      </wp:positionH>
                      <wp:positionV relativeFrom="paragraph">
                        <wp:posOffset>121920</wp:posOffset>
                      </wp:positionV>
                      <wp:extent cx="457200" cy="342900"/>
                      <wp:effectExtent l="0" t="0" r="19050" b="190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37D90" id="Rectangle 40" o:spid="_x0000_s1026" style="position:absolute;margin-left:.5pt;margin-top:9.6pt;width:36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"/>
                  </w:pict>
                </mc:Fallback>
              </mc:AlternateContent>
            </w:r>
          </w:p>
        </w:tc>
      </w:tr>
      <w:tr w:rsidR="00CA0EF0" w:rsidRPr="00361E30" w14:paraId="701580AC" w14:textId="77777777" w:rsidTr="003C13F4">
        <w:tc>
          <w:tcPr>
            <w:tcW w:w="8118" w:type="dxa"/>
          </w:tcPr>
          <w:p w14:paraId="7D425520" w14:textId="77777777" w:rsidR="00CA0EF0" w:rsidRPr="00361E30" w:rsidRDefault="00CA0EF0" w:rsidP="003C13F4">
            <w:pPr>
              <w:tabs>
                <w:tab w:val="left" w:pos="360"/>
              </w:tabs>
              <w:spacing w:after="0" w:line="240" w:lineRule="auto"/>
              <w:jc w:val="left"/>
              <w:rPr>
                <w:rFonts w:ascii="TUOS Blake" w:eastAsia="Times New Roman" w:hAnsi="TUOS Blake" w:cs="Arial"/>
              </w:rPr>
            </w:pPr>
          </w:p>
          <w:p w14:paraId="74C8B6DD" w14:textId="77777777" w:rsidR="00CA0EF0" w:rsidRPr="00361E30" w:rsidRDefault="00CA0EF0" w:rsidP="003C13F4">
            <w:pPr>
              <w:numPr>
                <w:ilvl w:val="0"/>
                <w:numId w:val="49"/>
              </w:numPr>
              <w:tabs>
                <w:tab w:val="left" w:pos="360"/>
              </w:tabs>
              <w:spacing w:after="0" w:line="240" w:lineRule="auto"/>
              <w:ind w:hanging="720"/>
              <w:jc w:val="left"/>
              <w:rPr>
                <w:rFonts w:ascii="TUOS Blake" w:eastAsia="Times New Roman" w:hAnsi="TUOS Blake" w:cs="Arial"/>
              </w:rPr>
            </w:pPr>
            <w:r w:rsidRPr="00361E30">
              <w:rPr>
                <w:rFonts w:ascii="TUOS Blake" w:eastAsia="Times New Roman" w:hAnsi="TUOS Blake" w:cs="Arial"/>
              </w:rPr>
              <w:t>I agree to take part in the above research project.</w:t>
            </w:r>
          </w:p>
          <w:p w14:paraId="531C416F" w14:textId="77777777" w:rsidR="00CA0EF0" w:rsidRPr="00361E30" w:rsidRDefault="00CA0EF0" w:rsidP="003C13F4">
            <w:pPr>
              <w:spacing w:after="0" w:line="240" w:lineRule="auto"/>
              <w:jc w:val="left"/>
              <w:rPr>
                <w:rFonts w:ascii="TUOS Blake" w:eastAsia="Times New Roman" w:hAnsi="TUOS Blake" w:cs="Arial"/>
                <w:sz w:val="24"/>
                <w:szCs w:val="24"/>
              </w:rPr>
            </w:pPr>
          </w:p>
        </w:tc>
        <w:tc>
          <w:tcPr>
            <w:tcW w:w="1168" w:type="dxa"/>
          </w:tcPr>
          <w:p w14:paraId="7E07109E" w14:textId="77777777" w:rsidR="00CA0EF0" w:rsidRPr="00361E30" w:rsidRDefault="00CA0EF0" w:rsidP="003C13F4">
            <w:pPr>
              <w:spacing w:after="0" w:line="240" w:lineRule="auto"/>
              <w:jc w:val="left"/>
              <w:rPr>
                <w:rFonts w:ascii="TUOS Blake" w:eastAsia="Times New Roman" w:hAnsi="TUOS Blake" w:cs="Arial"/>
                <w:sz w:val="24"/>
                <w:szCs w:val="24"/>
              </w:rPr>
            </w:pPr>
            <w:r w:rsidRPr="00361E30">
              <w:rPr>
                <w:rFonts w:ascii="TUOS Blake" w:eastAsia="Times New Roman" w:hAnsi="TUOS Blake" w:cs="Arial"/>
                <w:noProof/>
                <w:lang w:eastAsia="en-GB"/>
              </w:rPr>
              <mc:AlternateContent>
                <mc:Choice Requires="wps">
                  <w:drawing>
                    <wp:anchor distT="0" distB="0" distL="114300" distR="114300" simplePos="0" relativeHeight="251664896" behindDoc="0" locked="0" layoutInCell="1" allowOverlap="1" wp14:anchorId="5A4C440E" wp14:editId="3ADBB6BC">
                      <wp:simplePos x="0" y="0"/>
                      <wp:positionH relativeFrom="column">
                        <wp:posOffset>12065</wp:posOffset>
                      </wp:positionH>
                      <wp:positionV relativeFrom="paragraph">
                        <wp:posOffset>125730</wp:posOffset>
                      </wp:positionV>
                      <wp:extent cx="457200" cy="342900"/>
                      <wp:effectExtent l="0" t="0" r="19050"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CA899" id="Rectangle 39" o:spid="_x0000_s1026" style="position:absolute;margin-left:.95pt;margin-top:9.9pt;width:36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"/>
                  </w:pict>
                </mc:Fallback>
              </mc:AlternateContent>
            </w:r>
          </w:p>
        </w:tc>
      </w:tr>
      <w:tr w:rsidR="00CA0EF0" w:rsidRPr="00361E30" w14:paraId="15E2B7CC" w14:textId="77777777" w:rsidTr="003C13F4">
        <w:tc>
          <w:tcPr>
            <w:tcW w:w="8118" w:type="dxa"/>
          </w:tcPr>
          <w:p w14:paraId="03F62952" w14:textId="77777777" w:rsidR="00CA0EF0" w:rsidRPr="00361E30" w:rsidRDefault="00CA0EF0" w:rsidP="003C13F4">
            <w:pPr>
              <w:tabs>
                <w:tab w:val="left" w:pos="360"/>
              </w:tabs>
              <w:spacing w:after="0" w:line="240" w:lineRule="auto"/>
              <w:jc w:val="left"/>
              <w:rPr>
                <w:rFonts w:ascii="TUOS Blake" w:eastAsia="Times New Roman" w:hAnsi="TUOS Blake" w:cs="Arial"/>
                <w:noProof/>
                <w:lang w:eastAsia="zh-CN"/>
              </w:rPr>
            </w:pPr>
            <w:r w:rsidRPr="00361E30">
              <w:rPr>
                <w:rFonts w:ascii="TUOS Blake" w:eastAsia="Times New Roman" w:hAnsi="TUOS Blake" w:cs="Arial"/>
                <w:noProof/>
                <w:lang w:eastAsia="zh-CN"/>
              </w:rPr>
              <w:t>6.</w:t>
            </w:r>
            <w:r w:rsidRPr="00361E30">
              <w:rPr>
                <w:rFonts w:ascii="TUOS Blake" w:eastAsia="Times New Roman" w:hAnsi="TUOS Blake" w:cs="Arial"/>
                <w:noProof/>
                <w:lang w:eastAsia="zh-CN"/>
              </w:rPr>
              <w:tab/>
              <w:t xml:space="preserve">I agree to the recording of any interviews in which I participate. </w:t>
            </w:r>
            <w:r w:rsidRPr="00361E30">
              <w:rPr>
                <w:rFonts w:ascii="TUOS Blake" w:eastAsia="Times New Roman" w:hAnsi="TUOS Blake" w:cs="Arial"/>
                <w:noProof/>
                <w:lang w:eastAsia="zh-CN"/>
              </w:rPr>
              <w:tab/>
              <w:t xml:space="preserve">I understand that the information from these recording will be securely stored. </w:t>
            </w:r>
            <w:r w:rsidRPr="00361E30">
              <w:rPr>
                <w:rFonts w:ascii="TUOS Blake" w:eastAsia="Times New Roman" w:hAnsi="TUOS Blake" w:cs="Arial"/>
              </w:rPr>
              <w:t xml:space="preserve">Audio recordings of interviews will </w:t>
            </w:r>
            <w:r w:rsidRPr="00361E30">
              <w:rPr>
                <w:rFonts w:ascii="TUOS Blake" w:eastAsia="Times New Roman" w:hAnsi="TUOS Blake" w:cs="Arial"/>
              </w:rPr>
              <w:tab/>
              <w:t>be destroyed once they have been transcribed.</w:t>
            </w:r>
          </w:p>
        </w:tc>
        <w:tc>
          <w:tcPr>
            <w:tcW w:w="1168" w:type="dxa"/>
          </w:tcPr>
          <w:p w14:paraId="159BD262" w14:textId="77777777" w:rsidR="00CA0EF0" w:rsidRPr="00361E30" w:rsidRDefault="00CA0EF0" w:rsidP="003C13F4">
            <w:pPr>
              <w:spacing w:after="0" w:line="240" w:lineRule="auto"/>
              <w:jc w:val="left"/>
              <w:rPr>
                <w:rFonts w:ascii="TUOS Blake" w:eastAsia="Times New Roman" w:hAnsi="TUOS Blake" w:cs="Arial"/>
                <w:sz w:val="24"/>
                <w:szCs w:val="24"/>
              </w:rPr>
            </w:pPr>
            <w:r w:rsidRPr="00361E30">
              <w:rPr>
                <w:rFonts w:ascii="TUOS Blake" w:eastAsia="Times New Roman" w:hAnsi="TUOS Blake" w:cs="Arial"/>
                <w:noProof/>
                <w:sz w:val="24"/>
                <w:szCs w:val="24"/>
                <w:lang w:eastAsia="en-GB"/>
              </w:rPr>
              <mc:AlternateContent>
                <mc:Choice Requires="wps">
                  <w:drawing>
                    <wp:anchor distT="0" distB="0" distL="114300" distR="114300" simplePos="0" relativeHeight="251666944" behindDoc="0" locked="0" layoutInCell="1" allowOverlap="1" wp14:anchorId="19FE287C" wp14:editId="4663DCE3">
                      <wp:simplePos x="0" y="0"/>
                      <wp:positionH relativeFrom="column">
                        <wp:posOffset>-11430</wp:posOffset>
                      </wp:positionH>
                      <wp:positionV relativeFrom="paragraph">
                        <wp:posOffset>84455</wp:posOffset>
                      </wp:positionV>
                      <wp:extent cx="457200" cy="342900"/>
                      <wp:effectExtent l="5080" t="9525" r="13970" b="952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223A4" id="Rectangle 38" o:spid="_x0000_s1026" style="position:absolute;margin-left:-.9pt;margin-top:6.65pt;width:36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"/>
                  </w:pict>
                </mc:Fallback>
              </mc:AlternateContent>
            </w:r>
          </w:p>
        </w:tc>
      </w:tr>
      <w:tr w:rsidR="00CA0EF0" w:rsidRPr="00361E30" w14:paraId="5C02F63B" w14:textId="77777777" w:rsidTr="003C13F4">
        <w:trPr>
          <w:trHeight w:val="3550"/>
        </w:trPr>
        <w:tc>
          <w:tcPr>
            <w:tcW w:w="9286" w:type="dxa"/>
            <w:gridSpan w:val="2"/>
          </w:tcPr>
          <w:p w14:paraId="35B1B772" w14:textId="77777777" w:rsidR="00CA0EF0" w:rsidRPr="00361E30" w:rsidRDefault="00CA0EF0" w:rsidP="003C13F4">
            <w:pPr>
              <w:tabs>
                <w:tab w:val="left" w:pos="3600"/>
                <w:tab w:val="left" w:pos="6480"/>
              </w:tabs>
              <w:spacing w:after="0" w:line="240" w:lineRule="auto"/>
              <w:jc w:val="left"/>
              <w:rPr>
                <w:rFonts w:ascii="TUOS Blake" w:eastAsia="Times New Roman" w:hAnsi="TUOS Blake" w:cs="Arial"/>
                <w:sz w:val="24"/>
                <w:szCs w:val="24"/>
              </w:rPr>
            </w:pPr>
          </w:p>
          <w:p w14:paraId="7DD75BF0" w14:textId="77777777" w:rsidR="00CA0EF0" w:rsidRPr="00361E30" w:rsidRDefault="00CA0EF0" w:rsidP="003C13F4">
            <w:pPr>
              <w:tabs>
                <w:tab w:val="left" w:pos="3600"/>
                <w:tab w:val="left" w:pos="6480"/>
              </w:tabs>
              <w:spacing w:after="0" w:line="240" w:lineRule="auto"/>
              <w:jc w:val="left"/>
              <w:rPr>
                <w:rFonts w:ascii="TUOS Blake" w:eastAsia="Times New Roman" w:hAnsi="TUOS Blake" w:cs="Arial"/>
                <w:sz w:val="24"/>
                <w:szCs w:val="24"/>
              </w:rPr>
            </w:pPr>
          </w:p>
          <w:p w14:paraId="49EF09FC" w14:textId="77777777" w:rsidR="00CA0EF0" w:rsidRPr="00361E30" w:rsidRDefault="00CA0EF0" w:rsidP="003C13F4">
            <w:pPr>
              <w:tabs>
                <w:tab w:val="left" w:pos="3600"/>
                <w:tab w:val="left" w:pos="6480"/>
              </w:tabs>
              <w:spacing w:after="0" w:line="240" w:lineRule="auto"/>
              <w:jc w:val="left"/>
              <w:rPr>
                <w:rFonts w:ascii="TUOS Blake" w:eastAsia="Times New Roman" w:hAnsi="TUOS Blake" w:cs="Arial"/>
                <w:sz w:val="24"/>
                <w:szCs w:val="24"/>
              </w:rPr>
            </w:pPr>
          </w:p>
          <w:p w14:paraId="725EF5DD" w14:textId="77777777" w:rsidR="00CA0EF0" w:rsidRPr="00361E30" w:rsidRDefault="00CA0EF0" w:rsidP="003C13F4">
            <w:pPr>
              <w:tabs>
                <w:tab w:val="left" w:pos="3600"/>
                <w:tab w:val="left" w:pos="6480"/>
              </w:tabs>
              <w:spacing w:after="0" w:line="240" w:lineRule="auto"/>
              <w:jc w:val="left"/>
              <w:rPr>
                <w:rFonts w:ascii="TUOS Blake" w:eastAsia="Times New Roman" w:hAnsi="TUOS Blake" w:cs="Arial"/>
                <w:sz w:val="24"/>
                <w:szCs w:val="24"/>
              </w:rPr>
            </w:pPr>
            <w:r w:rsidRPr="00361E30">
              <w:rPr>
                <w:rFonts w:ascii="TUOS Blake" w:eastAsia="Times New Roman" w:hAnsi="TUOS Blake" w:cs="Arial"/>
                <w:sz w:val="24"/>
                <w:szCs w:val="24"/>
              </w:rPr>
              <w:t>_______________________</w:t>
            </w:r>
            <w:r w:rsidRPr="00361E30">
              <w:rPr>
                <w:rFonts w:ascii="TUOS Blake" w:eastAsia="Times New Roman" w:hAnsi="TUOS Blake" w:cs="Arial"/>
                <w:sz w:val="24"/>
                <w:szCs w:val="24"/>
              </w:rPr>
              <w:tab/>
              <w:t>________________         ____________________</w:t>
            </w:r>
          </w:p>
          <w:p w14:paraId="400B2003" w14:textId="77777777" w:rsidR="00CA0EF0" w:rsidRPr="00361E30" w:rsidRDefault="00CA0EF0" w:rsidP="003C13F4">
            <w:pPr>
              <w:tabs>
                <w:tab w:val="left" w:pos="3600"/>
                <w:tab w:val="left" w:pos="6480"/>
              </w:tabs>
              <w:spacing w:after="0" w:line="240" w:lineRule="auto"/>
              <w:jc w:val="left"/>
              <w:rPr>
                <w:rFonts w:ascii="TUOS Blake" w:eastAsia="Times New Roman" w:hAnsi="TUOS Blake" w:cs="Arial"/>
                <w:sz w:val="24"/>
                <w:szCs w:val="24"/>
              </w:rPr>
            </w:pPr>
            <w:r w:rsidRPr="00361E30">
              <w:rPr>
                <w:rFonts w:ascii="TUOS Blake" w:eastAsia="Times New Roman" w:hAnsi="TUOS Blake" w:cs="Arial"/>
                <w:sz w:val="24"/>
                <w:szCs w:val="24"/>
              </w:rPr>
              <w:t>Name of Participant</w:t>
            </w:r>
            <w:r w:rsidRPr="00361E30">
              <w:rPr>
                <w:rFonts w:ascii="TUOS Blake" w:eastAsia="Times New Roman" w:hAnsi="TUOS Blake" w:cs="Arial"/>
                <w:sz w:val="24"/>
                <w:szCs w:val="24"/>
              </w:rPr>
              <w:tab/>
              <w:t>Date</w:t>
            </w:r>
            <w:r w:rsidRPr="00361E30">
              <w:rPr>
                <w:rFonts w:ascii="TUOS Blake" w:eastAsia="Times New Roman" w:hAnsi="TUOS Blake" w:cs="Arial"/>
                <w:sz w:val="24"/>
                <w:szCs w:val="24"/>
              </w:rPr>
              <w:tab/>
              <w:t>Signature</w:t>
            </w:r>
          </w:p>
          <w:p w14:paraId="05D7EF55" w14:textId="77777777" w:rsidR="00CA0EF0" w:rsidRPr="00361E30" w:rsidRDefault="00CA0EF0" w:rsidP="003C13F4">
            <w:pPr>
              <w:spacing w:after="0" w:line="240" w:lineRule="auto"/>
              <w:jc w:val="left"/>
              <w:rPr>
                <w:rFonts w:ascii="TUOS Blake" w:eastAsia="Times New Roman" w:hAnsi="TUOS Blake" w:cs="Arial"/>
                <w:sz w:val="24"/>
                <w:szCs w:val="24"/>
              </w:rPr>
            </w:pPr>
            <w:r w:rsidRPr="00361E30">
              <w:rPr>
                <w:rFonts w:ascii="TUOS Blake" w:eastAsia="Times New Roman" w:hAnsi="TUOS Blake" w:cs="Arial"/>
                <w:sz w:val="24"/>
                <w:szCs w:val="24"/>
              </w:rPr>
              <w:t>(</w:t>
            </w:r>
            <w:r w:rsidRPr="00361E30">
              <w:rPr>
                <w:rFonts w:ascii="TUOS Blake" w:eastAsia="Times New Roman" w:hAnsi="TUOS Blake" w:cs="Arial"/>
                <w:i/>
                <w:iCs/>
                <w:sz w:val="24"/>
                <w:szCs w:val="24"/>
              </w:rPr>
              <w:t>or legal representative</w:t>
            </w:r>
            <w:r w:rsidRPr="00361E30">
              <w:rPr>
                <w:rFonts w:ascii="TUOS Blake" w:eastAsia="Times New Roman" w:hAnsi="TUOS Blake" w:cs="Arial"/>
                <w:sz w:val="24"/>
                <w:szCs w:val="24"/>
              </w:rPr>
              <w:t>)</w:t>
            </w:r>
          </w:p>
          <w:p w14:paraId="480533FF" w14:textId="77777777" w:rsidR="00CA0EF0" w:rsidRPr="00361E30" w:rsidRDefault="00CA0EF0" w:rsidP="003C13F4">
            <w:pPr>
              <w:spacing w:after="0" w:line="240" w:lineRule="auto"/>
              <w:jc w:val="left"/>
              <w:rPr>
                <w:rFonts w:ascii="TUOS Blake" w:eastAsia="Times New Roman" w:hAnsi="TUOS Blake" w:cs="Arial"/>
                <w:sz w:val="24"/>
                <w:szCs w:val="24"/>
              </w:rPr>
            </w:pPr>
          </w:p>
          <w:p w14:paraId="0AA8863F" w14:textId="77777777" w:rsidR="00CA0EF0" w:rsidRPr="00361E30" w:rsidRDefault="00CA0EF0" w:rsidP="003C13F4">
            <w:pPr>
              <w:spacing w:after="0" w:line="240" w:lineRule="auto"/>
              <w:jc w:val="left"/>
              <w:rPr>
                <w:rFonts w:ascii="TUOS Blake" w:eastAsia="Times New Roman" w:hAnsi="TUOS Blake" w:cs="Arial"/>
                <w:sz w:val="24"/>
                <w:szCs w:val="24"/>
              </w:rPr>
            </w:pPr>
          </w:p>
          <w:p w14:paraId="7E32D2BC" w14:textId="77777777" w:rsidR="00CA0EF0" w:rsidRPr="00361E30" w:rsidRDefault="00CA0EF0" w:rsidP="003C13F4">
            <w:pPr>
              <w:tabs>
                <w:tab w:val="left" w:pos="3600"/>
                <w:tab w:val="left" w:pos="6480"/>
              </w:tabs>
              <w:spacing w:after="0" w:line="240" w:lineRule="auto"/>
              <w:jc w:val="left"/>
              <w:rPr>
                <w:rFonts w:ascii="TUOS Blake" w:eastAsia="Times New Roman" w:hAnsi="TUOS Blake" w:cs="Arial"/>
                <w:sz w:val="24"/>
                <w:szCs w:val="24"/>
              </w:rPr>
            </w:pPr>
            <w:r w:rsidRPr="00361E30">
              <w:rPr>
                <w:rFonts w:ascii="TUOS Blake" w:eastAsia="Times New Roman" w:hAnsi="TUOS Blake" w:cs="Arial"/>
                <w:sz w:val="24"/>
                <w:szCs w:val="24"/>
              </w:rPr>
              <w:t>_________________________</w:t>
            </w:r>
            <w:r w:rsidRPr="00361E30">
              <w:rPr>
                <w:rFonts w:ascii="TUOS Blake" w:eastAsia="Times New Roman" w:hAnsi="TUOS Blake" w:cs="Arial"/>
                <w:sz w:val="24"/>
                <w:szCs w:val="24"/>
              </w:rPr>
              <w:tab/>
              <w:t>________________         ____________________</w:t>
            </w:r>
          </w:p>
          <w:p w14:paraId="7ECB6ACF" w14:textId="77777777" w:rsidR="00CA0EF0" w:rsidRPr="00361E30" w:rsidRDefault="00CA0EF0" w:rsidP="003C13F4">
            <w:pPr>
              <w:tabs>
                <w:tab w:val="left" w:pos="3600"/>
                <w:tab w:val="left" w:pos="6480"/>
              </w:tabs>
              <w:spacing w:after="0" w:line="240" w:lineRule="auto"/>
              <w:jc w:val="left"/>
              <w:rPr>
                <w:rFonts w:ascii="TUOS Blake" w:eastAsia="Times New Roman" w:hAnsi="TUOS Blake" w:cs="Arial"/>
                <w:sz w:val="24"/>
                <w:szCs w:val="24"/>
              </w:rPr>
            </w:pPr>
            <w:r w:rsidRPr="00361E30">
              <w:rPr>
                <w:rFonts w:ascii="TUOS Blake" w:eastAsia="Times New Roman" w:hAnsi="TUOS Blake" w:cs="Arial"/>
                <w:sz w:val="24"/>
                <w:szCs w:val="24"/>
              </w:rPr>
              <w:t xml:space="preserve"> Lead Researcher</w:t>
            </w:r>
            <w:r w:rsidRPr="00361E30">
              <w:rPr>
                <w:rFonts w:ascii="TUOS Blake" w:eastAsia="Times New Roman" w:hAnsi="TUOS Blake" w:cs="Arial"/>
                <w:sz w:val="24"/>
                <w:szCs w:val="24"/>
              </w:rPr>
              <w:tab/>
              <w:t>Date</w:t>
            </w:r>
            <w:r w:rsidRPr="00361E30">
              <w:rPr>
                <w:rFonts w:ascii="TUOS Blake" w:eastAsia="Times New Roman" w:hAnsi="TUOS Blake" w:cs="Arial"/>
                <w:sz w:val="24"/>
                <w:szCs w:val="24"/>
              </w:rPr>
              <w:tab/>
              <w:t>Signature</w:t>
            </w:r>
          </w:p>
          <w:p w14:paraId="5CCD726C" w14:textId="77777777" w:rsidR="00CA0EF0" w:rsidRPr="00361E30" w:rsidRDefault="00CA0EF0" w:rsidP="003C13F4">
            <w:pPr>
              <w:spacing w:after="0" w:line="240" w:lineRule="auto"/>
              <w:jc w:val="left"/>
              <w:rPr>
                <w:rFonts w:ascii="TUOS Blake" w:eastAsia="Times New Roman" w:hAnsi="TUOS Blake" w:cs="Arial"/>
                <w:i/>
                <w:iCs/>
                <w:sz w:val="24"/>
                <w:szCs w:val="24"/>
              </w:rPr>
            </w:pPr>
            <w:r w:rsidRPr="00361E30">
              <w:rPr>
                <w:rFonts w:ascii="TUOS Blake" w:eastAsia="Times New Roman" w:hAnsi="TUOS Blake" w:cs="Arial"/>
                <w:i/>
                <w:iCs/>
                <w:sz w:val="24"/>
                <w:szCs w:val="24"/>
              </w:rPr>
              <w:t>To be signed and dated in presence of the participant</w:t>
            </w:r>
          </w:p>
          <w:p w14:paraId="50AB7060" w14:textId="77777777" w:rsidR="00CA0EF0" w:rsidRPr="00361E30" w:rsidRDefault="00CA0EF0" w:rsidP="003C13F4">
            <w:pPr>
              <w:spacing w:after="0" w:line="240" w:lineRule="auto"/>
              <w:jc w:val="left"/>
              <w:rPr>
                <w:rFonts w:ascii="TUOS Blake" w:eastAsia="Times New Roman" w:hAnsi="TUOS Blake" w:cs="Arial"/>
                <w:sz w:val="24"/>
                <w:szCs w:val="24"/>
              </w:rPr>
            </w:pPr>
          </w:p>
        </w:tc>
      </w:tr>
    </w:tbl>
    <w:p w14:paraId="78AD09BA" w14:textId="77777777" w:rsidR="00CA0EF0" w:rsidRPr="00361E30" w:rsidRDefault="00CA0EF0" w:rsidP="003C13F4"/>
    <w:p w14:paraId="215B0BAD" w14:textId="77777777" w:rsidR="00CA0EF0" w:rsidRPr="00361E30" w:rsidRDefault="00CA0EF0" w:rsidP="003C13F4"/>
    <w:p w14:paraId="3CDB9CED" w14:textId="77777777" w:rsidR="00CA0EF0" w:rsidRPr="00361E30" w:rsidRDefault="00CA0EF0" w:rsidP="003C13F4">
      <w:pPr>
        <w:pStyle w:val="ChapterHeading"/>
      </w:pPr>
      <w:bookmarkStart w:id="462" w:name="_Toc1902387"/>
      <w:r w:rsidRPr="00361E30">
        <w:t>Appendix 7 – Ethical Approval</w:t>
      </w:r>
      <w:bookmarkEnd w:id="462"/>
    </w:p>
    <w:p w14:paraId="502008F6" w14:textId="77777777" w:rsidR="00CA0EF0" w:rsidRPr="00361E30" w:rsidRDefault="00CA0EF0" w:rsidP="003C13F4">
      <w:pPr>
        <w:pStyle w:val="Heading1"/>
      </w:pPr>
      <w:bookmarkStart w:id="463" w:name="_Toc1902388"/>
      <w:r w:rsidRPr="00361E30">
        <w:t>ScHARR Research Ethics Committee Approval</w:t>
      </w:r>
      <w:bookmarkEnd w:id="463"/>
    </w:p>
    <w:p w14:paraId="7804AF8A" w14:textId="77777777" w:rsidR="00CA0EF0" w:rsidRPr="00361E30" w:rsidRDefault="00CA0EF0" w:rsidP="003C13F4"/>
    <w:p w14:paraId="66CF29BB" w14:textId="77777777" w:rsidR="00CA0EF0" w:rsidRPr="00361E30" w:rsidRDefault="00CA0EF0" w:rsidP="003C13F4">
      <w:r w:rsidRPr="00361E30">
        <w:rPr>
          <w:noProof/>
          <w:lang w:eastAsia="en-GB"/>
        </w:rPr>
        <w:drawing>
          <wp:inline distT="0" distB="0" distL="0" distR="0" wp14:anchorId="001DC104" wp14:editId="1082740C">
            <wp:extent cx="5394960" cy="5459927"/>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4960" cy="5459927"/>
                    </a:xfrm>
                    <a:prstGeom prst="rect">
                      <a:avLst/>
                    </a:prstGeom>
                    <a:noFill/>
                    <a:ln>
                      <a:noFill/>
                    </a:ln>
                  </pic:spPr>
                </pic:pic>
              </a:graphicData>
            </a:graphic>
          </wp:inline>
        </w:drawing>
      </w:r>
    </w:p>
    <w:p w14:paraId="3480DAA7" w14:textId="77777777" w:rsidR="00CA0EF0" w:rsidRPr="00361E30" w:rsidRDefault="00CA0EF0" w:rsidP="003C13F4">
      <w:pPr>
        <w:spacing w:line="276" w:lineRule="auto"/>
        <w:jc w:val="left"/>
      </w:pPr>
    </w:p>
    <w:p w14:paraId="4E510BD6" w14:textId="77777777" w:rsidR="00CA0EF0" w:rsidRPr="00361E30" w:rsidRDefault="00CA0EF0">
      <w:pPr>
        <w:spacing w:line="276" w:lineRule="auto"/>
        <w:jc w:val="left"/>
      </w:pPr>
      <w:r w:rsidRPr="00361E30">
        <w:br w:type="page"/>
      </w:r>
    </w:p>
    <w:p w14:paraId="16400269" w14:textId="77777777" w:rsidR="00CA0EF0" w:rsidRPr="00361E30" w:rsidRDefault="00CA0EF0" w:rsidP="003C13F4">
      <w:pPr>
        <w:pStyle w:val="Heading1"/>
      </w:pPr>
      <w:bookmarkStart w:id="464" w:name="_Toc1902389"/>
      <w:r w:rsidRPr="00361E30">
        <w:lastRenderedPageBreak/>
        <w:t>HRA (IRAS) Approval</w:t>
      </w:r>
      <w:bookmarkEnd w:id="464"/>
    </w:p>
    <w:p w14:paraId="30A93EAD" w14:textId="77777777" w:rsidR="00CA0EF0" w:rsidRPr="00361E30" w:rsidRDefault="00CA0EF0" w:rsidP="003C13F4">
      <w:r w:rsidRPr="00361E30">
        <w:rPr>
          <w:noProof/>
          <w:lang w:eastAsia="en-GB"/>
        </w:rPr>
        <w:drawing>
          <wp:inline distT="0" distB="0" distL="0" distR="0" wp14:anchorId="77AAAFAC" wp14:editId="6A225459">
            <wp:extent cx="5394960" cy="751369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4960" cy="7513693"/>
                    </a:xfrm>
                    <a:prstGeom prst="rect">
                      <a:avLst/>
                    </a:prstGeom>
                    <a:noFill/>
                    <a:ln>
                      <a:noFill/>
                    </a:ln>
                  </pic:spPr>
                </pic:pic>
              </a:graphicData>
            </a:graphic>
          </wp:inline>
        </w:drawing>
      </w:r>
    </w:p>
    <w:p w14:paraId="67D64617" w14:textId="77777777" w:rsidR="00CA0EF0" w:rsidRPr="00361E30" w:rsidRDefault="00CA0EF0" w:rsidP="003C13F4"/>
    <w:p w14:paraId="224BD8FE" w14:textId="77777777" w:rsidR="00CA0EF0" w:rsidRPr="00361E30" w:rsidRDefault="00CA0EF0" w:rsidP="003C13F4"/>
    <w:p w14:paraId="52D04CAF" w14:textId="77777777" w:rsidR="00CA0EF0" w:rsidRPr="00361E30" w:rsidRDefault="00CA0EF0" w:rsidP="003C13F4"/>
    <w:p w14:paraId="1C1AA932" w14:textId="77777777" w:rsidR="00CA0EF0" w:rsidRPr="00361E30" w:rsidRDefault="00CA0EF0" w:rsidP="003C13F4">
      <w:r w:rsidRPr="00361E30">
        <w:rPr>
          <w:noProof/>
          <w:lang w:eastAsia="en-GB"/>
        </w:rPr>
        <w:lastRenderedPageBreak/>
        <w:drawing>
          <wp:inline distT="0" distB="0" distL="0" distR="0" wp14:anchorId="420AB7EB" wp14:editId="303E8731">
            <wp:extent cx="5394960" cy="7630367"/>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4960" cy="7630367"/>
                    </a:xfrm>
                    <a:prstGeom prst="rect">
                      <a:avLst/>
                    </a:prstGeom>
                    <a:noFill/>
                    <a:ln>
                      <a:noFill/>
                    </a:ln>
                  </pic:spPr>
                </pic:pic>
              </a:graphicData>
            </a:graphic>
          </wp:inline>
        </w:drawing>
      </w:r>
    </w:p>
    <w:p w14:paraId="45D9B1EA" w14:textId="77777777" w:rsidR="00CA0EF0" w:rsidRPr="00361E30" w:rsidRDefault="00CA0EF0">
      <w:pPr>
        <w:spacing w:line="276" w:lineRule="auto"/>
        <w:jc w:val="left"/>
      </w:pPr>
      <w:r w:rsidRPr="00361E30">
        <w:br w:type="page"/>
      </w:r>
    </w:p>
    <w:p w14:paraId="4B8B342D" w14:textId="77777777" w:rsidR="00CA0EF0" w:rsidRPr="00361E30" w:rsidRDefault="00CA0EF0" w:rsidP="003C13F4">
      <w:r w:rsidRPr="00361E30">
        <w:rPr>
          <w:noProof/>
          <w:lang w:eastAsia="en-GB"/>
        </w:rPr>
        <w:lastRenderedPageBreak/>
        <w:drawing>
          <wp:inline distT="0" distB="0" distL="0" distR="0" wp14:anchorId="69D52DF4" wp14:editId="3250CA99">
            <wp:extent cx="5394960" cy="36843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4960" cy="3684305"/>
                    </a:xfrm>
                    <a:prstGeom prst="rect">
                      <a:avLst/>
                    </a:prstGeom>
                    <a:noFill/>
                    <a:ln>
                      <a:noFill/>
                    </a:ln>
                  </pic:spPr>
                </pic:pic>
              </a:graphicData>
            </a:graphic>
          </wp:inline>
        </w:drawing>
      </w:r>
    </w:p>
    <w:p w14:paraId="365D77D7" w14:textId="77777777" w:rsidR="00CA0EF0" w:rsidRPr="00361E30" w:rsidRDefault="00CA0EF0">
      <w:pPr>
        <w:spacing w:line="276" w:lineRule="auto"/>
        <w:jc w:val="left"/>
      </w:pPr>
      <w:r w:rsidRPr="00361E30">
        <w:br w:type="page"/>
      </w:r>
    </w:p>
    <w:p w14:paraId="3ACB569C" w14:textId="77777777" w:rsidR="00CA0EF0" w:rsidRPr="00361E30" w:rsidRDefault="00CA0EF0" w:rsidP="003C13F4">
      <w:pPr>
        <w:pStyle w:val="Heading1"/>
      </w:pPr>
      <w:bookmarkStart w:id="465" w:name="_Toc1902390"/>
      <w:r w:rsidRPr="00361E30">
        <w:lastRenderedPageBreak/>
        <w:t>Letter of Access – Site 01</w:t>
      </w:r>
      <w:bookmarkEnd w:id="465"/>
    </w:p>
    <w:p w14:paraId="25C680E8" w14:textId="77777777" w:rsidR="00CA0EF0" w:rsidRPr="00361E30" w:rsidRDefault="00CA0EF0" w:rsidP="003C13F4">
      <w:pPr>
        <w:spacing w:after="0" w:line="240" w:lineRule="auto"/>
      </w:pPr>
      <w:bookmarkStart w:id="466" w:name="_Toc180071124"/>
      <w:bookmarkStart w:id="467" w:name="_Toc180074405"/>
      <w:bookmarkStart w:id="468" w:name="_Toc180076935"/>
      <w:bookmarkStart w:id="469" w:name="_Toc180897009"/>
    </w:p>
    <w:tbl>
      <w:tblPr>
        <w:tblW w:w="0" w:type="auto"/>
        <w:tblLook w:val="04A0" w:firstRow="1" w:lastRow="0" w:firstColumn="1" w:lastColumn="0" w:noHBand="0" w:noVBand="1"/>
      </w:tblPr>
      <w:tblGrid>
        <w:gridCol w:w="4252"/>
        <w:gridCol w:w="4244"/>
      </w:tblGrid>
      <w:tr w:rsidR="00CA0EF0" w:rsidRPr="00361E30" w14:paraId="50E8B3A6" w14:textId="77777777" w:rsidTr="003C13F4">
        <w:tc>
          <w:tcPr>
            <w:tcW w:w="4261" w:type="dxa"/>
            <w:shd w:val="clear" w:color="auto" w:fill="auto"/>
          </w:tcPr>
          <w:bookmarkEnd w:id="466"/>
          <w:bookmarkEnd w:id="467"/>
          <w:bookmarkEnd w:id="468"/>
          <w:bookmarkEnd w:id="469"/>
          <w:p w14:paraId="4B4BFCC7" w14:textId="77777777" w:rsidR="00CA0EF0" w:rsidRPr="00361E30" w:rsidRDefault="00CA0EF0" w:rsidP="003C13F4">
            <w:pPr>
              <w:spacing w:after="0" w:line="240" w:lineRule="auto"/>
              <w:rPr>
                <w:i/>
              </w:rPr>
            </w:pPr>
            <w:r w:rsidRPr="00361E30">
              <w:object w:dxaOrig="1905" w:dyaOrig="1905" w14:anchorId="60792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2pt;height:123.6pt" o:ole="">
                  <v:imagedata r:id="rId51" o:title=""/>
                </v:shape>
                <o:OLEObject Type="Embed" ProgID="PBrush" ShapeID="_x0000_i1025" DrawAspect="Content" ObjectID="_1767791501" r:id="rId52"/>
              </w:object>
            </w:r>
          </w:p>
        </w:tc>
        <w:tc>
          <w:tcPr>
            <w:tcW w:w="4261" w:type="dxa"/>
            <w:shd w:val="clear" w:color="auto" w:fill="auto"/>
          </w:tcPr>
          <w:p w14:paraId="3D2D367C" w14:textId="77777777" w:rsidR="00CA0EF0" w:rsidRPr="00361E30" w:rsidRDefault="00CA0EF0" w:rsidP="003C13F4">
            <w:pPr>
              <w:spacing w:after="0" w:line="240" w:lineRule="auto"/>
              <w:rPr>
                <w:i/>
                <w:highlight w:val="black"/>
              </w:rPr>
            </w:pPr>
            <w:r w:rsidRPr="00361E30">
              <w:rPr>
                <w:i/>
                <w:highlight w:val="black"/>
              </w:rPr>
              <w:t>R&amp;D Office</w:t>
            </w:r>
          </w:p>
          <w:p w14:paraId="0A9004DF" w14:textId="77777777" w:rsidR="00CA0EF0" w:rsidRPr="00361E30" w:rsidRDefault="00CA0EF0" w:rsidP="003C13F4">
            <w:pPr>
              <w:spacing w:after="0" w:line="240" w:lineRule="auto"/>
              <w:rPr>
                <w:i/>
                <w:highlight w:val="black"/>
              </w:rPr>
            </w:pPr>
            <w:r w:rsidRPr="00361E30">
              <w:rPr>
                <w:i/>
                <w:highlight w:val="black"/>
              </w:rPr>
              <w:t>Level 2 MSCP</w:t>
            </w:r>
          </w:p>
          <w:p w14:paraId="52179FF9" w14:textId="77777777" w:rsidR="00CA0EF0" w:rsidRPr="00361E30" w:rsidRDefault="00CA0EF0" w:rsidP="003C13F4">
            <w:pPr>
              <w:spacing w:after="0" w:line="240" w:lineRule="auto"/>
              <w:rPr>
                <w:i/>
                <w:highlight w:val="black"/>
              </w:rPr>
            </w:pPr>
            <w:r w:rsidRPr="00361E30">
              <w:rPr>
                <w:i/>
                <w:highlight w:val="black"/>
              </w:rPr>
              <w:t>Bircham Park Offices</w:t>
            </w:r>
          </w:p>
          <w:p w14:paraId="6F60FFCD" w14:textId="77777777" w:rsidR="00CA0EF0" w:rsidRPr="00361E30" w:rsidRDefault="00CA0EF0" w:rsidP="003C13F4">
            <w:pPr>
              <w:spacing w:after="0" w:line="240" w:lineRule="auto"/>
              <w:rPr>
                <w:i/>
                <w:highlight w:val="black"/>
              </w:rPr>
            </w:pPr>
            <w:r w:rsidRPr="00361E30">
              <w:rPr>
                <w:i/>
                <w:highlight w:val="black"/>
              </w:rPr>
              <w:t>Roscoff Rise</w:t>
            </w:r>
          </w:p>
          <w:p w14:paraId="77424E56" w14:textId="77777777" w:rsidR="00CA0EF0" w:rsidRPr="00361E30" w:rsidRDefault="00CA0EF0" w:rsidP="003C13F4">
            <w:pPr>
              <w:spacing w:after="0" w:line="240" w:lineRule="auto"/>
              <w:rPr>
                <w:i/>
                <w:highlight w:val="black"/>
              </w:rPr>
            </w:pPr>
            <w:r w:rsidRPr="00361E30">
              <w:rPr>
                <w:i/>
                <w:highlight w:val="black"/>
              </w:rPr>
              <w:t xml:space="preserve">Derriford </w:t>
            </w:r>
          </w:p>
          <w:p w14:paraId="45C4249D" w14:textId="77777777" w:rsidR="00CA0EF0" w:rsidRPr="00361E30" w:rsidRDefault="00CA0EF0" w:rsidP="003C13F4">
            <w:pPr>
              <w:spacing w:after="0" w:line="240" w:lineRule="auto"/>
              <w:rPr>
                <w:i/>
                <w:highlight w:val="black"/>
              </w:rPr>
            </w:pPr>
            <w:r w:rsidRPr="00361E30">
              <w:rPr>
                <w:i/>
                <w:highlight w:val="black"/>
              </w:rPr>
              <w:t>Plymouth PL6 5FP</w:t>
            </w:r>
          </w:p>
          <w:p w14:paraId="10BD801E" w14:textId="77777777" w:rsidR="00CA0EF0" w:rsidRPr="00361E30" w:rsidRDefault="00CA0EF0" w:rsidP="003C13F4">
            <w:pPr>
              <w:spacing w:after="0" w:line="240" w:lineRule="auto"/>
              <w:rPr>
                <w:i/>
              </w:rPr>
            </w:pPr>
            <w:r w:rsidRPr="00361E30">
              <w:rPr>
                <w:i/>
                <w:highlight w:val="black"/>
              </w:rPr>
              <w:t>Tel: 01752 431046</w:t>
            </w:r>
          </w:p>
        </w:tc>
      </w:tr>
      <w:tr w:rsidR="00CA0EF0" w:rsidRPr="00361E30" w14:paraId="73450AEB" w14:textId="77777777" w:rsidTr="003C13F4">
        <w:tc>
          <w:tcPr>
            <w:tcW w:w="4261" w:type="dxa"/>
            <w:shd w:val="clear" w:color="auto" w:fill="auto"/>
          </w:tcPr>
          <w:p w14:paraId="0A40BC5A" w14:textId="77777777" w:rsidR="00CA0EF0" w:rsidRPr="00361E30" w:rsidRDefault="00CA0EF0" w:rsidP="003C13F4">
            <w:pPr>
              <w:spacing w:after="0" w:line="240" w:lineRule="auto"/>
              <w:rPr>
                <w:i/>
              </w:rPr>
            </w:pPr>
          </w:p>
        </w:tc>
        <w:tc>
          <w:tcPr>
            <w:tcW w:w="4261" w:type="dxa"/>
            <w:shd w:val="clear" w:color="auto" w:fill="auto"/>
          </w:tcPr>
          <w:p w14:paraId="70868263" w14:textId="77777777" w:rsidR="00CA0EF0" w:rsidRPr="00361E30" w:rsidRDefault="00CA0EF0" w:rsidP="003C13F4">
            <w:pPr>
              <w:spacing w:after="0" w:line="240" w:lineRule="auto"/>
              <w:rPr>
                <w:i/>
              </w:rPr>
            </w:pPr>
            <w:r w:rsidRPr="00361E30">
              <w:rPr>
                <w:i/>
              </w:rPr>
              <w:t>19</w:t>
            </w:r>
            <w:r w:rsidRPr="00361E30">
              <w:rPr>
                <w:i/>
                <w:vertAlign w:val="superscript"/>
              </w:rPr>
              <w:t>th</w:t>
            </w:r>
            <w:r w:rsidRPr="00361E30">
              <w:rPr>
                <w:i/>
              </w:rPr>
              <w:t xml:space="preserve"> June 2017</w:t>
            </w:r>
          </w:p>
        </w:tc>
      </w:tr>
    </w:tbl>
    <w:p w14:paraId="3AC0DC6C" w14:textId="77777777" w:rsidR="00CA0EF0" w:rsidRPr="00361E30" w:rsidRDefault="00CA0EF0" w:rsidP="003C13F4">
      <w:pPr>
        <w:spacing w:after="0" w:line="240" w:lineRule="auto"/>
        <w:jc w:val="left"/>
        <w:rPr>
          <w:rFonts w:ascii="Arial" w:eastAsia="Times New Roman" w:hAnsi="Arial" w:cs="Arial"/>
          <w:i/>
        </w:rPr>
      </w:pPr>
    </w:p>
    <w:p w14:paraId="13D4E93D" w14:textId="77777777" w:rsidR="00CA0EF0" w:rsidRPr="00361E30" w:rsidRDefault="00CA0EF0" w:rsidP="003C13F4">
      <w:pPr>
        <w:spacing w:after="0" w:line="240" w:lineRule="auto"/>
        <w:jc w:val="left"/>
        <w:rPr>
          <w:rFonts w:ascii="Arial" w:eastAsia="Times New Roman" w:hAnsi="Arial" w:cs="Arial"/>
        </w:rPr>
      </w:pPr>
      <w:r w:rsidRPr="00361E30">
        <w:rPr>
          <w:rFonts w:ascii="Arial" w:eastAsia="Times New Roman" w:hAnsi="Arial" w:cs="Arial"/>
        </w:rPr>
        <w:t>To: Dr Ian Sammy</w:t>
      </w:r>
    </w:p>
    <w:p w14:paraId="6A048001" w14:textId="77777777" w:rsidR="00CA0EF0" w:rsidRPr="00361E30" w:rsidRDefault="00CA0EF0" w:rsidP="003C13F4">
      <w:pPr>
        <w:spacing w:after="0" w:line="240" w:lineRule="auto"/>
        <w:jc w:val="left"/>
        <w:rPr>
          <w:rFonts w:ascii="Arial" w:eastAsia="Times New Roman" w:hAnsi="Arial" w:cs="Arial"/>
        </w:rPr>
      </w:pPr>
      <w:r w:rsidRPr="00361E30">
        <w:rPr>
          <w:rFonts w:ascii="Arial" w:eastAsia="Times New Roman" w:hAnsi="Arial" w:cs="Arial"/>
        </w:rPr>
        <w:t xml:space="preserve">10 Abbots Close, </w:t>
      </w:r>
    </w:p>
    <w:p w14:paraId="49AFA511" w14:textId="77777777" w:rsidR="00CA0EF0" w:rsidRPr="00361E30" w:rsidRDefault="00CA0EF0" w:rsidP="003C13F4">
      <w:pPr>
        <w:spacing w:after="0" w:line="240" w:lineRule="auto"/>
        <w:jc w:val="left"/>
        <w:rPr>
          <w:rFonts w:ascii="Arial" w:eastAsia="Times New Roman" w:hAnsi="Arial" w:cs="Arial"/>
        </w:rPr>
      </w:pPr>
      <w:r w:rsidRPr="00361E30">
        <w:rPr>
          <w:rFonts w:ascii="Arial" w:eastAsia="Times New Roman" w:hAnsi="Arial" w:cs="Arial"/>
        </w:rPr>
        <w:t>Sale</w:t>
      </w:r>
    </w:p>
    <w:p w14:paraId="725C5CEE" w14:textId="77777777" w:rsidR="00CA0EF0" w:rsidRPr="00361E30" w:rsidRDefault="00CA0EF0" w:rsidP="003C13F4">
      <w:pPr>
        <w:spacing w:after="0" w:line="240" w:lineRule="auto"/>
        <w:jc w:val="left"/>
        <w:rPr>
          <w:rFonts w:ascii="Arial" w:eastAsia="Times New Roman" w:hAnsi="Arial" w:cs="Arial"/>
        </w:rPr>
      </w:pPr>
      <w:r w:rsidRPr="00361E30">
        <w:rPr>
          <w:rFonts w:ascii="Arial" w:eastAsia="Times New Roman" w:hAnsi="Arial" w:cs="Arial"/>
        </w:rPr>
        <w:t>Cheshire</w:t>
      </w:r>
    </w:p>
    <w:p w14:paraId="5C661BE8" w14:textId="77777777" w:rsidR="00CA0EF0" w:rsidRPr="00361E30" w:rsidRDefault="00CA0EF0" w:rsidP="003C13F4">
      <w:pPr>
        <w:spacing w:after="0" w:line="240" w:lineRule="auto"/>
        <w:jc w:val="left"/>
        <w:rPr>
          <w:rFonts w:ascii="Arial" w:eastAsia="Times New Roman" w:hAnsi="Arial" w:cs="Arial"/>
        </w:rPr>
      </w:pPr>
      <w:r w:rsidRPr="00361E30">
        <w:rPr>
          <w:rFonts w:ascii="Arial" w:eastAsia="Times New Roman" w:hAnsi="Arial" w:cs="Arial"/>
        </w:rPr>
        <w:t>M33 2DD</w:t>
      </w:r>
    </w:p>
    <w:p w14:paraId="54498073" w14:textId="77777777" w:rsidR="00CA0EF0" w:rsidRPr="00361E30" w:rsidRDefault="00CA0EF0" w:rsidP="003C13F4">
      <w:pPr>
        <w:tabs>
          <w:tab w:val="left" w:pos="6570"/>
        </w:tabs>
        <w:spacing w:after="0" w:line="240" w:lineRule="auto"/>
        <w:jc w:val="left"/>
        <w:rPr>
          <w:rFonts w:ascii="Arial" w:eastAsia="Times New Roman" w:hAnsi="Arial" w:cs="Arial"/>
        </w:rPr>
      </w:pPr>
    </w:p>
    <w:p w14:paraId="22D1AE92" w14:textId="77777777" w:rsidR="00CA0EF0" w:rsidRPr="00361E30" w:rsidRDefault="00CA0EF0" w:rsidP="003C13F4">
      <w:pPr>
        <w:spacing w:after="0" w:line="240" w:lineRule="auto"/>
        <w:jc w:val="left"/>
        <w:rPr>
          <w:rFonts w:ascii="Arial" w:eastAsia="Times New Roman" w:hAnsi="Arial" w:cs="Arial"/>
        </w:rPr>
      </w:pPr>
    </w:p>
    <w:p w14:paraId="6122D501" w14:textId="77777777" w:rsidR="00CA0EF0" w:rsidRPr="00361E30" w:rsidRDefault="00CA0EF0" w:rsidP="003C13F4">
      <w:pPr>
        <w:pStyle w:val="NoSpacing"/>
        <w:spacing w:line="240" w:lineRule="auto"/>
        <w:rPr>
          <w:iCs/>
          <w:lang w:val="en-GB"/>
        </w:rPr>
      </w:pPr>
      <w:r w:rsidRPr="00361E30">
        <w:rPr>
          <w:lang w:val="en-GB"/>
        </w:rPr>
        <w:t>Dear Dr Ian Sammy,</w:t>
      </w:r>
    </w:p>
    <w:p w14:paraId="10526986" w14:textId="77777777" w:rsidR="00CA0EF0" w:rsidRPr="00361E30" w:rsidRDefault="00CA0EF0" w:rsidP="003C13F4">
      <w:pPr>
        <w:pStyle w:val="NoSpacing"/>
        <w:spacing w:line="240" w:lineRule="auto"/>
        <w:rPr>
          <w:lang w:val="en-GB"/>
        </w:rPr>
      </w:pPr>
    </w:p>
    <w:p w14:paraId="44A6EB35" w14:textId="77777777" w:rsidR="00CA0EF0" w:rsidRPr="00361E30" w:rsidRDefault="00CA0EF0" w:rsidP="003C13F4">
      <w:pPr>
        <w:pStyle w:val="NoSpacing"/>
        <w:spacing w:line="240" w:lineRule="auto"/>
        <w:rPr>
          <w:b/>
          <w:lang w:val="en-GB"/>
        </w:rPr>
      </w:pPr>
      <w:r w:rsidRPr="00361E30">
        <w:rPr>
          <w:b/>
          <w:lang w:val="en-GB"/>
        </w:rPr>
        <w:t>Letter of Access for Research</w:t>
      </w:r>
    </w:p>
    <w:p w14:paraId="529A2C91" w14:textId="77777777" w:rsidR="00CA0EF0" w:rsidRPr="00361E30" w:rsidRDefault="00CA0EF0" w:rsidP="003C13F4">
      <w:pPr>
        <w:pStyle w:val="NoSpacing"/>
        <w:spacing w:line="240" w:lineRule="auto"/>
        <w:rPr>
          <w:b/>
          <w:lang w:val="en-GB"/>
        </w:rPr>
      </w:pPr>
    </w:p>
    <w:p w14:paraId="7FAC881F" w14:textId="77777777" w:rsidR="00CA0EF0" w:rsidRPr="00361E30" w:rsidRDefault="00CA0EF0" w:rsidP="003C13F4">
      <w:pPr>
        <w:pStyle w:val="NoSpacing"/>
        <w:spacing w:line="240" w:lineRule="auto"/>
        <w:rPr>
          <w:b/>
          <w:lang w:val="en-GB"/>
        </w:rPr>
      </w:pPr>
      <w:r w:rsidRPr="00361E30">
        <w:rPr>
          <w:b/>
          <w:lang w:val="en-GB"/>
        </w:rPr>
        <w:t>Re: Trauma outcomes in older people in the UK – how does the organization and delivery of trauma care impact on casemix adjusted mortality in this population?</w:t>
      </w:r>
    </w:p>
    <w:p w14:paraId="18EEF81D" w14:textId="77777777" w:rsidR="00CA0EF0" w:rsidRPr="00361E30" w:rsidRDefault="00CA0EF0" w:rsidP="003C13F4">
      <w:pPr>
        <w:pStyle w:val="NoSpacing"/>
        <w:spacing w:line="240" w:lineRule="auto"/>
        <w:rPr>
          <w:lang w:val="en-GB"/>
        </w:rPr>
      </w:pPr>
    </w:p>
    <w:p w14:paraId="22B124EA" w14:textId="77777777" w:rsidR="00CA0EF0" w:rsidRPr="00361E30" w:rsidRDefault="00CA0EF0" w:rsidP="003C13F4">
      <w:pPr>
        <w:pStyle w:val="NoSpacing"/>
        <w:spacing w:line="240" w:lineRule="auto"/>
        <w:rPr>
          <w:lang w:val="en-GB"/>
        </w:rPr>
      </w:pPr>
      <w:r w:rsidRPr="00361E30">
        <w:rPr>
          <w:lang w:val="en-GB"/>
        </w:rPr>
        <w:t xml:space="preserve">This letter should be presented to each participating organisation before you commence your research at that site. The participating organisations are: </w:t>
      </w:r>
    </w:p>
    <w:p w14:paraId="00E1D737" w14:textId="77777777" w:rsidR="00CA0EF0" w:rsidRPr="00361E30" w:rsidRDefault="00CA0EF0" w:rsidP="003C13F4">
      <w:pPr>
        <w:pStyle w:val="NoSpacing"/>
        <w:spacing w:line="240" w:lineRule="auto"/>
        <w:rPr>
          <w:lang w:val="en-GB"/>
        </w:rPr>
      </w:pPr>
    </w:p>
    <w:p w14:paraId="730A00EA" w14:textId="77777777" w:rsidR="00CA0EF0" w:rsidRPr="00361E30" w:rsidRDefault="00CA0EF0" w:rsidP="003C13F4">
      <w:pPr>
        <w:pStyle w:val="NoSpacing"/>
        <w:spacing w:line="240" w:lineRule="auto"/>
        <w:rPr>
          <w:lang w:val="en-GB"/>
        </w:rPr>
      </w:pPr>
      <w:r w:rsidRPr="00361E30">
        <w:rPr>
          <w:highlight w:val="black"/>
          <w:lang w:val="en-GB"/>
        </w:rPr>
        <w:t>Plymouth Hospitals NHS Trust</w:t>
      </w:r>
    </w:p>
    <w:p w14:paraId="61D20A17" w14:textId="77777777" w:rsidR="00CA0EF0" w:rsidRPr="00361E30" w:rsidRDefault="00CA0EF0" w:rsidP="003C13F4">
      <w:pPr>
        <w:pStyle w:val="NoSpacing"/>
        <w:spacing w:line="240" w:lineRule="auto"/>
        <w:rPr>
          <w:lang w:val="en-GB"/>
        </w:rPr>
      </w:pPr>
    </w:p>
    <w:p w14:paraId="51DA0E1D" w14:textId="77777777" w:rsidR="00CA0EF0" w:rsidRPr="00361E30" w:rsidRDefault="00CA0EF0" w:rsidP="003C13F4">
      <w:pPr>
        <w:pStyle w:val="NoSpacing"/>
        <w:spacing w:line="240" w:lineRule="auto"/>
        <w:rPr>
          <w:lang w:val="en-GB"/>
        </w:rPr>
      </w:pPr>
      <w:r w:rsidRPr="00361E30">
        <w:rPr>
          <w:lang w:val="en-GB"/>
        </w:rPr>
        <w:t>In accepting this letter, each participating organisation confirms your right of access to conduct research through their organisation for the purpose and on the terms and conditions set out below. This right of access commences on 20/06/2017 and ends on 30/09/2017 unless terminated earlier in accordance with the clauses below.</w:t>
      </w:r>
    </w:p>
    <w:p w14:paraId="355C4EBE" w14:textId="77777777" w:rsidR="00CA0EF0" w:rsidRPr="00361E30" w:rsidRDefault="00CA0EF0" w:rsidP="003C13F4">
      <w:pPr>
        <w:pStyle w:val="NoSpacing"/>
        <w:spacing w:line="240" w:lineRule="auto"/>
        <w:rPr>
          <w:lang w:val="en-GB"/>
        </w:rPr>
      </w:pPr>
    </w:p>
    <w:p w14:paraId="3145B18E" w14:textId="77777777" w:rsidR="00CA0EF0" w:rsidRPr="00361E30" w:rsidRDefault="00CA0EF0" w:rsidP="003C13F4">
      <w:pPr>
        <w:pStyle w:val="NoSpacing"/>
        <w:spacing w:line="240" w:lineRule="auto"/>
        <w:rPr>
          <w:lang w:val="en-GB"/>
        </w:rPr>
      </w:pPr>
      <w:r w:rsidRPr="00361E30">
        <w:rPr>
          <w:lang w:val="en-GB"/>
        </w:rPr>
        <w:t xml:space="preserve">You have a right of access to conduct such research as confirmed in writing in the letter of permission for research from </w:t>
      </w:r>
      <w:r w:rsidRPr="00361E30">
        <w:rPr>
          <w:highlight w:val="black"/>
          <w:lang w:val="en-GB"/>
        </w:rPr>
        <w:t>Pymouth Hospitals NHS Trust</w:t>
      </w:r>
      <w:r w:rsidRPr="00361E30">
        <w:rPr>
          <w:lang w:val="en-GB"/>
        </w:rPr>
        <w:t>.  Please note that you cannot start the research until the Principal Investigator for the research project has received a letter from us giving confirmation from the individual organisation(s) of their agreement to conduct the research.</w:t>
      </w:r>
    </w:p>
    <w:p w14:paraId="59B968F4" w14:textId="77777777" w:rsidR="00CA0EF0" w:rsidRPr="00361E30" w:rsidRDefault="00CA0EF0" w:rsidP="003C13F4">
      <w:pPr>
        <w:pStyle w:val="NoSpacing"/>
        <w:spacing w:line="240" w:lineRule="auto"/>
        <w:rPr>
          <w:lang w:val="en-GB"/>
        </w:rPr>
      </w:pPr>
    </w:p>
    <w:p w14:paraId="38FC46B6" w14:textId="77777777" w:rsidR="00CA0EF0" w:rsidRPr="00361E30" w:rsidRDefault="00CA0EF0" w:rsidP="003C13F4">
      <w:pPr>
        <w:pStyle w:val="NoSpacing"/>
        <w:spacing w:line="240" w:lineRule="auto"/>
        <w:rPr>
          <w:lang w:val="en-GB"/>
        </w:rPr>
      </w:pPr>
      <w:r w:rsidRPr="00361E30">
        <w:rPr>
          <w:lang w:val="en-GB"/>
        </w:rPr>
        <w:t xml:space="preserve">The information supplied about your role in research at the organisation(s) has been reviewed and you do not require an honorary research contract with the organisation(s). We are satisfied that such pre-engagement checks as we consider necessary have been carried out. However, the final decision rests with each Trust. Evidence of checks should be available on request to the organisation(s). </w:t>
      </w:r>
    </w:p>
    <w:p w14:paraId="41318770" w14:textId="77777777" w:rsidR="00CA0EF0" w:rsidRPr="00361E30" w:rsidRDefault="00CA0EF0" w:rsidP="003C13F4">
      <w:pPr>
        <w:pStyle w:val="NoSpacing"/>
        <w:spacing w:line="240" w:lineRule="auto"/>
        <w:rPr>
          <w:lang w:val="en-GB"/>
        </w:rPr>
      </w:pPr>
    </w:p>
    <w:p w14:paraId="2425ACEE" w14:textId="77777777" w:rsidR="00CA0EF0" w:rsidRPr="00361E30" w:rsidRDefault="00CA0EF0" w:rsidP="003C13F4">
      <w:pPr>
        <w:pStyle w:val="NoSpacing"/>
        <w:spacing w:line="240" w:lineRule="auto"/>
        <w:rPr>
          <w:lang w:val="en-GB"/>
        </w:rPr>
      </w:pPr>
      <w:r w:rsidRPr="00361E30">
        <w:rPr>
          <w:lang w:val="en-GB"/>
        </w:rPr>
        <w:t xml:space="preserve">You are considered to be a legal visitor to the organisations premises. You are not entitled to any form of payment or access to other benefits provided by the organisation(s) or this organisation to employees and this letter does not give rise to </w:t>
      </w:r>
      <w:r w:rsidRPr="00361E30">
        <w:rPr>
          <w:lang w:val="en-GB"/>
        </w:rPr>
        <w:lastRenderedPageBreak/>
        <w:t xml:space="preserve">any other relationship between you and the organisation(s), in particular that of an employee. </w:t>
      </w:r>
    </w:p>
    <w:p w14:paraId="5467E6C0" w14:textId="77777777" w:rsidR="00CA0EF0" w:rsidRPr="00361E30" w:rsidRDefault="00CA0EF0" w:rsidP="003C13F4">
      <w:pPr>
        <w:pStyle w:val="NoSpacing"/>
        <w:spacing w:line="240" w:lineRule="auto"/>
        <w:rPr>
          <w:lang w:val="en-GB"/>
        </w:rPr>
      </w:pPr>
    </w:p>
    <w:p w14:paraId="310C27BF" w14:textId="77777777" w:rsidR="00CA0EF0" w:rsidRPr="00361E30" w:rsidRDefault="00CA0EF0" w:rsidP="003C13F4">
      <w:pPr>
        <w:pStyle w:val="NoSpacing"/>
        <w:spacing w:line="240" w:lineRule="auto"/>
        <w:rPr>
          <w:lang w:val="en-GB"/>
        </w:rPr>
      </w:pPr>
      <w:r w:rsidRPr="00361E30">
        <w:rPr>
          <w:lang w:val="en-GB"/>
        </w:rPr>
        <w:t xml:space="preserve">While undertaking research through the organisation(s) you will remain accountable to your substantive employer but you are required to follow the reasonable instructions of the organisation(s) represented by </w:t>
      </w:r>
      <w:r w:rsidRPr="00361E30">
        <w:rPr>
          <w:highlight w:val="black"/>
          <w:lang w:val="en-GB"/>
        </w:rPr>
        <w:t>Col. Scott Adams</w:t>
      </w:r>
      <w:r w:rsidRPr="00361E30">
        <w:rPr>
          <w:lang w:val="en-GB"/>
        </w:rPr>
        <w:t xml:space="preserve"> or those instructions given on their behalf in relation to the terms of this right of access.</w:t>
      </w:r>
    </w:p>
    <w:p w14:paraId="3A5D959E" w14:textId="77777777" w:rsidR="00CA0EF0" w:rsidRPr="00361E30" w:rsidRDefault="00CA0EF0" w:rsidP="003C13F4">
      <w:pPr>
        <w:pStyle w:val="NoSpacing"/>
        <w:spacing w:line="240" w:lineRule="auto"/>
        <w:rPr>
          <w:lang w:val="en-GB"/>
        </w:rPr>
      </w:pPr>
    </w:p>
    <w:p w14:paraId="33418FF6" w14:textId="77777777" w:rsidR="00CA0EF0" w:rsidRPr="00361E30" w:rsidRDefault="00CA0EF0" w:rsidP="003C13F4">
      <w:pPr>
        <w:pStyle w:val="NoSpacing"/>
        <w:spacing w:line="240" w:lineRule="auto"/>
        <w:rPr>
          <w:lang w:val="en-GB"/>
        </w:rPr>
      </w:pPr>
      <w:r w:rsidRPr="00361E30">
        <w:rPr>
          <w:lang w:val="en-GB"/>
        </w:rPr>
        <w:t>Where any third party claim is made, whether or not legal proceedings are issued, arising out of or in connection with your right of access, you are required to co-operate fully with any investigation by the organisation(s) in connection with any such claim and to give all such assistance as may reasonably be required regarding the conduct of any legal proceedings.</w:t>
      </w:r>
    </w:p>
    <w:p w14:paraId="753CA7BB" w14:textId="77777777" w:rsidR="00CA0EF0" w:rsidRPr="00361E30" w:rsidRDefault="00CA0EF0" w:rsidP="003C13F4">
      <w:pPr>
        <w:pStyle w:val="NoSpacing"/>
        <w:spacing w:line="240" w:lineRule="auto"/>
        <w:rPr>
          <w:lang w:val="en-GB"/>
        </w:rPr>
      </w:pPr>
    </w:p>
    <w:p w14:paraId="32FBA932" w14:textId="77777777" w:rsidR="00CA0EF0" w:rsidRPr="00361E30" w:rsidRDefault="00CA0EF0" w:rsidP="003C13F4">
      <w:pPr>
        <w:pStyle w:val="NoSpacing"/>
        <w:spacing w:line="240" w:lineRule="auto"/>
        <w:rPr>
          <w:lang w:val="en-GB"/>
        </w:rPr>
      </w:pPr>
      <w:r w:rsidRPr="00361E30">
        <w:rPr>
          <w:lang w:val="en-GB"/>
        </w:rPr>
        <w:t xml:space="preserve">You must act in accordance with the organisations policies and procedures, which are available to you upon request, and the Research Governance Framework. </w:t>
      </w:r>
    </w:p>
    <w:p w14:paraId="7B96AB2B" w14:textId="77777777" w:rsidR="00CA0EF0" w:rsidRPr="00361E30" w:rsidRDefault="00CA0EF0" w:rsidP="003C13F4">
      <w:pPr>
        <w:pStyle w:val="NoSpacing"/>
        <w:spacing w:line="240" w:lineRule="auto"/>
        <w:rPr>
          <w:lang w:val="en-GB"/>
        </w:rPr>
      </w:pPr>
    </w:p>
    <w:p w14:paraId="5E317FD0" w14:textId="77777777" w:rsidR="00CA0EF0" w:rsidRPr="00361E30" w:rsidRDefault="00CA0EF0" w:rsidP="003C13F4">
      <w:pPr>
        <w:pStyle w:val="NoSpacing"/>
        <w:spacing w:line="240" w:lineRule="auto"/>
        <w:rPr>
          <w:lang w:val="en-GB"/>
        </w:rPr>
      </w:pPr>
      <w:r w:rsidRPr="00361E30">
        <w:rPr>
          <w:lang w:val="en-GB"/>
        </w:rPr>
        <w:t xml:space="preserve">You are required to co-operate with the organisation(s) in discharging its/their duties under the Health and Safety at Work etc Act 1974 and other health and safety legislation and to take reasonable care for the health and safety of yourself and others while on the organisations premises. You must observe the same standards of care and propriety in dealing with patients, staff, visitors, equipment and premises as is expected of any other contract holder and you must act appropriately, responsibly and professionally at all times. </w:t>
      </w:r>
    </w:p>
    <w:p w14:paraId="2C013DAF" w14:textId="77777777" w:rsidR="00CA0EF0" w:rsidRPr="00361E30" w:rsidRDefault="00CA0EF0" w:rsidP="003C13F4">
      <w:pPr>
        <w:pStyle w:val="NoSpacing"/>
        <w:spacing w:line="240" w:lineRule="auto"/>
        <w:rPr>
          <w:lang w:val="en-GB"/>
        </w:rPr>
      </w:pPr>
    </w:p>
    <w:p w14:paraId="46A8245C" w14:textId="77777777" w:rsidR="00CA0EF0" w:rsidRPr="00361E30" w:rsidRDefault="00CA0EF0" w:rsidP="003C13F4">
      <w:pPr>
        <w:pStyle w:val="NoSpacing"/>
        <w:spacing w:line="240" w:lineRule="auto"/>
        <w:rPr>
          <w:lang w:val="en-GB"/>
        </w:rPr>
      </w:pPr>
      <w:r w:rsidRPr="00361E30">
        <w:rPr>
          <w:lang w:val="en-GB"/>
        </w:rPr>
        <w:t xml:space="preserve">If you have a physical or mental health condition or disability which may affect your research role and which might require special adjustments to your role, if you have not already done so, you must notify your employer and each organisation prior to commencing your research role at that organisation. </w:t>
      </w:r>
    </w:p>
    <w:p w14:paraId="3B87C9B2" w14:textId="77777777" w:rsidR="00CA0EF0" w:rsidRPr="00361E30" w:rsidRDefault="00CA0EF0" w:rsidP="003C13F4">
      <w:pPr>
        <w:pStyle w:val="NoSpacing"/>
        <w:spacing w:line="240" w:lineRule="auto"/>
        <w:rPr>
          <w:lang w:val="en-GB"/>
        </w:rPr>
      </w:pPr>
    </w:p>
    <w:p w14:paraId="63517732" w14:textId="77777777" w:rsidR="00CA0EF0" w:rsidRPr="00361E30" w:rsidRDefault="00CA0EF0" w:rsidP="003C13F4">
      <w:pPr>
        <w:pStyle w:val="NoSpacing"/>
        <w:spacing w:line="240" w:lineRule="auto"/>
        <w:rPr>
          <w:lang w:val="en-GB"/>
        </w:rPr>
      </w:pPr>
      <w:r w:rsidRPr="00361E30">
        <w:rPr>
          <w:lang w:val="en-GB"/>
        </w:rPr>
        <w:t xml:space="preserve">You are required to ensure that all information regarding patients or staff remains secure and </w:t>
      </w:r>
      <w:r w:rsidRPr="00361E30">
        <w:rPr>
          <w:i/>
          <w:lang w:val="en-GB"/>
        </w:rPr>
        <w:t>strictly confidential</w:t>
      </w:r>
      <w:r w:rsidRPr="00361E30">
        <w:rPr>
          <w:lang w:val="en-GB"/>
        </w:rPr>
        <w:t xml:space="preserve"> at all times. You must ensure that you understand and comply with the requirements of the NHS Confidentiality Code of Practice and the Data Protection Act 1998. Furthermore you should be aware that under the Act, unauthorised disclosure of information is an offence and such disclosures may lead to prosecution. </w:t>
      </w:r>
    </w:p>
    <w:p w14:paraId="4756A895" w14:textId="77777777" w:rsidR="00CA0EF0" w:rsidRPr="00361E30" w:rsidRDefault="00CA0EF0" w:rsidP="003C13F4">
      <w:pPr>
        <w:pStyle w:val="NoSpacing"/>
        <w:spacing w:line="240" w:lineRule="auto"/>
        <w:rPr>
          <w:lang w:val="en-GB"/>
        </w:rPr>
      </w:pPr>
    </w:p>
    <w:p w14:paraId="628E39CA" w14:textId="77777777" w:rsidR="00CA0EF0" w:rsidRPr="00361E30" w:rsidRDefault="00CA0EF0" w:rsidP="003C13F4">
      <w:pPr>
        <w:pStyle w:val="NoSpacing"/>
        <w:spacing w:line="240" w:lineRule="auto"/>
        <w:rPr>
          <w:lang w:val="en-GB"/>
        </w:rPr>
      </w:pPr>
      <w:r w:rsidRPr="00361E30">
        <w:rPr>
          <w:lang w:val="en-GB"/>
        </w:rPr>
        <w:t>You should ensure that, where you are issued with an identity or security card, a bleep number, email or library account, keys or protective clothing, these are returned upon termination of this arrangement. Please also ensure that while on the organisations premises you wear your ID badge at all times, or are able to prove your identity if challenged. Please note that the organisation(s) do not accept responsibility for damage to or loss of personal property.</w:t>
      </w:r>
    </w:p>
    <w:p w14:paraId="054BD62D" w14:textId="77777777" w:rsidR="00CA0EF0" w:rsidRPr="00361E30" w:rsidRDefault="00CA0EF0" w:rsidP="003C13F4">
      <w:pPr>
        <w:pStyle w:val="NoSpacing"/>
        <w:spacing w:line="240" w:lineRule="auto"/>
        <w:rPr>
          <w:lang w:val="en-GB"/>
        </w:rPr>
      </w:pPr>
    </w:p>
    <w:p w14:paraId="49641D04" w14:textId="77777777" w:rsidR="00CA0EF0" w:rsidRPr="00361E30" w:rsidRDefault="00CA0EF0" w:rsidP="003C13F4">
      <w:pPr>
        <w:pStyle w:val="NoSpacing"/>
        <w:spacing w:line="240" w:lineRule="auto"/>
        <w:rPr>
          <w:lang w:val="en-GB"/>
        </w:rPr>
      </w:pPr>
      <w:r w:rsidRPr="00361E30">
        <w:rPr>
          <w:lang w:val="en-GB"/>
        </w:rPr>
        <w:t xml:space="preserve">This organisation may revoke this letter and any organisation(s) may terminate your right to attend at any time either by giving seven days’ written notice to you or immediately without any notice if you are in breach of any of the terms or conditions described in this letter or if you commit any act that we reasonably consider to amount to serious misconduct or to be disruptive and/or prejudicial to the interests and/or business of the organisation(s) or if you are convicted of any criminal offence.   You must not undertake regulated activity if you are barred from such work. If you are barred from working with adults or children this letter of access is immediately terminated. Your employer will immediately withdraw you from undertaking this or </w:t>
      </w:r>
      <w:r w:rsidRPr="00361E30">
        <w:rPr>
          <w:lang w:val="en-GB"/>
        </w:rPr>
        <w:lastRenderedPageBreak/>
        <w:t>any other regulated activity and you MUST stop undertaking any regulated activity immediately.</w:t>
      </w:r>
    </w:p>
    <w:p w14:paraId="20BA03CA" w14:textId="77777777" w:rsidR="00CA0EF0" w:rsidRPr="00361E30" w:rsidRDefault="00CA0EF0" w:rsidP="003C13F4">
      <w:pPr>
        <w:pStyle w:val="NoSpacing"/>
        <w:spacing w:line="240" w:lineRule="auto"/>
        <w:rPr>
          <w:lang w:val="en-GB"/>
        </w:rPr>
      </w:pPr>
    </w:p>
    <w:p w14:paraId="1B300DFD" w14:textId="77777777" w:rsidR="00CA0EF0" w:rsidRPr="00361E30" w:rsidRDefault="00CA0EF0" w:rsidP="003C13F4">
      <w:pPr>
        <w:pStyle w:val="NoSpacing"/>
        <w:spacing w:line="240" w:lineRule="auto"/>
        <w:rPr>
          <w:lang w:val="en-GB"/>
        </w:rPr>
      </w:pPr>
      <w:r w:rsidRPr="00361E30">
        <w:rPr>
          <w:lang w:val="en-GB"/>
        </w:rPr>
        <w:t xml:space="preserve">Your substantive employer is responsible for your conduct during this research project and may in the circumstances described above instigate disciplinary action against you. </w:t>
      </w:r>
    </w:p>
    <w:p w14:paraId="1D955FD4" w14:textId="77777777" w:rsidR="00CA0EF0" w:rsidRPr="00361E30" w:rsidRDefault="00CA0EF0" w:rsidP="003C13F4">
      <w:pPr>
        <w:pStyle w:val="NoSpacing"/>
        <w:spacing w:line="240" w:lineRule="auto"/>
        <w:rPr>
          <w:lang w:val="en-GB"/>
        </w:rPr>
      </w:pPr>
    </w:p>
    <w:p w14:paraId="068A1558" w14:textId="77777777" w:rsidR="00CA0EF0" w:rsidRPr="00361E30" w:rsidRDefault="00CA0EF0" w:rsidP="003C13F4">
      <w:pPr>
        <w:pStyle w:val="NoSpacing"/>
        <w:spacing w:line="240" w:lineRule="auto"/>
        <w:rPr>
          <w:lang w:val="en-GB"/>
        </w:rPr>
      </w:pPr>
      <w:r w:rsidRPr="00361E30">
        <w:rPr>
          <w:lang w:val="en-GB"/>
        </w:rPr>
        <w:t>No organisation will indemnify you against any liability incurred as a result of any breach of confidentiality or breach of the Data Protection Act 1998. Any breach of the Data Protection Act 1998 may result in legal action against you and/or your substantive employer.</w:t>
      </w:r>
    </w:p>
    <w:p w14:paraId="7A6195D3" w14:textId="77777777" w:rsidR="00CA0EF0" w:rsidRPr="00361E30" w:rsidRDefault="00CA0EF0" w:rsidP="003C13F4">
      <w:pPr>
        <w:pStyle w:val="NoSpacing"/>
        <w:spacing w:line="240" w:lineRule="auto"/>
        <w:rPr>
          <w:lang w:val="en-GB"/>
        </w:rPr>
      </w:pPr>
    </w:p>
    <w:p w14:paraId="0CBDBD16" w14:textId="77777777" w:rsidR="00CA0EF0" w:rsidRPr="00361E30" w:rsidRDefault="00CA0EF0" w:rsidP="003C13F4">
      <w:pPr>
        <w:pStyle w:val="NoSpacing"/>
        <w:spacing w:line="240" w:lineRule="auto"/>
        <w:rPr>
          <w:lang w:val="en-GB"/>
        </w:rPr>
      </w:pPr>
      <w:r w:rsidRPr="00361E30">
        <w:rPr>
          <w:lang w:val="en-GB"/>
        </w:rPr>
        <w:t xml:space="preserve">If your current role or involvement in research changes, or any of the information provided in your Research Passport changes, you must inform your employer through their normal procedures. You must also inform your nominated manager in each participating organisation] and [the R&amp;D office] in this organisation. </w:t>
      </w:r>
    </w:p>
    <w:p w14:paraId="660BAB2A" w14:textId="77777777" w:rsidR="00CA0EF0" w:rsidRPr="00361E30" w:rsidRDefault="00CA0EF0" w:rsidP="003C13F4">
      <w:pPr>
        <w:pStyle w:val="NoSpacing"/>
        <w:spacing w:line="240" w:lineRule="auto"/>
        <w:rPr>
          <w:lang w:val="en-GB"/>
        </w:rPr>
      </w:pPr>
    </w:p>
    <w:p w14:paraId="68B2509C" w14:textId="77777777" w:rsidR="00CA0EF0" w:rsidRPr="00361E30" w:rsidRDefault="00CA0EF0" w:rsidP="003C13F4">
      <w:pPr>
        <w:pStyle w:val="NoSpacing"/>
        <w:spacing w:line="240" w:lineRule="auto"/>
        <w:rPr>
          <w:lang w:val="en-GB"/>
        </w:rPr>
      </w:pPr>
      <w:r w:rsidRPr="00361E30">
        <w:rPr>
          <w:lang w:val="en-GB"/>
        </w:rPr>
        <w:t>Yours sincerely</w:t>
      </w:r>
    </w:p>
    <w:p w14:paraId="1BCB4F29" w14:textId="77777777" w:rsidR="00CA0EF0" w:rsidRPr="00361E30" w:rsidRDefault="00CA0EF0" w:rsidP="003C13F4">
      <w:pPr>
        <w:pStyle w:val="NoSpacing"/>
        <w:spacing w:line="240" w:lineRule="auto"/>
        <w:rPr>
          <w:lang w:val="en-GB"/>
        </w:rPr>
      </w:pPr>
    </w:p>
    <w:p w14:paraId="61A88D3E" w14:textId="77777777" w:rsidR="00CA0EF0" w:rsidRPr="00361E30" w:rsidRDefault="00CA0EF0" w:rsidP="003C13F4">
      <w:pPr>
        <w:pStyle w:val="NoSpacing"/>
        <w:spacing w:line="240" w:lineRule="auto"/>
        <w:rPr>
          <w:b/>
          <w:bCs/>
          <w:lang w:val="en-GB"/>
        </w:rPr>
      </w:pPr>
    </w:p>
    <w:p w14:paraId="1A3F69F4" w14:textId="77777777" w:rsidR="00CA0EF0" w:rsidRPr="00361E30" w:rsidRDefault="00CA0EF0" w:rsidP="003C13F4">
      <w:pPr>
        <w:pStyle w:val="NoSpacing"/>
        <w:spacing w:line="240" w:lineRule="auto"/>
        <w:rPr>
          <w:b/>
          <w:bCs/>
          <w:lang w:val="en-GB"/>
        </w:rPr>
      </w:pPr>
    </w:p>
    <w:p w14:paraId="0DD074BC" w14:textId="77777777" w:rsidR="00CA0EF0" w:rsidRPr="00361E30" w:rsidRDefault="00CA0EF0" w:rsidP="003C13F4">
      <w:pPr>
        <w:pStyle w:val="NoSpacing"/>
        <w:spacing w:line="240" w:lineRule="auto"/>
        <w:rPr>
          <w:highlight w:val="black"/>
          <w:lang w:val="en-GB"/>
        </w:rPr>
      </w:pPr>
      <w:r w:rsidRPr="00361E30">
        <w:rPr>
          <w:highlight w:val="black"/>
          <w:lang w:val="en-GB"/>
        </w:rPr>
        <w:t>Mrs Corinna Mossop</w:t>
      </w:r>
    </w:p>
    <w:p w14:paraId="111B0187" w14:textId="77777777" w:rsidR="00CA0EF0" w:rsidRPr="00361E30" w:rsidRDefault="00CA0EF0" w:rsidP="003C13F4">
      <w:pPr>
        <w:pStyle w:val="NoSpacing"/>
        <w:spacing w:line="240" w:lineRule="auto"/>
        <w:rPr>
          <w:bCs/>
          <w:highlight w:val="black"/>
          <w:lang w:val="en-GB"/>
        </w:rPr>
      </w:pPr>
      <w:r w:rsidRPr="00361E30">
        <w:rPr>
          <w:bCs/>
          <w:highlight w:val="black"/>
          <w:lang w:val="en-GB"/>
        </w:rPr>
        <w:t>R&amp;D Manager,</w:t>
      </w:r>
    </w:p>
    <w:p w14:paraId="5416587B" w14:textId="77777777" w:rsidR="00CA0EF0" w:rsidRPr="00361E30" w:rsidRDefault="00CA0EF0" w:rsidP="003C13F4">
      <w:pPr>
        <w:pStyle w:val="NoSpacing"/>
        <w:spacing w:line="240" w:lineRule="auto"/>
        <w:rPr>
          <w:lang w:val="en-GB"/>
        </w:rPr>
      </w:pPr>
      <w:r w:rsidRPr="00361E30">
        <w:rPr>
          <w:highlight w:val="black"/>
          <w:lang w:val="en-GB"/>
        </w:rPr>
        <w:t>Plymouth Hospitals NHS Trust</w:t>
      </w:r>
    </w:p>
    <w:p w14:paraId="784D489D" w14:textId="77777777" w:rsidR="00CA0EF0" w:rsidRPr="00361E30" w:rsidRDefault="00CA0EF0" w:rsidP="003C13F4">
      <w:pPr>
        <w:pStyle w:val="NoSpacing"/>
        <w:spacing w:line="240" w:lineRule="auto"/>
        <w:rPr>
          <w:rFonts w:ascii="Times New Roman" w:hAnsi="Times New Roman" w:cs="Times New Roman"/>
          <w:sz w:val="20"/>
          <w:lang w:val="en-GB"/>
        </w:rPr>
      </w:pPr>
    </w:p>
    <w:p w14:paraId="47E79862" w14:textId="77777777" w:rsidR="00CA0EF0" w:rsidRPr="00361E30" w:rsidRDefault="00CA0EF0" w:rsidP="003C13F4">
      <w:pPr>
        <w:pStyle w:val="NoSpacing"/>
        <w:spacing w:line="240" w:lineRule="auto"/>
        <w:rPr>
          <w:lang w:val="en-GB"/>
        </w:rPr>
      </w:pPr>
      <w:r w:rsidRPr="00361E30">
        <w:rPr>
          <w:lang w:val="en-GB"/>
        </w:rPr>
        <w:t xml:space="preserve">cc: </w:t>
      </w:r>
      <w:r w:rsidRPr="00361E30">
        <w:rPr>
          <w:lang w:val="en-GB"/>
        </w:rPr>
        <w:tab/>
        <w:t>Professor Fiona Lecky   f.e. lecky@sheffield.ac.uk</w:t>
      </w:r>
    </w:p>
    <w:p w14:paraId="1ACDD06E" w14:textId="77777777" w:rsidR="00CA0EF0" w:rsidRPr="00361E30" w:rsidRDefault="00CA0EF0" w:rsidP="003C13F4">
      <w:pPr>
        <w:pStyle w:val="NoSpacing"/>
        <w:spacing w:line="240" w:lineRule="auto"/>
        <w:rPr>
          <w:lang w:val="en-GB"/>
        </w:rPr>
      </w:pPr>
      <w:r w:rsidRPr="00361E30">
        <w:rPr>
          <w:lang w:val="en-GB"/>
        </w:rPr>
        <w:tab/>
        <w:t xml:space="preserve">HR department of Sheffield University – </w:t>
      </w:r>
      <w:hyperlink r:id="rId53" w:history="1">
        <w:r w:rsidRPr="00361E30">
          <w:rPr>
            <w:rStyle w:val="Hyperlink"/>
            <w:rFonts w:ascii="Arial" w:eastAsia="Times New Roman" w:hAnsi="Arial"/>
            <w:lang w:val="en-GB"/>
          </w:rPr>
          <w:t>Jennifer.newton@sheffield.ac.uk</w:t>
        </w:r>
      </w:hyperlink>
    </w:p>
    <w:p w14:paraId="64C1C3DB" w14:textId="77777777" w:rsidR="00CA0EF0" w:rsidRPr="00361E30" w:rsidRDefault="00CA0EF0">
      <w:pPr>
        <w:spacing w:line="276" w:lineRule="auto"/>
        <w:jc w:val="left"/>
        <w:rPr>
          <w:rFonts w:ascii="Arial" w:eastAsia="Times New Roman" w:hAnsi="Arial" w:cs="Arial"/>
        </w:rPr>
      </w:pPr>
      <w:r w:rsidRPr="00361E30">
        <w:rPr>
          <w:rFonts w:ascii="Arial" w:eastAsia="Times New Roman" w:hAnsi="Arial" w:cs="Arial"/>
        </w:rPr>
        <w:br w:type="page"/>
      </w:r>
    </w:p>
    <w:p w14:paraId="788395BA" w14:textId="77777777" w:rsidR="00CA0EF0" w:rsidRPr="00361E30" w:rsidRDefault="00CA0EF0" w:rsidP="003C13F4">
      <w:pPr>
        <w:pStyle w:val="Heading1"/>
        <w:rPr>
          <w:rFonts w:eastAsia="Times New Roman"/>
        </w:rPr>
      </w:pPr>
      <w:bookmarkStart w:id="470" w:name="_Toc1902391"/>
      <w:r w:rsidRPr="00361E30">
        <w:rPr>
          <w:rFonts w:eastAsia="Times New Roman"/>
        </w:rPr>
        <w:lastRenderedPageBreak/>
        <w:t>Letter of Access – Site 02</w:t>
      </w:r>
      <w:bookmarkEnd w:id="470"/>
    </w:p>
    <w:p w14:paraId="6B13F35C" w14:textId="77777777" w:rsidR="00CA0EF0" w:rsidRPr="00361E30" w:rsidRDefault="00CA0EF0" w:rsidP="003C13F4">
      <w:r w:rsidRPr="00361E30">
        <w:rPr>
          <w:noProof/>
          <w:lang w:eastAsia="en-GB"/>
        </w:rPr>
        <mc:AlternateContent>
          <mc:Choice Requires="wps">
            <w:drawing>
              <wp:anchor distT="0" distB="0" distL="114300" distR="114300" simplePos="0" relativeHeight="251651584" behindDoc="0" locked="0" layoutInCell="1" allowOverlap="1" wp14:anchorId="23762310" wp14:editId="062BE845">
                <wp:simplePos x="0" y="0"/>
                <wp:positionH relativeFrom="column">
                  <wp:posOffset>753009</wp:posOffset>
                </wp:positionH>
                <wp:positionV relativeFrom="paragraph">
                  <wp:posOffset>4431025</wp:posOffset>
                </wp:positionV>
                <wp:extent cx="2205317" cy="130628"/>
                <wp:effectExtent l="0" t="0" r="24130" b="22225"/>
                <wp:wrapNone/>
                <wp:docPr id="33" name="Rectangle 33"/>
                <wp:cNvGraphicFramePr/>
                <a:graphic xmlns:a="http://schemas.openxmlformats.org/drawingml/2006/main">
                  <a:graphicData uri="http://schemas.microsoft.com/office/word/2010/wordprocessingShape">
                    <wps:wsp>
                      <wps:cNvSpPr/>
                      <wps:spPr>
                        <a:xfrm>
                          <a:off x="0" y="0"/>
                          <a:ext cx="2205317" cy="13062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BC2E7C" id="Rectangle 33" o:spid="_x0000_s1026" style="position:absolute;margin-left:59.3pt;margin-top:348.9pt;width:173.65pt;height:10.3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" fillcolor="black [3200]" strokecolor="black [1600]" strokeweight="2pt"/>
            </w:pict>
          </mc:Fallback>
        </mc:AlternateContent>
      </w:r>
      <w:r w:rsidRPr="00361E30">
        <w:rPr>
          <w:noProof/>
          <w:lang w:eastAsia="en-GB"/>
        </w:rPr>
        <mc:AlternateContent>
          <mc:Choice Requires="wps">
            <w:drawing>
              <wp:anchor distT="0" distB="0" distL="114300" distR="114300" simplePos="0" relativeHeight="251650560" behindDoc="0" locked="0" layoutInCell="1" allowOverlap="1" wp14:anchorId="5D7A4F2B" wp14:editId="383C15FD">
                <wp:simplePos x="0" y="0"/>
                <wp:positionH relativeFrom="column">
                  <wp:posOffset>1759617</wp:posOffset>
                </wp:positionH>
                <wp:positionV relativeFrom="paragraph">
                  <wp:posOffset>3316840</wp:posOffset>
                </wp:positionV>
                <wp:extent cx="2213002" cy="169049"/>
                <wp:effectExtent l="0" t="0" r="15875" b="21590"/>
                <wp:wrapNone/>
                <wp:docPr id="32" name="Rectangle 32"/>
                <wp:cNvGraphicFramePr/>
                <a:graphic xmlns:a="http://schemas.openxmlformats.org/drawingml/2006/main">
                  <a:graphicData uri="http://schemas.microsoft.com/office/word/2010/wordprocessingShape">
                    <wps:wsp>
                      <wps:cNvSpPr/>
                      <wps:spPr>
                        <a:xfrm>
                          <a:off x="0" y="0"/>
                          <a:ext cx="2213002" cy="16904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9E996" id="Rectangle 32" o:spid="_x0000_s1026" style="position:absolute;margin-left:138.55pt;margin-top:261.15pt;width:174.25pt;height:13.3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" fillcolor="black [3200]" strokecolor="black [1600]" strokeweight="2pt"/>
            </w:pict>
          </mc:Fallback>
        </mc:AlternateContent>
      </w:r>
      <w:r w:rsidRPr="00361E30">
        <w:rPr>
          <w:noProof/>
          <w:lang w:eastAsia="en-GB"/>
        </w:rPr>
        <mc:AlternateContent>
          <mc:Choice Requires="wps">
            <w:drawing>
              <wp:anchor distT="0" distB="0" distL="114300" distR="114300" simplePos="0" relativeHeight="251649536" behindDoc="0" locked="0" layoutInCell="1" allowOverlap="1" wp14:anchorId="74245DEE" wp14:editId="32345731">
                <wp:simplePos x="0" y="0"/>
                <wp:positionH relativeFrom="column">
                  <wp:posOffset>2773909</wp:posOffset>
                </wp:positionH>
                <wp:positionV relativeFrom="paragraph">
                  <wp:posOffset>112598</wp:posOffset>
                </wp:positionV>
                <wp:extent cx="2528048" cy="1037344"/>
                <wp:effectExtent l="0" t="0" r="24765" b="10795"/>
                <wp:wrapNone/>
                <wp:docPr id="30" name="Rectangle 30"/>
                <wp:cNvGraphicFramePr/>
                <a:graphic xmlns:a="http://schemas.openxmlformats.org/drawingml/2006/main">
                  <a:graphicData uri="http://schemas.microsoft.com/office/word/2010/wordprocessingShape">
                    <wps:wsp>
                      <wps:cNvSpPr/>
                      <wps:spPr>
                        <a:xfrm>
                          <a:off x="0" y="0"/>
                          <a:ext cx="2528048" cy="103734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5E7CF" id="Rectangle 30" o:spid="_x0000_s1026" style="position:absolute;margin-left:218.4pt;margin-top:8.85pt;width:199.05pt;height:81.7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" fillcolor="black [3200]" strokecolor="black [1600]" strokeweight="2pt"/>
            </w:pict>
          </mc:Fallback>
        </mc:AlternateContent>
      </w:r>
      <w:r w:rsidRPr="00361E30">
        <w:rPr>
          <w:noProof/>
          <w:lang w:eastAsia="en-GB"/>
        </w:rPr>
        <mc:AlternateContent>
          <mc:Choice Requires="wps">
            <w:drawing>
              <wp:anchor distT="0" distB="0" distL="114300" distR="114300" simplePos="0" relativeHeight="251648512" behindDoc="0" locked="0" layoutInCell="1" allowOverlap="1" wp14:anchorId="1D01C3A7" wp14:editId="67BB90C4">
                <wp:simplePos x="0" y="0"/>
                <wp:positionH relativeFrom="column">
                  <wp:posOffset>115234</wp:posOffset>
                </wp:positionH>
                <wp:positionV relativeFrom="paragraph">
                  <wp:posOffset>250910</wp:posOffset>
                </wp:positionV>
                <wp:extent cx="1698171" cy="545567"/>
                <wp:effectExtent l="0" t="0" r="16510" b="26035"/>
                <wp:wrapNone/>
                <wp:docPr id="29" name="Rectangle 29"/>
                <wp:cNvGraphicFramePr/>
                <a:graphic xmlns:a="http://schemas.openxmlformats.org/drawingml/2006/main">
                  <a:graphicData uri="http://schemas.microsoft.com/office/word/2010/wordprocessingShape">
                    <wps:wsp>
                      <wps:cNvSpPr/>
                      <wps:spPr>
                        <a:xfrm>
                          <a:off x="0" y="0"/>
                          <a:ext cx="1698171" cy="54556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7AB95" id="Rectangle 29" o:spid="_x0000_s1026" style="position:absolute;margin-left:9.05pt;margin-top:19.75pt;width:133.7pt;height:42.9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" fillcolor="black [3200]" strokecolor="black [1600]" strokeweight="2pt"/>
            </w:pict>
          </mc:Fallback>
        </mc:AlternateContent>
      </w:r>
      <w:r w:rsidRPr="00361E30">
        <w:rPr>
          <w:noProof/>
          <w:lang w:eastAsia="en-GB"/>
        </w:rPr>
        <w:drawing>
          <wp:inline distT="0" distB="0" distL="0" distR="0" wp14:anchorId="21ADAAC3" wp14:editId="1E7CC279">
            <wp:extent cx="5394960" cy="7595225"/>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4960" cy="7595225"/>
                    </a:xfrm>
                    <a:prstGeom prst="rect">
                      <a:avLst/>
                    </a:prstGeom>
                    <a:noFill/>
                    <a:ln>
                      <a:noFill/>
                    </a:ln>
                  </pic:spPr>
                </pic:pic>
              </a:graphicData>
            </a:graphic>
          </wp:inline>
        </w:drawing>
      </w:r>
    </w:p>
    <w:p w14:paraId="776BF4BF" w14:textId="77777777" w:rsidR="00CA0EF0" w:rsidRPr="00361E30" w:rsidRDefault="00CA0EF0">
      <w:pPr>
        <w:spacing w:line="276" w:lineRule="auto"/>
        <w:jc w:val="left"/>
      </w:pPr>
      <w:r w:rsidRPr="00361E30">
        <w:br w:type="page"/>
      </w:r>
    </w:p>
    <w:p w14:paraId="03994BFC" w14:textId="77777777" w:rsidR="00CA0EF0" w:rsidRPr="00361E30" w:rsidRDefault="00CA0EF0" w:rsidP="003C13F4">
      <w:r w:rsidRPr="00361E30">
        <w:rPr>
          <w:noProof/>
          <w:lang w:eastAsia="en-GB"/>
        </w:rPr>
        <w:lastRenderedPageBreak/>
        <mc:AlternateContent>
          <mc:Choice Requires="wps">
            <w:drawing>
              <wp:anchor distT="0" distB="0" distL="114300" distR="114300" simplePos="0" relativeHeight="251652608" behindDoc="0" locked="0" layoutInCell="1" allowOverlap="1" wp14:anchorId="333D684F" wp14:editId="55D77C0F">
                <wp:simplePos x="0" y="0"/>
                <wp:positionH relativeFrom="column">
                  <wp:posOffset>253242</wp:posOffset>
                </wp:positionH>
                <wp:positionV relativeFrom="paragraph">
                  <wp:posOffset>6623306</wp:posOffset>
                </wp:positionV>
                <wp:extent cx="1859536" cy="461042"/>
                <wp:effectExtent l="0" t="0" r="26670" b="15240"/>
                <wp:wrapNone/>
                <wp:docPr id="34" name="Rectangle 34"/>
                <wp:cNvGraphicFramePr/>
                <a:graphic xmlns:a="http://schemas.openxmlformats.org/drawingml/2006/main">
                  <a:graphicData uri="http://schemas.microsoft.com/office/word/2010/wordprocessingShape">
                    <wps:wsp>
                      <wps:cNvSpPr/>
                      <wps:spPr>
                        <a:xfrm>
                          <a:off x="0" y="0"/>
                          <a:ext cx="1859536" cy="46104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CF4073" id="Rectangle 34" o:spid="_x0000_s1026" style="position:absolute;margin-left:19.95pt;margin-top:521.5pt;width:146.4pt;height:36.3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" fillcolor="black [3200]" strokecolor="black [1600]" strokeweight="2pt"/>
            </w:pict>
          </mc:Fallback>
        </mc:AlternateContent>
      </w:r>
      <w:r w:rsidRPr="00361E30">
        <w:rPr>
          <w:noProof/>
          <w:lang w:eastAsia="en-GB"/>
        </w:rPr>
        <w:drawing>
          <wp:inline distT="0" distB="0" distL="0" distR="0" wp14:anchorId="46BF31BA" wp14:editId="2FE38416">
            <wp:extent cx="5394960" cy="715312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4960" cy="7153121"/>
                    </a:xfrm>
                    <a:prstGeom prst="rect">
                      <a:avLst/>
                    </a:prstGeom>
                    <a:noFill/>
                    <a:ln>
                      <a:noFill/>
                    </a:ln>
                  </pic:spPr>
                </pic:pic>
              </a:graphicData>
            </a:graphic>
          </wp:inline>
        </w:drawing>
      </w:r>
    </w:p>
    <w:p w14:paraId="2B04BB1F" w14:textId="77777777" w:rsidR="00CA0EF0" w:rsidRPr="00361E30" w:rsidRDefault="00CA0EF0">
      <w:pPr>
        <w:spacing w:line="276" w:lineRule="auto"/>
        <w:jc w:val="left"/>
      </w:pPr>
      <w:r w:rsidRPr="00361E30">
        <w:br w:type="page"/>
      </w:r>
    </w:p>
    <w:p w14:paraId="6F8B4D0E" w14:textId="4B8799AA" w:rsidR="00CA0EF0" w:rsidRPr="00361E30" w:rsidRDefault="00993D1E" w:rsidP="003C13F4">
      <w:r>
        <w:rPr>
          <w:noProof/>
          <w:lang w:eastAsia="en-GB"/>
        </w:rPr>
        <w:lastRenderedPageBreak/>
        <mc:AlternateContent>
          <mc:Choice Requires="wps">
            <w:drawing>
              <wp:anchor distT="0" distB="0" distL="114300" distR="114300" simplePos="0" relativeHeight="251668992" behindDoc="0" locked="0" layoutInCell="1" allowOverlap="1" wp14:anchorId="2C1EEA66" wp14:editId="235DEC68">
                <wp:simplePos x="0" y="0"/>
                <wp:positionH relativeFrom="column">
                  <wp:posOffset>727075</wp:posOffset>
                </wp:positionH>
                <wp:positionV relativeFrom="paragraph">
                  <wp:posOffset>1967230</wp:posOffset>
                </wp:positionV>
                <wp:extent cx="1371600" cy="487680"/>
                <wp:effectExtent l="0" t="0" r="19050" b="26670"/>
                <wp:wrapNone/>
                <wp:docPr id="51" name="Rectangle 51"/>
                <wp:cNvGraphicFramePr/>
                <a:graphic xmlns:a="http://schemas.openxmlformats.org/drawingml/2006/main">
                  <a:graphicData uri="http://schemas.microsoft.com/office/word/2010/wordprocessingShape">
                    <wps:wsp>
                      <wps:cNvSpPr/>
                      <wps:spPr>
                        <a:xfrm>
                          <a:off x="0" y="0"/>
                          <a:ext cx="1371600" cy="48768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A40038" id="Rectangle 51" o:spid="_x0000_s1026" style="position:absolute;margin-left:57.25pt;margin-top:154.9pt;width:108pt;height:38.4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" fillcolor="black [3200]" strokecolor="black [480]" strokeweight="2pt"/>
            </w:pict>
          </mc:Fallback>
        </mc:AlternateContent>
      </w:r>
      <w:r w:rsidR="00CA0EF0" w:rsidRPr="00361E30">
        <w:rPr>
          <w:noProof/>
          <w:lang w:eastAsia="en-GB"/>
        </w:rPr>
        <mc:AlternateContent>
          <mc:Choice Requires="wps">
            <w:drawing>
              <wp:anchor distT="0" distB="0" distL="114300" distR="114300" simplePos="0" relativeHeight="251654656" behindDoc="0" locked="0" layoutInCell="1" allowOverlap="1" wp14:anchorId="464F1FD3" wp14:editId="6484C7B4">
                <wp:simplePos x="0" y="0"/>
                <wp:positionH relativeFrom="column">
                  <wp:posOffset>38100</wp:posOffset>
                </wp:positionH>
                <wp:positionV relativeFrom="paragraph">
                  <wp:posOffset>1351467</wp:posOffset>
                </wp:positionV>
                <wp:extent cx="5294300" cy="560129"/>
                <wp:effectExtent l="0" t="0" r="20955" b="11430"/>
                <wp:wrapNone/>
                <wp:docPr id="36" name="Rectangle 36"/>
                <wp:cNvGraphicFramePr/>
                <a:graphic xmlns:a="http://schemas.openxmlformats.org/drawingml/2006/main">
                  <a:graphicData uri="http://schemas.microsoft.com/office/word/2010/wordprocessingShape">
                    <wps:wsp>
                      <wps:cNvSpPr/>
                      <wps:spPr>
                        <a:xfrm>
                          <a:off x="0" y="0"/>
                          <a:ext cx="5294300" cy="56012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3E9087" id="Rectangle 36" o:spid="_x0000_s1026" style="position:absolute;margin-left:3pt;margin-top:106.4pt;width:416.85pt;height:44.1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" fillcolor="black [3200]" strokecolor="black [1600]" strokeweight="2pt"/>
            </w:pict>
          </mc:Fallback>
        </mc:AlternateContent>
      </w:r>
      <w:r w:rsidR="00CA0EF0" w:rsidRPr="00361E30">
        <w:rPr>
          <w:noProof/>
          <w:lang w:eastAsia="en-GB"/>
        </w:rPr>
        <mc:AlternateContent>
          <mc:Choice Requires="wps">
            <w:drawing>
              <wp:anchor distT="0" distB="0" distL="114300" distR="114300" simplePos="0" relativeHeight="251653632" behindDoc="0" locked="0" layoutInCell="1" allowOverlap="1" wp14:anchorId="54EE2D5D" wp14:editId="0105DD59">
                <wp:simplePos x="0" y="0"/>
                <wp:positionH relativeFrom="column">
                  <wp:posOffset>-27</wp:posOffset>
                </wp:positionH>
                <wp:positionV relativeFrom="paragraph">
                  <wp:posOffset>-331</wp:posOffset>
                </wp:positionV>
                <wp:extent cx="1129553" cy="222837"/>
                <wp:effectExtent l="0" t="0" r="13970" b="25400"/>
                <wp:wrapNone/>
                <wp:docPr id="35" name="Rectangle 35"/>
                <wp:cNvGraphicFramePr/>
                <a:graphic xmlns:a="http://schemas.openxmlformats.org/drawingml/2006/main">
                  <a:graphicData uri="http://schemas.microsoft.com/office/word/2010/wordprocessingShape">
                    <wps:wsp>
                      <wps:cNvSpPr/>
                      <wps:spPr>
                        <a:xfrm>
                          <a:off x="0" y="0"/>
                          <a:ext cx="1129553" cy="22283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6C5DD3" id="Rectangle 35" o:spid="_x0000_s1026" style="position:absolute;margin-left:0;margin-top:-.05pt;width:88.95pt;height:17.5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" fillcolor="black [3200]" strokecolor="black [1600]" strokeweight="2pt"/>
            </w:pict>
          </mc:Fallback>
        </mc:AlternateContent>
      </w:r>
      <w:r w:rsidR="00CA0EF0" w:rsidRPr="00361E30">
        <w:rPr>
          <w:noProof/>
          <w:lang w:eastAsia="en-GB"/>
        </w:rPr>
        <w:drawing>
          <wp:inline distT="0" distB="0" distL="0" distR="0" wp14:anchorId="09B0661E" wp14:editId="4F4A33B6">
            <wp:extent cx="5394960" cy="2467734"/>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4960" cy="2467734"/>
                    </a:xfrm>
                    <a:prstGeom prst="rect">
                      <a:avLst/>
                    </a:prstGeom>
                    <a:noFill/>
                    <a:ln>
                      <a:noFill/>
                    </a:ln>
                  </pic:spPr>
                </pic:pic>
              </a:graphicData>
            </a:graphic>
          </wp:inline>
        </w:drawing>
      </w:r>
    </w:p>
    <w:p w14:paraId="4E180626" w14:textId="77777777" w:rsidR="00CA0EF0" w:rsidRPr="00361E30" w:rsidRDefault="00CA0EF0" w:rsidP="003C13F4">
      <w:pPr>
        <w:spacing w:after="0" w:line="240" w:lineRule="auto"/>
        <w:jc w:val="left"/>
        <w:rPr>
          <w:rFonts w:ascii="Arial" w:eastAsia="Times New Roman" w:hAnsi="Arial" w:cs="Arial"/>
          <w:b/>
        </w:rPr>
      </w:pPr>
    </w:p>
    <w:p w14:paraId="0AB0C795" w14:textId="77777777" w:rsidR="00CA0EF0" w:rsidRPr="00361E30" w:rsidRDefault="00CA0EF0" w:rsidP="003C13F4">
      <w:pPr>
        <w:spacing w:after="0" w:line="240" w:lineRule="auto"/>
        <w:rPr>
          <w:rFonts w:ascii="Arial" w:eastAsia="Times New Roman" w:hAnsi="Arial" w:cs="Times New Roman"/>
          <w:sz w:val="24"/>
          <w:szCs w:val="20"/>
        </w:rPr>
      </w:pPr>
    </w:p>
    <w:p w14:paraId="3AE5688F" w14:textId="77777777" w:rsidR="00CA0EF0" w:rsidRPr="00361E30" w:rsidRDefault="00CA0EF0" w:rsidP="003C13F4"/>
    <w:p w14:paraId="0DE91017" w14:textId="77777777" w:rsidR="007945EF" w:rsidRPr="00361E30" w:rsidRDefault="007945EF"/>
    <w:sectPr w:rsidR="007945EF" w:rsidRPr="00361E30" w:rsidSect="003C13F4">
      <w:pgSz w:w="11909" w:h="16834" w:code="9"/>
      <w:pgMar w:top="1138" w:right="1138" w:bottom="1138" w:left="22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DE2B1" w14:textId="77777777" w:rsidR="00630679" w:rsidRDefault="00630679">
      <w:pPr>
        <w:spacing w:after="0" w:line="240" w:lineRule="auto"/>
      </w:pPr>
      <w:r>
        <w:separator/>
      </w:r>
    </w:p>
  </w:endnote>
  <w:endnote w:type="continuationSeparator" w:id="0">
    <w:p w14:paraId="478BED47" w14:textId="77777777" w:rsidR="00630679" w:rsidRDefault="00630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utch801BT-Roman">
    <w:panose1 w:val="00000000000000000000"/>
    <w:charset w:val="00"/>
    <w:family w:val="auto"/>
    <w:notTrueType/>
    <w:pitch w:val="default"/>
    <w:sig w:usb0="00000003" w:usb1="00000000" w:usb2="00000000" w:usb3="00000000" w:csb0="00000001" w:csb1="00000000"/>
  </w:font>
  <w:font w:name="AdvHlc">
    <w:panose1 w:val="00000000000000000000"/>
    <w:charset w:val="00"/>
    <w:family w:val="swiss"/>
    <w:notTrueType/>
    <w:pitch w:val="default"/>
    <w:sig w:usb0="00000003" w:usb1="00000000" w:usb2="00000000" w:usb3="00000000" w:csb0="00000001" w:csb1="00000000"/>
  </w:font>
  <w:font w:name="Antenna-Medium">
    <w:panose1 w:val="00000000000000000000"/>
    <w:charset w:val="00"/>
    <w:family w:val="auto"/>
    <w:notTrueType/>
    <w:pitch w:val="default"/>
    <w:sig w:usb0="00000003" w:usb1="00000000" w:usb2="00000000" w:usb3="00000000" w:csb0="00000001" w:csb1="00000000"/>
  </w:font>
  <w:font w:name="AdvTTc9c3bd71">
    <w:panose1 w:val="00000000000000000000"/>
    <w:charset w:val="00"/>
    <w:family w:val="roman"/>
    <w:notTrueType/>
    <w:pitch w:val="default"/>
    <w:sig w:usb0="00000003" w:usb1="00000000" w:usb2="00000000" w:usb3="00000000" w:csb0="00000001" w:csb1="00000000"/>
  </w:font>
  <w:font w:name="AdvTT6120e2aa">
    <w:panose1 w:val="00000000000000000000"/>
    <w:charset w:val="00"/>
    <w:family w:val="roman"/>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AdvPTimes">
    <w:panose1 w:val="00000000000000000000"/>
    <w:charset w:val="00"/>
    <w:family w:val="roman"/>
    <w:notTrueType/>
    <w:pitch w:val="default"/>
    <w:sig w:usb0="00000003" w:usb1="00000000" w:usb2="00000000" w:usb3="00000000" w:csb0="00000001" w:csb1="00000000"/>
  </w:font>
  <w:font w:name="AdvTT7c3c51d9">
    <w:panose1 w:val="00000000000000000000"/>
    <w:charset w:val="00"/>
    <w:family w:val="auto"/>
    <w:notTrueType/>
    <w:pitch w:val="default"/>
    <w:sig w:usb0="00000003" w:usb1="00000000" w:usb2="00000000" w:usb3="00000000" w:csb0="00000001" w:csb1="00000000"/>
  </w:font>
  <w:font w:name="AdvP0005">
    <w:panose1 w:val="00000000000000000000"/>
    <w:charset w:val="00"/>
    <w:family w:val="roman"/>
    <w:notTrueType/>
    <w:pitch w:val="default"/>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TT6120e2aa+22">
    <w:altName w:val="MS Mincho"/>
    <w:panose1 w:val="00000000000000000000"/>
    <w:charset w:val="80"/>
    <w:family w:val="auto"/>
    <w:notTrueType/>
    <w:pitch w:val="default"/>
    <w:sig w:usb0="00000000" w:usb1="08070000" w:usb2="00000010" w:usb3="00000000" w:csb0="00020000" w:csb1="00000000"/>
  </w:font>
  <w:font w:name="TUOS Blake">
    <w:panose1 w:val="020B0503040000020004"/>
    <w:charset w:val="00"/>
    <w:family w:val="swiss"/>
    <w:pitch w:val="variable"/>
    <w:sig w:usb0="8000002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152395"/>
      <w:docPartObj>
        <w:docPartGallery w:val="Page Numbers (Bottom of Page)"/>
        <w:docPartUnique/>
      </w:docPartObj>
    </w:sdtPr>
    <w:sdtEndPr>
      <w:rPr>
        <w:noProof/>
      </w:rPr>
    </w:sdtEndPr>
    <w:sdtContent>
      <w:p w14:paraId="3BA1A714" w14:textId="77777777" w:rsidR="001F124C" w:rsidRDefault="001F124C">
        <w:pPr>
          <w:pStyle w:val="Footer"/>
        </w:pPr>
        <w:r>
          <w:fldChar w:fldCharType="begin"/>
        </w:r>
        <w:r>
          <w:instrText xml:space="preserve"> PAGE   \* MERGEFORMAT </w:instrText>
        </w:r>
        <w:r>
          <w:fldChar w:fldCharType="separate"/>
        </w:r>
        <w:r>
          <w:rPr>
            <w:noProof/>
          </w:rPr>
          <w:t>106</w:t>
        </w:r>
        <w:r>
          <w:rPr>
            <w:noProof/>
          </w:rPr>
          <w:fldChar w:fldCharType="end"/>
        </w:r>
      </w:p>
    </w:sdtContent>
  </w:sdt>
  <w:p w14:paraId="43937A10" w14:textId="77777777" w:rsidR="001F124C" w:rsidRDefault="001F12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897941"/>
      <w:docPartObj>
        <w:docPartGallery w:val="Page Numbers (Bottom of Page)"/>
        <w:docPartUnique/>
      </w:docPartObj>
    </w:sdtPr>
    <w:sdtEndPr>
      <w:rPr>
        <w:noProof/>
      </w:rPr>
    </w:sdtEndPr>
    <w:sdtContent>
      <w:p w14:paraId="2B78C7BA" w14:textId="77777777" w:rsidR="001F124C" w:rsidRDefault="001F124C">
        <w:pPr>
          <w:pStyle w:val="Footer"/>
          <w:jc w:val="right"/>
        </w:pPr>
        <w:r>
          <w:fldChar w:fldCharType="begin"/>
        </w:r>
        <w:r>
          <w:instrText xml:space="preserve"> PAGE   \* MERGEFORMAT </w:instrText>
        </w:r>
        <w:r>
          <w:fldChar w:fldCharType="separate"/>
        </w:r>
        <w:r>
          <w:rPr>
            <w:noProof/>
          </w:rPr>
          <w:t>105</w:t>
        </w:r>
        <w:r>
          <w:rPr>
            <w:noProof/>
          </w:rPr>
          <w:fldChar w:fldCharType="end"/>
        </w:r>
      </w:p>
    </w:sdtContent>
  </w:sdt>
  <w:p w14:paraId="5392ECF5" w14:textId="77777777" w:rsidR="001F124C" w:rsidRDefault="001F12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EAA67" w14:textId="77777777" w:rsidR="00630679" w:rsidRDefault="00630679">
      <w:pPr>
        <w:spacing w:after="0" w:line="240" w:lineRule="auto"/>
      </w:pPr>
      <w:r>
        <w:separator/>
      </w:r>
    </w:p>
  </w:footnote>
  <w:footnote w:type="continuationSeparator" w:id="0">
    <w:p w14:paraId="46AA8B35" w14:textId="77777777" w:rsidR="00630679" w:rsidRDefault="006306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1B74"/>
    <w:multiLevelType w:val="hybridMultilevel"/>
    <w:tmpl w:val="E55A56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0E11FD"/>
    <w:multiLevelType w:val="hybridMultilevel"/>
    <w:tmpl w:val="A6EA0BB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3283528"/>
    <w:multiLevelType w:val="hybridMultilevel"/>
    <w:tmpl w:val="0BFE76C8"/>
    <w:lvl w:ilvl="0" w:tplc="04090001">
      <w:start w:val="1"/>
      <w:numFmt w:val="bullet"/>
      <w:lvlText w:val=""/>
      <w:lvlJc w:val="left"/>
      <w:pPr>
        <w:ind w:left="2160" w:hanging="360"/>
      </w:pPr>
      <w:rPr>
        <w:rFonts w:ascii="Symbol" w:hAnsi="Symbol"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15:restartNumberingAfterBreak="0">
    <w:nsid w:val="04933233"/>
    <w:multiLevelType w:val="hybridMultilevel"/>
    <w:tmpl w:val="1AA46C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864CFF"/>
    <w:multiLevelType w:val="hybridMultilevel"/>
    <w:tmpl w:val="C206F9D0"/>
    <w:lvl w:ilvl="0" w:tplc="845C5D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0703A6"/>
    <w:multiLevelType w:val="multilevel"/>
    <w:tmpl w:val="27927AD8"/>
    <w:lvl w:ilvl="0">
      <w:start w:val="1"/>
      <w:numFmt w:val="decimal"/>
      <w:lvlText w:val="%1."/>
      <w:lvlJc w:val="left"/>
      <w:pPr>
        <w:ind w:left="1080" w:hanging="360"/>
      </w:pPr>
      <w:rPr>
        <w:rFonts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0D2F695A"/>
    <w:multiLevelType w:val="multilevel"/>
    <w:tmpl w:val="03E4924C"/>
    <w:lvl w:ilvl="0">
      <w:start w:val="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E1E0FF5"/>
    <w:multiLevelType w:val="hybridMultilevel"/>
    <w:tmpl w:val="712C0F40"/>
    <w:lvl w:ilvl="0" w:tplc="B816A40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E387405"/>
    <w:multiLevelType w:val="hybridMultilevel"/>
    <w:tmpl w:val="31F4BE94"/>
    <w:lvl w:ilvl="0" w:tplc="55B208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51C61B1"/>
    <w:multiLevelType w:val="hybridMultilevel"/>
    <w:tmpl w:val="E5A6A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F01FB5"/>
    <w:multiLevelType w:val="multilevel"/>
    <w:tmpl w:val="3D58BB94"/>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6860FE2"/>
    <w:multiLevelType w:val="hybridMultilevel"/>
    <w:tmpl w:val="1420547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A4316E1"/>
    <w:multiLevelType w:val="multilevel"/>
    <w:tmpl w:val="3F7ABB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4C7129"/>
    <w:multiLevelType w:val="hybridMultilevel"/>
    <w:tmpl w:val="EE0ABC7E"/>
    <w:lvl w:ilvl="0" w:tplc="C6A68C22">
      <w:start w:val="1"/>
      <w:numFmt w:val="none"/>
      <w:lvlText w:val="5."/>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F1449BF"/>
    <w:multiLevelType w:val="hybridMultilevel"/>
    <w:tmpl w:val="D16212F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1507527"/>
    <w:multiLevelType w:val="hybridMultilevel"/>
    <w:tmpl w:val="5E02E4C2"/>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15:restartNumberingAfterBreak="0">
    <w:nsid w:val="324E2977"/>
    <w:multiLevelType w:val="hybridMultilevel"/>
    <w:tmpl w:val="6EBE096C"/>
    <w:lvl w:ilvl="0" w:tplc="E2B0033C">
      <w:start w:val="1"/>
      <w:numFmt w:val="decimal"/>
      <w:lvlText w:val="%1."/>
      <w:lvlJc w:val="left"/>
      <w:pPr>
        <w:ind w:left="765" w:hanging="360"/>
      </w:pPr>
      <w:rPr>
        <w:rFonts w:hint="default"/>
      </w:r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7" w15:restartNumberingAfterBreak="0">
    <w:nsid w:val="32A10453"/>
    <w:multiLevelType w:val="hybridMultilevel"/>
    <w:tmpl w:val="05BA33B2"/>
    <w:lvl w:ilvl="0" w:tplc="55B208C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3425204D"/>
    <w:multiLevelType w:val="hybridMultilevel"/>
    <w:tmpl w:val="51D0E882"/>
    <w:lvl w:ilvl="0" w:tplc="41108E9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34347939"/>
    <w:multiLevelType w:val="multilevel"/>
    <w:tmpl w:val="A23ECB5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8537D8F"/>
    <w:multiLevelType w:val="hybridMultilevel"/>
    <w:tmpl w:val="7E422D56"/>
    <w:lvl w:ilvl="0" w:tplc="B816A408">
      <w:start w:val="1"/>
      <w:numFmt w:val="decimal"/>
      <w:lvlText w:val="%1."/>
      <w:lvlJc w:val="left"/>
      <w:pPr>
        <w:ind w:left="108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9826CC1"/>
    <w:multiLevelType w:val="hybridMultilevel"/>
    <w:tmpl w:val="DBD4E3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B1A1EA8"/>
    <w:multiLevelType w:val="multilevel"/>
    <w:tmpl w:val="8A926946"/>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B643414"/>
    <w:multiLevelType w:val="hybridMultilevel"/>
    <w:tmpl w:val="53FE88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11A51D7"/>
    <w:multiLevelType w:val="hybridMultilevel"/>
    <w:tmpl w:val="E220816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5" w15:restartNumberingAfterBreak="0">
    <w:nsid w:val="42947C1F"/>
    <w:multiLevelType w:val="hybridMultilevel"/>
    <w:tmpl w:val="2BC0BD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61D067E"/>
    <w:multiLevelType w:val="hybridMultilevel"/>
    <w:tmpl w:val="5B22ACE6"/>
    <w:lvl w:ilvl="0" w:tplc="0809001B">
      <w:start w:val="1"/>
      <w:numFmt w:val="lowerRoman"/>
      <w:lvlText w:val="%1."/>
      <w:lvlJc w:val="right"/>
      <w:pPr>
        <w:ind w:left="1980" w:hanging="360"/>
      </w:pPr>
    </w:lvl>
    <w:lvl w:ilvl="1" w:tplc="08090019" w:tentative="1">
      <w:start w:val="1"/>
      <w:numFmt w:val="lowerLetter"/>
      <w:lvlText w:val="%2."/>
      <w:lvlJc w:val="left"/>
      <w:pPr>
        <w:ind w:left="2700" w:hanging="360"/>
      </w:pPr>
    </w:lvl>
    <w:lvl w:ilvl="2" w:tplc="0809001B" w:tentative="1">
      <w:start w:val="1"/>
      <w:numFmt w:val="lowerRoman"/>
      <w:lvlText w:val="%3."/>
      <w:lvlJc w:val="right"/>
      <w:pPr>
        <w:ind w:left="3420" w:hanging="180"/>
      </w:pPr>
    </w:lvl>
    <w:lvl w:ilvl="3" w:tplc="0809000F" w:tentative="1">
      <w:start w:val="1"/>
      <w:numFmt w:val="decimal"/>
      <w:lvlText w:val="%4."/>
      <w:lvlJc w:val="left"/>
      <w:pPr>
        <w:ind w:left="4140" w:hanging="360"/>
      </w:pPr>
    </w:lvl>
    <w:lvl w:ilvl="4" w:tplc="08090019" w:tentative="1">
      <w:start w:val="1"/>
      <w:numFmt w:val="lowerLetter"/>
      <w:lvlText w:val="%5."/>
      <w:lvlJc w:val="left"/>
      <w:pPr>
        <w:ind w:left="4860" w:hanging="360"/>
      </w:pPr>
    </w:lvl>
    <w:lvl w:ilvl="5" w:tplc="0809001B" w:tentative="1">
      <w:start w:val="1"/>
      <w:numFmt w:val="lowerRoman"/>
      <w:lvlText w:val="%6."/>
      <w:lvlJc w:val="right"/>
      <w:pPr>
        <w:ind w:left="5580" w:hanging="180"/>
      </w:pPr>
    </w:lvl>
    <w:lvl w:ilvl="6" w:tplc="0809000F" w:tentative="1">
      <w:start w:val="1"/>
      <w:numFmt w:val="decimal"/>
      <w:lvlText w:val="%7."/>
      <w:lvlJc w:val="left"/>
      <w:pPr>
        <w:ind w:left="6300" w:hanging="360"/>
      </w:pPr>
    </w:lvl>
    <w:lvl w:ilvl="7" w:tplc="08090019" w:tentative="1">
      <w:start w:val="1"/>
      <w:numFmt w:val="lowerLetter"/>
      <w:lvlText w:val="%8."/>
      <w:lvlJc w:val="left"/>
      <w:pPr>
        <w:ind w:left="7020" w:hanging="360"/>
      </w:pPr>
    </w:lvl>
    <w:lvl w:ilvl="8" w:tplc="0809001B" w:tentative="1">
      <w:start w:val="1"/>
      <w:numFmt w:val="lowerRoman"/>
      <w:lvlText w:val="%9."/>
      <w:lvlJc w:val="right"/>
      <w:pPr>
        <w:ind w:left="7740" w:hanging="180"/>
      </w:pPr>
    </w:lvl>
  </w:abstractNum>
  <w:abstractNum w:abstractNumId="27" w15:restartNumberingAfterBreak="0">
    <w:nsid w:val="47432AA0"/>
    <w:multiLevelType w:val="hybridMultilevel"/>
    <w:tmpl w:val="FAB0F42C"/>
    <w:lvl w:ilvl="0" w:tplc="E682A64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2F773B"/>
    <w:multiLevelType w:val="multilevel"/>
    <w:tmpl w:val="B6405792"/>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87B6B2B"/>
    <w:multiLevelType w:val="hybridMultilevel"/>
    <w:tmpl w:val="1C1E2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BA30432"/>
    <w:multiLevelType w:val="hybridMultilevel"/>
    <w:tmpl w:val="3A983A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E171738"/>
    <w:multiLevelType w:val="multilevel"/>
    <w:tmpl w:val="0D6A02E2"/>
    <w:lvl w:ilvl="0">
      <w:start w:val="1"/>
      <w:numFmt w:val="decimal"/>
      <w:lvlText w:val="%1."/>
      <w:lvlJc w:val="left"/>
      <w:pPr>
        <w:ind w:left="1080" w:firstLine="45"/>
      </w:pPr>
    </w:lvl>
    <w:lvl w:ilvl="1">
      <w:start w:val="1"/>
      <w:numFmt w:val="lowerLetter"/>
      <w:lvlText w:val="%2."/>
      <w:lvlJc w:val="left"/>
      <w:pPr>
        <w:ind w:left="1800" w:firstLine="765"/>
      </w:pPr>
    </w:lvl>
    <w:lvl w:ilvl="2">
      <w:start w:val="1"/>
      <w:numFmt w:val="lowerRoman"/>
      <w:lvlText w:val="%3."/>
      <w:lvlJc w:val="right"/>
      <w:pPr>
        <w:ind w:left="2520" w:firstLine="1665"/>
      </w:pPr>
    </w:lvl>
    <w:lvl w:ilvl="3">
      <w:start w:val="1"/>
      <w:numFmt w:val="decimal"/>
      <w:lvlText w:val="%4."/>
      <w:lvlJc w:val="left"/>
      <w:pPr>
        <w:ind w:left="3240" w:firstLine="2205"/>
      </w:pPr>
    </w:lvl>
    <w:lvl w:ilvl="4">
      <w:start w:val="1"/>
      <w:numFmt w:val="lowerLetter"/>
      <w:lvlText w:val="%5."/>
      <w:lvlJc w:val="left"/>
      <w:pPr>
        <w:ind w:left="3960" w:firstLine="2925"/>
      </w:pPr>
    </w:lvl>
    <w:lvl w:ilvl="5">
      <w:start w:val="1"/>
      <w:numFmt w:val="lowerRoman"/>
      <w:lvlText w:val="%6."/>
      <w:lvlJc w:val="right"/>
      <w:pPr>
        <w:ind w:left="4680" w:firstLine="3825"/>
      </w:pPr>
    </w:lvl>
    <w:lvl w:ilvl="6">
      <w:start w:val="1"/>
      <w:numFmt w:val="decimal"/>
      <w:lvlText w:val="%7."/>
      <w:lvlJc w:val="left"/>
      <w:pPr>
        <w:ind w:left="5400" w:firstLine="4365"/>
      </w:pPr>
    </w:lvl>
    <w:lvl w:ilvl="7">
      <w:start w:val="1"/>
      <w:numFmt w:val="lowerLetter"/>
      <w:lvlText w:val="%8."/>
      <w:lvlJc w:val="left"/>
      <w:pPr>
        <w:ind w:left="6120" w:firstLine="5085"/>
      </w:pPr>
    </w:lvl>
    <w:lvl w:ilvl="8">
      <w:start w:val="1"/>
      <w:numFmt w:val="lowerRoman"/>
      <w:lvlText w:val="%9."/>
      <w:lvlJc w:val="right"/>
      <w:pPr>
        <w:ind w:left="6840" w:firstLine="5985"/>
      </w:pPr>
    </w:lvl>
  </w:abstractNum>
  <w:abstractNum w:abstractNumId="32" w15:restartNumberingAfterBreak="0">
    <w:nsid w:val="4F715B46"/>
    <w:multiLevelType w:val="hybridMultilevel"/>
    <w:tmpl w:val="BC48C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BE7075"/>
    <w:multiLevelType w:val="hybridMultilevel"/>
    <w:tmpl w:val="23C6E4E6"/>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34" w15:restartNumberingAfterBreak="0">
    <w:nsid w:val="513F350C"/>
    <w:multiLevelType w:val="multilevel"/>
    <w:tmpl w:val="9C24BE46"/>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A397B52"/>
    <w:multiLevelType w:val="multilevel"/>
    <w:tmpl w:val="912240D2"/>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AFC2C51"/>
    <w:multiLevelType w:val="hybridMultilevel"/>
    <w:tmpl w:val="24D42F22"/>
    <w:lvl w:ilvl="0" w:tplc="664A91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B64443D"/>
    <w:multiLevelType w:val="multilevel"/>
    <w:tmpl w:val="19123482"/>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5B9F2B1A"/>
    <w:multiLevelType w:val="multilevel"/>
    <w:tmpl w:val="79BCBF16"/>
    <w:lvl w:ilvl="0">
      <w:start w:val="9"/>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DA07E06"/>
    <w:multiLevelType w:val="hybridMultilevel"/>
    <w:tmpl w:val="E768FF8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0" w15:restartNumberingAfterBreak="0">
    <w:nsid w:val="5E6C187F"/>
    <w:multiLevelType w:val="hybridMultilevel"/>
    <w:tmpl w:val="0548D6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5F087087"/>
    <w:multiLevelType w:val="hybridMultilevel"/>
    <w:tmpl w:val="86AC132C"/>
    <w:lvl w:ilvl="0" w:tplc="55B208C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2" w15:restartNumberingAfterBreak="0">
    <w:nsid w:val="62773408"/>
    <w:multiLevelType w:val="hybridMultilevel"/>
    <w:tmpl w:val="CEE4AB68"/>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3" w15:restartNumberingAfterBreak="0">
    <w:nsid w:val="660E648C"/>
    <w:multiLevelType w:val="hybridMultilevel"/>
    <w:tmpl w:val="4AF4BF6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9A51B21"/>
    <w:multiLevelType w:val="multilevel"/>
    <w:tmpl w:val="278ED7F6"/>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4"/>
      <w:numFmt w:val="decimal"/>
      <w:isLgl/>
      <w:lvlText w:val="%1.%2.%3"/>
      <w:lvlJc w:val="left"/>
      <w:pPr>
        <w:ind w:left="1440" w:hanging="720"/>
      </w:pPr>
      <w:rPr>
        <w:rFonts w:hint="default"/>
      </w:rPr>
    </w:lvl>
    <w:lvl w:ilvl="3">
      <w:start w:val="8"/>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5" w15:restartNumberingAfterBreak="0">
    <w:nsid w:val="6B6F60BD"/>
    <w:multiLevelType w:val="hybridMultilevel"/>
    <w:tmpl w:val="F5708B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E7B34C8"/>
    <w:multiLevelType w:val="hybridMultilevel"/>
    <w:tmpl w:val="3C8C3572"/>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73100633"/>
    <w:multiLevelType w:val="hybridMultilevel"/>
    <w:tmpl w:val="FB1044A4"/>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8" w15:restartNumberingAfterBreak="0">
    <w:nsid w:val="7B1770D2"/>
    <w:multiLevelType w:val="multilevel"/>
    <w:tmpl w:val="FD84532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F302D64"/>
    <w:multiLevelType w:val="multilevel"/>
    <w:tmpl w:val="304648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462844875">
    <w:abstractNumId w:val="49"/>
  </w:num>
  <w:num w:numId="2" w16cid:durableId="772868744">
    <w:abstractNumId w:val="6"/>
  </w:num>
  <w:num w:numId="3" w16cid:durableId="398871060">
    <w:abstractNumId w:val="10"/>
  </w:num>
  <w:num w:numId="4" w16cid:durableId="839929386">
    <w:abstractNumId w:val="22"/>
  </w:num>
  <w:num w:numId="5" w16cid:durableId="1593776911">
    <w:abstractNumId w:val="19"/>
  </w:num>
  <w:num w:numId="6" w16cid:durableId="1703435752">
    <w:abstractNumId w:val="37"/>
  </w:num>
  <w:num w:numId="7" w16cid:durableId="2057004629">
    <w:abstractNumId w:val="0"/>
  </w:num>
  <w:num w:numId="8" w16cid:durableId="654534040">
    <w:abstractNumId w:val="12"/>
  </w:num>
  <w:num w:numId="9" w16cid:durableId="1186363129">
    <w:abstractNumId w:val="48"/>
  </w:num>
  <w:num w:numId="10" w16cid:durableId="1885557591">
    <w:abstractNumId w:val="27"/>
  </w:num>
  <w:num w:numId="11" w16cid:durableId="797140523">
    <w:abstractNumId w:val="5"/>
  </w:num>
  <w:num w:numId="12" w16cid:durableId="169758580">
    <w:abstractNumId w:val="8"/>
  </w:num>
  <w:num w:numId="13" w16cid:durableId="1766724013">
    <w:abstractNumId w:val="47"/>
  </w:num>
  <w:num w:numId="14" w16cid:durableId="147986165">
    <w:abstractNumId w:val="42"/>
  </w:num>
  <w:num w:numId="15" w16cid:durableId="1555584346">
    <w:abstractNumId w:val="15"/>
  </w:num>
  <w:num w:numId="16" w16cid:durableId="1792748784">
    <w:abstractNumId w:val="17"/>
  </w:num>
  <w:num w:numId="17" w16cid:durableId="1591890147">
    <w:abstractNumId w:val="41"/>
  </w:num>
  <w:num w:numId="18" w16cid:durableId="1280065498">
    <w:abstractNumId w:val="18"/>
  </w:num>
  <w:num w:numId="19" w16cid:durableId="1721439437">
    <w:abstractNumId w:val="39"/>
  </w:num>
  <w:num w:numId="20" w16cid:durableId="365569744">
    <w:abstractNumId w:val="32"/>
  </w:num>
  <w:num w:numId="21" w16cid:durableId="1579434658">
    <w:abstractNumId w:val="46"/>
  </w:num>
  <w:num w:numId="22" w16cid:durableId="1418406917">
    <w:abstractNumId w:val="40"/>
  </w:num>
  <w:num w:numId="23" w16cid:durableId="393547460">
    <w:abstractNumId w:val="2"/>
  </w:num>
  <w:num w:numId="24" w16cid:durableId="1808084128">
    <w:abstractNumId w:val="9"/>
  </w:num>
  <w:num w:numId="25" w16cid:durableId="610555526">
    <w:abstractNumId w:val="11"/>
  </w:num>
  <w:num w:numId="26" w16cid:durableId="1319192826">
    <w:abstractNumId w:val="7"/>
  </w:num>
  <w:num w:numId="27" w16cid:durableId="1075320265">
    <w:abstractNumId w:val="20"/>
  </w:num>
  <w:num w:numId="28" w16cid:durableId="427821458">
    <w:abstractNumId w:val="26"/>
  </w:num>
  <w:num w:numId="29" w16cid:durableId="1145390694">
    <w:abstractNumId w:val="21"/>
  </w:num>
  <w:num w:numId="30" w16cid:durableId="1397313981">
    <w:abstractNumId w:val="45"/>
  </w:num>
  <w:num w:numId="31" w16cid:durableId="2071684801">
    <w:abstractNumId w:val="23"/>
  </w:num>
  <w:num w:numId="32" w16cid:durableId="2113158179">
    <w:abstractNumId w:val="16"/>
  </w:num>
  <w:num w:numId="33" w16cid:durableId="200438808">
    <w:abstractNumId w:val="31"/>
  </w:num>
  <w:num w:numId="34" w16cid:durableId="234559708">
    <w:abstractNumId w:val="4"/>
  </w:num>
  <w:num w:numId="35" w16cid:durableId="666446558">
    <w:abstractNumId w:val="43"/>
  </w:num>
  <w:num w:numId="36" w16cid:durableId="1050422395">
    <w:abstractNumId w:val="25"/>
  </w:num>
  <w:num w:numId="37" w16cid:durableId="880870994">
    <w:abstractNumId w:val="36"/>
  </w:num>
  <w:num w:numId="38" w16cid:durableId="488792330">
    <w:abstractNumId w:val="28"/>
  </w:num>
  <w:num w:numId="39" w16cid:durableId="780996942">
    <w:abstractNumId w:val="1"/>
  </w:num>
  <w:num w:numId="40" w16cid:durableId="102118347">
    <w:abstractNumId w:val="14"/>
  </w:num>
  <w:num w:numId="41" w16cid:durableId="629241754">
    <w:abstractNumId w:val="30"/>
  </w:num>
  <w:num w:numId="42" w16cid:durableId="1207135216">
    <w:abstractNumId w:val="24"/>
  </w:num>
  <w:num w:numId="43" w16cid:durableId="447161282">
    <w:abstractNumId w:val="44"/>
  </w:num>
  <w:num w:numId="44" w16cid:durableId="1400592221">
    <w:abstractNumId w:val="35"/>
  </w:num>
  <w:num w:numId="45" w16cid:durableId="512569046">
    <w:abstractNumId w:val="3"/>
  </w:num>
  <w:num w:numId="46" w16cid:durableId="2106031076">
    <w:abstractNumId w:val="34"/>
  </w:num>
  <w:num w:numId="47" w16cid:durableId="278029251">
    <w:abstractNumId w:val="38"/>
  </w:num>
  <w:num w:numId="48" w16cid:durableId="709309381">
    <w:abstractNumId w:val="29"/>
  </w:num>
  <w:num w:numId="49" w16cid:durableId="1177427875">
    <w:abstractNumId w:val="13"/>
  </w:num>
  <w:num w:numId="50" w16cid:durableId="69527751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CA0EF0"/>
    <w:rsid w:val="000041BF"/>
    <w:rsid w:val="000049A1"/>
    <w:rsid w:val="00007F1B"/>
    <w:rsid w:val="00031246"/>
    <w:rsid w:val="00045BC5"/>
    <w:rsid w:val="00051908"/>
    <w:rsid w:val="000557AA"/>
    <w:rsid w:val="00060C22"/>
    <w:rsid w:val="000817FA"/>
    <w:rsid w:val="000A6550"/>
    <w:rsid w:val="000B748B"/>
    <w:rsid w:val="000D20CB"/>
    <w:rsid w:val="000D4E42"/>
    <w:rsid w:val="000E205F"/>
    <w:rsid w:val="000E2AF4"/>
    <w:rsid w:val="00103094"/>
    <w:rsid w:val="00107117"/>
    <w:rsid w:val="00113FAD"/>
    <w:rsid w:val="0012016C"/>
    <w:rsid w:val="00132576"/>
    <w:rsid w:val="001560CA"/>
    <w:rsid w:val="00175547"/>
    <w:rsid w:val="001A0D61"/>
    <w:rsid w:val="001B79A9"/>
    <w:rsid w:val="001C094A"/>
    <w:rsid w:val="001D0014"/>
    <w:rsid w:val="001D641C"/>
    <w:rsid w:val="001F0E43"/>
    <w:rsid w:val="001F124C"/>
    <w:rsid w:val="001F5DE0"/>
    <w:rsid w:val="0020173C"/>
    <w:rsid w:val="00211377"/>
    <w:rsid w:val="002145A9"/>
    <w:rsid w:val="00223B10"/>
    <w:rsid w:val="00261115"/>
    <w:rsid w:val="002735FC"/>
    <w:rsid w:val="0027792F"/>
    <w:rsid w:val="00281AB6"/>
    <w:rsid w:val="00282F6F"/>
    <w:rsid w:val="00283746"/>
    <w:rsid w:val="002A2A2D"/>
    <w:rsid w:val="002B2B2E"/>
    <w:rsid w:val="002D1A1B"/>
    <w:rsid w:val="002D5FA1"/>
    <w:rsid w:val="002F0DC4"/>
    <w:rsid w:val="002F446A"/>
    <w:rsid w:val="00300688"/>
    <w:rsid w:val="00300BAC"/>
    <w:rsid w:val="00310C0C"/>
    <w:rsid w:val="0031223A"/>
    <w:rsid w:val="003153CC"/>
    <w:rsid w:val="00317968"/>
    <w:rsid w:val="003225A3"/>
    <w:rsid w:val="00333E70"/>
    <w:rsid w:val="00344B52"/>
    <w:rsid w:val="00347F8B"/>
    <w:rsid w:val="00361E30"/>
    <w:rsid w:val="003636E5"/>
    <w:rsid w:val="00363A01"/>
    <w:rsid w:val="00365D58"/>
    <w:rsid w:val="0038512A"/>
    <w:rsid w:val="003860F3"/>
    <w:rsid w:val="003B69CE"/>
    <w:rsid w:val="003C13F4"/>
    <w:rsid w:val="003C3531"/>
    <w:rsid w:val="003D15FC"/>
    <w:rsid w:val="003D37B3"/>
    <w:rsid w:val="003F0754"/>
    <w:rsid w:val="003F4690"/>
    <w:rsid w:val="004050BA"/>
    <w:rsid w:val="004172BF"/>
    <w:rsid w:val="004250A3"/>
    <w:rsid w:val="004403F6"/>
    <w:rsid w:val="00451BB2"/>
    <w:rsid w:val="00452F29"/>
    <w:rsid w:val="00457606"/>
    <w:rsid w:val="00470A2F"/>
    <w:rsid w:val="00474676"/>
    <w:rsid w:val="00487C98"/>
    <w:rsid w:val="004B51BE"/>
    <w:rsid w:val="004C3D58"/>
    <w:rsid w:val="004D48E8"/>
    <w:rsid w:val="004F1C52"/>
    <w:rsid w:val="005015CB"/>
    <w:rsid w:val="00502452"/>
    <w:rsid w:val="00516A39"/>
    <w:rsid w:val="0052214F"/>
    <w:rsid w:val="00524068"/>
    <w:rsid w:val="00527A17"/>
    <w:rsid w:val="00530658"/>
    <w:rsid w:val="00553DE4"/>
    <w:rsid w:val="00572B90"/>
    <w:rsid w:val="0057418D"/>
    <w:rsid w:val="00574F7E"/>
    <w:rsid w:val="005934F7"/>
    <w:rsid w:val="005A481E"/>
    <w:rsid w:val="005B084F"/>
    <w:rsid w:val="005C2493"/>
    <w:rsid w:val="005C3FED"/>
    <w:rsid w:val="005D29CC"/>
    <w:rsid w:val="005E3024"/>
    <w:rsid w:val="005F4556"/>
    <w:rsid w:val="00630679"/>
    <w:rsid w:val="00631C5D"/>
    <w:rsid w:val="006426CE"/>
    <w:rsid w:val="00651884"/>
    <w:rsid w:val="00662BC8"/>
    <w:rsid w:val="00672693"/>
    <w:rsid w:val="006B1CF4"/>
    <w:rsid w:val="006C1B27"/>
    <w:rsid w:val="006C35DE"/>
    <w:rsid w:val="006C4158"/>
    <w:rsid w:val="006D2F63"/>
    <w:rsid w:val="006E3532"/>
    <w:rsid w:val="006E3A7B"/>
    <w:rsid w:val="00705591"/>
    <w:rsid w:val="00715BD5"/>
    <w:rsid w:val="00720721"/>
    <w:rsid w:val="00721917"/>
    <w:rsid w:val="0073534B"/>
    <w:rsid w:val="00746C48"/>
    <w:rsid w:val="00747370"/>
    <w:rsid w:val="00754510"/>
    <w:rsid w:val="007846B4"/>
    <w:rsid w:val="00785652"/>
    <w:rsid w:val="00793AB7"/>
    <w:rsid w:val="007945EF"/>
    <w:rsid w:val="007A2823"/>
    <w:rsid w:val="007A6E4D"/>
    <w:rsid w:val="007B0475"/>
    <w:rsid w:val="007B133E"/>
    <w:rsid w:val="007B2E93"/>
    <w:rsid w:val="007C2286"/>
    <w:rsid w:val="007C7813"/>
    <w:rsid w:val="007D13CE"/>
    <w:rsid w:val="007E0A98"/>
    <w:rsid w:val="007F7DEB"/>
    <w:rsid w:val="007F7E67"/>
    <w:rsid w:val="0080135C"/>
    <w:rsid w:val="00803C39"/>
    <w:rsid w:val="00810355"/>
    <w:rsid w:val="008113C4"/>
    <w:rsid w:val="0081796A"/>
    <w:rsid w:val="00822D9E"/>
    <w:rsid w:val="00826D9C"/>
    <w:rsid w:val="00834438"/>
    <w:rsid w:val="00837B4F"/>
    <w:rsid w:val="00842441"/>
    <w:rsid w:val="00853D64"/>
    <w:rsid w:val="0085688E"/>
    <w:rsid w:val="00862E79"/>
    <w:rsid w:val="0086439C"/>
    <w:rsid w:val="00874523"/>
    <w:rsid w:val="00876267"/>
    <w:rsid w:val="00884F8D"/>
    <w:rsid w:val="00893E36"/>
    <w:rsid w:val="008A3250"/>
    <w:rsid w:val="008A35DB"/>
    <w:rsid w:val="008A51FC"/>
    <w:rsid w:val="008C16F5"/>
    <w:rsid w:val="008D0569"/>
    <w:rsid w:val="008D30D9"/>
    <w:rsid w:val="008F0255"/>
    <w:rsid w:val="008F67FE"/>
    <w:rsid w:val="0090023C"/>
    <w:rsid w:val="009038A0"/>
    <w:rsid w:val="00936C62"/>
    <w:rsid w:val="009621E3"/>
    <w:rsid w:val="00974BCC"/>
    <w:rsid w:val="009769C3"/>
    <w:rsid w:val="0099091F"/>
    <w:rsid w:val="00993D1E"/>
    <w:rsid w:val="009A409C"/>
    <w:rsid w:val="009A4A3F"/>
    <w:rsid w:val="009A5594"/>
    <w:rsid w:val="009A7ADA"/>
    <w:rsid w:val="009C0218"/>
    <w:rsid w:val="009C2F57"/>
    <w:rsid w:val="009E1016"/>
    <w:rsid w:val="00A05EDA"/>
    <w:rsid w:val="00A1340B"/>
    <w:rsid w:val="00A138AF"/>
    <w:rsid w:val="00A5132A"/>
    <w:rsid w:val="00A62187"/>
    <w:rsid w:val="00A670AA"/>
    <w:rsid w:val="00A84367"/>
    <w:rsid w:val="00A860E3"/>
    <w:rsid w:val="00A95007"/>
    <w:rsid w:val="00AA7F15"/>
    <w:rsid w:val="00AB5F13"/>
    <w:rsid w:val="00AC21CF"/>
    <w:rsid w:val="00AC36EC"/>
    <w:rsid w:val="00AD5781"/>
    <w:rsid w:val="00AE610D"/>
    <w:rsid w:val="00AE6D96"/>
    <w:rsid w:val="00AF3E35"/>
    <w:rsid w:val="00B04AF3"/>
    <w:rsid w:val="00B249F5"/>
    <w:rsid w:val="00B3053A"/>
    <w:rsid w:val="00B40F0C"/>
    <w:rsid w:val="00B41B85"/>
    <w:rsid w:val="00B431F6"/>
    <w:rsid w:val="00B46C69"/>
    <w:rsid w:val="00B62F3A"/>
    <w:rsid w:val="00B75D7B"/>
    <w:rsid w:val="00B869AD"/>
    <w:rsid w:val="00B86D55"/>
    <w:rsid w:val="00B87A6F"/>
    <w:rsid w:val="00BA5BB6"/>
    <w:rsid w:val="00BC23DE"/>
    <w:rsid w:val="00BC6604"/>
    <w:rsid w:val="00C10F07"/>
    <w:rsid w:val="00C2706E"/>
    <w:rsid w:val="00C36882"/>
    <w:rsid w:val="00C4181C"/>
    <w:rsid w:val="00C42581"/>
    <w:rsid w:val="00C529C0"/>
    <w:rsid w:val="00C832C7"/>
    <w:rsid w:val="00C908AC"/>
    <w:rsid w:val="00C90C39"/>
    <w:rsid w:val="00C916FD"/>
    <w:rsid w:val="00C9320A"/>
    <w:rsid w:val="00C946DD"/>
    <w:rsid w:val="00CA0EF0"/>
    <w:rsid w:val="00CB7134"/>
    <w:rsid w:val="00CE038B"/>
    <w:rsid w:val="00CE3407"/>
    <w:rsid w:val="00D05677"/>
    <w:rsid w:val="00D209A1"/>
    <w:rsid w:val="00D22926"/>
    <w:rsid w:val="00D37C69"/>
    <w:rsid w:val="00D57583"/>
    <w:rsid w:val="00D66439"/>
    <w:rsid w:val="00D67A53"/>
    <w:rsid w:val="00D80751"/>
    <w:rsid w:val="00D90A98"/>
    <w:rsid w:val="00D94F92"/>
    <w:rsid w:val="00DA16A8"/>
    <w:rsid w:val="00DC6190"/>
    <w:rsid w:val="00E1205C"/>
    <w:rsid w:val="00E25676"/>
    <w:rsid w:val="00E3343D"/>
    <w:rsid w:val="00E41045"/>
    <w:rsid w:val="00E84970"/>
    <w:rsid w:val="00EA4EB0"/>
    <w:rsid w:val="00EC0353"/>
    <w:rsid w:val="00EC513B"/>
    <w:rsid w:val="00EC751C"/>
    <w:rsid w:val="00ED0EE1"/>
    <w:rsid w:val="00EF0F39"/>
    <w:rsid w:val="00EF4FF2"/>
    <w:rsid w:val="00EF5010"/>
    <w:rsid w:val="00F11F14"/>
    <w:rsid w:val="00F13800"/>
    <w:rsid w:val="00F43802"/>
    <w:rsid w:val="00F507BD"/>
    <w:rsid w:val="00F516F0"/>
    <w:rsid w:val="00F67562"/>
    <w:rsid w:val="00F7021C"/>
    <w:rsid w:val="00F74113"/>
    <w:rsid w:val="00F80C71"/>
    <w:rsid w:val="00F84EF5"/>
    <w:rsid w:val="00F95E3D"/>
    <w:rsid w:val="00FA0B98"/>
    <w:rsid w:val="00FA37D2"/>
    <w:rsid w:val="00FA4493"/>
    <w:rsid w:val="00FB050E"/>
    <w:rsid w:val="00FB40C7"/>
    <w:rsid w:val="00FB42B1"/>
    <w:rsid w:val="00FC296F"/>
    <w:rsid w:val="00FC3457"/>
    <w:rsid w:val="00FC3F89"/>
    <w:rsid w:val="00FD4AA2"/>
    <w:rsid w:val="00FD66F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0362B2"/>
  <w15:docId w15:val="{9B39A445-9B2B-4555-9C7E-1186DE0C0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EF0"/>
    <w:pPr>
      <w:spacing w:line="360" w:lineRule="auto"/>
      <w:jc w:val="both"/>
    </w:pPr>
  </w:style>
  <w:style w:type="paragraph" w:styleId="Heading1">
    <w:name w:val="heading 1"/>
    <w:basedOn w:val="Normal"/>
    <w:next w:val="Normal"/>
    <w:link w:val="Heading1Char"/>
    <w:uiPriority w:val="9"/>
    <w:qFormat/>
    <w:rsid w:val="00CA0EF0"/>
    <w:pPr>
      <w:keepNext/>
      <w:keepLines/>
      <w:spacing w:before="480" w:after="0"/>
      <w:outlineLvl w:val="0"/>
    </w:pPr>
    <w:rPr>
      <w:rFonts w:eastAsiaTheme="majorEastAsia" w:cstheme="majorBidi"/>
      <w:b/>
      <w:color w:val="365F91" w:themeColor="accent1" w:themeShade="BF"/>
      <w:szCs w:val="32"/>
    </w:rPr>
  </w:style>
  <w:style w:type="paragraph" w:styleId="Heading2">
    <w:name w:val="heading 2"/>
    <w:basedOn w:val="Normal"/>
    <w:next w:val="Normal"/>
    <w:link w:val="Heading2Char"/>
    <w:uiPriority w:val="9"/>
    <w:unhideWhenUsed/>
    <w:qFormat/>
    <w:rsid w:val="00CA0EF0"/>
    <w:pPr>
      <w:keepNext/>
      <w:keepLines/>
      <w:spacing w:before="200" w:after="0"/>
      <w:outlineLvl w:val="1"/>
    </w:pPr>
    <w:rPr>
      <w:rFonts w:eastAsiaTheme="majorEastAsia" w:cstheme="majorBidi"/>
      <w:b/>
      <w:color w:val="4F81BD" w:themeColor="accent1"/>
      <w:szCs w:val="26"/>
    </w:rPr>
  </w:style>
  <w:style w:type="paragraph" w:styleId="Heading3">
    <w:name w:val="heading 3"/>
    <w:basedOn w:val="Normal"/>
    <w:next w:val="Normal"/>
    <w:link w:val="Heading3Char"/>
    <w:uiPriority w:val="9"/>
    <w:unhideWhenUsed/>
    <w:qFormat/>
    <w:rsid w:val="00CA0EF0"/>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CA0EF0"/>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EF0"/>
    <w:rPr>
      <w:rFonts w:eastAsiaTheme="majorEastAsia" w:cstheme="majorBidi"/>
      <w:b/>
      <w:color w:val="365F91" w:themeColor="accent1" w:themeShade="BF"/>
      <w:szCs w:val="32"/>
    </w:rPr>
  </w:style>
  <w:style w:type="character" w:customStyle="1" w:styleId="Heading2Char">
    <w:name w:val="Heading 2 Char"/>
    <w:basedOn w:val="DefaultParagraphFont"/>
    <w:link w:val="Heading2"/>
    <w:uiPriority w:val="9"/>
    <w:rsid w:val="00CA0EF0"/>
    <w:rPr>
      <w:rFonts w:eastAsiaTheme="majorEastAsia" w:cstheme="majorBidi"/>
      <w:b/>
      <w:color w:val="4F81BD" w:themeColor="accent1"/>
      <w:szCs w:val="26"/>
    </w:rPr>
  </w:style>
  <w:style w:type="character" w:customStyle="1" w:styleId="Heading3Char">
    <w:name w:val="Heading 3 Char"/>
    <w:basedOn w:val="DefaultParagraphFont"/>
    <w:link w:val="Heading3"/>
    <w:uiPriority w:val="9"/>
    <w:rsid w:val="00CA0EF0"/>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CA0EF0"/>
    <w:rPr>
      <w:rFonts w:eastAsiaTheme="majorEastAsia" w:cstheme="majorBidi"/>
      <w:b/>
      <w:bCs/>
      <w:i/>
      <w:iCs/>
      <w:color w:val="4F81BD" w:themeColor="accent1"/>
    </w:rPr>
  </w:style>
  <w:style w:type="paragraph" w:styleId="ListParagraph">
    <w:name w:val="List Paragraph"/>
    <w:basedOn w:val="Normal"/>
    <w:link w:val="ListParagraphChar"/>
    <w:uiPriority w:val="34"/>
    <w:qFormat/>
    <w:rsid w:val="00CA0EF0"/>
    <w:pPr>
      <w:contextualSpacing/>
    </w:pPr>
  </w:style>
  <w:style w:type="character" w:customStyle="1" w:styleId="ListParagraphChar">
    <w:name w:val="List Paragraph Char"/>
    <w:basedOn w:val="DefaultParagraphFont"/>
    <w:link w:val="ListParagraph"/>
    <w:uiPriority w:val="34"/>
    <w:rsid w:val="00CA0EF0"/>
  </w:style>
  <w:style w:type="paragraph" w:customStyle="1" w:styleId="EndNoteBibliographyTitle">
    <w:name w:val="EndNote Bibliography Title"/>
    <w:basedOn w:val="Normal"/>
    <w:link w:val="EndNoteBibliographyTitleChar"/>
    <w:rsid w:val="00CA0EF0"/>
    <w:pPr>
      <w:spacing w:after="0"/>
      <w:jc w:val="center"/>
    </w:pPr>
    <w:rPr>
      <w:rFonts w:ascii="Calibri" w:hAnsi="Calibri"/>
      <w:noProof/>
      <w:lang w:val="en-US"/>
    </w:rPr>
  </w:style>
  <w:style w:type="character" w:customStyle="1" w:styleId="EndNoteBibliographyTitleChar">
    <w:name w:val="EndNote Bibliography Title Char"/>
    <w:basedOn w:val="ListParagraphChar"/>
    <w:link w:val="EndNoteBibliographyTitle"/>
    <w:rsid w:val="00CA0EF0"/>
    <w:rPr>
      <w:rFonts w:ascii="Calibri" w:hAnsi="Calibri"/>
      <w:noProof/>
      <w:lang w:val="en-US"/>
    </w:rPr>
  </w:style>
  <w:style w:type="paragraph" w:customStyle="1" w:styleId="EndNoteBibliography">
    <w:name w:val="EndNote Bibliography"/>
    <w:basedOn w:val="Normal"/>
    <w:link w:val="EndNoteBibliographyChar"/>
    <w:rsid w:val="00CA0EF0"/>
    <w:pPr>
      <w:spacing w:line="240" w:lineRule="auto"/>
    </w:pPr>
    <w:rPr>
      <w:rFonts w:ascii="Calibri" w:hAnsi="Calibri"/>
      <w:noProof/>
      <w:lang w:val="en-US"/>
    </w:rPr>
  </w:style>
  <w:style w:type="character" w:customStyle="1" w:styleId="EndNoteBibliographyChar">
    <w:name w:val="EndNote Bibliography Char"/>
    <w:basedOn w:val="ListParagraphChar"/>
    <w:link w:val="EndNoteBibliography"/>
    <w:rsid w:val="00CA0EF0"/>
    <w:rPr>
      <w:rFonts w:ascii="Calibri" w:hAnsi="Calibri"/>
      <w:noProof/>
      <w:lang w:val="en-US"/>
    </w:rPr>
  </w:style>
  <w:style w:type="character" w:styleId="Hyperlink">
    <w:name w:val="Hyperlink"/>
    <w:basedOn w:val="DefaultParagraphFont"/>
    <w:uiPriority w:val="99"/>
    <w:unhideWhenUsed/>
    <w:rsid w:val="00CA0EF0"/>
    <w:rPr>
      <w:color w:val="0000FF" w:themeColor="hyperlink"/>
      <w:u w:val="single"/>
    </w:rPr>
  </w:style>
  <w:style w:type="paragraph" w:styleId="Title">
    <w:name w:val="Title"/>
    <w:basedOn w:val="Normal"/>
    <w:next w:val="Normal"/>
    <w:link w:val="TitleChar"/>
    <w:uiPriority w:val="10"/>
    <w:qFormat/>
    <w:rsid w:val="00CA0E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0EF0"/>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CA0EF0"/>
    <w:pPr>
      <w:spacing w:before="240" w:line="259" w:lineRule="auto"/>
      <w:outlineLvl w:val="9"/>
    </w:pPr>
    <w:rPr>
      <w:rFonts w:asciiTheme="majorHAnsi" w:hAnsiTheme="majorHAnsi"/>
      <w:b w:val="0"/>
      <w:sz w:val="32"/>
      <w:lang w:val="en-US"/>
    </w:rPr>
  </w:style>
  <w:style w:type="paragraph" w:styleId="TOC1">
    <w:name w:val="toc 1"/>
    <w:basedOn w:val="Normal"/>
    <w:next w:val="Normal"/>
    <w:autoRedefine/>
    <w:uiPriority w:val="39"/>
    <w:unhideWhenUsed/>
    <w:qFormat/>
    <w:rsid w:val="00CA0EF0"/>
    <w:pPr>
      <w:spacing w:before="240" w:after="120"/>
      <w:jc w:val="left"/>
    </w:pPr>
    <w:rPr>
      <w:rFonts w:cstheme="minorHAnsi"/>
      <w:b/>
      <w:bCs/>
      <w:sz w:val="20"/>
      <w:szCs w:val="20"/>
    </w:rPr>
  </w:style>
  <w:style w:type="paragraph" w:styleId="TOC2">
    <w:name w:val="toc 2"/>
    <w:basedOn w:val="Normal"/>
    <w:next w:val="Normal"/>
    <w:autoRedefine/>
    <w:uiPriority w:val="39"/>
    <w:unhideWhenUsed/>
    <w:qFormat/>
    <w:rsid w:val="00CA0EF0"/>
    <w:pPr>
      <w:spacing w:before="120" w:after="0"/>
      <w:ind w:left="220"/>
      <w:jc w:val="left"/>
    </w:pPr>
    <w:rPr>
      <w:rFonts w:cstheme="minorHAnsi"/>
      <w:i/>
      <w:iCs/>
      <w:sz w:val="20"/>
      <w:szCs w:val="20"/>
    </w:rPr>
  </w:style>
  <w:style w:type="paragraph" w:styleId="BalloonText">
    <w:name w:val="Balloon Text"/>
    <w:basedOn w:val="Normal"/>
    <w:link w:val="BalloonTextChar"/>
    <w:uiPriority w:val="99"/>
    <w:semiHidden/>
    <w:unhideWhenUsed/>
    <w:rsid w:val="00CA0E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EF0"/>
    <w:rPr>
      <w:rFonts w:ascii="Tahoma" w:hAnsi="Tahoma" w:cs="Tahoma"/>
      <w:sz w:val="16"/>
      <w:szCs w:val="16"/>
    </w:rPr>
  </w:style>
  <w:style w:type="table" w:styleId="TableGrid">
    <w:name w:val="Table Grid"/>
    <w:basedOn w:val="TableNormal"/>
    <w:uiPriority w:val="59"/>
    <w:rsid w:val="00CA0EF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CA0EF0"/>
    <w:pPr>
      <w:spacing w:after="0"/>
      <w:ind w:left="440"/>
      <w:jc w:val="left"/>
    </w:pPr>
    <w:rPr>
      <w:rFonts w:cstheme="minorHAnsi"/>
      <w:sz w:val="20"/>
      <w:szCs w:val="20"/>
    </w:rPr>
  </w:style>
  <w:style w:type="paragraph" w:styleId="NormalWeb">
    <w:name w:val="Normal (Web)"/>
    <w:basedOn w:val="Normal"/>
    <w:uiPriority w:val="99"/>
    <w:unhideWhenUsed/>
    <w:rsid w:val="00CA0EF0"/>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CA0EF0"/>
    <w:pPr>
      <w:widowControl w:val="0"/>
      <w:tabs>
        <w:tab w:val="center" w:pos="4513"/>
        <w:tab w:val="right" w:pos="9026"/>
      </w:tabs>
      <w:spacing w:after="0" w:line="240" w:lineRule="auto"/>
      <w:contextualSpacing/>
      <w:jc w:val="left"/>
    </w:pPr>
    <w:rPr>
      <w:rFonts w:ascii="Arial" w:eastAsia="Arial" w:hAnsi="Arial" w:cs="Arial"/>
      <w:color w:val="000000"/>
      <w:szCs w:val="20"/>
      <w:lang w:val="en-US"/>
    </w:rPr>
  </w:style>
  <w:style w:type="character" w:customStyle="1" w:styleId="HeaderChar">
    <w:name w:val="Header Char"/>
    <w:basedOn w:val="DefaultParagraphFont"/>
    <w:link w:val="Header"/>
    <w:uiPriority w:val="99"/>
    <w:rsid w:val="00CA0EF0"/>
    <w:rPr>
      <w:rFonts w:ascii="Arial" w:eastAsia="Arial" w:hAnsi="Arial" w:cs="Arial"/>
      <w:color w:val="000000"/>
      <w:szCs w:val="20"/>
      <w:lang w:val="en-US"/>
    </w:rPr>
  </w:style>
  <w:style w:type="paragraph" w:styleId="Footer">
    <w:name w:val="footer"/>
    <w:basedOn w:val="Normal"/>
    <w:link w:val="FooterChar"/>
    <w:uiPriority w:val="99"/>
    <w:unhideWhenUsed/>
    <w:rsid w:val="00CA0EF0"/>
    <w:pPr>
      <w:widowControl w:val="0"/>
      <w:tabs>
        <w:tab w:val="center" w:pos="4513"/>
        <w:tab w:val="right" w:pos="9026"/>
      </w:tabs>
      <w:spacing w:after="0" w:line="240" w:lineRule="auto"/>
      <w:contextualSpacing/>
      <w:jc w:val="left"/>
    </w:pPr>
    <w:rPr>
      <w:rFonts w:ascii="Arial" w:eastAsia="Arial" w:hAnsi="Arial" w:cs="Arial"/>
      <w:color w:val="000000"/>
      <w:szCs w:val="20"/>
      <w:lang w:val="en-US"/>
    </w:rPr>
  </w:style>
  <w:style w:type="character" w:customStyle="1" w:styleId="FooterChar">
    <w:name w:val="Footer Char"/>
    <w:basedOn w:val="DefaultParagraphFont"/>
    <w:link w:val="Footer"/>
    <w:uiPriority w:val="99"/>
    <w:rsid w:val="00CA0EF0"/>
    <w:rPr>
      <w:rFonts w:ascii="Arial" w:eastAsia="Arial" w:hAnsi="Arial" w:cs="Arial"/>
      <w:color w:val="000000"/>
      <w:szCs w:val="20"/>
      <w:lang w:val="en-US"/>
    </w:rPr>
  </w:style>
  <w:style w:type="paragraph" w:styleId="NoSpacing">
    <w:name w:val="No Spacing"/>
    <w:uiPriority w:val="1"/>
    <w:qFormat/>
    <w:rsid w:val="00CA0EF0"/>
    <w:pPr>
      <w:widowControl w:val="0"/>
      <w:spacing w:after="0" w:line="480" w:lineRule="auto"/>
      <w:ind w:left="720" w:firstLine="720"/>
      <w:contextualSpacing/>
      <w:jc w:val="both"/>
    </w:pPr>
    <w:rPr>
      <w:rFonts w:eastAsia="Arial" w:cs="Arial"/>
      <w:color w:val="000000"/>
      <w:szCs w:val="20"/>
      <w:lang w:val="en-US"/>
    </w:rPr>
  </w:style>
  <w:style w:type="character" w:styleId="CommentReference">
    <w:name w:val="annotation reference"/>
    <w:basedOn w:val="DefaultParagraphFont"/>
    <w:uiPriority w:val="99"/>
    <w:semiHidden/>
    <w:unhideWhenUsed/>
    <w:rsid w:val="00CA0EF0"/>
    <w:rPr>
      <w:sz w:val="16"/>
      <w:szCs w:val="16"/>
    </w:rPr>
  </w:style>
  <w:style w:type="paragraph" w:styleId="CommentText">
    <w:name w:val="annotation text"/>
    <w:basedOn w:val="Normal"/>
    <w:link w:val="CommentTextChar"/>
    <w:uiPriority w:val="99"/>
    <w:semiHidden/>
    <w:unhideWhenUsed/>
    <w:rsid w:val="00CA0EF0"/>
    <w:pPr>
      <w:spacing w:line="240" w:lineRule="auto"/>
    </w:pPr>
    <w:rPr>
      <w:sz w:val="20"/>
      <w:szCs w:val="20"/>
    </w:rPr>
  </w:style>
  <w:style w:type="character" w:customStyle="1" w:styleId="CommentTextChar">
    <w:name w:val="Comment Text Char"/>
    <w:basedOn w:val="DefaultParagraphFont"/>
    <w:link w:val="CommentText"/>
    <w:uiPriority w:val="99"/>
    <w:semiHidden/>
    <w:rsid w:val="00CA0EF0"/>
    <w:rPr>
      <w:sz w:val="20"/>
      <w:szCs w:val="20"/>
    </w:rPr>
  </w:style>
  <w:style w:type="paragraph" w:styleId="CommentSubject">
    <w:name w:val="annotation subject"/>
    <w:basedOn w:val="CommentText"/>
    <w:next w:val="CommentText"/>
    <w:link w:val="CommentSubjectChar"/>
    <w:uiPriority w:val="99"/>
    <w:semiHidden/>
    <w:unhideWhenUsed/>
    <w:rsid w:val="00CA0EF0"/>
    <w:rPr>
      <w:b/>
      <w:bCs/>
    </w:rPr>
  </w:style>
  <w:style w:type="character" w:customStyle="1" w:styleId="CommentSubjectChar">
    <w:name w:val="Comment Subject Char"/>
    <w:basedOn w:val="CommentTextChar"/>
    <w:link w:val="CommentSubject"/>
    <w:uiPriority w:val="99"/>
    <w:semiHidden/>
    <w:rsid w:val="00CA0EF0"/>
    <w:rPr>
      <w:b/>
      <w:bCs/>
      <w:sz w:val="20"/>
      <w:szCs w:val="20"/>
    </w:rPr>
  </w:style>
  <w:style w:type="table" w:customStyle="1" w:styleId="TableGrid1">
    <w:name w:val="Table Grid1"/>
    <w:basedOn w:val="TableNormal"/>
    <w:next w:val="TableGrid"/>
    <w:uiPriority w:val="59"/>
    <w:rsid w:val="00CA0EF0"/>
    <w:pPr>
      <w:widowControl w:val="0"/>
      <w:spacing w:after="0" w:line="240" w:lineRule="auto"/>
    </w:pPr>
    <w:rPr>
      <w:rFonts w:ascii="Calibri" w:eastAsia="Calibri" w:hAnsi="Calibri" w:cs="Calibri"/>
      <w:color w:val="00000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CA0EF0"/>
    <w:pPr>
      <w:spacing w:after="0"/>
      <w:ind w:left="660"/>
      <w:jc w:val="left"/>
    </w:pPr>
    <w:rPr>
      <w:rFonts w:cstheme="minorHAnsi"/>
      <w:sz w:val="20"/>
      <w:szCs w:val="20"/>
    </w:rPr>
  </w:style>
  <w:style w:type="paragraph" w:styleId="TOC5">
    <w:name w:val="toc 5"/>
    <w:basedOn w:val="Normal"/>
    <w:next w:val="Normal"/>
    <w:autoRedefine/>
    <w:uiPriority w:val="39"/>
    <w:unhideWhenUsed/>
    <w:rsid w:val="00CA0EF0"/>
    <w:pPr>
      <w:spacing w:after="0"/>
      <w:ind w:left="880"/>
      <w:jc w:val="left"/>
    </w:pPr>
    <w:rPr>
      <w:rFonts w:cstheme="minorHAnsi"/>
      <w:sz w:val="20"/>
      <w:szCs w:val="20"/>
    </w:rPr>
  </w:style>
  <w:style w:type="paragraph" w:styleId="TOC6">
    <w:name w:val="toc 6"/>
    <w:basedOn w:val="Normal"/>
    <w:next w:val="Normal"/>
    <w:autoRedefine/>
    <w:uiPriority w:val="39"/>
    <w:unhideWhenUsed/>
    <w:rsid w:val="00CA0EF0"/>
    <w:pPr>
      <w:spacing w:after="0"/>
      <w:ind w:left="1100"/>
      <w:jc w:val="left"/>
    </w:pPr>
    <w:rPr>
      <w:rFonts w:cstheme="minorHAnsi"/>
      <w:sz w:val="20"/>
      <w:szCs w:val="20"/>
    </w:rPr>
  </w:style>
  <w:style w:type="paragraph" w:styleId="TOC7">
    <w:name w:val="toc 7"/>
    <w:basedOn w:val="Normal"/>
    <w:next w:val="Normal"/>
    <w:autoRedefine/>
    <w:uiPriority w:val="39"/>
    <w:unhideWhenUsed/>
    <w:rsid w:val="00CA0EF0"/>
    <w:pPr>
      <w:spacing w:after="0"/>
      <w:ind w:left="1320"/>
      <w:jc w:val="left"/>
    </w:pPr>
    <w:rPr>
      <w:rFonts w:cstheme="minorHAnsi"/>
      <w:sz w:val="20"/>
      <w:szCs w:val="20"/>
    </w:rPr>
  </w:style>
  <w:style w:type="paragraph" w:styleId="TOC8">
    <w:name w:val="toc 8"/>
    <w:basedOn w:val="Normal"/>
    <w:next w:val="Normal"/>
    <w:autoRedefine/>
    <w:uiPriority w:val="39"/>
    <w:unhideWhenUsed/>
    <w:rsid w:val="00CA0EF0"/>
    <w:pPr>
      <w:spacing w:after="0"/>
      <w:ind w:left="1540"/>
      <w:jc w:val="left"/>
    </w:pPr>
    <w:rPr>
      <w:rFonts w:cstheme="minorHAnsi"/>
      <w:sz w:val="20"/>
      <w:szCs w:val="20"/>
    </w:rPr>
  </w:style>
  <w:style w:type="paragraph" w:styleId="TOC9">
    <w:name w:val="toc 9"/>
    <w:basedOn w:val="Normal"/>
    <w:next w:val="Normal"/>
    <w:autoRedefine/>
    <w:uiPriority w:val="39"/>
    <w:unhideWhenUsed/>
    <w:rsid w:val="00CA0EF0"/>
    <w:pPr>
      <w:spacing w:after="0"/>
      <w:ind w:left="1760"/>
      <w:jc w:val="left"/>
    </w:pPr>
    <w:rPr>
      <w:rFonts w:cstheme="minorHAnsi"/>
      <w:sz w:val="20"/>
      <w:szCs w:val="20"/>
    </w:rPr>
  </w:style>
  <w:style w:type="paragraph" w:styleId="Index1">
    <w:name w:val="index 1"/>
    <w:basedOn w:val="Normal"/>
    <w:next w:val="Normal"/>
    <w:autoRedefine/>
    <w:uiPriority w:val="99"/>
    <w:semiHidden/>
    <w:unhideWhenUsed/>
    <w:rsid w:val="00CA0EF0"/>
    <w:pPr>
      <w:spacing w:after="0" w:line="240" w:lineRule="auto"/>
      <w:ind w:left="220" w:hanging="220"/>
    </w:pPr>
  </w:style>
  <w:style w:type="paragraph" w:customStyle="1" w:styleId="TableTitle">
    <w:name w:val="Table Title"/>
    <w:basedOn w:val="Normal"/>
    <w:qFormat/>
    <w:rsid w:val="00CA0EF0"/>
    <w:pPr>
      <w:spacing w:after="600" w:line="240" w:lineRule="auto"/>
    </w:pPr>
    <w:rPr>
      <w:rFonts w:eastAsia="Times New Roman"/>
      <w:b/>
    </w:rPr>
  </w:style>
  <w:style w:type="paragraph" w:customStyle="1" w:styleId="FigureTitle">
    <w:name w:val="Figure Title"/>
    <w:basedOn w:val="Normal"/>
    <w:qFormat/>
    <w:rsid w:val="00CA0EF0"/>
    <w:pPr>
      <w:spacing w:line="240" w:lineRule="auto"/>
    </w:pPr>
    <w:rPr>
      <w:rFonts w:eastAsia="Times New Roman"/>
      <w:b/>
    </w:rPr>
  </w:style>
  <w:style w:type="paragraph" w:customStyle="1" w:styleId="ChapterHeading">
    <w:name w:val="Chapter Heading"/>
    <w:basedOn w:val="Heading1"/>
    <w:qFormat/>
    <w:rsid w:val="00CA0EF0"/>
    <w:pPr>
      <w:jc w:val="center"/>
    </w:pPr>
    <w:rPr>
      <w:sz w:val="28"/>
      <w:szCs w:val="28"/>
    </w:rPr>
  </w:style>
  <w:style w:type="paragraph" w:styleId="TableofFigures">
    <w:name w:val="table of figures"/>
    <w:basedOn w:val="Normal"/>
    <w:next w:val="Normal"/>
    <w:uiPriority w:val="99"/>
    <w:unhideWhenUsed/>
    <w:rsid w:val="00CA0EF0"/>
    <w:pPr>
      <w:spacing w:after="0"/>
      <w:ind w:left="440" w:hanging="440"/>
      <w:jc w:val="left"/>
    </w:pPr>
    <w:rPr>
      <w:rFonts w:cstheme="minorHAnsi"/>
      <w:bCs/>
      <w:sz w:val="20"/>
      <w:szCs w:val="20"/>
    </w:rPr>
  </w:style>
  <w:style w:type="table" w:customStyle="1" w:styleId="TableGrid2">
    <w:name w:val="Table Grid2"/>
    <w:basedOn w:val="TableNormal"/>
    <w:next w:val="TableGrid"/>
    <w:uiPriority w:val="59"/>
    <w:rsid w:val="00CA0EF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A0EF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who.int/healthinfo/survey/ageing_mds_report_en_daressalaam.pdf" TargetMode="External"/><Relationship Id="rId21" Type="http://schemas.openxmlformats.org/officeDocument/2006/relationships/image" Target="media/image11.emf"/><Relationship Id="rId34" Type="http://schemas.openxmlformats.org/officeDocument/2006/relationships/image" Target="media/image23.tiff"/><Relationship Id="rId42" Type="http://schemas.openxmlformats.org/officeDocument/2006/relationships/hyperlink" Target="https://www.tarn.ac.uk/content/downloads/53/Complete%20manual%20-%20August%202014.pdf" TargetMode="External"/><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tiff"/><Relationship Id="rId37" Type="http://schemas.openxmlformats.org/officeDocument/2006/relationships/hyperlink" Target="http://handbook.cochrane.org/" TargetMode="External"/><Relationship Id="rId40" Type="http://schemas.openxmlformats.org/officeDocument/2006/relationships/hyperlink" Target="http://www.nber.org/papers/w13476" TargetMode="External"/><Relationship Id="rId45" Type="http://schemas.openxmlformats.org/officeDocument/2006/relationships/image" Target="media/image26.emf"/><Relationship Id="rId53" Type="http://schemas.openxmlformats.org/officeDocument/2006/relationships/hyperlink" Target="mailto:Jennifer.newton@sheffield.ac.uk"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jpg"/><Relationship Id="rId35" Type="http://schemas.openxmlformats.org/officeDocument/2006/relationships/image" Target="media/image24.tiff"/><Relationship Id="rId43" Type="http://schemas.openxmlformats.org/officeDocument/2006/relationships/hyperlink" Target="http://www.un.org/esa/population/publications/worldageing19502050/Executivesummary_English.pdf" TargetMode="External"/><Relationship Id="rId48" Type="http://schemas.openxmlformats.org/officeDocument/2006/relationships/image" Target="media/image28.emf"/><Relationship Id="rId56" Type="http://schemas.openxmlformats.org/officeDocument/2006/relationships/image" Target="media/image34.emf"/><Relationship Id="rId8" Type="http://schemas.openxmlformats.org/officeDocument/2006/relationships/footer" Target="footer1.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2.tiff"/><Relationship Id="rId38" Type="http://schemas.openxmlformats.org/officeDocument/2006/relationships/hyperlink" Target="http://www.casp-uk.net/" TargetMode="External"/><Relationship Id="rId46" Type="http://schemas.openxmlformats.org/officeDocument/2006/relationships/hyperlink" Target="mailto:iasammy1@sheffield.ac.uk" TargetMode="External"/><Relationship Id="rId20" Type="http://schemas.openxmlformats.org/officeDocument/2006/relationships/image" Target="media/image10.emf"/><Relationship Id="rId41" Type="http://schemas.openxmlformats.org/officeDocument/2006/relationships/hyperlink" Target="https://www.tarn.ac.uk/content/downloads/3793/Major%20Trauma%20in%20Older%20People%202017.pdf" TargetMode="External"/><Relationship Id="rId54"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1.xml"/><Relationship Id="rId36" Type="http://schemas.openxmlformats.org/officeDocument/2006/relationships/image" Target="media/image25.tiff"/><Relationship Id="rId49" Type="http://schemas.openxmlformats.org/officeDocument/2006/relationships/image" Target="media/image29.emf"/><Relationship Id="rId57" Type="http://schemas.openxmlformats.org/officeDocument/2006/relationships/fontTable" Target="fontTable.xml"/><Relationship Id="rId10" Type="http://schemas.openxmlformats.org/officeDocument/2006/relationships/hyperlink" Target="http://www.tarn.ac.uk" TargetMode="External"/><Relationship Id="rId31" Type="http://schemas.openxmlformats.org/officeDocument/2006/relationships/image" Target="media/image20.jpg"/><Relationship Id="rId44" Type="http://schemas.openxmlformats.org/officeDocument/2006/relationships/hyperlink" Target="http://www.un.org/en/development/desa/population/publications/pdf/ageing/WorldPopulationAgeing2013.pdf" TargetMode="External"/><Relationship Id="rId52"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champs\AppData\Local\Temp\IanSammyHospitalCodes201702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All Age groups</a:t>
            </a:r>
          </a:p>
          <a:p>
            <a:pPr>
              <a:defRPr/>
            </a:pPr>
            <a:r>
              <a:rPr lang="en-US" sz="1200"/>
              <a:t>1</a:t>
            </a:r>
            <a:r>
              <a:rPr lang="en-US" sz="1200" baseline="30000"/>
              <a:t>st</a:t>
            </a:r>
            <a:r>
              <a:rPr lang="en-US" sz="1200"/>
              <a:t> June 2013 - 31</a:t>
            </a:r>
            <a:r>
              <a:rPr lang="en-US" sz="1200" baseline="30000"/>
              <a:t>st</a:t>
            </a:r>
            <a:r>
              <a:rPr lang="en-US" sz="1200"/>
              <a:t> May 2015</a:t>
            </a:r>
          </a:p>
        </c:rich>
      </c:tx>
      <c:overlay val="1"/>
    </c:title>
    <c:autoTitleDeleted val="0"/>
    <c:plotArea>
      <c:layout>
        <c:manualLayout>
          <c:layoutTarget val="inner"/>
          <c:xMode val="edge"/>
          <c:yMode val="edge"/>
          <c:x val="0.18786459832055877"/>
          <c:y val="6.4736665873438723E-2"/>
          <c:w val="0.78777216801388195"/>
          <c:h val="0.8812247158594344"/>
        </c:manualLayout>
      </c:layout>
      <c:scatterChart>
        <c:scatterStyle val="lineMarker"/>
        <c:varyColors val="0"/>
        <c:ser>
          <c:idx val="0"/>
          <c:order val="0"/>
          <c:spPr>
            <a:ln w="28575">
              <a:noFill/>
            </a:ln>
          </c:spPr>
          <c:marker>
            <c:symbol val="diamond"/>
            <c:size val="5"/>
          </c:marker>
          <c:errBars>
            <c:errDir val="y"/>
            <c:errBarType val="both"/>
            <c:errValType val="cust"/>
            <c:noEndCap val="0"/>
            <c:plus>
              <c:numRef>
                <c:f>[IanSammyHospitalCodes20170216.xlsx]Sheet2!$F$2:$F$73</c:f>
                <c:numCache>
                  <c:formatCode>General</c:formatCode>
                  <c:ptCount val="72"/>
                  <c:pt idx="0">
                    <c:v>3.5707800000000001</c:v>
                  </c:pt>
                  <c:pt idx="1">
                    <c:v>2.4199259999999998</c:v>
                  </c:pt>
                  <c:pt idx="2">
                    <c:v>2.628072</c:v>
                  </c:pt>
                  <c:pt idx="3">
                    <c:v>3.9251830000000001</c:v>
                  </c:pt>
                  <c:pt idx="4">
                    <c:v>2.8662160000000001</c:v>
                  </c:pt>
                  <c:pt idx="5">
                    <c:v>2.9468420000000002</c:v>
                  </c:pt>
                  <c:pt idx="6">
                    <c:v>1.9312689999999999</c:v>
                  </c:pt>
                  <c:pt idx="7">
                    <c:v>2.4734509999999998</c:v>
                  </c:pt>
                  <c:pt idx="8">
                    <c:v>4.1283250000000002</c:v>
                  </c:pt>
                  <c:pt idx="9">
                    <c:v>1.129189</c:v>
                  </c:pt>
                  <c:pt idx="10">
                    <c:v>1.7969729999999999</c:v>
                  </c:pt>
                  <c:pt idx="11">
                    <c:v>2.5269900000000001</c:v>
                  </c:pt>
                  <c:pt idx="12">
                    <c:v>1.9519340000000001</c:v>
                  </c:pt>
                  <c:pt idx="13">
                    <c:v>2.3862960000000002</c:v>
                  </c:pt>
                  <c:pt idx="14">
                    <c:v>1.488445</c:v>
                  </c:pt>
                  <c:pt idx="15">
                    <c:v>2.454758</c:v>
                  </c:pt>
                  <c:pt idx="16">
                    <c:v>0.81742230000000005</c:v>
                  </c:pt>
                  <c:pt idx="17">
                    <c:v>1.823102</c:v>
                  </c:pt>
                  <c:pt idx="18">
                    <c:v>2.1144859999999999</c:v>
                  </c:pt>
                  <c:pt idx="19">
                    <c:v>2.4382199999999998</c:v>
                  </c:pt>
                  <c:pt idx="20">
                    <c:v>2.0323720000000001</c:v>
                  </c:pt>
                  <c:pt idx="21">
                    <c:v>2.0792220000000001</c:v>
                  </c:pt>
                  <c:pt idx="22">
                    <c:v>3.2425280000000001</c:v>
                  </c:pt>
                  <c:pt idx="23">
                    <c:v>2.2621199999999999</c:v>
                  </c:pt>
                  <c:pt idx="24">
                    <c:v>1.8537360000000001</c:v>
                  </c:pt>
                  <c:pt idx="25">
                    <c:v>0.89943410000000001</c:v>
                  </c:pt>
                  <c:pt idx="26">
                    <c:v>1.484494</c:v>
                  </c:pt>
                  <c:pt idx="27">
                    <c:v>2.9647709999999998</c:v>
                  </c:pt>
                  <c:pt idx="28">
                    <c:v>2.2365390000000001</c:v>
                  </c:pt>
                  <c:pt idx="29">
                    <c:v>2.4951300000000001</c:v>
                  </c:pt>
                  <c:pt idx="30">
                    <c:v>1.767279</c:v>
                  </c:pt>
                  <c:pt idx="31">
                    <c:v>3.5451730000000001</c:v>
                  </c:pt>
                  <c:pt idx="32">
                    <c:v>1.467365</c:v>
                  </c:pt>
                  <c:pt idx="33">
                    <c:v>2.2610410000000001</c:v>
                  </c:pt>
                  <c:pt idx="34">
                    <c:v>2.1614149999999999</c:v>
                  </c:pt>
                  <c:pt idx="35">
                    <c:v>1.2457670000000001</c:v>
                  </c:pt>
                  <c:pt idx="36">
                    <c:v>1.0094879999999999</c:v>
                  </c:pt>
                  <c:pt idx="37">
                    <c:v>1.052897</c:v>
                  </c:pt>
                  <c:pt idx="38">
                    <c:v>1.598838</c:v>
                  </c:pt>
                  <c:pt idx="39">
                    <c:v>1.3138989999999999</c:v>
                  </c:pt>
                  <c:pt idx="40">
                    <c:v>1.5883799999999999</c:v>
                  </c:pt>
                  <c:pt idx="41">
                    <c:v>0.82048929999999998</c:v>
                  </c:pt>
                  <c:pt idx="42">
                    <c:v>1.4380729999999999</c:v>
                  </c:pt>
                  <c:pt idx="43">
                    <c:v>0.88884569999999996</c:v>
                  </c:pt>
                  <c:pt idx="44">
                    <c:v>2.1065160000000001</c:v>
                  </c:pt>
                  <c:pt idx="45">
                    <c:v>1.2449399999999999</c:v>
                  </c:pt>
                  <c:pt idx="46">
                    <c:v>1.429794</c:v>
                  </c:pt>
                  <c:pt idx="47">
                    <c:v>1.8981520000000001</c:v>
                  </c:pt>
                  <c:pt idx="48">
                    <c:v>0.84828570000000003</c:v>
                  </c:pt>
                  <c:pt idx="49">
                    <c:v>2.776376</c:v>
                  </c:pt>
                  <c:pt idx="50">
                    <c:v>2.3736730000000001</c:v>
                  </c:pt>
                  <c:pt idx="51">
                    <c:v>1.6473530000000001</c:v>
                  </c:pt>
                  <c:pt idx="52">
                    <c:v>1.553946</c:v>
                  </c:pt>
                  <c:pt idx="53">
                    <c:v>0.97583920000000002</c:v>
                  </c:pt>
                  <c:pt idx="54">
                    <c:v>2.2803089999999999</c:v>
                  </c:pt>
                  <c:pt idx="55">
                    <c:v>2.9057469999999999</c:v>
                  </c:pt>
                  <c:pt idx="56">
                    <c:v>0.84714370000000006</c:v>
                  </c:pt>
                  <c:pt idx="57">
                    <c:v>0.89607490000000001</c:v>
                  </c:pt>
                  <c:pt idx="58">
                    <c:v>2.3552930000000001</c:v>
                  </c:pt>
                  <c:pt idx="59">
                    <c:v>0.80595050000000001</c:v>
                  </c:pt>
                  <c:pt idx="60">
                    <c:v>1.842357</c:v>
                  </c:pt>
                  <c:pt idx="61">
                    <c:v>0.84071890000000005</c:v>
                  </c:pt>
                  <c:pt idx="62">
                    <c:v>3.0747360000000001</c:v>
                  </c:pt>
                  <c:pt idx="63">
                    <c:v>1.6837960000000001</c:v>
                  </c:pt>
                  <c:pt idx="64">
                    <c:v>0.79411609999999999</c:v>
                  </c:pt>
                  <c:pt idx="65">
                    <c:v>0.89359149999999998</c:v>
                  </c:pt>
                  <c:pt idx="66">
                    <c:v>1.699722</c:v>
                  </c:pt>
                  <c:pt idx="67">
                    <c:v>1.6946129999999999</c:v>
                  </c:pt>
                  <c:pt idx="68">
                    <c:v>2.0062180000000001</c:v>
                  </c:pt>
                  <c:pt idx="69">
                    <c:v>1.694779</c:v>
                  </c:pt>
                  <c:pt idx="70">
                    <c:v>1.0777030000000001</c:v>
                  </c:pt>
                  <c:pt idx="71">
                    <c:v>1.932731</c:v>
                  </c:pt>
                </c:numCache>
              </c:numRef>
            </c:plus>
            <c:minus>
              <c:numRef>
                <c:f>[IanSammyHospitalCodes20170216.xlsx]Sheet2!$F$2:$F$73</c:f>
                <c:numCache>
                  <c:formatCode>General</c:formatCode>
                  <c:ptCount val="72"/>
                  <c:pt idx="0">
                    <c:v>3.5707800000000001</c:v>
                  </c:pt>
                  <c:pt idx="1">
                    <c:v>2.4199259999999998</c:v>
                  </c:pt>
                  <c:pt idx="2">
                    <c:v>2.628072</c:v>
                  </c:pt>
                  <c:pt idx="3">
                    <c:v>3.9251830000000001</c:v>
                  </c:pt>
                  <c:pt idx="4">
                    <c:v>2.8662160000000001</c:v>
                  </c:pt>
                  <c:pt idx="5">
                    <c:v>2.9468420000000002</c:v>
                  </c:pt>
                  <c:pt idx="6">
                    <c:v>1.9312689999999999</c:v>
                  </c:pt>
                  <c:pt idx="7">
                    <c:v>2.4734509999999998</c:v>
                  </c:pt>
                  <c:pt idx="8">
                    <c:v>4.1283250000000002</c:v>
                  </c:pt>
                  <c:pt idx="9">
                    <c:v>1.129189</c:v>
                  </c:pt>
                  <c:pt idx="10">
                    <c:v>1.7969729999999999</c:v>
                  </c:pt>
                  <c:pt idx="11">
                    <c:v>2.5269900000000001</c:v>
                  </c:pt>
                  <c:pt idx="12">
                    <c:v>1.9519340000000001</c:v>
                  </c:pt>
                  <c:pt idx="13">
                    <c:v>2.3862960000000002</c:v>
                  </c:pt>
                  <c:pt idx="14">
                    <c:v>1.488445</c:v>
                  </c:pt>
                  <c:pt idx="15">
                    <c:v>2.454758</c:v>
                  </c:pt>
                  <c:pt idx="16">
                    <c:v>0.81742230000000005</c:v>
                  </c:pt>
                  <c:pt idx="17">
                    <c:v>1.823102</c:v>
                  </c:pt>
                  <c:pt idx="18">
                    <c:v>2.1144859999999999</c:v>
                  </c:pt>
                  <c:pt idx="19">
                    <c:v>2.4382199999999998</c:v>
                  </c:pt>
                  <c:pt idx="20">
                    <c:v>2.0323720000000001</c:v>
                  </c:pt>
                  <c:pt idx="21">
                    <c:v>2.0792220000000001</c:v>
                  </c:pt>
                  <c:pt idx="22">
                    <c:v>3.2425280000000001</c:v>
                  </c:pt>
                  <c:pt idx="23">
                    <c:v>2.2621199999999999</c:v>
                  </c:pt>
                  <c:pt idx="24">
                    <c:v>1.8537360000000001</c:v>
                  </c:pt>
                  <c:pt idx="25">
                    <c:v>0.89943410000000001</c:v>
                  </c:pt>
                  <c:pt idx="26">
                    <c:v>1.484494</c:v>
                  </c:pt>
                  <c:pt idx="27">
                    <c:v>2.9647709999999998</c:v>
                  </c:pt>
                  <c:pt idx="28">
                    <c:v>2.2365390000000001</c:v>
                  </c:pt>
                  <c:pt idx="29">
                    <c:v>2.4951300000000001</c:v>
                  </c:pt>
                  <c:pt idx="30">
                    <c:v>1.767279</c:v>
                  </c:pt>
                  <c:pt idx="31">
                    <c:v>3.5451730000000001</c:v>
                  </c:pt>
                  <c:pt idx="32">
                    <c:v>1.467365</c:v>
                  </c:pt>
                  <c:pt idx="33">
                    <c:v>2.2610410000000001</c:v>
                  </c:pt>
                  <c:pt idx="34">
                    <c:v>2.1614149999999999</c:v>
                  </c:pt>
                  <c:pt idx="35">
                    <c:v>1.2457670000000001</c:v>
                  </c:pt>
                  <c:pt idx="36">
                    <c:v>1.0094879999999999</c:v>
                  </c:pt>
                  <c:pt idx="37">
                    <c:v>1.052897</c:v>
                  </c:pt>
                  <c:pt idx="38">
                    <c:v>1.598838</c:v>
                  </c:pt>
                  <c:pt idx="39">
                    <c:v>1.3138989999999999</c:v>
                  </c:pt>
                  <c:pt idx="40">
                    <c:v>1.5883799999999999</c:v>
                  </c:pt>
                  <c:pt idx="41">
                    <c:v>0.82048929999999998</c:v>
                  </c:pt>
                  <c:pt idx="42">
                    <c:v>1.4380729999999999</c:v>
                  </c:pt>
                  <c:pt idx="43">
                    <c:v>0.88884569999999996</c:v>
                  </c:pt>
                  <c:pt idx="44">
                    <c:v>2.1065160000000001</c:v>
                  </c:pt>
                  <c:pt idx="45">
                    <c:v>1.2449399999999999</c:v>
                  </c:pt>
                  <c:pt idx="46">
                    <c:v>1.429794</c:v>
                  </c:pt>
                  <c:pt idx="47">
                    <c:v>1.8981520000000001</c:v>
                  </c:pt>
                  <c:pt idx="48">
                    <c:v>0.84828570000000003</c:v>
                  </c:pt>
                  <c:pt idx="49">
                    <c:v>2.776376</c:v>
                  </c:pt>
                  <c:pt idx="50">
                    <c:v>2.3736730000000001</c:v>
                  </c:pt>
                  <c:pt idx="51">
                    <c:v>1.6473530000000001</c:v>
                  </c:pt>
                  <c:pt idx="52">
                    <c:v>1.553946</c:v>
                  </c:pt>
                  <c:pt idx="53">
                    <c:v>0.97583920000000002</c:v>
                  </c:pt>
                  <c:pt idx="54">
                    <c:v>2.2803089999999999</c:v>
                  </c:pt>
                  <c:pt idx="55">
                    <c:v>2.9057469999999999</c:v>
                  </c:pt>
                  <c:pt idx="56">
                    <c:v>0.84714370000000006</c:v>
                  </c:pt>
                  <c:pt idx="57">
                    <c:v>0.89607490000000001</c:v>
                  </c:pt>
                  <c:pt idx="58">
                    <c:v>2.3552930000000001</c:v>
                  </c:pt>
                  <c:pt idx="59">
                    <c:v>0.80595050000000001</c:v>
                  </c:pt>
                  <c:pt idx="60">
                    <c:v>1.842357</c:v>
                  </c:pt>
                  <c:pt idx="61">
                    <c:v>0.84071890000000005</c:v>
                  </c:pt>
                  <c:pt idx="62">
                    <c:v>3.0747360000000001</c:v>
                  </c:pt>
                  <c:pt idx="63">
                    <c:v>1.6837960000000001</c:v>
                  </c:pt>
                  <c:pt idx="64">
                    <c:v>0.79411609999999999</c:v>
                  </c:pt>
                  <c:pt idx="65">
                    <c:v>0.89359149999999998</c:v>
                  </c:pt>
                  <c:pt idx="66">
                    <c:v>1.699722</c:v>
                  </c:pt>
                  <c:pt idx="67">
                    <c:v>1.6946129999999999</c:v>
                  </c:pt>
                  <c:pt idx="68">
                    <c:v>2.0062180000000001</c:v>
                  </c:pt>
                  <c:pt idx="69">
                    <c:v>1.694779</c:v>
                  </c:pt>
                  <c:pt idx="70">
                    <c:v>1.0777030000000001</c:v>
                  </c:pt>
                  <c:pt idx="71">
                    <c:v>1.932731</c:v>
                  </c:pt>
                </c:numCache>
              </c:numRef>
            </c:minus>
          </c:errBars>
          <c:xVal>
            <c:multiLvlStrRef>
              <c:f>[IanSammyHospitalCodes20170216.xlsx]Sheet2!$A$2:$B$73</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lvl>
                <c:lvl>
                  <c:pt idx="0">
                    <c:v>47</c:v>
                  </c:pt>
                  <c:pt idx="1">
                    <c:v>89</c:v>
                  </c:pt>
                  <c:pt idx="2">
                    <c:v>132</c:v>
                  </c:pt>
                  <c:pt idx="3">
                    <c:v>163</c:v>
                  </c:pt>
                  <c:pt idx="4">
                    <c:v>149</c:v>
                  </c:pt>
                  <c:pt idx="5">
                    <c:v>74</c:v>
                  </c:pt>
                  <c:pt idx="6">
                    <c:v>111</c:v>
                  </c:pt>
                  <c:pt idx="7">
                    <c:v>123</c:v>
                  </c:pt>
                  <c:pt idx="8">
                    <c:v>34</c:v>
                  </c:pt>
                  <c:pt idx="9">
                    <c:v>38</c:v>
                  </c:pt>
                  <c:pt idx="10">
                    <c:v>217</c:v>
                  </c:pt>
                  <c:pt idx="11">
                    <c:v>108</c:v>
                  </c:pt>
                  <c:pt idx="12">
                    <c:v>205</c:v>
                  </c:pt>
                  <c:pt idx="13">
                    <c:v>157</c:v>
                  </c:pt>
                  <c:pt idx="14">
                    <c:v>193</c:v>
                  </c:pt>
                  <c:pt idx="15">
                    <c:v>6</c:v>
                  </c:pt>
                  <c:pt idx="16">
                    <c:v>31</c:v>
                  </c:pt>
                  <c:pt idx="17">
                    <c:v>195</c:v>
                  </c:pt>
                  <c:pt idx="18">
                    <c:v>119</c:v>
                  </c:pt>
                  <c:pt idx="19">
                    <c:v>26</c:v>
                  </c:pt>
                  <c:pt idx="20">
                    <c:v>41</c:v>
                  </c:pt>
                  <c:pt idx="21">
                    <c:v>9</c:v>
                  </c:pt>
                  <c:pt idx="22">
                    <c:v>94</c:v>
                  </c:pt>
                  <c:pt idx="23">
                    <c:v>198</c:v>
                  </c:pt>
                  <c:pt idx="24">
                    <c:v>67</c:v>
                  </c:pt>
                  <c:pt idx="25">
                    <c:v>49</c:v>
                  </c:pt>
                  <c:pt idx="26">
                    <c:v>87</c:v>
                  </c:pt>
                  <c:pt idx="27">
                    <c:v>27</c:v>
                  </c:pt>
                  <c:pt idx="28">
                    <c:v>50</c:v>
                  </c:pt>
                  <c:pt idx="29">
                    <c:v>144</c:v>
                  </c:pt>
                  <c:pt idx="30">
                    <c:v>164</c:v>
                  </c:pt>
                  <c:pt idx="31">
                    <c:v>167</c:v>
                  </c:pt>
                  <c:pt idx="32">
                    <c:v>8</c:v>
                  </c:pt>
                  <c:pt idx="33">
                    <c:v>39</c:v>
                  </c:pt>
                  <c:pt idx="34">
                    <c:v>152</c:v>
                  </c:pt>
                  <c:pt idx="35">
                    <c:v>44</c:v>
                  </c:pt>
                  <c:pt idx="36">
                    <c:v>185</c:v>
                  </c:pt>
                  <c:pt idx="37">
                    <c:v>146</c:v>
                  </c:pt>
                  <c:pt idx="38">
                    <c:v>4</c:v>
                  </c:pt>
                  <c:pt idx="39">
                    <c:v>171</c:v>
                  </c:pt>
                  <c:pt idx="40">
                    <c:v>10</c:v>
                  </c:pt>
                  <c:pt idx="41">
                    <c:v>135</c:v>
                  </c:pt>
                  <c:pt idx="42">
                    <c:v>170</c:v>
                  </c:pt>
                  <c:pt idx="43">
                    <c:v>107</c:v>
                  </c:pt>
                  <c:pt idx="44">
                    <c:v>199</c:v>
                  </c:pt>
                  <c:pt idx="45">
                    <c:v>28</c:v>
                  </c:pt>
                  <c:pt idx="46">
                    <c:v>30</c:v>
                  </c:pt>
                  <c:pt idx="47">
                    <c:v>101</c:v>
                  </c:pt>
                  <c:pt idx="48">
                    <c:v>124</c:v>
                  </c:pt>
                  <c:pt idx="49">
                    <c:v>100</c:v>
                  </c:pt>
                  <c:pt idx="50">
                    <c:v>103</c:v>
                  </c:pt>
                  <c:pt idx="51">
                    <c:v>48</c:v>
                  </c:pt>
                  <c:pt idx="52">
                    <c:v>150</c:v>
                  </c:pt>
                  <c:pt idx="53">
                    <c:v>186</c:v>
                  </c:pt>
                  <c:pt idx="54">
                    <c:v>147</c:v>
                  </c:pt>
                  <c:pt idx="55">
                    <c:v>184</c:v>
                  </c:pt>
                  <c:pt idx="56">
                    <c:v>158</c:v>
                  </c:pt>
                  <c:pt idx="57">
                    <c:v>92</c:v>
                  </c:pt>
                  <c:pt idx="58">
                    <c:v>1</c:v>
                  </c:pt>
                  <c:pt idx="59">
                    <c:v>173</c:v>
                  </c:pt>
                  <c:pt idx="60">
                    <c:v>200</c:v>
                  </c:pt>
                  <c:pt idx="61">
                    <c:v>42</c:v>
                  </c:pt>
                  <c:pt idx="62">
                    <c:v>194</c:v>
                  </c:pt>
                  <c:pt idx="63">
                    <c:v>203</c:v>
                  </c:pt>
                  <c:pt idx="64">
                    <c:v>154</c:v>
                  </c:pt>
                  <c:pt idx="65">
                    <c:v>60</c:v>
                  </c:pt>
                  <c:pt idx="66">
                    <c:v>105</c:v>
                  </c:pt>
                  <c:pt idx="67">
                    <c:v>63</c:v>
                  </c:pt>
                  <c:pt idx="68">
                    <c:v>3</c:v>
                  </c:pt>
                  <c:pt idx="69">
                    <c:v>126</c:v>
                  </c:pt>
                  <c:pt idx="70">
                    <c:v>118</c:v>
                  </c:pt>
                  <c:pt idx="71">
                    <c:v>65</c:v>
                  </c:pt>
                </c:lvl>
              </c:multiLvlStrCache>
            </c:multiLvlStrRef>
          </c:xVal>
          <c:yVal>
            <c:numRef>
              <c:f>[IanSammyHospitalCodes20170216.xlsx]Sheet2!$C$2:$C$73</c:f>
              <c:numCache>
                <c:formatCode>0.00</c:formatCode>
                <c:ptCount val="72"/>
                <c:pt idx="0">
                  <c:v>-4.2589170000000003</c:v>
                </c:pt>
                <c:pt idx="1">
                  <c:v>-2.7678699999999998</c:v>
                </c:pt>
                <c:pt idx="2">
                  <c:v>-2.59924</c:v>
                </c:pt>
                <c:pt idx="3">
                  <c:v>-2.3723380000000001</c:v>
                </c:pt>
                <c:pt idx="4">
                  <c:v>-2.3447</c:v>
                </c:pt>
                <c:pt idx="5">
                  <c:v>-2.3331369999999998</c:v>
                </c:pt>
                <c:pt idx="6">
                  <c:v>-2.2358340000000001</c:v>
                </c:pt>
                <c:pt idx="7">
                  <c:v>-1.950418</c:v>
                </c:pt>
                <c:pt idx="8">
                  <c:v>-1.847173</c:v>
                </c:pt>
                <c:pt idx="9">
                  <c:v>-1.7555369999999999</c:v>
                </c:pt>
                <c:pt idx="10">
                  <c:v>-1.5779460000000001</c:v>
                </c:pt>
                <c:pt idx="11">
                  <c:v>-1.5241089999999999</c:v>
                </c:pt>
                <c:pt idx="12">
                  <c:v>-1.3091109999999999</c:v>
                </c:pt>
                <c:pt idx="13">
                  <c:v>-1.019817</c:v>
                </c:pt>
                <c:pt idx="14">
                  <c:v>-1.0106059999999999</c:v>
                </c:pt>
                <c:pt idx="15">
                  <c:v>-0.89216010000000001</c:v>
                </c:pt>
                <c:pt idx="16">
                  <c:v>-0.86382230000000004</c:v>
                </c:pt>
                <c:pt idx="17">
                  <c:v>-0.78672370000000003</c:v>
                </c:pt>
                <c:pt idx="18">
                  <c:v>-0.78477529999999995</c:v>
                </c:pt>
                <c:pt idx="19">
                  <c:v>-0.71513579999999999</c:v>
                </c:pt>
                <c:pt idx="20">
                  <c:v>-0.65217860000000005</c:v>
                </c:pt>
                <c:pt idx="21">
                  <c:v>-0.63867810000000003</c:v>
                </c:pt>
                <c:pt idx="22">
                  <c:v>-0.58544289999999999</c:v>
                </c:pt>
                <c:pt idx="23">
                  <c:v>-0.47946420000000001</c:v>
                </c:pt>
                <c:pt idx="24">
                  <c:v>-0.47034019999999999</c:v>
                </c:pt>
                <c:pt idx="25">
                  <c:v>-0.45902150000000003</c:v>
                </c:pt>
                <c:pt idx="26">
                  <c:v>-0.3881289</c:v>
                </c:pt>
                <c:pt idx="27">
                  <c:v>-0.34172659999999999</c:v>
                </c:pt>
                <c:pt idx="28">
                  <c:v>-0.29687459999999999</c:v>
                </c:pt>
                <c:pt idx="29">
                  <c:v>-0.1341668</c:v>
                </c:pt>
                <c:pt idx="30">
                  <c:v>-0.13159000000000001</c:v>
                </c:pt>
                <c:pt idx="31">
                  <c:v>-0.1131627</c:v>
                </c:pt>
                <c:pt idx="32">
                  <c:v>-0.10102650000000001</c:v>
                </c:pt>
                <c:pt idx="33">
                  <c:v>0.11974</c:v>
                </c:pt>
                <c:pt idx="34">
                  <c:v>0.167851</c:v>
                </c:pt>
                <c:pt idx="35">
                  <c:v>0.21167610000000001</c:v>
                </c:pt>
                <c:pt idx="36">
                  <c:v>0.22121479999999999</c:v>
                </c:pt>
                <c:pt idx="37">
                  <c:v>0.29129549999999998</c:v>
                </c:pt>
                <c:pt idx="38">
                  <c:v>0.29265580000000002</c:v>
                </c:pt>
                <c:pt idx="39">
                  <c:v>0.34206690000000001</c:v>
                </c:pt>
                <c:pt idx="40">
                  <c:v>0.53643320000000005</c:v>
                </c:pt>
                <c:pt idx="41">
                  <c:v>0.54267220000000005</c:v>
                </c:pt>
                <c:pt idx="42">
                  <c:v>0.560832</c:v>
                </c:pt>
                <c:pt idx="43">
                  <c:v>0.59322770000000002</c:v>
                </c:pt>
                <c:pt idx="44">
                  <c:v>0.62124749999999995</c:v>
                </c:pt>
                <c:pt idx="45">
                  <c:v>0.62818649999999998</c:v>
                </c:pt>
                <c:pt idx="46">
                  <c:v>0.62900270000000003</c:v>
                </c:pt>
                <c:pt idx="47">
                  <c:v>0.66366460000000005</c:v>
                </c:pt>
                <c:pt idx="48">
                  <c:v>0.72174649999999996</c:v>
                </c:pt>
                <c:pt idx="49">
                  <c:v>0.73813439999999997</c:v>
                </c:pt>
                <c:pt idx="50">
                  <c:v>0.74209530000000001</c:v>
                </c:pt>
                <c:pt idx="51">
                  <c:v>0.75869039999999999</c:v>
                </c:pt>
                <c:pt idx="52">
                  <c:v>0.76256659999999998</c:v>
                </c:pt>
                <c:pt idx="53">
                  <c:v>0.7824352</c:v>
                </c:pt>
                <c:pt idx="54">
                  <c:v>0.98819829999999997</c:v>
                </c:pt>
                <c:pt idx="55">
                  <c:v>0.99520640000000005</c:v>
                </c:pt>
                <c:pt idx="56">
                  <c:v>1.0272300000000001</c:v>
                </c:pt>
                <c:pt idx="57">
                  <c:v>1.0292030000000001</c:v>
                </c:pt>
                <c:pt idx="58">
                  <c:v>1.1525860000000001</c:v>
                </c:pt>
                <c:pt idx="59">
                  <c:v>1.1879599999999999</c:v>
                </c:pt>
                <c:pt idx="60">
                  <c:v>1.2092529999999999</c:v>
                </c:pt>
                <c:pt idx="61">
                  <c:v>1.209859</c:v>
                </c:pt>
                <c:pt idx="62">
                  <c:v>1.235134</c:v>
                </c:pt>
                <c:pt idx="63">
                  <c:v>1.246963</c:v>
                </c:pt>
                <c:pt idx="64">
                  <c:v>1.2703819999999999</c:v>
                </c:pt>
                <c:pt idx="65">
                  <c:v>1.2739689999999999</c:v>
                </c:pt>
                <c:pt idx="66">
                  <c:v>1.452661</c:v>
                </c:pt>
                <c:pt idx="67">
                  <c:v>1.5003420000000001</c:v>
                </c:pt>
                <c:pt idx="68">
                  <c:v>1.72228</c:v>
                </c:pt>
                <c:pt idx="69">
                  <c:v>1.9858009999999999</c:v>
                </c:pt>
                <c:pt idx="70">
                  <c:v>2.187846</c:v>
                </c:pt>
                <c:pt idx="71">
                  <c:v>2.5059689999999999</c:v>
                </c:pt>
              </c:numCache>
            </c:numRef>
          </c:yVal>
          <c:smooth val="0"/>
          <c:extLst>
            <c:ext xmlns:c16="http://schemas.microsoft.com/office/drawing/2014/chart" uri="{C3380CC4-5D6E-409C-BE32-E72D297353CC}">
              <c16:uniqueId val="{00000000-D0E1-4554-9975-2A0DBA21F53D}"/>
            </c:ext>
          </c:extLst>
        </c:ser>
        <c:dLbls>
          <c:showLegendKey val="0"/>
          <c:showVal val="0"/>
          <c:showCatName val="0"/>
          <c:showSerName val="0"/>
          <c:showPercent val="0"/>
          <c:showBubbleSize val="0"/>
        </c:dLbls>
        <c:axId val="45445888"/>
        <c:axId val="45447424"/>
      </c:scatterChart>
      <c:valAx>
        <c:axId val="45445888"/>
        <c:scaling>
          <c:orientation val="minMax"/>
        </c:scaling>
        <c:delete val="0"/>
        <c:axPos val="b"/>
        <c:numFmt formatCode="General" sourceLinked="1"/>
        <c:majorTickMark val="none"/>
        <c:minorTickMark val="none"/>
        <c:tickLblPos val="none"/>
        <c:crossAx val="45447424"/>
        <c:crossesAt val="0"/>
        <c:crossBetween val="midCat"/>
      </c:valAx>
      <c:valAx>
        <c:axId val="45447424"/>
        <c:scaling>
          <c:orientation val="minMax"/>
          <c:max val="10"/>
        </c:scaling>
        <c:delete val="0"/>
        <c:axPos val="l"/>
        <c:title>
          <c:tx>
            <c:rich>
              <a:bodyPr rot="-5400000" vert="horz"/>
              <a:lstStyle/>
              <a:p>
                <a:pPr>
                  <a:defRPr sz="1400"/>
                </a:pPr>
                <a:r>
                  <a:rPr lang="en-US" sz="1400"/>
                  <a:t>Ws &amp; 95% confidence intervals</a:t>
                </a:r>
              </a:p>
            </c:rich>
          </c:tx>
          <c:overlay val="0"/>
        </c:title>
        <c:numFmt formatCode="0.00" sourceLinked="1"/>
        <c:majorTickMark val="out"/>
        <c:minorTickMark val="none"/>
        <c:tickLblPos val="nextTo"/>
        <c:crossAx val="45445888"/>
        <c:crosses val="autoZero"/>
        <c:crossBetween val="midCat"/>
        <c:majorUnit val="5"/>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62BB2-160B-4434-A751-8CCAF7E6E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263</Pages>
  <Words>90623</Words>
  <Characters>492992</Characters>
  <Application>Microsoft Office Word</Application>
  <DocSecurity>0</DocSecurity>
  <Lines>13324</Lines>
  <Paragraphs>6631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champs</dc:creator>
  <cp:lastModifiedBy>Joanne Rowlands</cp:lastModifiedBy>
  <cp:revision>2</cp:revision>
  <dcterms:created xsi:type="dcterms:W3CDTF">2024-01-26T16:14:00Z</dcterms:created>
  <dcterms:modified xsi:type="dcterms:W3CDTF">2024-01-26T16:14:00Z</dcterms:modified>
</cp:coreProperties>
</file>