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90DF3" w:rsidRPr="00D9554D" w:rsidRDefault="00690DF3" w:rsidP="00D9554D">
      <w:pPr>
        <w:pStyle w:val="Heading2"/>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r w:rsidRPr="00713194">
        <w:rPr>
          <w:rFonts w:ascii="Times New Roman" w:eastAsia="Times New Roman" w:hAnsi="Times New Roman" w:cs="Times New Roman"/>
          <w:color w:val="000000"/>
          <w:sz w:val="24"/>
          <w:szCs w:val="24"/>
          <w:lang w:eastAsia="en-GB"/>
        </w:rPr>
        <w:t>Portrayals of Protest: G. W. M. Reynol</w:t>
      </w:r>
      <w:r>
        <w:rPr>
          <w:rFonts w:ascii="Times New Roman" w:eastAsia="Times New Roman" w:hAnsi="Times New Roman" w:cs="Times New Roman"/>
          <w:color w:val="000000"/>
          <w:sz w:val="24"/>
          <w:szCs w:val="24"/>
          <w:lang w:eastAsia="en-GB"/>
        </w:rPr>
        <w:t>ds and the Industrious Classes</w:t>
      </w: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By</w:t>
      </w: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Jamie Morgan</w:t>
      </w: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Thesis submitted for the degree of PhD</w:t>
      </w: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Department of English Literature</w:t>
      </w: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University of Sheffield</w:t>
      </w: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September 2017</w:t>
      </w:r>
    </w:p>
    <w:p w:rsidR="00690DF3" w:rsidRDefault="00690DF3" w:rsidP="00690DF3">
      <w:pPr>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br w:type="page"/>
      </w:r>
    </w:p>
    <w:p w:rsidR="00690DF3" w:rsidRDefault="00690DF3" w:rsidP="00690DF3">
      <w:pPr>
        <w:spacing w:after="120" w:line="360" w:lineRule="auto"/>
        <w:jc w:val="center"/>
        <w:rPr>
          <w:rFonts w:ascii="Times New Roman" w:eastAsia="Times New Roman" w:hAnsi="Times New Roman" w:cs="Times New Roman"/>
          <w:color w:val="000000"/>
          <w:sz w:val="24"/>
          <w:szCs w:val="24"/>
          <w:lang w:eastAsia="en-GB"/>
        </w:rPr>
      </w:pPr>
    </w:p>
    <w:p w:rsidR="0051058E" w:rsidRPr="005F628E" w:rsidRDefault="00690DF3" w:rsidP="0051058E">
      <w:pPr>
        <w:spacing w:after="240" w:line="360" w:lineRule="auto"/>
        <w:jc w:val="center"/>
        <w:rPr>
          <w:rFonts w:ascii="Times New Roman" w:eastAsia="Times New Roman" w:hAnsi="Times New Roman" w:cs="Times New Roman"/>
          <w:color w:val="000000"/>
          <w:sz w:val="24"/>
          <w:szCs w:val="24"/>
          <w:u w:val="single"/>
          <w:lang w:eastAsia="en-GB"/>
        </w:rPr>
      </w:pPr>
      <w:r>
        <w:rPr>
          <w:rFonts w:ascii="Times New Roman" w:eastAsia="Times New Roman" w:hAnsi="Times New Roman" w:cs="Times New Roman"/>
          <w:color w:val="000000"/>
          <w:sz w:val="24"/>
          <w:szCs w:val="24"/>
          <w:lang w:eastAsia="en-GB"/>
        </w:rPr>
        <w:br w:type="page"/>
      </w:r>
      <w:r w:rsidR="0051058E" w:rsidRPr="005F628E">
        <w:rPr>
          <w:rFonts w:ascii="Times New Roman" w:eastAsia="SimSun" w:hAnsi="Times New Roman" w:cs="Times New Roman"/>
          <w:b/>
          <w:sz w:val="24"/>
          <w:szCs w:val="24"/>
          <w:u w:val="single"/>
        </w:rPr>
        <w:lastRenderedPageBreak/>
        <w:t>Contents</w:t>
      </w: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Acknowledgements</w:t>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t xml:space="preserve">    5</w:t>
      </w:r>
    </w:p>
    <w:p w:rsidR="0051058E" w:rsidRDefault="0051058E" w:rsidP="0051058E">
      <w:pPr>
        <w:spacing w:before="120" w:after="120" w:line="240" w:lineRule="auto"/>
        <w:rPr>
          <w:rFonts w:ascii="Times New Roman" w:eastAsia="Times New Roman" w:hAnsi="Times New Roman" w:cs="Times New Roman"/>
          <w:color w:val="000000"/>
          <w:sz w:val="24"/>
          <w:szCs w:val="24"/>
          <w:lang w:eastAsia="en-GB"/>
        </w:rPr>
      </w:pP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Abstract</w:t>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t xml:space="preserve">    7</w:t>
      </w:r>
    </w:p>
    <w:p w:rsidR="0051058E" w:rsidRDefault="0051058E" w:rsidP="0051058E">
      <w:pPr>
        <w:spacing w:before="120" w:after="120" w:line="240" w:lineRule="auto"/>
        <w:rPr>
          <w:rFonts w:ascii="Times New Roman" w:eastAsia="Times New Roman" w:hAnsi="Times New Roman" w:cs="Times New Roman"/>
          <w:color w:val="000000"/>
          <w:sz w:val="24"/>
          <w:szCs w:val="24"/>
          <w:lang w:eastAsia="en-GB"/>
        </w:rPr>
      </w:pP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sidRPr="00713194">
        <w:rPr>
          <w:rFonts w:ascii="Times New Roman" w:eastAsia="Times New Roman" w:hAnsi="Times New Roman" w:cs="Times New Roman"/>
          <w:color w:val="000000"/>
          <w:sz w:val="24"/>
          <w:szCs w:val="24"/>
          <w:lang w:eastAsia="en-GB"/>
        </w:rPr>
        <w:t>Introduction</w:t>
      </w: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Aims, Definitions and Parameters</w:t>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t xml:space="preserve">    9</w:t>
      </w:r>
    </w:p>
    <w:p w:rsidR="0051058E" w:rsidRDefault="0051058E" w:rsidP="0051058E">
      <w:pPr>
        <w:spacing w:before="120" w:after="120" w:line="240" w:lineRule="auto"/>
        <w:rPr>
          <w:rFonts w:ascii="Times New Roman" w:eastAsia="Times New Roman" w:hAnsi="Times New Roman" w:cs="Times New Roman"/>
          <w:color w:val="000000"/>
          <w:sz w:val="24"/>
          <w:szCs w:val="24"/>
          <w:lang w:eastAsia="en-GB"/>
        </w:rPr>
      </w:pPr>
    </w:p>
    <w:p w:rsidR="0051058E" w:rsidRDefault="0051058E" w:rsidP="0051058E">
      <w:pPr>
        <w:spacing w:after="0" w:line="240" w:lineRule="auto"/>
        <w:rPr>
          <w:rFonts w:ascii="Times New Roman" w:hAnsi="Times New Roman" w:cs="Times New Roman"/>
          <w:bCs/>
          <w:sz w:val="24"/>
          <w:szCs w:val="24"/>
        </w:rPr>
      </w:pPr>
      <w:r>
        <w:rPr>
          <w:rFonts w:ascii="Times New Roman" w:eastAsia="Times New Roman" w:hAnsi="Times New Roman" w:cs="Times New Roman"/>
          <w:color w:val="000000"/>
          <w:sz w:val="24"/>
          <w:szCs w:val="24"/>
          <w:lang w:eastAsia="en-GB"/>
        </w:rPr>
        <w:t>Chapter 1</w:t>
      </w:r>
    </w:p>
    <w:p w:rsidR="0051058E" w:rsidRPr="0040707F" w:rsidRDefault="0051058E" w:rsidP="0051058E">
      <w:pPr>
        <w:spacing w:after="0" w:line="240" w:lineRule="auto"/>
        <w:rPr>
          <w:rFonts w:ascii="Times New Roman" w:eastAsia="Times New Roman" w:hAnsi="Times New Roman" w:cs="Times New Roman"/>
          <w:color w:val="000000"/>
          <w:sz w:val="24"/>
          <w:szCs w:val="24"/>
          <w:lang w:eastAsia="en-GB"/>
        </w:rPr>
      </w:pPr>
      <w:r w:rsidRPr="001151C3">
        <w:rPr>
          <w:rFonts w:ascii="Times New Roman" w:hAnsi="Times New Roman" w:cs="Times New Roman"/>
          <w:bCs/>
          <w:sz w:val="24"/>
          <w:szCs w:val="24"/>
        </w:rPr>
        <w:t>G. W. M. Reynolds and Contemporary Radicalism</w:t>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t xml:space="preserve">  25</w:t>
      </w:r>
    </w:p>
    <w:p w:rsidR="0051058E" w:rsidRDefault="0051058E" w:rsidP="0051058E">
      <w:pPr>
        <w:spacing w:before="120" w:after="120" w:line="240" w:lineRule="auto"/>
        <w:rPr>
          <w:rFonts w:ascii="Times New Roman" w:eastAsia="Times New Roman" w:hAnsi="Times New Roman" w:cs="Times New Roman"/>
          <w:color w:val="000000"/>
          <w:sz w:val="24"/>
          <w:szCs w:val="24"/>
          <w:lang w:eastAsia="en-GB"/>
        </w:rPr>
      </w:pP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Chapter 2</w:t>
      </w:r>
    </w:p>
    <w:p w:rsidR="0051058E" w:rsidRPr="0040707F" w:rsidRDefault="0051058E" w:rsidP="0051058E">
      <w:pPr>
        <w:spacing w:after="0" w:line="240" w:lineRule="auto"/>
        <w:rPr>
          <w:rFonts w:ascii="Times New Roman" w:eastAsia="Times New Roman" w:hAnsi="Times New Roman" w:cs="Times New Roman"/>
          <w:color w:val="000000"/>
          <w:sz w:val="24"/>
          <w:szCs w:val="24"/>
          <w:lang w:eastAsia="en-GB"/>
        </w:rPr>
      </w:pPr>
      <w:r w:rsidRPr="0040707F">
        <w:rPr>
          <w:rFonts w:asciiTheme="majorBidi" w:hAnsiTheme="majorBidi" w:cstheme="majorBidi"/>
          <w:bCs/>
          <w:sz w:val="24"/>
          <w:szCs w:val="24"/>
        </w:rPr>
        <w:t>Wellerisms, Republicanism and Conservative Rad</w:t>
      </w:r>
      <w:r>
        <w:rPr>
          <w:rFonts w:asciiTheme="majorBidi" w:hAnsiTheme="majorBidi" w:cstheme="majorBidi"/>
          <w:bCs/>
          <w:sz w:val="24"/>
          <w:szCs w:val="24"/>
        </w:rPr>
        <w:t xml:space="preserve">icalism:  An early depiction of           </w:t>
      </w:r>
      <w:r w:rsidRPr="0040707F">
        <w:rPr>
          <w:rFonts w:asciiTheme="majorBidi" w:hAnsiTheme="majorBidi" w:cstheme="majorBidi"/>
          <w:bCs/>
          <w:sz w:val="24"/>
          <w:szCs w:val="24"/>
        </w:rPr>
        <w:t>Protest by the English Industrious Classes</w:t>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t xml:space="preserve">  65</w:t>
      </w:r>
    </w:p>
    <w:p w:rsidR="0051058E" w:rsidRDefault="0051058E" w:rsidP="0051058E">
      <w:pPr>
        <w:spacing w:before="120" w:after="120" w:line="240" w:lineRule="auto"/>
        <w:rPr>
          <w:rFonts w:ascii="Times New Roman" w:eastAsia="Times New Roman" w:hAnsi="Times New Roman" w:cs="Times New Roman"/>
          <w:color w:val="000000"/>
          <w:sz w:val="24"/>
          <w:szCs w:val="24"/>
          <w:lang w:eastAsia="en-GB"/>
        </w:rPr>
      </w:pPr>
    </w:p>
    <w:p w:rsidR="0051058E" w:rsidRDefault="0051058E" w:rsidP="0051058E">
      <w:pPr>
        <w:spacing w:after="0" w:line="240" w:lineRule="auto"/>
        <w:ind w:left="1440" w:hanging="1440"/>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Chapter 3</w:t>
      </w: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sidRPr="0040707F">
        <w:rPr>
          <w:rFonts w:asciiTheme="majorBidi" w:hAnsiTheme="majorBidi" w:cstheme="majorBidi"/>
          <w:bCs/>
          <w:sz w:val="24"/>
          <w:szCs w:val="24"/>
        </w:rPr>
        <w:t>The Industrious Classes and Disreputable Protest:</w:t>
      </w:r>
      <w:r>
        <w:rPr>
          <w:rFonts w:asciiTheme="majorBidi" w:hAnsiTheme="majorBidi" w:cstheme="majorBidi"/>
          <w:bCs/>
          <w:sz w:val="24"/>
          <w:szCs w:val="24"/>
        </w:rPr>
        <w:t xml:space="preserve"> </w:t>
      </w:r>
      <w:r w:rsidRPr="00D55C3D">
        <w:rPr>
          <w:rFonts w:asciiTheme="majorBidi" w:hAnsiTheme="majorBidi" w:cstheme="majorBidi"/>
          <w:bCs/>
          <w:sz w:val="24"/>
          <w:szCs w:val="24"/>
        </w:rPr>
        <w:t>Status Concerns, Delusions and           Overt Postures</w:t>
      </w:r>
      <w:r w:rsidRPr="00D55C3D">
        <w:rPr>
          <w:rFonts w:ascii="Times New Roman" w:eastAsia="Times New Roman" w:hAnsi="Times New Roman" w:cs="Times New Roman"/>
          <w:color w:val="000000"/>
          <w:sz w:val="24"/>
          <w:szCs w:val="24"/>
          <w:lang w:eastAsia="en-GB"/>
        </w:rPr>
        <w:tab/>
      </w:r>
      <w:r w:rsidRPr="00D55C3D">
        <w:rPr>
          <w:rFonts w:ascii="Times New Roman" w:eastAsia="Times New Roman" w:hAnsi="Times New Roman" w:cs="Times New Roman"/>
          <w:color w:val="000000"/>
          <w:sz w:val="24"/>
          <w:szCs w:val="24"/>
          <w:lang w:eastAsia="en-GB"/>
        </w:rPr>
        <w:tab/>
      </w:r>
      <w:r w:rsidRPr="00D55C3D">
        <w:rPr>
          <w:rFonts w:ascii="Times New Roman" w:eastAsia="Times New Roman" w:hAnsi="Times New Roman" w:cs="Times New Roman"/>
          <w:color w:val="000000"/>
          <w:sz w:val="24"/>
          <w:szCs w:val="24"/>
          <w:lang w:eastAsia="en-GB"/>
        </w:rPr>
        <w:tab/>
      </w:r>
      <w:r w:rsidRPr="00D55C3D">
        <w:rPr>
          <w:rFonts w:ascii="Times New Roman" w:eastAsia="Times New Roman" w:hAnsi="Times New Roman" w:cs="Times New Roman"/>
          <w:color w:val="000000"/>
          <w:sz w:val="24"/>
          <w:szCs w:val="24"/>
          <w:lang w:eastAsia="en-GB"/>
        </w:rPr>
        <w:tab/>
      </w:r>
      <w:r w:rsidRPr="00D55C3D">
        <w:rPr>
          <w:rFonts w:ascii="Times New Roman" w:eastAsia="Times New Roman" w:hAnsi="Times New Roman" w:cs="Times New Roman"/>
          <w:color w:val="000000"/>
          <w:sz w:val="24"/>
          <w:szCs w:val="24"/>
          <w:lang w:eastAsia="en-GB"/>
        </w:rPr>
        <w:tab/>
      </w:r>
      <w:r w:rsidRPr="00D55C3D">
        <w:rPr>
          <w:rFonts w:ascii="Times New Roman" w:eastAsia="Times New Roman" w:hAnsi="Times New Roman" w:cs="Times New Roman"/>
          <w:color w:val="000000"/>
          <w:sz w:val="24"/>
          <w:szCs w:val="24"/>
          <w:lang w:eastAsia="en-GB"/>
        </w:rPr>
        <w:tab/>
      </w:r>
      <w:r w:rsidRPr="00D55C3D">
        <w:rPr>
          <w:rFonts w:ascii="Times New Roman" w:eastAsia="Times New Roman" w:hAnsi="Times New Roman" w:cs="Times New Roman"/>
          <w:color w:val="000000"/>
          <w:sz w:val="24"/>
          <w:szCs w:val="24"/>
          <w:lang w:eastAsia="en-GB"/>
        </w:rPr>
        <w:tab/>
      </w:r>
      <w:r w:rsidRPr="00D55C3D">
        <w:rPr>
          <w:rFonts w:ascii="Times New Roman" w:eastAsia="Times New Roman" w:hAnsi="Times New Roman" w:cs="Times New Roman"/>
          <w:color w:val="000000"/>
          <w:sz w:val="24"/>
          <w:szCs w:val="24"/>
          <w:lang w:eastAsia="en-GB"/>
        </w:rPr>
        <w:tab/>
      </w:r>
      <w:r w:rsidRPr="00D55C3D">
        <w:rPr>
          <w:rFonts w:ascii="Times New Roman" w:eastAsia="Times New Roman" w:hAnsi="Times New Roman" w:cs="Times New Roman"/>
          <w:color w:val="000000"/>
          <w:sz w:val="24"/>
          <w:szCs w:val="24"/>
          <w:lang w:eastAsia="en-GB"/>
        </w:rPr>
        <w:tab/>
      </w:r>
      <w:r w:rsidRPr="00D55C3D">
        <w:rPr>
          <w:rFonts w:ascii="Times New Roman" w:eastAsia="Times New Roman" w:hAnsi="Times New Roman" w:cs="Times New Roman"/>
          <w:color w:val="000000"/>
          <w:sz w:val="24"/>
          <w:szCs w:val="24"/>
          <w:lang w:eastAsia="en-GB"/>
        </w:rPr>
        <w:tab/>
      </w:r>
      <w:r w:rsidRPr="00D55C3D">
        <w:rPr>
          <w:rFonts w:ascii="Times New Roman" w:eastAsia="Times New Roman" w:hAnsi="Times New Roman" w:cs="Times New Roman"/>
          <w:color w:val="000000"/>
          <w:sz w:val="24"/>
          <w:szCs w:val="24"/>
          <w:lang w:eastAsia="en-GB"/>
        </w:rPr>
        <w:tab/>
        <w:t xml:space="preserve">  95</w:t>
      </w:r>
    </w:p>
    <w:p w:rsidR="0051058E" w:rsidRDefault="0051058E" w:rsidP="0051058E">
      <w:pPr>
        <w:spacing w:before="120" w:after="120" w:line="240" w:lineRule="auto"/>
        <w:rPr>
          <w:rFonts w:ascii="Times New Roman" w:eastAsia="Times New Roman" w:hAnsi="Times New Roman" w:cs="Times New Roman"/>
          <w:color w:val="000000"/>
          <w:sz w:val="24"/>
          <w:szCs w:val="24"/>
          <w:lang w:eastAsia="en-GB"/>
        </w:rPr>
      </w:pP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Chapter 4</w:t>
      </w: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sidRPr="007114A4">
        <w:rPr>
          <w:rFonts w:ascii="Times New Roman" w:eastAsia="Times New Roman" w:hAnsi="Times New Roman" w:cs="Times New Roman"/>
          <w:color w:val="000000"/>
          <w:sz w:val="24"/>
          <w:szCs w:val="24"/>
          <w:lang w:eastAsia="en-GB"/>
        </w:rPr>
        <w:t>Female Sexual Transgression</w:t>
      </w:r>
      <w:r>
        <w:rPr>
          <w:rFonts w:ascii="Times New Roman" w:eastAsia="Times New Roman" w:hAnsi="Times New Roman" w:cs="Times New Roman"/>
          <w:color w:val="000000"/>
          <w:sz w:val="24"/>
          <w:szCs w:val="24"/>
          <w:lang w:eastAsia="en-GB"/>
        </w:rPr>
        <w:t xml:space="preserve"> as Social Protest</w:t>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t>125</w:t>
      </w:r>
    </w:p>
    <w:p w:rsidR="0051058E" w:rsidRDefault="0051058E" w:rsidP="0051058E">
      <w:pPr>
        <w:spacing w:before="120" w:after="120" w:line="240" w:lineRule="auto"/>
        <w:rPr>
          <w:rFonts w:ascii="Times New Roman" w:eastAsia="Times New Roman" w:hAnsi="Times New Roman" w:cs="Times New Roman"/>
          <w:color w:val="000000"/>
          <w:sz w:val="24"/>
          <w:szCs w:val="24"/>
          <w:lang w:eastAsia="en-GB"/>
        </w:rPr>
      </w:pP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Chapter 5</w:t>
      </w: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sidRPr="00DD46EC">
        <w:rPr>
          <w:rFonts w:ascii="Times New Roman" w:eastAsia="Times New Roman" w:hAnsi="Times New Roman" w:cs="Times New Roman"/>
          <w:sz w:val="24"/>
          <w:szCs w:val="24"/>
          <w:lang w:eastAsia="en-GB"/>
        </w:rPr>
        <w:t>The Dangerous Classes: Self-mythologizing and Looking to the Past</w:t>
      </w:r>
      <w:r>
        <w:rPr>
          <w:rFonts w:ascii="Times New Roman" w:eastAsia="Times New Roman" w:hAnsi="Times New Roman" w:cs="Times New Roman"/>
          <w:color w:val="000000"/>
          <w:sz w:val="24"/>
          <w:szCs w:val="24"/>
          <w:lang w:eastAsia="en-GB"/>
        </w:rPr>
        <w:t xml:space="preserve"> </w:t>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t>151</w:t>
      </w:r>
    </w:p>
    <w:p w:rsidR="0051058E" w:rsidRDefault="0051058E" w:rsidP="0051058E">
      <w:pPr>
        <w:spacing w:before="120" w:after="120" w:line="240" w:lineRule="auto"/>
        <w:rPr>
          <w:rFonts w:ascii="Times New Roman" w:eastAsia="Times New Roman" w:hAnsi="Times New Roman" w:cs="Times New Roman"/>
          <w:color w:val="000000"/>
          <w:sz w:val="24"/>
          <w:szCs w:val="24"/>
          <w:lang w:eastAsia="en-GB"/>
        </w:rPr>
      </w:pP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Chapter 6</w:t>
      </w: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sidRPr="00801EEA">
        <w:rPr>
          <w:rFonts w:ascii="Times New Roman" w:eastAsia="Times New Roman" w:hAnsi="Times New Roman" w:cs="Times New Roman"/>
          <w:color w:val="000000"/>
          <w:sz w:val="24"/>
          <w:szCs w:val="24"/>
          <w:lang w:eastAsia="en-GB"/>
        </w:rPr>
        <w:t xml:space="preserve">The </w:t>
      </w:r>
      <w:r>
        <w:rPr>
          <w:rFonts w:ascii="Times New Roman" w:eastAsia="Times New Roman" w:hAnsi="Times New Roman" w:cs="Times New Roman"/>
          <w:color w:val="000000"/>
          <w:sz w:val="24"/>
          <w:szCs w:val="24"/>
          <w:lang w:eastAsia="en-GB"/>
        </w:rPr>
        <w:t>S</w:t>
      </w:r>
      <w:r w:rsidRPr="00801EEA">
        <w:rPr>
          <w:rFonts w:ascii="Times New Roman" w:eastAsia="Times New Roman" w:hAnsi="Times New Roman" w:cs="Times New Roman"/>
          <w:color w:val="000000"/>
          <w:sz w:val="24"/>
          <w:szCs w:val="24"/>
          <w:lang w:eastAsia="en-GB"/>
        </w:rPr>
        <w:t>truggle</w:t>
      </w:r>
      <w:r>
        <w:rPr>
          <w:rFonts w:ascii="Times New Roman" w:eastAsia="Times New Roman" w:hAnsi="Times New Roman" w:cs="Times New Roman"/>
          <w:color w:val="000000"/>
          <w:sz w:val="24"/>
          <w:szCs w:val="24"/>
          <w:lang w:eastAsia="en-GB"/>
        </w:rPr>
        <w:t xml:space="preserve"> for Independent Respectability</w:t>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t>185</w:t>
      </w:r>
    </w:p>
    <w:p w:rsidR="0051058E" w:rsidRDefault="0051058E" w:rsidP="0051058E">
      <w:pPr>
        <w:spacing w:before="120" w:after="120" w:line="240" w:lineRule="auto"/>
        <w:rPr>
          <w:rFonts w:ascii="Times New Roman" w:eastAsia="Times New Roman" w:hAnsi="Times New Roman" w:cs="Times New Roman"/>
          <w:color w:val="000000"/>
          <w:sz w:val="24"/>
          <w:szCs w:val="24"/>
          <w:lang w:eastAsia="en-GB"/>
        </w:rPr>
      </w:pPr>
    </w:p>
    <w:p w:rsidR="0051058E" w:rsidRPr="005F628E" w:rsidRDefault="0051058E" w:rsidP="0051058E">
      <w:pPr>
        <w:spacing w:after="0" w:line="240" w:lineRule="auto"/>
        <w:rPr>
          <w:rFonts w:ascii="Times New Roman" w:eastAsia="Times New Roman" w:hAnsi="Times New Roman" w:cs="Times New Roman"/>
          <w:color w:val="000000"/>
          <w:sz w:val="24"/>
          <w:szCs w:val="24"/>
          <w:lang w:eastAsia="en-GB"/>
        </w:rPr>
      </w:pPr>
      <w:r w:rsidRPr="005F628E">
        <w:rPr>
          <w:rFonts w:ascii="Times New Roman" w:eastAsia="Times New Roman" w:hAnsi="Times New Roman" w:cs="Times New Roman"/>
          <w:color w:val="000000"/>
          <w:sz w:val="24"/>
          <w:szCs w:val="24"/>
          <w:lang w:eastAsia="en-GB"/>
        </w:rPr>
        <w:t>Chapter 7</w:t>
      </w: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sidRPr="002C35B1">
        <w:rPr>
          <w:rFonts w:ascii="Times New Roman" w:hAnsi="Times New Roman" w:cs="Times New Roman"/>
          <w:sz w:val="24"/>
          <w:szCs w:val="24"/>
        </w:rPr>
        <w:t>Mass Protest, Social and Political Challenge and the Question of Leadership</w:t>
      </w:r>
      <w:r>
        <w:rPr>
          <w:rFonts w:ascii="Times New Roman" w:hAnsi="Times New Roman" w:cs="Times New Roman"/>
          <w:sz w:val="24"/>
          <w:szCs w:val="24"/>
        </w:rPr>
        <w:tab/>
      </w:r>
      <w:r>
        <w:rPr>
          <w:rFonts w:ascii="Times New Roman" w:hAnsi="Times New Roman" w:cs="Times New Roman"/>
          <w:sz w:val="24"/>
          <w:szCs w:val="24"/>
        </w:rPr>
        <w:tab/>
      </w:r>
      <w:r>
        <w:rPr>
          <w:rFonts w:ascii="Times New Roman" w:eastAsia="Times New Roman" w:hAnsi="Times New Roman" w:cs="Times New Roman"/>
          <w:color w:val="000000"/>
          <w:sz w:val="24"/>
          <w:szCs w:val="24"/>
          <w:lang w:eastAsia="en-GB"/>
        </w:rPr>
        <w:t>219</w:t>
      </w:r>
    </w:p>
    <w:p w:rsidR="0051058E" w:rsidRDefault="0051058E" w:rsidP="0051058E">
      <w:pPr>
        <w:spacing w:before="120" w:after="120" w:line="240" w:lineRule="auto"/>
        <w:rPr>
          <w:rFonts w:ascii="Times New Roman" w:eastAsia="Times New Roman" w:hAnsi="Times New Roman" w:cs="Times New Roman"/>
          <w:color w:val="000000"/>
          <w:sz w:val="24"/>
          <w:szCs w:val="24"/>
          <w:lang w:eastAsia="en-GB"/>
        </w:rPr>
      </w:pP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sidRPr="00713194">
        <w:rPr>
          <w:rFonts w:ascii="Times New Roman" w:eastAsia="Times New Roman" w:hAnsi="Times New Roman" w:cs="Times New Roman"/>
          <w:color w:val="000000"/>
          <w:sz w:val="24"/>
          <w:szCs w:val="24"/>
          <w:lang w:eastAsia="en-GB"/>
        </w:rPr>
        <w:t>Conclusion</w:t>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t>257</w:t>
      </w:r>
    </w:p>
    <w:p w:rsidR="0051058E" w:rsidRDefault="0051058E" w:rsidP="0051058E">
      <w:pPr>
        <w:spacing w:before="120" w:after="120" w:line="240" w:lineRule="auto"/>
        <w:rPr>
          <w:rFonts w:ascii="Times New Roman" w:eastAsia="Times New Roman" w:hAnsi="Times New Roman" w:cs="Times New Roman"/>
          <w:color w:val="000000"/>
          <w:sz w:val="24"/>
          <w:szCs w:val="24"/>
          <w:lang w:eastAsia="en-GB"/>
        </w:rPr>
      </w:pP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Appendices</w:t>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t>269</w:t>
      </w:r>
    </w:p>
    <w:p w:rsidR="0051058E" w:rsidRDefault="0051058E" w:rsidP="0051058E">
      <w:pPr>
        <w:spacing w:before="120" w:after="120" w:line="240" w:lineRule="auto"/>
        <w:rPr>
          <w:rFonts w:ascii="Times New Roman" w:eastAsia="Times New Roman" w:hAnsi="Times New Roman" w:cs="Times New Roman"/>
          <w:color w:val="000000"/>
          <w:sz w:val="24"/>
          <w:szCs w:val="24"/>
          <w:lang w:eastAsia="en-GB"/>
        </w:rPr>
      </w:pPr>
    </w:p>
    <w:p w:rsidR="0051058E" w:rsidRDefault="0051058E" w:rsidP="0051058E">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t>Bibliography</w:t>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r>
      <w:r>
        <w:rPr>
          <w:rFonts w:ascii="Times New Roman" w:eastAsia="Times New Roman" w:hAnsi="Times New Roman" w:cs="Times New Roman"/>
          <w:color w:val="000000"/>
          <w:sz w:val="24"/>
          <w:szCs w:val="24"/>
          <w:lang w:eastAsia="en-GB"/>
        </w:rPr>
        <w:tab/>
        <w:t>283</w:t>
      </w:r>
    </w:p>
    <w:p w:rsidR="00690DF3" w:rsidRDefault="00690DF3" w:rsidP="00690DF3">
      <w:pPr>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br w:type="page"/>
      </w:r>
    </w:p>
    <w:p w:rsidR="00690DF3" w:rsidRDefault="00690DF3" w:rsidP="00690DF3">
      <w:pPr>
        <w:spacing w:after="0" w:line="360" w:lineRule="auto"/>
        <w:rPr>
          <w:rFonts w:ascii="Times New Roman" w:eastAsia="Times New Roman" w:hAnsi="Times New Roman" w:cs="Times New Roman"/>
          <w:color w:val="000000"/>
          <w:sz w:val="24"/>
          <w:szCs w:val="24"/>
          <w:lang w:eastAsia="en-GB"/>
        </w:rPr>
      </w:pPr>
    </w:p>
    <w:p w:rsidR="00690DF3" w:rsidRDefault="00690DF3" w:rsidP="00690DF3">
      <w:pPr>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br w:type="page"/>
      </w:r>
    </w:p>
    <w:p w:rsidR="00690DF3" w:rsidRDefault="00690DF3" w:rsidP="00690DF3">
      <w:pPr>
        <w:jc w:val="center"/>
        <w:rPr>
          <w:rFonts w:ascii="Times New Roman" w:hAnsi="Times New Roman"/>
          <w:b/>
          <w:sz w:val="24"/>
          <w:szCs w:val="24"/>
          <w:u w:val="single"/>
        </w:rPr>
      </w:pPr>
      <w:r>
        <w:rPr>
          <w:rFonts w:ascii="Times New Roman" w:hAnsi="Times New Roman"/>
          <w:b/>
          <w:sz w:val="24"/>
          <w:szCs w:val="24"/>
          <w:u w:val="single"/>
        </w:rPr>
        <w:lastRenderedPageBreak/>
        <w:t>Acknowledgements</w:t>
      </w:r>
    </w:p>
    <w:p w:rsidR="00690DF3" w:rsidRDefault="00690DF3" w:rsidP="00690DF3">
      <w:pPr>
        <w:rPr>
          <w:rFonts w:ascii="Times New Roman" w:hAnsi="Times New Roman"/>
          <w:b/>
          <w:sz w:val="24"/>
          <w:szCs w:val="24"/>
          <w:u w:val="single"/>
        </w:rPr>
      </w:pPr>
    </w:p>
    <w:p w:rsidR="00690DF3" w:rsidRDefault="00690DF3" w:rsidP="000A0426">
      <w:pPr>
        <w:spacing w:after="120" w:line="360" w:lineRule="auto"/>
        <w:rPr>
          <w:rFonts w:ascii="Times New Roman" w:hAnsi="Times New Roman"/>
          <w:sz w:val="24"/>
          <w:szCs w:val="24"/>
        </w:rPr>
      </w:pPr>
      <w:r w:rsidRPr="005F628E">
        <w:rPr>
          <w:rFonts w:ascii="Times New Roman" w:hAnsi="Times New Roman"/>
          <w:sz w:val="24"/>
          <w:szCs w:val="24"/>
        </w:rPr>
        <w:t xml:space="preserve">This </w:t>
      </w:r>
      <w:r>
        <w:rPr>
          <w:rFonts w:ascii="Times New Roman" w:hAnsi="Times New Roman"/>
          <w:sz w:val="24"/>
          <w:szCs w:val="24"/>
        </w:rPr>
        <w:t>thesis was made possible by a</w:t>
      </w:r>
      <w:r w:rsidR="000A0426">
        <w:rPr>
          <w:rFonts w:ascii="Times New Roman" w:hAnsi="Times New Roman"/>
          <w:sz w:val="24"/>
          <w:szCs w:val="24"/>
        </w:rPr>
        <w:t xml:space="preserve"> University of Sheffield</w:t>
      </w:r>
      <w:r>
        <w:rPr>
          <w:rFonts w:ascii="Times New Roman" w:hAnsi="Times New Roman"/>
          <w:sz w:val="24"/>
          <w:szCs w:val="24"/>
        </w:rPr>
        <w:t xml:space="preserve"> Faculty Scholarship.</w:t>
      </w:r>
    </w:p>
    <w:p w:rsidR="00D55C3D" w:rsidRDefault="00D55C3D" w:rsidP="00D55C3D">
      <w:pPr>
        <w:spacing w:after="120" w:line="360" w:lineRule="auto"/>
        <w:rPr>
          <w:rFonts w:ascii="Times New Roman" w:hAnsi="Times New Roman"/>
          <w:sz w:val="24"/>
          <w:szCs w:val="24"/>
        </w:rPr>
      </w:pPr>
    </w:p>
    <w:p w:rsidR="00D55C3D" w:rsidRDefault="00D55C3D" w:rsidP="00D55C3D">
      <w:pPr>
        <w:spacing w:after="120" w:line="360" w:lineRule="auto"/>
        <w:rPr>
          <w:rFonts w:ascii="Times New Roman" w:hAnsi="Times New Roman"/>
          <w:sz w:val="24"/>
          <w:szCs w:val="24"/>
        </w:rPr>
      </w:pPr>
      <w:r>
        <w:rPr>
          <w:rFonts w:ascii="Times New Roman" w:hAnsi="Times New Roman"/>
          <w:sz w:val="24"/>
          <w:szCs w:val="24"/>
        </w:rPr>
        <w:t xml:space="preserve">My thanks first and foremost go to Dr Anna Barton whose guidance and insight have been </w:t>
      </w:r>
      <w:r w:rsidRPr="008B6BBC">
        <w:rPr>
          <w:rFonts w:ascii="Times New Roman" w:hAnsi="Times New Roman"/>
          <w:sz w:val="24"/>
          <w:szCs w:val="24"/>
        </w:rPr>
        <w:t xml:space="preserve">invaluable and she has been a constant source of support and encouragement.  Thanks are </w:t>
      </w:r>
      <w:r>
        <w:rPr>
          <w:rFonts w:ascii="Times New Roman" w:hAnsi="Times New Roman"/>
          <w:sz w:val="24"/>
          <w:szCs w:val="24"/>
        </w:rPr>
        <w:t xml:space="preserve">also due to my secondary supervisor, Dr Andrew Smith, who guided me through the upgrade process and helped me to refine my early research. </w:t>
      </w:r>
    </w:p>
    <w:p w:rsidR="00D55C3D" w:rsidRDefault="00D55C3D" w:rsidP="00D55C3D">
      <w:pPr>
        <w:spacing w:after="120" w:line="360" w:lineRule="auto"/>
        <w:rPr>
          <w:rFonts w:ascii="Times New Roman" w:hAnsi="Times New Roman"/>
          <w:sz w:val="24"/>
          <w:szCs w:val="24"/>
        </w:rPr>
      </w:pPr>
    </w:p>
    <w:p w:rsidR="00D55C3D" w:rsidRDefault="00D55C3D" w:rsidP="00D55C3D">
      <w:pPr>
        <w:spacing w:after="120" w:line="360" w:lineRule="auto"/>
        <w:rPr>
          <w:rFonts w:ascii="Times New Roman" w:hAnsi="Times New Roman"/>
          <w:sz w:val="24"/>
          <w:szCs w:val="24"/>
        </w:rPr>
      </w:pPr>
      <w:r>
        <w:rPr>
          <w:rFonts w:ascii="Times New Roman" w:hAnsi="Times New Roman"/>
          <w:sz w:val="24"/>
          <w:szCs w:val="24"/>
        </w:rPr>
        <w:t>Over the last few years many people have supported me with friendship and advice.  In particular, I would like to thank Ioanna Filippidi and Hannah Robbins who have been with me throughout, giving their time and reassurance as well as snacks and music.  Much gratitude is also owed to my friends in theatrical productions, particularly Ian and Alice from ‘The Company’, whose conversation and jokes have kept me laughing.</w:t>
      </w:r>
    </w:p>
    <w:p w:rsidR="00D55C3D" w:rsidRDefault="00D55C3D" w:rsidP="00D55C3D">
      <w:pPr>
        <w:spacing w:after="120" w:line="360" w:lineRule="auto"/>
        <w:rPr>
          <w:rFonts w:ascii="Times New Roman" w:hAnsi="Times New Roman"/>
          <w:sz w:val="24"/>
          <w:szCs w:val="24"/>
        </w:rPr>
      </w:pPr>
    </w:p>
    <w:p w:rsidR="00D55C3D" w:rsidRDefault="00D55C3D" w:rsidP="00D55C3D">
      <w:pPr>
        <w:spacing w:after="120" w:line="360" w:lineRule="auto"/>
        <w:rPr>
          <w:rFonts w:ascii="Times New Roman" w:hAnsi="Times New Roman"/>
          <w:sz w:val="24"/>
          <w:szCs w:val="24"/>
        </w:rPr>
      </w:pPr>
      <w:r>
        <w:rPr>
          <w:rFonts w:ascii="Times New Roman" w:hAnsi="Times New Roman"/>
          <w:sz w:val="24"/>
          <w:szCs w:val="24"/>
        </w:rPr>
        <w:t>I would like to thank my family, particularly my parents, Tracy and John Morgan, my Nan, Beryl Clarke, and siblings Kieran, Georgia and Frankie, for providing support and humour.  Uncle Peter has been an invaluable source of knowledge with our theatre trips over the years and by making available a wide variety of nineteenth-century texts.  My biggest appreciation is for my Mum who is and has always been my main inspiration and confidence-booster.</w:t>
      </w:r>
    </w:p>
    <w:p w:rsidR="00690DF3" w:rsidRDefault="00690DF3" w:rsidP="00690DF3">
      <w:pPr>
        <w:rPr>
          <w:rFonts w:ascii="Times New Roman" w:hAnsi="Times New Roman"/>
          <w:sz w:val="24"/>
          <w:szCs w:val="24"/>
        </w:rPr>
      </w:pPr>
    </w:p>
    <w:p w:rsidR="00690DF3" w:rsidRDefault="00690DF3" w:rsidP="00690DF3">
      <w:pPr>
        <w:rPr>
          <w:rFonts w:ascii="Times New Roman" w:hAnsi="Times New Roman"/>
          <w:sz w:val="24"/>
          <w:szCs w:val="24"/>
        </w:rPr>
      </w:pPr>
      <w:r>
        <w:rPr>
          <w:rFonts w:ascii="Times New Roman" w:hAnsi="Times New Roman"/>
          <w:sz w:val="24"/>
          <w:szCs w:val="24"/>
        </w:rPr>
        <w:br w:type="page"/>
      </w:r>
    </w:p>
    <w:p w:rsidR="00690DF3" w:rsidRPr="005F628E" w:rsidRDefault="00690DF3" w:rsidP="00690DF3">
      <w:pPr>
        <w:rPr>
          <w:rFonts w:ascii="Times New Roman" w:hAnsi="Times New Roman"/>
          <w:sz w:val="24"/>
          <w:szCs w:val="24"/>
        </w:rPr>
      </w:pPr>
      <w:r w:rsidRPr="005F628E">
        <w:rPr>
          <w:rFonts w:ascii="Times New Roman" w:hAnsi="Times New Roman"/>
          <w:sz w:val="24"/>
          <w:szCs w:val="24"/>
        </w:rPr>
        <w:lastRenderedPageBreak/>
        <w:br w:type="page"/>
      </w:r>
    </w:p>
    <w:p w:rsidR="00AC0DB7" w:rsidRDefault="00AC0DB7" w:rsidP="00AC0DB7">
      <w:pPr>
        <w:jc w:val="center"/>
        <w:rPr>
          <w:rFonts w:ascii="Times New Roman" w:hAnsi="Times New Roman"/>
          <w:b/>
          <w:sz w:val="24"/>
          <w:szCs w:val="24"/>
          <w:u w:val="single"/>
        </w:rPr>
      </w:pPr>
      <w:r>
        <w:rPr>
          <w:rFonts w:ascii="Times New Roman" w:hAnsi="Times New Roman"/>
          <w:b/>
          <w:sz w:val="24"/>
          <w:szCs w:val="24"/>
          <w:u w:val="single"/>
        </w:rPr>
        <w:lastRenderedPageBreak/>
        <w:t>Abstract</w:t>
      </w:r>
    </w:p>
    <w:p w:rsidR="00AC0DB7" w:rsidRPr="00D55C3D" w:rsidRDefault="00AC0DB7" w:rsidP="00AC0DB7">
      <w:pPr>
        <w:rPr>
          <w:rFonts w:ascii="Times New Roman" w:hAnsi="Times New Roman" w:cs="Times New Roman"/>
          <w:sz w:val="24"/>
          <w:szCs w:val="24"/>
        </w:rPr>
      </w:pPr>
      <w:r w:rsidRPr="00D55C3D">
        <w:rPr>
          <w:rFonts w:ascii="Times New Roman" w:hAnsi="Times New Roman" w:cs="Times New Roman"/>
          <w:sz w:val="24"/>
          <w:szCs w:val="24"/>
        </w:rPr>
        <w:t>This thesis analyses Reynolds’s portrayal of protest by the industrious classes.</w:t>
      </w:r>
    </w:p>
    <w:p w:rsidR="00AC0DB7" w:rsidRPr="00D55C3D" w:rsidRDefault="00AC0DB7" w:rsidP="00AC0DB7">
      <w:pPr>
        <w:spacing w:after="120" w:line="360" w:lineRule="auto"/>
        <w:rPr>
          <w:rFonts w:ascii="Times New Roman" w:hAnsi="Times New Roman" w:cs="Times New Roman"/>
          <w:sz w:val="24"/>
          <w:szCs w:val="24"/>
        </w:rPr>
      </w:pPr>
      <w:r w:rsidRPr="00D55C3D">
        <w:rPr>
          <w:rFonts w:ascii="Times New Roman" w:hAnsi="Times New Roman" w:cs="Times New Roman"/>
          <w:sz w:val="24"/>
          <w:szCs w:val="24"/>
        </w:rPr>
        <w:t>It argues he provides a carefully thought out presentation that acknowledges the fragmented nature of this protest, from what the study terms its ‘disreputable’ and ‘dangerous’ aspects through to his favoured form designated as ‘independent respectability’.  This entails showing how he carries forward core elements from an earlier, moderate political outlook into a later one that embraced increasingly democratic and progressive views.</w:t>
      </w:r>
    </w:p>
    <w:p w:rsidR="00AC0DB7" w:rsidRPr="00D55C3D" w:rsidRDefault="00AC0DB7" w:rsidP="00AC0DB7">
      <w:pPr>
        <w:spacing w:after="120" w:line="360" w:lineRule="auto"/>
        <w:rPr>
          <w:rFonts w:ascii="Times New Roman" w:hAnsi="Times New Roman" w:cs="Times New Roman"/>
          <w:sz w:val="24"/>
          <w:szCs w:val="24"/>
        </w:rPr>
      </w:pPr>
      <w:r w:rsidRPr="00D55C3D">
        <w:rPr>
          <w:rFonts w:ascii="Times New Roman" w:hAnsi="Times New Roman" w:cs="Times New Roman"/>
          <w:sz w:val="24"/>
          <w:szCs w:val="24"/>
        </w:rPr>
        <w:t>The aim is to show how by retaining these earlier core values, despite many shifts and much manoeuvring, Reynolds manages to present a largely consistent perspective of protest.  Above all, he displays ‘independent respectability’ as being a moral and psychological phenomenon that can extend from the individual who confronts the problems of everyday life to the struggle of the industrious masses who engage in questions of national interest.</w:t>
      </w:r>
    </w:p>
    <w:p w:rsidR="00AC0DB7" w:rsidRDefault="00AC0DB7" w:rsidP="00AC0DB7">
      <w:pPr>
        <w:spacing w:after="120" w:line="360" w:lineRule="auto"/>
        <w:rPr>
          <w:rFonts w:ascii="Times New Roman" w:hAnsi="Times New Roman" w:cs="Times New Roman"/>
          <w:sz w:val="24"/>
          <w:szCs w:val="24"/>
        </w:rPr>
      </w:pPr>
      <w:r w:rsidRPr="00D55C3D">
        <w:rPr>
          <w:rFonts w:ascii="Times New Roman" w:hAnsi="Times New Roman" w:cs="Times New Roman"/>
          <w:sz w:val="24"/>
          <w:szCs w:val="24"/>
        </w:rPr>
        <w:t>Central to the argument is that Reynolds’s importance lay in offering an alternative to contemporaries who denied that protest espousing radical ambitions could be enacted peacefully or have positive results.  In contrast, he proposes that when doing so, it embodied a rational, modern outlook, preparing the masses for any future, enhanced role in society.  However, he carefully adapts this portrayal to a view of the English state that, with all its faults, he sees as markedly different to the Continental tyrannies.  Consequently, the thesis rejects suggestions of Reynolds being a revolutionary writer while at the same time viewing accusations of his work being governed primarily by commercial concerns as providing only a partial explanation of its shortcomings.  Furthermore, it recognizes that beneath a melodramatic veneer his portrayals, despite their limitations, offer pertinent observations upon the state of the industrious classes in mid-Victorian England and a useful avenue from which to examine the author himself.</w:t>
      </w:r>
    </w:p>
    <w:p w:rsidR="00690DF3" w:rsidRDefault="00690DF3" w:rsidP="00690DF3">
      <w:pPr>
        <w:rPr>
          <w:rFonts w:ascii="Times New Roman" w:hAnsi="Times New Roman" w:cs="Times New Roman"/>
          <w:sz w:val="24"/>
          <w:szCs w:val="24"/>
        </w:rPr>
      </w:pPr>
      <w:r>
        <w:rPr>
          <w:rFonts w:ascii="Times New Roman" w:hAnsi="Times New Roman" w:cs="Times New Roman"/>
          <w:sz w:val="24"/>
          <w:szCs w:val="24"/>
        </w:rPr>
        <w:br w:type="page"/>
      </w:r>
    </w:p>
    <w:p w:rsidR="00690DF3" w:rsidRDefault="00690DF3" w:rsidP="00690DF3">
      <w:pPr>
        <w:rPr>
          <w:rFonts w:ascii="Times New Roman" w:hAnsi="Times New Roman"/>
          <w:b/>
          <w:sz w:val="24"/>
          <w:szCs w:val="24"/>
          <w:u w:val="single"/>
        </w:rPr>
      </w:pPr>
      <w:r>
        <w:rPr>
          <w:rFonts w:ascii="Times New Roman" w:hAnsi="Times New Roman"/>
          <w:b/>
          <w:sz w:val="24"/>
          <w:szCs w:val="24"/>
          <w:u w:val="single"/>
        </w:rPr>
        <w:lastRenderedPageBreak/>
        <w:br w:type="page"/>
      </w:r>
    </w:p>
    <w:p w:rsidR="00D363EC" w:rsidRPr="00A257D5" w:rsidRDefault="00D363EC" w:rsidP="00D363EC">
      <w:pPr>
        <w:spacing w:after="240" w:line="360" w:lineRule="auto"/>
        <w:jc w:val="center"/>
        <w:rPr>
          <w:rFonts w:ascii="Times New Roman" w:hAnsi="Times New Roman" w:cs="Times New Roman"/>
          <w:b/>
          <w:sz w:val="24"/>
          <w:szCs w:val="24"/>
          <w:u w:val="single"/>
        </w:rPr>
      </w:pPr>
      <w:r w:rsidRPr="00A257D5">
        <w:rPr>
          <w:rFonts w:ascii="Times New Roman" w:hAnsi="Times New Roman" w:cs="Times New Roman"/>
          <w:b/>
          <w:sz w:val="24"/>
          <w:szCs w:val="24"/>
          <w:u w:val="single"/>
        </w:rPr>
        <w:lastRenderedPageBreak/>
        <w:t>Introduction: Aims, Definitions and Parameters</w:t>
      </w:r>
    </w:p>
    <w:p w:rsidR="00D363EC" w:rsidRPr="00A257D5" w:rsidRDefault="00D363EC" w:rsidP="00D363EC">
      <w:pPr>
        <w:spacing w:after="120" w:line="360" w:lineRule="auto"/>
        <w:ind w:firstLine="720"/>
        <w:rPr>
          <w:rFonts w:ascii="Times New Roman" w:hAnsi="Times New Roman" w:cs="Times New Roman"/>
          <w:sz w:val="24"/>
          <w:szCs w:val="24"/>
        </w:rPr>
      </w:pPr>
      <w:r w:rsidRPr="00A257D5">
        <w:rPr>
          <w:rFonts w:ascii="Times New Roman" w:hAnsi="Times New Roman" w:cs="Times New Roman"/>
          <w:sz w:val="24"/>
          <w:szCs w:val="24"/>
        </w:rPr>
        <w:t>George William MacArthur Reynolds was a leading radical of the Victorian age, best known for popular fiction and journalism that advocated the social and political advancement of the industrious classes.  Alongside the written work which attracted much controversy for its sensationalism he gained additional notoriety for conspicuous Chartist activity between 1848 and 1851.  Contemporaries frequently based descriptions of him upon his acerbic writings and perceived encouragement of violent behaviour.  Thackeray suggested Reynolds’s success was largely due to the manner in which he ‘lashed the aristocracy’.</w:t>
      </w:r>
      <w:r w:rsidRPr="00A257D5">
        <w:rPr>
          <w:rStyle w:val="FootnoteReference"/>
          <w:rFonts w:ascii="Times New Roman" w:hAnsi="Times New Roman"/>
          <w:sz w:val="24"/>
          <w:szCs w:val="24"/>
        </w:rPr>
        <w:footnoteReference w:id="1"/>
      </w:r>
      <w:r w:rsidRPr="00A257D5">
        <w:rPr>
          <w:rFonts w:ascii="Times New Roman" w:hAnsi="Times New Roman" w:cs="Times New Roman"/>
          <w:sz w:val="24"/>
          <w:szCs w:val="24"/>
        </w:rPr>
        <w:t xml:space="preserve">  Dickens was scathing both privately and in public.</w:t>
      </w:r>
      <w:r w:rsidRPr="00A257D5">
        <w:rPr>
          <w:rStyle w:val="FootnoteReference"/>
          <w:rFonts w:ascii="Times New Roman" w:hAnsi="Times New Roman"/>
          <w:sz w:val="24"/>
          <w:szCs w:val="24"/>
        </w:rPr>
        <w:footnoteReference w:id="2"/>
      </w:r>
      <w:r w:rsidRPr="00A257D5">
        <w:rPr>
          <w:rFonts w:ascii="Times New Roman" w:hAnsi="Times New Roman" w:cs="Times New Roman"/>
          <w:sz w:val="24"/>
          <w:szCs w:val="24"/>
        </w:rPr>
        <w:t xml:space="preserve">  Reynolds’s tub-thumping style led Thomas Wright to lampoon him as ‘the great C. G. B., or “Alphabet” Crusher, proprietor of Crusher’s newspaper’.</w:t>
      </w:r>
      <w:r w:rsidRPr="00A257D5">
        <w:rPr>
          <w:rStyle w:val="FootnoteReference"/>
          <w:rFonts w:ascii="Times New Roman" w:hAnsi="Times New Roman"/>
          <w:sz w:val="24"/>
          <w:szCs w:val="24"/>
        </w:rPr>
        <w:footnoteReference w:id="3"/>
      </w:r>
      <w:r w:rsidRPr="00A257D5">
        <w:rPr>
          <w:rFonts w:ascii="Times New Roman" w:hAnsi="Times New Roman" w:cs="Times New Roman"/>
          <w:sz w:val="24"/>
          <w:szCs w:val="24"/>
        </w:rPr>
        <w:t xml:space="preserve">  Nevertheless, there was substance behind Reynolds’s colourful style and </w:t>
      </w:r>
      <w:r w:rsidRPr="009D616D">
        <w:rPr>
          <w:rFonts w:ascii="Times New Roman" w:hAnsi="Times New Roman" w:cs="Times New Roman"/>
          <w:sz w:val="24"/>
          <w:szCs w:val="24"/>
        </w:rPr>
        <w:t>modern critics continue to attest his radicalism.  Rohan McWilliam has identified anti-aristocratic attitudes and internationalism as two pillars of Reynolds’s outlook.</w:t>
      </w:r>
      <w:r w:rsidRPr="009D616D">
        <w:rPr>
          <w:rStyle w:val="FootnoteReference"/>
          <w:rFonts w:ascii="Times New Roman" w:hAnsi="Times New Roman"/>
          <w:sz w:val="24"/>
          <w:szCs w:val="24"/>
        </w:rPr>
        <w:footnoteReference w:id="4"/>
      </w:r>
      <w:r w:rsidRPr="009D616D">
        <w:rPr>
          <w:rFonts w:ascii="Times New Roman" w:hAnsi="Times New Roman" w:cs="Times New Roman"/>
          <w:sz w:val="24"/>
          <w:szCs w:val="24"/>
        </w:rPr>
        <w:t xml:space="preserve">  Both were constantly observable in his journals.  The first was typified by an attack upon the Grafton family, ‘descended from a filthy harlot who bestowed her favours upon Charles II’ yet still </w:t>
      </w:r>
      <w:r w:rsidR="00FC0573" w:rsidRPr="009D616D">
        <w:rPr>
          <w:rFonts w:ascii="Times New Roman" w:hAnsi="Times New Roman" w:cs="Times New Roman"/>
          <w:sz w:val="24"/>
          <w:szCs w:val="24"/>
        </w:rPr>
        <w:t>in receipt of</w:t>
      </w:r>
      <w:r w:rsidRPr="009D616D">
        <w:rPr>
          <w:rFonts w:ascii="Times New Roman" w:hAnsi="Times New Roman" w:cs="Times New Roman"/>
          <w:sz w:val="24"/>
          <w:szCs w:val="24"/>
        </w:rPr>
        <w:t xml:space="preserve"> 10,589</w:t>
      </w:r>
      <w:r w:rsidRPr="009D616D">
        <w:rPr>
          <w:rFonts w:ascii="Times New Roman" w:hAnsi="Times New Roman" w:cs="Times New Roman"/>
          <w:i/>
          <w:sz w:val="24"/>
          <w:szCs w:val="24"/>
        </w:rPr>
        <w:t>l</w:t>
      </w:r>
      <w:r w:rsidRPr="009D616D">
        <w:rPr>
          <w:rFonts w:ascii="Times New Roman" w:hAnsi="Times New Roman" w:cs="Times New Roman"/>
          <w:sz w:val="24"/>
          <w:szCs w:val="24"/>
        </w:rPr>
        <w:t xml:space="preserve"> every year from the public purse ‘for doing nothing’.</w:t>
      </w:r>
      <w:r w:rsidRPr="009D616D">
        <w:rPr>
          <w:rStyle w:val="FootnoteReference"/>
          <w:rFonts w:ascii="Times New Roman" w:hAnsi="Times New Roman"/>
          <w:sz w:val="24"/>
          <w:szCs w:val="24"/>
        </w:rPr>
        <w:footnoteReference w:id="5"/>
      </w:r>
      <w:r w:rsidRPr="009D616D">
        <w:rPr>
          <w:rFonts w:ascii="Times New Roman" w:hAnsi="Times New Roman" w:cs="Times New Roman"/>
          <w:sz w:val="24"/>
          <w:szCs w:val="24"/>
        </w:rPr>
        <w:t xml:space="preserve">  The second was proclaimed by the front page address in the opening number of </w:t>
      </w:r>
      <w:r w:rsidRPr="009D616D">
        <w:rPr>
          <w:rFonts w:ascii="Times New Roman" w:hAnsi="Times New Roman" w:cs="Times New Roman"/>
          <w:i/>
          <w:sz w:val="24"/>
          <w:szCs w:val="24"/>
        </w:rPr>
        <w:t>Reynolds’s Weekly Newspaper</w:t>
      </w:r>
      <w:r w:rsidRPr="009D616D">
        <w:rPr>
          <w:rFonts w:ascii="Times New Roman" w:hAnsi="Times New Roman" w:cs="Times New Roman"/>
          <w:sz w:val="24"/>
          <w:szCs w:val="24"/>
        </w:rPr>
        <w:t xml:space="preserve"> which praised the revolutionary movements on the Continent and encouraged the working men of England to ‘teach their children to mingle</w:t>
      </w:r>
      <w:r w:rsidRPr="00A257D5">
        <w:rPr>
          <w:rFonts w:ascii="Times New Roman" w:hAnsi="Times New Roman" w:cs="Times New Roman"/>
          <w:sz w:val="24"/>
          <w:szCs w:val="24"/>
        </w:rPr>
        <w:t xml:space="preserve"> in their prayers the names of Kossuth, Mazzini, Ledru-Rollin, and Louis Blanc’.</w:t>
      </w:r>
      <w:r w:rsidRPr="00A257D5">
        <w:rPr>
          <w:rStyle w:val="FootnoteReference"/>
          <w:rFonts w:ascii="Times New Roman" w:hAnsi="Times New Roman"/>
          <w:sz w:val="24"/>
          <w:szCs w:val="24"/>
        </w:rPr>
        <w:footnoteReference w:id="6"/>
      </w:r>
      <w:r w:rsidRPr="00A257D5">
        <w:rPr>
          <w:rFonts w:ascii="Times New Roman" w:hAnsi="Times New Roman" w:cs="Times New Roman"/>
          <w:sz w:val="24"/>
          <w:szCs w:val="24"/>
        </w:rPr>
        <w:t xml:space="preserve">  At the same time, critics have noted mixed motives.  Raymond Williams writes that Reynolds combined ‘a generalized radicalism with a sharp commercial instinct’.</w:t>
      </w:r>
      <w:r w:rsidRPr="00A257D5">
        <w:rPr>
          <w:rStyle w:val="FootnoteReference"/>
          <w:rFonts w:ascii="Times New Roman" w:hAnsi="Times New Roman"/>
          <w:sz w:val="24"/>
          <w:szCs w:val="24"/>
        </w:rPr>
        <w:footnoteReference w:id="7"/>
      </w:r>
      <w:r w:rsidRPr="00A257D5">
        <w:rPr>
          <w:rFonts w:ascii="Times New Roman" w:hAnsi="Times New Roman" w:cs="Times New Roman"/>
          <w:sz w:val="24"/>
          <w:szCs w:val="24"/>
        </w:rPr>
        <w:t xml:space="preserve">  Anne Humpherys says that in France where he lived </w:t>
      </w:r>
      <w:r w:rsidRPr="00A257D5">
        <w:rPr>
          <w:rFonts w:ascii="Times New Roman" w:hAnsi="Times New Roman" w:cs="Times New Roman"/>
          <w:sz w:val="24"/>
          <w:szCs w:val="24"/>
        </w:rPr>
        <w:lastRenderedPageBreak/>
        <w:t>between 1830 and 1836 ‘he encountered the revolutionary politics that shaped his political consciousness for the rest of his life’.</w:t>
      </w:r>
      <w:r w:rsidRPr="00A257D5">
        <w:rPr>
          <w:rStyle w:val="FootnoteReference"/>
          <w:rFonts w:ascii="Times New Roman" w:hAnsi="Times New Roman"/>
          <w:sz w:val="24"/>
          <w:szCs w:val="24"/>
        </w:rPr>
        <w:footnoteReference w:id="8"/>
      </w:r>
      <w:r w:rsidRPr="00A257D5">
        <w:rPr>
          <w:rFonts w:ascii="Times New Roman" w:hAnsi="Times New Roman" w:cs="Times New Roman"/>
          <w:sz w:val="24"/>
          <w:szCs w:val="24"/>
        </w:rPr>
        <w:t xml:space="preserve">  However, she also points to him being a man of contradictions, noting that his work was a paradoxical combination of ‘politics and pornography, sentiment and sensationalism, rules of behaviour and calls to political action’.</w:t>
      </w:r>
      <w:r w:rsidRPr="00A257D5">
        <w:rPr>
          <w:rStyle w:val="FootnoteReference"/>
          <w:rFonts w:ascii="Times New Roman" w:hAnsi="Times New Roman"/>
          <w:sz w:val="24"/>
          <w:szCs w:val="24"/>
        </w:rPr>
        <w:footnoteReference w:id="9"/>
      </w:r>
      <w:r w:rsidRPr="00A257D5">
        <w:rPr>
          <w:rFonts w:ascii="Times New Roman" w:hAnsi="Times New Roman" w:cs="Times New Roman"/>
          <w:sz w:val="24"/>
          <w:szCs w:val="24"/>
        </w:rPr>
        <w:t xml:space="preserve">  These seeming discrepancies between Reynolds’s stated aims and his actions led to distrust among associates.  An early indication came when his first connection with Chartism ended abruptly and the </w:t>
      </w:r>
      <w:r w:rsidRPr="00A257D5">
        <w:rPr>
          <w:rFonts w:ascii="Times New Roman" w:hAnsi="Times New Roman" w:cs="Times New Roman"/>
          <w:i/>
          <w:sz w:val="24"/>
          <w:szCs w:val="24"/>
        </w:rPr>
        <w:t>Northern Star</w:t>
      </w:r>
      <w:r w:rsidRPr="00A257D5">
        <w:rPr>
          <w:rFonts w:ascii="Times New Roman" w:hAnsi="Times New Roman" w:cs="Times New Roman"/>
          <w:sz w:val="24"/>
          <w:szCs w:val="24"/>
        </w:rPr>
        <w:t xml:space="preserve"> commented he had attended several meetings and was elected to represent the Chartists of Derby before adding caustically: ‘Mr Reynolds took his seat in the Convention, but left before their business terminated.  So much for the leadership of Mr Reynolds.’</w:t>
      </w:r>
      <w:r w:rsidRPr="00A257D5">
        <w:rPr>
          <w:rStyle w:val="FootnoteReference"/>
          <w:rFonts w:ascii="Times New Roman" w:hAnsi="Times New Roman"/>
          <w:sz w:val="24"/>
          <w:szCs w:val="24"/>
        </w:rPr>
        <w:footnoteReference w:id="10"/>
      </w:r>
      <w:r w:rsidRPr="00A257D5">
        <w:rPr>
          <w:rFonts w:ascii="Times New Roman" w:hAnsi="Times New Roman" w:cs="Times New Roman"/>
          <w:sz w:val="24"/>
          <w:szCs w:val="24"/>
        </w:rPr>
        <w:t xml:space="preserve">  William Linton later referred to him as ‘the tin kettle at the mad mob’s tail’.</w:t>
      </w:r>
      <w:r w:rsidRPr="00A257D5">
        <w:rPr>
          <w:rStyle w:val="FootnoteReference"/>
          <w:rFonts w:ascii="Times New Roman" w:hAnsi="Times New Roman"/>
          <w:sz w:val="24"/>
          <w:szCs w:val="24"/>
        </w:rPr>
        <w:footnoteReference w:id="11"/>
      </w:r>
      <w:r w:rsidRPr="00A257D5">
        <w:rPr>
          <w:rFonts w:ascii="Times New Roman" w:hAnsi="Times New Roman" w:cs="Times New Roman"/>
          <w:sz w:val="24"/>
          <w:szCs w:val="24"/>
        </w:rPr>
        <w:t xml:space="preserve">  W. E. Adams wrote ‘it was rather as a charlatan and a trader than as a genuine politician that G. W. M. was regarded by the rank and file of Chartism’.</w:t>
      </w:r>
      <w:r w:rsidRPr="00A257D5">
        <w:rPr>
          <w:rStyle w:val="FootnoteReference"/>
          <w:rFonts w:ascii="Times New Roman" w:hAnsi="Times New Roman"/>
          <w:sz w:val="24"/>
          <w:szCs w:val="24"/>
        </w:rPr>
        <w:footnoteReference w:id="12"/>
      </w:r>
      <w:r w:rsidRPr="00A257D5">
        <w:rPr>
          <w:rFonts w:ascii="Times New Roman" w:hAnsi="Times New Roman" w:cs="Times New Roman"/>
          <w:sz w:val="24"/>
          <w:szCs w:val="24"/>
        </w:rPr>
        <w:t xml:space="preserve">  Margot Finn has pointed out how after again resigning from the Chartist movement in 1851, this time for reasons of ill health, Reynolds seemed unwilling to participate in the organization of working-class protest.</w:t>
      </w:r>
      <w:r w:rsidRPr="00A257D5">
        <w:rPr>
          <w:rStyle w:val="FootnoteReference"/>
          <w:rFonts w:ascii="Times New Roman" w:hAnsi="Times New Roman"/>
          <w:sz w:val="24"/>
          <w:szCs w:val="24"/>
        </w:rPr>
        <w:footnoteReference w:id="13"/>
      </w:r>
      <w:r w:rsidRPr="00A257D5">
        <w:rPr>
          <w:rFonts w:ascii="Times New Roman" w:hAnsi="Times New Roman" w:cs="Times New Roman"/>
          <w:sz w:val="24"/>
          <w:szCs w:val="24"/>
        </w:rPr>
        <w:t xml:space="preserve">  In contrast, he was happy to be involved in the more genteel environment of the Town Commissioners’ Board running local affairs in Herne Bay where he lived between 1854 and 1858.  Harold Gough writes that none of his proposals were particularly radical.</w:t>
      </w:r>
      <w:r w:rsidRPr="00A257D5">
        <w:rPr>
          <w:rStyle w:val="FootnoteReference"/>
          <w:rFonts w:ascii="Times New Roman" w:hAnsi="Times New Roman"/>
          <w:sz w:val="24"/>
          <w:szCs w:val="24"/>
        </w:rPr>
        <w:footnoteReference w:id="14"/>
      </w:r>
      <w:r w:rsidRPr="00A257D5">
        <w:rPr>
          <w:rFonts w:ascii="Times New Roman" w:hAnsi="Times New Roman" w:cs="Times New Roman"/>
          <w:sz w:val="24"/>
          <w:szCs w:val="24"/>
        </w:rPr>
        <w:t xml:space="preserve">  Reynolds remained aloof, even after he stopped writing fiction around 1860–61, although still in his mid-forties.</w:t>
      </w:r>
      <w:r w:rsidRPr="00A257D5">
        <w:rPr>
          <w:rStyle w:val="FootnoteReference"/>
          <w:rFonts w:ascii="Times New Roman" w:hAnsi="Times New Roman"/>
          <w:sz w:val="24"/>
          <w:szCs w:val="24"/>
        </w:rPr>
        <w:footnoteReference w:id="15"/>
      </w:r>
    </w:p>
    <w:p w:rsidR="00D363EC" w:rsidRPr="00A257D5" w:rsidRDefault="00D363EC" w:rsidP="00D363EC">
      <w:pPr>
        <w:spacing w:after="120" w:line="360" w:lineRule="auto"/>
        <w:ind w:firstLine="720"/>
        <w:rPr>
          <w:rFonts w:ascii="Times New Roman" w:hAnsi="Times New Roman" w:cs="Times New Roman"/>
          <w:sz w:val="24"/>
          <w:szCs w:val="24"/>
        </w:rPr>
      </w:pPr>
      <w:r w:rsidRPr="00A257D5">
        <w:rPr>
          <w:rFonts w:ascii="Times New Roman" w:hAnsi="Times New Roman" w:cs="Times New Roman"/>
          <w:sz w:val="24"/>
          <w:szCs w:val="24"/>
        </w:rPr>
        <w:t>Paul Murphy writes that the early-nineteenth century ushered in the period when radical-minded journalists increasingly saw the value of constructing fiction in the service of the working class.</w:t>
      </w:r>
      <w:r w:rsidRPr="00A257D5">
        <w:rPr>
          <w:rStyle w:val="FootnoteReference"/>
          <w:rFonts w:ascii="Times New Roman" w:hAnsi="Times New Roman"/>
          <w:sz w:val="24"/>
          <w:szCs w:val="24"/>
        </w:rPr>
        <w:footnoteReference w:id="16"/>
      </w:r>
      <w:r w:rsidRPr="00A257D5">
        <w:rPr>
          <w:rFonts w:ascii="Times New Roman" w:hAnsi="Times New Roman" w:cs="Times New Roman"/>
          <w:sz w:val="24"/>
          <w:szCs w:val="24"/>
        </w:rPr>
        <w:t xml:space="preserve">  The thesis will argue that Reynolds operated within this utilitarian framework and his portrayals of protest by the industrious classes played a key role in the aim </w:t>
      </w:r>
      <w:r w:rsidRPr="00A257D5">
        <w:rPr>
          <w:rFonts w:ascii="Times New Roman" w:hAnsi="Times New Roman" w:cs="Times New Roman"/>
          <w:sz w:val="24"/>
          <w:szCs w:val="24"/>
        </w:rPr>
        <w:lastRenderedPageBreak/>
        <w:t>of instructing his readership.  In a popular format, they promoted a set of moral and psychological principles for appropriate conduct in social struggle while warning against behaviour that might result in damaging intra-class conflict or lead to criminality.  The belief that to protest against injustice was vital for people’s well-being found support across the political spectrum.  Thomas Carlyle wrote of widespread anger among those who suffered miserable social conditions: ‘No man can bear it, or ought to bear it.  A deeper law than any parchment-law whatsoever, a law written direct by the hand of God in the inmost being of man, incessantly protests against it.’</w:t>
      </w:r>
      <w:r w:rsidRPr="00A257D5">
        <w:rPr>
          <w:rStyle w:val="FootnoteReference"/>
          <w:rFonts w:ascii="Times New Roman" w:hAnsi="Times New Roman"/>
          <w:sz w:val="24"/>
          <w:szCs w:val="24"/>
        </w:rPr>
        <w:footnoteReference w:id="17"/>
      </w:r>
      <w:r w:rsidRPr="00A257D5">
        <w:rPr>
          <w:rFonts w:ascii="Times New Roman" w:hAnsi="Times New Roman" w:cs="Times New Roman"/>
          <w:sz w:val="24"/>
          <w:szCs w:val="24"/>
        </w:rPr>
        <w:t xml:space="preserve">  From a socialist perspective, Frederick Engels commented: ‘the English workers cannot feel happy in this condition; […] theirs is not a state in which a man or a whole class of men can think, feel, and live as human beings.</w:t>
      </w:r>
      <w:r w:rsidRPr="00A257D5">
        <w:rPr>
          <w:rStyle w:val="FootnoteReference"/>
          <w:rFonts w:ascii="Times New Roman" w:hAnsi="Times New Roman"/>
          <w:sz w:val="24"/>
          <w:szCs w:val="24"/>
        </w:rPr>
        <w:footnoteReference w:id="18"/>
      </w:r>
      <w:r w:rsidRPr="00A257D5">
        <w:rPr>
          <w:rFonts w:ascii="Times New Roman" w:hAnsi="Times New Roman" w:cs="Times New Roman"/>
          <w:sz w:val="24"/>
          <w:szCs w:val="24"/>
        </w:rPr>
        <w:t xml:space="preserve">  Carlyle saw rebelliousness as an indelible God-given trait, while Engels placed it directly in relation to the exploitation of the capitalist system.  However, both believed the poor should not passively accept their plight and that to rebel was a natural response.  Failure to do so suggested they had been brutalized to a near animal existence.  Reynolds agreed such protest was primarily a sign of one’s humanity, pointing to the perilous consequences of losing the ability to do so with this description of a passer-by in Cheapside:</w:t>
      </w:r>
    </w:p>
    <w:p w:rsidR="00D363EC" w:rsidRPr="00A257D5" w:rsidRDefault="00D363EC" w:rsidP="00D363EC">
      <w:pPr>
        <w:spacing w:after="240" w:line="240" w:lineRule="auto"/>
        <w:ind w:left="720"/>
        <w:rPr>
          <w:rFonts w:ascii="Times New Roman" w:hAnsi="Times New Roman" w:cs="Times New Roman"/>
          <w:sz w:val="24"/>
          <w:szCs w:val="24"/>
        </w:rPr>
      </w:pPr>
      <w:r w:rsidRPr="00A257D5">
        <w:rPr>
          <w:rFonts w:ascii="Times New Roman" w:hAnsi="Times New Roman" w:cs="Times New Roman"/>
          <w:sz w:val="24"/>
          <w:szCs w:val="24"/>
        </w:rPr>
        <w:t>[W]ho is he?  Mark how he shuffles along, dragging his heavy high-lows over the pavement at a pace too speedy for his attenuated frame: and see with what anxiety he looks up at the clock projecting out far over-head, to assure himself that he shall yet be at his office within two minutes of half-past nine—or else risk his place and the eighteen shillings a week which it brings him in, and on which he has to support a wife and large family.  He is a copying clerk in a lawyer’s office—there can be no doubt of it; and the poor man has his dinner wrapped up in his pocket-handkerchief!</w:t>
      </w:r>
      <w:r w:rsidRPr="00A257D5">
        <w:rPr>
          <w:rStyle w:val="FootnoteReference"/>
          <w:rFonts w:ascii="Times New Roman" w:hAnsi="Times New Roman"/>
          <w:sz w:val="24"/>
          <w:szCs w:val="24"/>
        </w:rPr>
        <w:footnoteReference w:id="19"/>
      </w:r>
    </w:p>
    <w:p w:rsidR="00D363EC" w:rsidRPr="00A257D5" w:rsidRDefault="00D363EC" w:rsidP="00D363EC">
      <w:pPr>
        <w:spacing w:after="120" w:line="360" w:lineRule="auto"/>
        <w:rPr>
          <w:rFonts w:ascii="Times New Roman" w:hAnsi="Times New Roman" w:cs="Times New Roman"/>
          <w:sz w:val="24"/>
          <w:szCs w:val="24"/>
        </w:rPr>
      </w:pPr>
      <w:r w:rsidRPr="00A257D5">
        <w:rPr>
          <w:rFonts w:ascii="Times New Roman" w:hAnsi="Times New Roman" w:cs="Times New Roman"/>
          <w:sz w:val="24"/>
          <w:szCs w:val="24"/>
        </w:rPr>
        <w:t xml:space="preserve">The opening question is soon answered; the man is one of the innumerable shabby-genteel members of society who cannot protest.  His wages permit him to eke out a superficially respectable lifestyle but the need to maintain it grinds him down.  Threadbare suit, poor physique and meagre dinner bespeak a barely concealed poverty while the anxious look at the clock and the ‘too speedy’ pace denote fear.  The shuffling gait suggests someone unable to stand erect and face the world on his own terms.  Such weakness leaves him emotionally stunted.  With no likelihood of the copying clerk rebelling, he will endure this pitiful existence until death or dismissal by an uncaring employer.  </w:t>
      </w:r>
    </w:p>
    <w:p w:rsidR="00D363EC" w:rsidRPr="00A257D5" w:rsidRDefault="00D363EC" w:rsidP="00D363EC">
      <w:pPr>
        <w:spacing w:after="120" w:line="360" w:lineRule="auto"/>
        <w:ind w:firstLine="720"/>
        <w:rPr>
          <w:rFonts w:ascii="Times New Roman" w:hAnsi="Times New Roman" w:cs="Times New Roman"/>
          <w:sz w:val="24"/>
          <w:szCs w:val="24"/>
        </w:rPr>
      </w:pPr>
      <w:r w:rsidRPr="00A257D5">
        <w:rPr>
          <w:rFonts w:ascii="Times New Roman" w:hAnsi="Times New Roman" w:cs="Times New Roman"/>
          <w:sz w:val="24"/>
          <w:szCs w:val="24"/>
        </w:rPr>
        <w:lastRenderedPageBreak/>
        <w:t xml:space="preserve">It is important to begin by setting out the parameters that this thesis will use for the terms ‘industrious classes’ and ‘protest’ as they apply to Reynolds’s work and which form the area of investigation.  Generally he refers to ‘working classes’ and ‘industrious classes’ interchangeably.  </w:t>
      </w:r>
      <w:r w:rsidRPr="00A257D5">
        <w:rPr>
          <w:rFonts w:ascii="Times New Roman" w:hAnsi="Times New Roman" w:cs="Times New Roman"/>
          <w:bCs/>
          <w:sz w:val="24"/>
          <w:szCs w:val="24"/>
        </w:rPr>
        <w:t>Another favoured term was ‘plebeian’ which as Anna Clark writes is a ‘deliberately vague inclusion of working people in general, defined not by a relation to a mode of production but as the “lower orders”’.</w:t>
      </w:r>
      <w:r w:rsidRPr="00A257D5">
        <w:rPr>
          <w:rStyle w:val="FootnoteReference"/>
          <w:rFonts w:ascii="Times New Roman" w:hAnsi="Times New Roman"/>
          <w:sz w:val="24"/>
          <w:szCs w:val="24"/>
        </w:rPr>
        <w:footnoteReference w:id="20"/>
      </w:r>
      <w:r w:rsidRPr="00A257D5">
        <w:rPr>
          <w:rFonts w:ascii="Times New Roman" w:hAnsi="Times New Roman" w:cs="Times New Roman"/>
          <w:bCs/>
          <w:sz w:val="24"/>
          <w:szCs w:val="24"/>
        </w:rPr>
        <w:t xml:space="preserve">  </w:t>
      </w:r>
      <w:r w:rsidRPr="00A257D5">
        <w:rPr>
          <w:rFonts w:ascii="Times New Roman" w:hAnsi="Times New Roman" w:cs="Times New Roman"/>
          <w:sz w:val="24"/>
          <w:szCs w:val="24"/>
        </w:rPr>
        <w:t>Clark’s definition points fairly accurately to the strata of society that Reynolds deals with and indicates the imprecise manner in which he treats the concept.</w:t>
      </w:r>
      <w:r w:rsidRPr="00A257D5">
        <w:rPr>
          <w:rFonts w:ascii="Times New Roman" w:hAnsi="Times New Roman" w:cs="Times New Roman"/>
          <w:bCs/>
          <w:sz w:val="24"/>
          <w:szCs w:val="24"/>
        </w:rPr>
        <w:t xml:space="preserve">  </w:t>
      </w:r>
      <w:r w:rsidRPr="00A257D5">
        <w:rPr>
          <w:rFonts w:ascii="Times New Roman" w:hAnsi="Times New Roman" w:cs="Times New Roman"/>
          <w:sz w:val="24"/>
          <w:szCs w:val="24"/>
        </w:rPr>
        <w:t>R. S. Neale’s ‘five-class model’ which considers both economic status and inter-class attitudes suggests a social structure much of which is identifiable in Reynolds’s writing</w:t>
      </w:r>
      <w:r w:rsidRPr="00E76A51">
        <w:rPr>
          <w:rFonts w:ascii="Times New Roman" w:hAnsi="Times New Roman" w:cs="Times New Roman"/>
          <w:sz w:val="24"/>
          <w:szCs w:val="24"/>
        </w:rPr>
        <w:t>.</w:t>
      </w:r>
      <w:r w:rsidRPr="00E76A51">
        <w:rPr>
          <w:rStyle w:val="FootnoteReference"/>
          <w:rFonts w:ascii="Times New Roman" w:hAnsi="Times New Roman"/>
          <w:sz w:val="24"/>
          <w:szCs w:val="24"/>
        </w:rPr>
        <w:footnoteReference w:id="21"/>
      </w:r>
      <w:r w:rsidRPr="00E76A51">
        <w:rPr>
          <w:rFonts w:ascii="Times New Roman" w:hAnsi="Times New Roman" w:cs="Times New Roman"/>
          <w:sz w:val="24"/>
          <w:szCs w:val="24"/>
        </w:rPr>
        <w:t xml:space="preserve">  The top two component groups are the aristocracy and the wealthy industrial and commercial Middle class.  Below these are the Middling class, ‘the petit bourgeois, aspiring professional men, other literates and artisans’.</w:t>
      </w:r>
      <w:r w:rsidRPr="00E76A51">
        <w:rPr>
          <w:rStyle w:val="FootnoteReference"/>
          <w:rFonts w:ascii="Times New Roman" w:hAnsi="Times New Roman"/>
          <w:sz w:val="24"/>
          <w:szCs w:val="24"/>
        </w:rPr>
        <w:footnoteReference w:id="22"/>
      </w:r>
      <w:r w:rsidRPr="00A257D5">
        <w:rPr>
          <w:rFonts w:ascii="Times New Roman" w:hAnsi="Times New Roman" w:cs="Times New Roman"/>
          <w:sz w:val="24"/>
          <w:szCs w:val="24"/>
        </w:rPr>
        <w:t xml:space="preserve">  At the base are ‘Working-class A’, the industrial proletariat, and ‘Working class B’, including urban labourers, the urban poor and domestic servants.  For Reynolds, the bottom three tiers make up the industrious classes, with his main focus being upon those who comprise Neale’s ‘Middling class’ and ‘Working class B’ strata.  His interest in the former is suggested by the series of ‘Letters to the Industrious Classes’ that appeared in </w:t>
      </w:r>
      <w:r w:rsidRPr="00A257D5">
        <w:rPr>
          <w:rFonts w:ascii="Times New Roman" w:hAnsi="Times New Roman" w:cs="Times New Roman"/>
          <w:i/>
          <w:iCs/>
          <w:sz w:val="24"/>
          <w:szCs w:val="24"/>
        </w:rPr>
        <w:t xml:space="preserve">Reynolds’s </w:t>
      </w:r>
      <w:r w:rsidRPr="00A257D5">
        <w:rPr>
          <w:rFonts w:ascii="Times New Roman" w:hAnsi="Times New Roman" w:cs="Times New Roman"/>
          <w:i/>
          <w:sz w:val="24"/>
          <w:szCs w:val="24"/>
        </w:rPr>
        <w:t>Miscellany</w:t>
      </w:r>
      <w:r w:rsidRPr="00A257D5">
        <w:rPr>
          <w:rFonts w:ascii="Times New Roman" w:hAnsi="Times New Roman" w:cs="Times New Roman"/>
          <w:sz w:val="24"/>
          <w:szCs w:val="24"/>
        </w:rPr>
        <w:t xml:space="preserve"> during 1847 and which, as David Vincent points out, fail to include potters, metal workers and miners, three of the four occupations he calls the ‘vanguard of the Industrial Revolution’.</w:t>
      </w:r>
      <w:r w:rsidRPr="00A257D5">
        <w:rPr>
          <w:rStyle w:val="FootnoteReference"/>
          <w:rFonts w:ascii="Times New Roman" w:hAnsi="Times New Roman"/>
          <w:sz w:val="24"/>
          <w:szCs w:val="24"/>
        </w:rPr>
        <w:footnoteReference w:id="23"/>
      </w:r>
      <w:r w:rsidRPr="00A257D5">
        <w:rPr>
          <w:rFonts w:ascii="Times New Roman" w:hAnsi="Times New Roman" w:cs="Times New Roman"/>
          <w:sz w:val="24"/>
          <w:szCs w:val="24"/>
        </w:rPr>
        <w:t xml:space="preserve">  That they address preceptors, young men studying to be teachers and governesses as much as they do needlewomen and weavers points to the ‘Middling class’ aspect of Reynolds’s fiction.  While he occasionally portrays miners and factory workers, the most heavily represented of the industrious classes are domestic servants and waiters, or shop and office staff, many of whom might be seen as workers most likely to aspire to enter the lower-middle class.  In some ways, this reflected London and its labour market which provided the setting for much of his writing.  Especially relevant was the predominance of servants, with the 1841 census </w:t>
      </w:r>
      <w:r w:rsidRPr="00A257D5">
        <w:rPr>
          <w:rFonts w:ascii="Times New Roman" w:hAnsi="Times New Roman" w:cs="Times New Roman"/>
          <w:sz w:val="24"/>
          <w:szCs w:val="24"/>
        </w:rPr>
        <w:lastRenderedPageBreak/>
        <w:t>numbering them at over 168,000.</w:t>
      </w:r>
      <w:r w:rsidRPr="00A257D5">
        <w:rPr>
          <w:rStyle w:val="FootnoteReference"/>
          <w:rFonts w:ascii="Times New Roman" w:hAnsi="Times New Roman"/>
          <w:sz w:val="24"/>
          <w:szCs w:val="24"/>
        </w:rPr>
        <w:footnoteReference w:id="24"/>
      </w:r>
      <w:r w:rsidRPr="00A257D5">
        <w:rPr>
          <w:rFonts w:ascii="Times New Roman" w:hAnsi="Times New Roman" w:cs="Times New Roman"/>
          <w:sz w:val="24"/>
          <w:szCs w:val="24"/>
        </w:rPr>
        <w:t xml:space="preserve">  The 1851 census indicated over 22 per cent of working Londoners, and over half of London’s working women, were domestic servants.</w:t>
      </w:r>
      <w:r w:rsidRPr="00A257D5">
        <w:rPr>
          <w:rStyle w:val="FootnoteReference"/>
          <w:rFonts w:ascii="Times New Roman" w:hAnsi="Times New Roman"/>
          <w:sz w:val="24"/>
          <w:szCs w:val="24"/>
        </w:rPr>
        <w:footnoteReference w:id="25"/>
      </w:r>
      <w:r w:rsidRPr="00A257D5">
        <w:rPr>
          <w:rFonts w:ascii="Times New Roman" w:hAnsi="Times New Roman" w:cs="Times New Roman"/>
          <w:sz w:val="24"/>
          <w:szCs w:val="24"/>
        </w:rPr>
        <w:t xml:space="preserve">  There was also a large workforce of dressmakers and milliners, to which Reynolds paid much attention, with the 1841 census suggesting they numbered 20,780 alongside 12,849 working in other needle trades.</w:t>
      </w:r>
      <w:r w:rsidRPr="00A257D5">
        <w:rPr>
          <w:rStyle w:val="FootnoteReference"/>
          <w:rFonts w:ascii="Times New Roman" w:hAnsi="Times New Roman"/>
          <w:sz w:val="24"/>
          <w:szCs w:val="24"/>
        </w:rPr>
        <w:footnoteReference w:id="26"/>
      </w:r>
    </w:p>
    <w:p w:rsidR="00D363EC" w:rsidRPr="00A257D5" w:rsidRDefault="00D363EC" w:rsidP="00D363EC">
      <w:pPr>
        <w:spacing w:after="120" w:line="360" w:lineRule="auto"/>
        <w:ind w:firstLine="720"/>
        <w:rPr>
          <w:rFonts w:ascii="Times New Roman" w:hAnsi="Times New Roman" w:cs="Times New Roman"/>
          <w:sz w:val="24"/>
          <w:szCs w:val="24"/>
        </w:rPr>
      </w:pPr>
      <w:r w:rsidRPr="00A257D5">
        <w:rPr>
          <w:rFonts w:ascii="Times New Roman" w:hAnsi="Times New Roman" w:cs="Times New Roman"/>
          <w:sz w:val="24"/>
          <w:szCs w:val="24"/>
        </w:rPr>
        <w:t>What united these figures under Reynolds’s ‘industrious umbrella’ was that they relied upon wages as their only source of revenue or were small tradespeople with a modest income.  Many writers note the difficulty of setting wage boundaries between social classes but for the early-mid Victorian period often place the upper limit for the industrious classes at around £150 per annum.</w:t>
      </w:r>
      <w:r w:rsidRPr="00A257D5">
        <w:rPr>
          <w:rStyle w:val="FootnoteReference"/>
          <w:rFonts w:ascii="Times New Roman" w:hAnsi="Times New Roman"/>
          <w:sz w:val="24"/>
          <w:szCs w:val="24"/>
        </w:rPr>
        <w:footnoteReference w:id="27"/>
      </w:r>
      <w:r w:rsidRPr="00A257D5">
        <w:rPr>
          <w:rFonts w:ascii="Times New Roman" w:hAnsi="Times New Roman" w:cs="Times New Roman"/>
          <w:sz w:val="24"/>
          <w:szCs w:val="24"/>
        </w:rPr>
        <w:t xml:space="preserve">  Reynolds’s frequent references to earnings suggest their importance to him in determining social class.  We are told that Mary Price, in addition to her keep, is paid five pounds a year as nursemaid for the Messiter family in Dover and six pounds a year when maid at Mrs Nibkins’s establishment.</w:t>
      </w:r>
      <w:r w:rsidRPr="00A257D5">
        <w:rPr>
          <w:rStyle w:val="FootnoteReference"/>
          <w:rFonts w:ascii="Times New Roman" w:hAnsi="Times New Roman"/>
          <w:sz w:val="24"/>
          <w:szCs w:val="24"/>
        </w:rPr>
        <w:footnoteReference w:id="28"/>
      </w:r>
      <w:r w:rsidRPr="00A257D5">
        <w:rPr>
          <w:rFonts w:ascii="Times New Roman" w:hAnsi="Times New Roman" w:cs="Times New Roman"/>
          <w:sz w:val="24"/>
          <w:szCs w:val="24"/>
        </w:rPr>
        <w:t xml:space="preserve">  Joseph Wilmot suggests the powerful effect that money has upon his sense of status when becoming private secretary to Mr Heseltine, a change that sees him move from occupations where he earned between twenty and fifty pounds annually to a position in which he receives one hundred and fifty.  His sense of elevation is palpable: ‘I entered as it were upon another state of existence.  I was no longer a menial—but was treated in the house with all the attention and respect due to a young gentleman.’</w:t>
      </w:r>
      <w:r w:rsidRPr="00A257D5">
        <w:rPr>
          <w:rStyle w:val="FootnoteReference"/>
          <w:rFonts w:ascii="Times New Roman" w:hAnsi="Times New Roman"/>
          <w:sz w:val="24"/>
          <w:szCs w:val="24"/>
        </w:rPr>
        <w:footnoteReference w:id="29"/>
      </w:r>
      <w:r w:rsidRPr="00A257D5">
        <w:rPr>
          <w:rFonts w:ascii="Times New Roman" w:hAnsi="Times New Roman" w:cs="Times New Roman"/>
          <w:sz w:val="24"/>
          <w:szCs w:val="24"/>
        </w:rPr>
        <w:t xml:space="preserve">  However, while Reynolds used wage levels to point to a degree of economic uniformity among the industrious classes, he was clear that they did not prevent notions of status leading to much division, as inferred by Wilmot’s joyful sense of no longer being a ‘menial’ but ‘a young gentleman’.  Division became much greater when focus was placed upon the ‘dangerous’ classes.  Here, Reynolds largely predated Henry Mayhew’s later classification of this section of the population as the urban poor ‘THAT </w:t>
      </w:r>
      <w:r w:rsidRPr="00A257D5">
        <w:rPr>
          <w:rFonts w:ascii="Times New Roman" w:hAnsi="Times New Roman" w:cs="Times New Roman"/>
          <w:i/>
          <w:iCs/>
          <w:sz w:val="24"/>
          <w:szCs w:val="24"/>
        </w:rPr>
        <w:t>WILL NOT</w:t>
      </w:r>
      <w:r w:rsidRPr="00A257D5">
        <w:rPr>
          <w:rFonts w:ascii="Times New Roman" w:hAnsi="Times New Roman" w:cs="Times New Roman"/>
          <w:sz w:val="24"/>
          <w:szCs w:val="24"/>
        </w:rPr>
        <w:t xml:space="preserve"> </w:t>
      </w:r>
      <w:r w:rsidRPr="00A257D5">
        <w:rPr>
          <w:rFonts w:ascii="Times New Roman" w:hAnsi="Times New Roman" w:cs="Times New Roman"/>
          <w:sz w:val="24"/>
          <w:szCs w:val="24"/>
        </w:rPr>
        <w:lastRenderedPageBreak/>
        <w:t>WORK’.</w:t>
      </w:r>
      <w:r w:rsidRPr="00A257D5">
        <w:rPr>
          <w:rStyle w:val="FootnoteReference"/>
          <w:rFonts w:ascii="Times New Roman" w:hAnsi="Times New Roman"/>
          <w:sz w:val="24"/>
          <w:szCs w:val="24"/>
        </w:rPr>
        <w:footnoteReference w:id="30"/>
      </w:r>
      <w:r w:rsidRPr="00A257D5">
        <w:rPr>
          <w:rFonts w:ascii="Times New Roman" w:hAnsi="Times New Roman" w:cs="Times New Roman"/>
          <w:sz w:val="24"/>
          <w:szCs w:val="24"/>
        </w:rPr>
        <w:t xml:space="preserve">  The rejection of honest labour meant they were usually regarded as lying outside the industrious sectors.  However, Reynolds emphasised through their personal histories that they frequently emerged from honest backgrounds.  He also suggested in broader pictures how many associated with the rougher elements of Neale’s ‘Working class B’ stratum and even partook in their types of labour.  Consequently, this thesis includes them in its analysis, arguing that for Reynolds their existence as a distinct group was testimony to a particularly unwelcome form of protest into which many of the industrious classes descended.</w:t>
      </w:r>
    </w:p>
    <w:p w:rsidR="00D363EC" w:rsidRPr="00A257D5" w:rsidRDefault="00D363EC" w:rsidP="00D363EC">
      <w:pPr>
        <w:spacing w:after="120" w:line="360" w:lineRule="auto"/>
        <w:ind w:firstLine="720"/>
        <w:rPr>
          <w:rFonts w:ascii="Times New Roman" w:hAnsi="Times New Roman" w:cs="Times New Roman"/>
          <w:sz w:val="24"/>
          <w:szCs w:val="24"/>
        </w:rPr>
      </w:pPr>
      <w:r w:rsidRPr="00A257D5">
        <w:rPr>
          <w:rFonts w:ascii="Times New Roman" w:hAnsi="Times New Roman" w:cs="Times New Roman"/>
          <w:sz w:val="24"/>
          <w:szCs w:val="24"/>
        </w:rPr>
        <w:t>Discussion of how Reynolds handles the theme of protest must consider his bleak view of Britain as a class-ridden society, one that saw any attempt by the poor to seek justice through official channels</w:t>
      </w:r>
      <w:r w:rsidR="00E3022A">
        <w:rPr>
          <w:rFonts w:ascii="Times New Roman" w:hAnsi="Times New Roman" w:cs="Times New Roman"/>
          <w:sz w:val="24"/>
          <w:szCs w:val="24"/>
        </w:rPr>
        <w:t xml:space="preserve"> </w:t>
      </w:r>
      <w:r w:rsidRPr="00A257D5">
        <w:rPr>
          <w:rFonts w:ascii="Times New Roman" w:hAnsi="Times New Roman" w:cs="Times New Roman"/>
          <w:sz w:val="24"/>
          <w:szCs w:val="24"/>
        </w:rPr>
        <w:t xml:space="preserve">doomed to failure.  The corrupt nature of the legal system is made apparent in a scene from </w:t>
      </w:r>
      <w:r w:rsidRPr="00A257D5">
        <w:rPr>
          <w:rFonts w:ascii="Times New Roman" w:hAnsi="Times New Roman" w:cs="Times New Roman"/>
          <w:i/>
          <w:sz w:val="24"/>
          <w:szCs w:val="24"/>
        </w:rPr>
        <w:t xml:space="preserve">The </w:t>
      </w:r>
      <w:r w:rsidRPr="00A257D5">
        <w:rPr>
          <w:rFonts w:ascii="Times New Roman" w:hAnsi="Times New Roman" w:cs="Times New Roman"/>
          <w:i/>
          <w:iCs/>
          <w:sz w:val="24"/>
          <w:szCs w:val="24"/>
        </w:rPr>
        <w:t>Mysteries of London</w:t>
      </w:r>
      <w:r w:rsidRPr="00A257D5">
        <w:rPr>
          <w:rFonts w:ascii="Times New Roman" w:hAnsi="Times New Roman" w:cs="Times New Roman"/>
          <w:sz w:val="24"/>
          <w:szCs w:val="24"/>
        </w:rPr>
        <w:t xml:space="preserve"> (1844–48) when the plea for clemency by a street-hawker arrested for selling his wares late at night is dismissed:</w:t>
      </w:r>
    </w:p>
    <w:p w:rsidR="00D363EC" w:rsidRPr="00A257D5" w:rsidRDefault="00D363EC" w:rsidP="00D363EC">
      <w:pPr>
        <w:spacing w:after="240" w:line="240" w:lineRule="auto"/>
        <w:ind w:left="720"/>
        <w:rPr>
          <w:rFonts w:ascii="Times New Roman" w:hAnsi="Times New Roman" w:cs="Times New Roman"/>
          <w:sz w:val="24"/>
          <w:szCs w:val="24"/>
        </w:rPr>
      </w:pPr>
      <w:r w:rsidRPr="00A257D5">
        <w:rPr>
          <w:rFonts w:ascii="Times New Roman" w:hAnsi="Times New Roman" w:cs="Times New Roman"/>
          <w:sz w:val="24"/>
          <w:szCs w:val="24"/>
        </w:rPr>
        <w:t>Please, sir, […] I endeavour to earn an honest living by selling a little fruit in the streets.  I have a wife and seven children to support, and I only stayed out so long to-night because I had had a bad day of it, and the money is so much wanted at home.</w:t>
      </w:r>
      <w:r w:rsidRPr="00A257D5">
        <w:rPr>
          <w:rStyle w:val="FootnoteReference"/>
          <w:rFonts w:ascii="Times New Roman" w:hAnsi="Times New Roman"/>
          <w:sz w:val="24"/>
          <w:szCs w:val="24"/>
        </w:rPr>
        <w:footnoteReference w:id="31"/>
      </w:r>
    </w:p>
    <w:p w:rsidR="00D363EC" w:rsidRPr="00A257D5" w:rsidRDefault="00D363EC" w:rsidP="00D363EC">
      <w:pPr>
        <w:spacing w:after="120" w:line="360" w:lineRule="auto"/>
        <w:rPr>
          <w:rFonts w:ascii="Times New Roman" w:hAnsi="Times New Roman" w:cs="Times New Roman"/>
          <w:sz w:val="24"/>
          <w:szCs w:val="24"/>
        </w:rPr>
      </w:pPr>
      <w:r w:rsidRPr="00A257D5">
        <w:rPr>
          <w:rFonts w:ascii="Times New Roman" w:hAnsi="Times New Roman" w:cs="Times New Roman"/>
          <w:sz w:val="24"/>
          <w:szCs w:val="24"/>
        </w:rPr>
        <w:t>The failure of his arguments suggests the treatment common people might expect.  The class bias is confirmed by the inspector at the station-house: ‘Those little carts frighten the horses in the great folks’ carriages, and can’t be allowed.’</w:t>
      </w:r>
      <w:r w:rsidRPr="00A257D5">
        <w:rPr>
          <w:rStyle w:val="FootnoteReference"/>
          <w:rFonts w:ascii="Times New Roman" w:hAnsi="Times New Roman"/>
          <w:sz w:val="24"/>
          <w:szCs w:val="24"/>
        </w:rPr>
        <w:footnoteReference w:id="32"/>
      </w:r>
      <w:r w:rsidRPr="00A257D5">
        <w:rPr>
          <w:rFonts w:ascii="Times New Roman" w:hAnsi="Times New Roman" w:cs="Times New Roman"/>
          <w:sz w:val="24"/>
          <w:szCs w:val="24"/>
        </w:rPr>
        <w:t xml:space="preserve">  Laws are maintained in the interests of the wealthy with Reynolds seeing them as a ‘cunning web’ of ‘intricate technicalities’ designed to entrap the unsuspecting poor.</w:t>
      </w:r>
      <w:r w:rsidRPr="00A257D5">
        <w:rPr>
          <w:rStyle w:val="FootnoteReference"/>
          <w:rFonts w:ascii="Times New Roman" w:hAnsi="Times New Roman"/>
          <w:sz w:val="24"/>
          <w:szCs w:val="24"/>
        </w:rPr>
        <w:footnoteReference w:id="33"/>
      </w:r>
      <w:r w:rsidRPr="00A257D5">
        <w:rPr>
          <w:rFonts w:ascii="Times New Roman" w:hAnsi="Times New Roman" w:cs="Times New Roman"/>
          <w:sz w:val="24"/>
          <w:szCs w:val="24"/>
        </w:rPr>
        <w:t xml:space="preserve">  Consequently, protest needed to be carried out independently of the state authorities unless genuine oppositionists within the official apparatus could be found.  It is surprising, therefore, that Reynolds paid little attention to the industrial strike, particularly since many authors in the 1840s and 1850s turned to the struggles between worker and factory owner, resulting in what Raymond Williams terms the ‘industrial novels’.</w:t>
      </w:r>
      <w:r w:rsidRPr="00A257D5">
        <w:rPr>
          <w:rStyle w:val="FootnoteReference"/>
          <w:rFonts w:ascii="Times New Roman" w:hAnsi="Times New Roman"/>
          <w:snapToGrid w:val="0"/>
          <w:sz w:val="24"/>
          <w:szCs w:val="24"/>
          <w:lang w:val="en-US"/>
        </w:rPr>
        <w:footnoteReference w:id="34"/>
      </w:r>
      <w:r w:rsidRPr="00A257D5">
        <w:rPr>
          <w:rFonts w:ascii="Times New Roman" w:hAnsi="Times New Roman" w:cs="Times New Roman"/>
          <w:sz w:val="24"/>
          <w:szCs w:val="24"/>
        </w:rPr>
        <w:t xml:space="preserve">  Yet this highly visible manifestation of mass dissent plays a minor role in Reynolds’s fiction.  To some extent this was a consequence of the general lack of Neale’s ‘Working class A’ stratum in his work which </w:t>
      </w:r>
      <w:r w:rsidRPr="00FC0573">
        <w:rPr>
          <w:rFonts w:ascii="Times New Roman" w:hAnsi="Times New Roman" w:cs="Times New Roman"/>
          <w:sz w:val="24"/>
          <w:szCs w:val="24"/>
        </w:rPr>
        <w:t>reflected the capit</w:t>
      </w:r>
      <w:r w:rsidR="00E76A51" w:rsidRPr="00FC0573">
        <w:rPr>
          <w:rFonts w:ascii="Times New Roman" w:hAnsi="Times New Roman" w:cs="Times New Roman"/>
          <w:sz w:val="24"/>
          <w:szCs w:val="24"/>
        </w:rPr>
        <w:t>a</w:t>
      </w:r>
      <w:r w:rsidRPr="00FC0573">
        <w:rPr>
          <w:rFonts w:ascii="Times New Roman" w:hAnsi="Times New Roman" w:cs="Times New Roman"/>
          <w:sz w:val="24"/>
          <w:szCs w:val="24"/>
        </w:rPr>
        <w:t>l</w:t>
      </w:r>
      <w:r w:rsidRPr="00A257D5">
        <w:rPr>
          <w:rFonts w:ascii="Times New Roman" w:hAnsi="Times New Roman" w:cs="Times New Roman"/>
          <w:sz w:val="24"/>
          <w:szCs w:val="24"/>
        </w:rPr>
        <w:t xml:space="preserve"> being mainly a centre of </w:t>
      </w:r>
      <w:r w:rsidRPr="00A257D5">
        <w:rPr>
          <w:rFonts w:ascii="Times New Roman" w:hAnsi="Times New Roman" w:cs="Times New Roman"/>
          <w:sz w:val="24"/>
          <w:szCs w:val="24"/>
        </w:rPr>
        <w:lastRenderedPageBreak/>
        <w:t>small-scale production.</w:t>
      </w:r>
      <w:r w:rsidRPr="00A257D5">
        <w:rPr>
          <w:rStyle w:val="FootnoteReference"/>
          <w:rFonts w:ascii="Times New Roman" w:hAnsi="Times New Roman"/>
          <w:sz w:val="24"/>
          <w:szCs w:val="24"/>
        </w:rPr>
        <w:footnoteReference w:id="35"/>
      </w:r>
      <w:r w:rsidRPr="00A257D5">
        <w:rPr>
          <w:rFonts w:ascii="Times New Roman" w:hAnsi="Times New Roman" w:cs="Times New Roman"/>
          <w:sz w:val="24"/>
          <w:szCs w:val="24"/>
        </w:rPr>
        <w:t xml:space="preserve">  Contemporaries like George Dodd suggested that with a few exceptions factories were much smaller than in northern England and the midlands.</w:t>
      </w:r>
      <w:r w:rsidRPr="00A257D5">
        <w:rPr>
          <w:rStyle w:val="FootnoteReference"/>
          <w:rFonts w:ascii="Times New Roman" w:hAnsi="Times New Roman"/>
          <w:sz w:val="24"/>
          <w:szCs w:val="24"/>
        </w:rPr>
        <w:footnoteReference w:id="36"/>
      </w:r>
      <w:r w:rsidRPr="00A257D5">
        <w:rPr>
          <w:rFonts w:ascii="Times New Roman" w:hAnsi="Times New Roman" w:cs="Times New Roman"/>
          <w:sz w:val="24"/>
          <w:szCs w:val="24"/>
        </w:rPr>
        <w:t xml:space="preserve">  The 1851 census recorded only twelve London factories with over 300 employees.</w:t>
      </w:r>
      <w:r w:rsidRPr="00A257D5">
        <w:rPr>
          <w:rStyle w:val="FootnoteReference"/>
          <w:rFonts w:ascii="Times New Roman" w:hAnsi="Times New Roman"/>
          <w:sz w:val="24"/>
          <w:szCs w:val="24"/>
        </w:rPr>
        <w:footnoteReference w:id="37"/>
      </w:r>
      <w:r w:rsidRPr="00A257D5">
        <w:rPr>
          <w:rFonts w:ascii="Times New Roman" w:hAnsi="Times New Roman" w:cs="Times New Roman"/>
          <w:sz w:val="24"/>
          <w:szCs w:val="24"/>
        </w:rPr>
        <w:t xml:space="preserve">  None had the dominating influence of the large cotton factories in Manchester.</w:t>
      </w:r>
      <w:r w:rsidRPr="00A257D5">
        <w:rPr>
          <w:rStyle w:val="FootnoteReference"/>
          <w:rFonts w:ascii="Times New Roman" w:hAnsi="Times New Roman"/>
          <w:sz w:val="24"/>
          <w:szCs w:val="24"/>
        </w:rPr>
        <w:footnoteReference w:id="38"/>
      </w:r>
      <w:r w:rsidRPr="00A257D5">
        <w:rPr>
          <w:rFonts w:ascii="Times New Roman" w:hAnsi="Times New Roman" w:cs="Times New Roman"/>
          <w:sz w:val="24"/>
          <w:szCs w:val="24"/>
        </w:rPr>
        <w:t xml:space="preserve">  Despite this omission, however, Reynolds’s work displayed protest existing at every level, pervading the daily life of servants in households and individuals labouring in other arduous occupations.  In such environments, even small actions can assume a challenging aspect, an attempt to establish one’s position or identity when facing an adversary or perceived injustice.  Jean Fernandez points out that the reading of ‘pernicious’ literature by servants could be taken as a sign of their ‘implacably antagonistic character […] a cultural obscenity, and, at times, a spectre of revolution’.</w:t>
      </w:r>
      <w:r w:rsidRPr="00A257D5">
        <w:rPr>
          <w:rStyle w:val="FootnoteReference"/>
          <w:rFonts w:ascii="Times New Roman" w:hAnsi="Times New Roman"/>
          <w:sz w:val="24"/>
          <w:szCs w:val="24"/>
        </w:rPr>
        <w:footnoteReference w:id="39"/>
      </w:r>
      <w:r w:rsidRPr="00A257D5">
        <w:rPr>
          <w:rFonts w:ascii="Times New Roman" w:hAnsi="Times New Roman" w:cs="Times New Roman"/>
          <w:sz w:val="24"/>
          <w:szCs w:val="24"/>
        </w:rPr>
        <w:t xml:space="preserve">  At the very least ‘the delinquent servant literate was […] a transgressor of cultural space associated with respectability’.</w:t>
      </w:r>
      <w:r w:rsidRPr="00A257D5">
        <w:rPr>
          <w:rStyle w:val="FootnoteReference"/>
          <w:rFonts w:ascii="Times New Roman" w:hAnsi="Times New Roman"/>
          <w:sz w:val="24"/>
          <w:szCs w:val="24"/>
        </w:rPr>
        <w:footnoteReference w:id="40"/>
      </w:r>
      <w:r w:rsidRPr="00A257D5">
        <w:rPr>
          <w:rFonts w:ascii="Times New Roman" w:hAnsi="Times New Roman" w:cs="Times New Roman"/>
          <w:sz w:val="24"/>
          <w:szCs w:val="24"/>
        </w:rPr>
        <w:t xml:space="preserve">  Frank Huggett describes the repertoire of minor stratagems for expressing disapproval of superiors, including ‘the dropped plate, the unanswered bell, the unreplenished fire’.</w:t>
      </w:r>
      <w:r w:rsidRPr="00A257D5">
        <w:rPr>
          <w:rStyle w:val="FootnoteReference"/>
          <w:rFonts w:ascii="Times New Roman" w:hAnsi="Times New Roman"/>
          <w:sz w:val="24"/>
          <w:szCs w:val="24"/>
        </w:rPr>
        <w:footnoteReference w:id="41"/>
      </w:r>
      <w:r w:rsidRPr="00A257D5">
        <w:rPr>
          <w:rFonts w:ascii="Times New Roman" w:hAnsi="Times New Roman" w:cs="Times New Roman"/>
          <w:sz w:val="24"/>
          <w:szCs w:val="24"/>
        </w:rPr>
        <w:t xml:space="preserve">  As will be analysed in later chapters, Reynolds continuously mined such personal behaviour to bring out its oppositional nature.  Throughout this constant stream of personal dissent, he inserts protest on the broadest scale, showing the masses demonstrating for </w:t>
      </w:r>
      <w:r w:rsidRPr="009D616D">
        <w:rPr>
          <w:rFonts w:ascii="Times New Roman" w:hAnsi="Times New Roman" w:cs="Times New Roman"/>
          <w:sz w:val="24"/>
          <w:szCs w:val="24"/>
        </w:rPr>
        <w:t>radical</w:t>
      </w:r>
      <w:r w:rsidR="00E3022A" w:rsidRPr="009D616D">
        <w:rPr>
          <w:rFonts w:ascii="Times New Roman" w:hAnsi="Times New Roman" w:cs="Times New Roman"/>
          <w:sz w:val="24"/>
          <w:szCs w:val="24"/>
        </w:rPr>
        <w:t xml:space="preserve"> soci</w:t>
      </w:r>
      <w:r w:rsidRPr="009D616D">
        <w:rPr>
          <w:rFonts w:ascii="Times New Roman" w:hAnsi="Times New Roman" w:cs="Times New Roman"/>
          <w:sz w:val="24"/>
          <w:szCs w:val="24"/>
        </w:rPr>
        <w:t xml:space="preserve">al programmes in England or engaging in political revolution on the Continent, using </w:t>
      </w:r>
      <w:r w:rsidR="00E3022A" w:rsidRPr="009D616D">
        <w:rPr>
          <w:rFonts w:ascii="Times New Roman" w:hAnsi="Times New Roman" w:cs="Times New Roman"/>
          <w:sz w:val="24"/>
          <w:szCs w:val="24"/>
        </w:rPr>
        <w:t>contemporary</w:t>
      </w:r>
      <w:r w:rsidRPr="009D616D">
        <w:rPr>
          <w:rFonts w:ascii="Times New Roman" w:hAnsi="Times New Roman" w:cs="Times New Roman"/>
          <w:sz w:val="24"/>
          <w:szCs w:val="24"/>
        </w:rPr>
        <w:t xml:space="preserve"> events to bolster his arguments.  Existing alongside these is the criminal behaviour of the dangerous</w:t>
      </w:r>
      <w:r w:rsidRPr="00A257D5">
        <w:rPr>
          <w:rFonts w:ascii="Times New Roman" w:hAnsi="Times New Roman" w:cs="Times New Roman"/>
          <w:sz w:val="24"/>
          <w:szCs w:val="24"/>
        </w:rPr>
        <w:t xml:space="preserve"> classes forming another layer of discord, this one infused with a vicious, aimless</w:t>
      </w:r>
      <w:r w:rsidRPr="00A257D5">
        <w:rPr>
          <w:rFonts w:ascii="Times New Roman" w:hAnsi="Times New Roman" w:cs="Times New Roman"/>
          <w:color w:val="FF0000"/>
          <w:sz w:val="24"/>
          <w:szCs w:val="24"/>
        </w:rPr>
        <w:t xml:space="preserve"> </w:t>
      </w:r>
      <w:r w:rsidRPr="00A257D5">
        <w:rPr>
          <w:rFonts w:ascii="Times New Roman" w:hAnsi="Times New Roman" w:cs="Times New Roman"/>
          <w:sz w:val="24"/>
          <w:szCs w:val="24"/>
        </w:rPr>
        <w:t>resentment against society at large.</w:t>
      </w:r>
    </w:p>
    <w:p w:rsidR="00D363EC" w:rsidRPr="00A257D5" w:rsidRDefault="00D363EC" w:rsidP="00D363EC">
      <w:pPr>
        <w:spacing w:after="120" w:line="360" w:lineRule="auto"/>
        <w:ind w:firstLine="720"/>
        <w:rPr>
          <w:rFonts w:ascii="Times New Roman" w:hAnsi="Times New Roman" w:cs="Times New Roman"/>
          <w:sz w:val="24"/>
          <w:szCs w:val="24"/>
        </w:rPr>
      </w:pPr>
      <w:r w:rsidRPr="00A257D5">
        <w:rPr>
          <w:rFonts w:ascii="Times New Roman" w:hAnsi="Times New Roman" w:cs="Times New Roman"/>
          <w:sz w:val="24"/>
          <w:szCs w:val="24"/>
        </w:rPr>
        <w:t xml:space="preserve">Given the fragmentation of Reynolds’s industrious classes it was inevitable protest would be extremely varied, regarding methods used and psychological and moral characteristics.  To cover this diversity, the thesis places Reynolds’s portrayal under three main headings: ‘disreputable protest’, ‘dangerous protest’ and ‘independent respectability’.  </w:t>
      </w:r>
      <w:r w:rsidRPr="00A257D5">
        <w:rPr>
          <w:rFonts w:ascii="Times New Roman" w:hAnsi="Times New Roman" w:cs="Times New Roman"/>
          <w:sz w:val="24"/>
          <w:szCs w:val="24"/>
        </w:rPr>
        <w:lastRenderedPageBreak/>
        <w:t>Subsequent chapters will analyse these in detail but the central qualities of each can be briefly mentioned here to clarify the divisions.  Disreputable protest is often dishonest, showing little concern for others in the pursuit of personal gain, and displaying selfishness to maintain one’s status.  Despite behavioural transgressions, it generally operates within socially accepted structures although prepared to step into the realm of illegality.  Dangerous protest takes many of these qualities to extreme levels, desiring instant material gratification with no concern for agreed norms of justice.  Its moral abandonment expresses the basest passions and leads to the most violent methods.  To support such activity, it constructs images and narratives that bear little resemblance to the world it rails against.  Independent respectability is imbued with the need to be self-reliant and to achieve success lawfully through hard work.  This dissent might be categorized as intellectually driven, using reasoned argument and avoiding violence wherever possible.  It willingly acknowledges members of the upper classes may be valuable to society, but is critical of the injustice that exists within the social hierarchy.  In this respect it expresses qualities that are in line with what the thesis terms Reynolds’s ‘cautious radicalism’ and consequently is seen as his favoured form of protest.  However, there is recognition that Reynolds adds considerable complexity to his portrayal by allowing constant overlapping between the three in terms of their methods and psychological and moral content.  A simplified overview of how this occurs is demonstrated by the following Venn diagrams.</w:t>
      </w:r>
      <w:r w:rsidRPr="00A257D5">
        <w:rPr>
          <w:rStyle w:val="FootnoteReference"/>
          <w:rFonts w:ascii="Times New Roman" w:hAnsi="Times New Roman"/>
          <w:sz w:val="24"/>
          <w:szCs w:val="24"/>
        </w:rPr>
        <w:footnoteReference w:id="42"/>
      </w:r>
    </w:p>
    <w:p w:rsidR="00D363EC" w:rsidRPr="00A257D5" w:rsidRDefault="00D363EC" w:rsidP="00D363EC">
      <w:pPr>
        <w:spacing w:after="120" w:line="360" w:lineRule="auto"/>
        <w:rPr>
          <w:rFonts w:ascii="Times New Roman" w:hAnsi="Times New Roman" w:cs="Times New Roman"/>
        </w:rPr>
      </w:pPr>
      <w:r w:rsidRPr="00A257D5">
        <w:rPr>
          <w:rFonts w:ascii="Times New Roman" w:hAnsi="Times New Roman" w:cs="Times New Roman"/>
          <w:noProof/>
          <w:lang w:eastAsia="en-GB"/>
        </w:rPr>
        <mc:AlternateContent>
          <mc:Choice Requires="wps">
            <w:drawing>
              <wp:anchor distT="0" distB="0" distL="114300" distR="114300" simplePos="0" relativeHeight="251653632" behindDoc="0" locked="0" layoutInCell="1" allowOverlap="1" wp14:anchorId="6ACE8EAF" wp14:editId="1144D1CE">
                <wp:simplePos x="0" y="0"/>
                <wp:positionH relativeFrom="column">
                  <wp:posOffset>3200400</wp:posOffset>
                </wp:positionH>
                <wp:positionV relativeFrom="paragraph">
                  <wp:posOffset>83820</wp:posOffset>
                </wp:positionV>
                <wp:extent cx="1190625" cy="1181100"/>
                <wp:effectExtent l="0" t="0" r="28575" b="19050"/>
                <wp:wrapNone/>
                <wp:docPr id="23"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1181100"/>
                        </a:xfrm>
                        <a:prstGeom prst="ellipse">
                          <a:avLst/>
                        </a:prstGeom>
                        <a:noFill/>
                        <a:ln w="12700" cap="flat" cmpd="sng" algn="ctr">
                          <a:solidFill>
                            <a:sysClr val="windowText" lastClr="000000"/>
                          </a:solidFill>
                          <a:prstDash val="solid"/>
                          <a:miter lim="800000"/>
                        </a:ln>
                        <a:effectLst/>
                      </wps:spPr>
                      <wps:txbx>
                        <w:txbxContent>
                          <w:p w:rsidR="003515E3" w:rsidRDefault="003515E3" w:rsidP="00D363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ACE8EAF" id="Oval 23" o:spid="_x0000_s1026" style="position:absolute;margin-left:252pt;margin-top:6.6pt;width:93.75pt;height:93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" filled="f" strokecolor="windowText" strokeweight="1pt">
                <v:stroke joinstyle="miter"/>
                <v:path arrowok="t"/>
                <v:textbox>
                  <w:txbxContent>
                    <w:p w:rsidR="003515E3" w:rsidRDefault="003515E3" w:rsidP="00D363EC">
                      <w:pPr>
                        <w:jc w:val="center"/>
                      </w:pPr>
                    </w:p>
                  </w:txbxContent>
                </v:textbox>
              </v:oval>
            </w:pict>
          </mc:Fallback>
        </mc:AlternateContent>
      </w:r>
    </w:p>
    <w:p w:rsidR="00D363EC" w:rsidRPr="00A257D5" w:rsidRDefault="00D363EC" w:rsidP="00D363EC">
      <w:pPr>
        <w:spacing w:after="0" w:line="240" w:lineRule="auto"/>
        <w:ind w:firstLine="720"/>
        <w:rPr>
          <w:rFonts w:ascii="Times New Roman" w:hAnsi="Times New Roman" w:cs="Times New Roman"/>
        </w:rPr>
      </w:pPr>
      <w:r w:rsidRPr="00A257D5">
        <w:rPr>
          <w:rFonts w:ascii="Times New Roman" w:hAnsi="Times New Roman" w:cs="Times New Roman"/>
        </w:rPr>
        <w:t>A:</w:t>
      </w:r>
      <w:r w:rsidRPr="00A257D5">
        <w:rPr>
          <w:rFonts w:ascii="Times New Roman" w:hAnsi="Times New Roman" w:cs="Times New Roman"/>
        </w:rPr>
        <w:tab/>
        <w:t>Independent Respectability</w:t>
      </w:r>
    </w:p>
    <w:p w:rsidR="00D363EC" w:rsidRPr="00A257D5" w:rsidRDefault="00D363EC" w:rsidP="00D363EC">
      <w:pPr>
        <w:spacing w:after="0" w:line="240" w:lineRule="auto"/>
        <w:ind w:firstLine="720"/>
        <w:rPr>
          <w:rFonts w:ascii="Times New Roman" w:hAnsi="Times New Roman" w:cs="Times New Roman"/>
        </w:rPr>
      </w:pPr>
      <w:r w:rsidRPr="00A257D5">
        <w:rPr>
          <w:rFonts w:ascii="Times New Roman" w:hAnsi="Times New Roman" w:cs="Times New Roman"/>
          <w:noProof/>
          <w:lang w:eastAsia="en-GB"/>
        </w:rPr>
        <mc:AlternateContent>
          <mc:Choice Requires="wps">
            <w:drawing>
              <wp:anchor distT="0" distB="0" distL="114300" distR="114300" simplePos="0" relativeHeight="251657728" behindDoc="0" locked="0" layoutInCell="1" allowOverlap="1" wp14:anchorId="183173A0" wp14:editId="3C2D85E9">
                <wp:simplePos x="0" y="0"/>
                <wp:positionH relativeFrom="column">
                  <wp:posOffset>3648075</wp:posOffset>
                </wp:positionH>
                <wp:positionV relativeFrom="paragraph">
                  <wp:posOffset>12065</wp:posOffset>
                </wp:positionV>
                <wp:extent cx="276225" cy="248285"/>
                <wp:effectExtent l="0" t="0" r="9525"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5E3" w:rsidRDefault="003515E3" w:rsidP="00D363EC">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3173A0" id="_x0000_t202" coordsize="21600,21600" o:spt="202" path="m,l,21600r21600,l21600,xe">
                <v:stroke joinstyle="miter"/>
                <v:path gradientshapeok="t" o:connecttype="rect"/>
              </v:shapetype>
              <v:shape id="Text Box 12" o:spid="_x0000_s1027" type="#_x0000_t202" style="position:absolute;left:0;text-align:left;margin-left:287.25pt;margin-top:.95pt;width:21.75pt;height:19.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" stroked="f">
                <v:textbox>
                  <w:txbxContent>
                    <w:p w:rsidR="003515E3" w:rsidRDefault="003515E3" w:rsidP="00D363EC">
                      <w:r>
                        <w:t>B</w:t>
                      </w:r>
                    </w:p>
                  </w:txbxContent>
                </v:textbox>
              </v:shape>
            </w:pict>
          </mc:Fallback>
        </mc:AlternateContent>
      </w:r>
      <w:r w:rsidRPr="00A257D5">
        <w:rPr>
          <w:rFonts w:ascii="Times New Roman" w:hAnsi="Times New Roman" w:cs="Times New Roman"/>
        </w:rPr>
        <w:t>B:</w:t>
      </w:r>
      <w:r w:rsidRPr="00A257D5">
        <w:rPr>
          <w:rFonts w:ascii="Times New Roman" w:hAnsi="Times New Roman" w:cs="Times New Roman"/>
        </w:rPr>
        <w:tab/>
        <w:t>Disreputable Protest</w:t>
      </w:r>
    </w:p>
    <w:p w:rsidR="00D363EC" w:rsidRPr="00A257D5" w:rsidRDefault="00D363EC" w:rsidP="00D363EC">
      <w:pPr>
        <w:spacing w:after="120" w:line="360" w:lineRule="auto"/>
        <w:ind w:firstLine="720"/>
        <w:rPr>
          <w:rFonts w:ascii="Times New Roman" w:hAnsi="Times New Roman" w:cs="Times New Roman"/>
        </w:rPr>
      </w:pPr>
      <w:r w:rsidRPr="00A257D5">
        <w:rPr>
          <w:rFonts w:ascii="Times New Roman" w:hAnsi="Times New Roman" w:cs="Times New Roman"/>
          <w:noProof/>
          <w:lang w:eastAsia="en-GB"/>
        </w:rPr>
        <mc:AlternateContent>
          <mc:Choice Requires="wps">
            <w:drawing>
              <wp:anchor distT="0" distB="0" distL="114300" distR="114300" simplePos="0" relativeHeight="251649536" behindDoc="0" locked="0" layoutInCell="1" allowOverlap="1" wp14:anchorId="39770BBE" wp14:editId="270A5888">
                <wp:simplePos x="0" y="0"/>
                <wp:positionH relativeFrom="column">
                  <wp:posOffset>3743325</wp:posOffset>
                </wp:positionH>
                <wp:positionV relativeFrom="paragraph">
                  <wp:posOffset>159385</wp:posOffset>
                </wp:positionV>
                <wp:extent cx="1123950" cy="1130935"/>
                <wp:effectExtent l="0" t="0" r="19050" b="12065"/>
                <wp:wrapNone/>
                <wp:docPr id="20"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3950" cy="1130935"/>
                        </a:xfrm>
                        <a:prstGeom prst="ellipse">
                          <a:avLst/>
                        </a:prstGeom>
                        <a:noFill/>
                        <a:ln w="12700" cap="flat" cmpd="sng" algn="ctr">
                          <a:solidFill>
                            <a:sysClr val="windowText" lastClr="000000"/>
                          </a:solidFill>
                          <a:prstDash val="solid"/>
                          <a:miter lim="800000"/>
                        </a:ln>
                        <a:effectLst/>
                      </wps:spPr>
                      <wps:txbx>
                        <w:txbxContent>
                          <w:p w:rsidR="003515E3" w:rsidRDefault="003515E3" w:rsidP="00D363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9770BBE" id="Oval 20" o:spid="_x0000_s1028" style="position:absolute;left:0;text-align:left;margin-left:294.75pt;margin-top:12.55pt;width:88.5pt;height:89.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" filled="f" strokecolor="windowText" strokeweight="1pt">
                <v:stroke joinstyle="miter"/>
                <v:path arrowok="t"/>
                <v:textbox>
                  <w:txbxContent>
                    <w:p w:rsidR="003515E3" w:rsidRDefault="003515E3" w:rsidP="00D363EC">
                      <w:pPr>
                        <w:jc w:val="center"/>
                      </w:pPr>
                    </w:p>
                  </w:txbxContent>
                </v:textbox>
              </v:oval>
            </w:pict>
          </mc:Fallback>
        </mc:AlternateContent>
      </w:r>
      <w:r w:rsidRPr="00A257D5">
        <w:rPr>
          <w:rFonts w:ascii="Times New Roman" w:hAnsi="Times New Roman" w:cs="Times New Roman"/>
          <w:noProof/>
          <w:lang w:eastAsia="en-GB"/>
        </w:rPr>
        <mc:AlternateContent>
          <mc:Choice Requires="wps">
            <w:drawing>
              <wp:anchor distT="0" distB="0" distL="114300" distR="114300" simplePos="0" relativeHeight="251651584" behindDoc="0" locked="0" layoutInCell="1" allowOverlap="1" wp14:anchorId="52F33172" wp14:editId="56BCCCA9">
                <wp:simplePos x="0" y="0"/>
                <wp:positionH relativeFrom="column">
                  <wp:posOffset>2676525</wp:posOffset>
                </wp:positionH>
                <wp:positionV relativeFrom="paragraph">
                  <wp:posOffset>159385</wp:posOffset>
                </wp:positionV>
                <wp:extent cx="1123950" cy="1121410"/>
                <wp:effectExtent l="0" t="0" r="19050" b="21590"/>
                <wp:wrapNone/>
                <wp:docPr id="22"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3950" cy="1121410"/>
                        </a:xfrm>
                        <a:prstGeom prst="ellipse">
                          <a:avLst/>
                        </a:prstGeom>
                        <a:noFill/>
                        <a:ln w="12700" cap="flat" cmpd="sng" algn="ctr">
                          <a:solidFill>
                            <a:sysClr val="windowText" lastClr="000000"/>
                          </a:solidFill>
                          <a:prstDash val="solid"/>
                          <a:miter lim="800000"/>
                        </a:ln>
                        <a:effectLst/>
                      </wps:spPr>
                      <wps:txbx>
                        <w:txbxContent>
                          <w:p w:rsidR="003515E3" w:rsidRDefault="003515E3" w:rsidP="00D363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2F33172" id="Oval 22" o:spid="_x0000_s1029" style="position:absolute;left:0;text-align:left;margin-left:210.75pt;margin-top:12.55pt;width:88.5pt;height:88.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" filled="f" strokecolor="windowText" strokeweight="1pt">
                <v:stroke joinstyle="miter"/>
                <v:path arrowok="t"/>
                <v:textbox>
                  <w:txbxContent>
                    <w:p w:rsidR="003515E3" w:rsidRDefault="003515E3" w:rsidP="00D363EC">
                      <w:pPr>
                        <w:jc w:val="center"/>
                      </w:pPr>
                    </w:p>
                  </w:txbxContent>
                </v:textbox>
              </v:oval>
            </w:pict>
          </mc:Fallback>
        </mc:AlternateContent>
      </w:r>
      <w:r w:rsidRPr="00A257D5">
        <w:rPr>
          <w:rFonts w:ascii="Times New Roman" w:hAnsi="Times New Roman" w:cs="Times New Roman"/>
        </w:rPr>
        <w:t>C:</w:t>
      </w:r>
      <w:r w:rsidRPr="00A257D5">
        <w:rPr>
          <w:rFonts w:ascii="Times New Roman" w:hAnsi="Times New Roman" w:cs="Times New Roman"/>
        </w:rPr>
        <w:tab/>
        <w:t>Dangerous Protest</w:t>
      </w:r>
    </w:p>
    <w:p w:rsidR="00D363EC" w:rsidRPr="00A257D5" w:rsidRDefault="00D363EC" w:rsidP="00D363EC">
      <w:pPr>
        <w:spacing w:after="120" w:line="360" w:lineRule="auto"/>
        <w:rPr>
          <w:rFonts w:ascii="Times New Roman" w:hAnsi="Times New Roman" w:cs="Times New Roman"/>
        </w:rPr>
      </w:pPr>
      <w:r w:rsidRPr="00A257D5">
        <w:rPr>
          <w:rFonts w:ascii="Times New Roman" w:hAnsi="Times New Roman" w:cs="Times New Roman"/>
          <w:noProof/>
          <w:lang w:eastAsia="en-GB"/>
        </w:rPr>
        <mc:AlternateContent>
          <mc:Choice Requires="wps">
            <w:drawing>
              <wp:anchor distT="0" distB="0" distL="114300" distR="114300" simplePos="0" relativeHeight="251655680" behindDoc="0" locked="0" layoutInCell="1" allowOverlap="1" wp14:anchorId="24045EF7" wp14:editId="56BBEEF7">
                <wp:simplePos x="0" y="0"/>
                <wp:positionH relativeFrom="column">
                  <wp:posOffset>3048635</wp:posOffset>
                </wp:positionH>
                <wp:positionV relativeFrom="paragraph">
                  <wp:posOffset>272415</wp:posOffset>
                </wp:positionV>
                <wp:extent cx="256540" cy="460375"/>
                <wp:effectExtent l="635" t="3175" r="0" b="317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460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5E3" w:rsidRDefault="003515E3" w:rsidP="00D363EC">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4045EF7" id="Text Box 11" o:spid="_x0000_s1030" type="#_x0000_t202" style="position:absolute;margin-left:240.05pt;margin-top:21.45pt;width:20.2pt;height:36.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" stroked="f">
                <v:textbox>
                  <w:txbxContent>
                    <w:p w:rsidR="003515E3" w:rsidRDefault="003515E3" w:rsidP="00D363EC">
                      <w:r>
                        <w:t>A</w:t>
                      </w:r>
                    </w:p>
                  </w:txbxContent>
                </v:textbox>
              </v:shape>
            </w:pict>
          </mc:Fallback>
        </mc:AlternateContent>
      </w:r>
      <w:r w:rsidRPr="00A257D5">
        <w:rPr>
          <w:rFonts w:ascii="Times New Roman" w:hAnsi="Times New Roman" w:cs="Times New Roman"/>
          <w:noProof/>
          <w:lang w:eastAsia="en-GB"/>
        </w:rPr>
        <mc:AlternateContent>
          <mc:Choice Requires="wps">
            <w:drawing>
              <wp:anchor distT="0" distB="0" distL="114300" distR="114300" simplePos="0" relativeHeight="251659776" behindDoc="0" locked="0" layoutInCell="1" allowOverlap="1" wp14:anchorId="02CB4D48" wp14:editId="4C606493">
                <wp:simplePos x="0" y="0"/>
                <wp:positionH relativeFrom="column">
                  <wp:posOffset>4286250</wp:posOffset>
                </wp:positionH>
                <wp:positionV relativeFrom="paragraph">
                  <wp:posOffset>218440</wp:posOffset>
                </wp:positionV>
                <wp:extent cx="285750" cy="327025"/>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27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5E3" w:rsidRDefault="003515E3" w:rsidP="00D363EC">
                            <w: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B4D48" id="Text Box 10" o:spid="_x0000_s1031" type="#_x0000_t202" style="position:absolute;margin-left:337.5pt;margin-top:17.2pt;width:22.5pt;height:25.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" stroked="f">
                <v:textbox>
                  <w:txbxContent>
                    <w:p w:rsidR="003515E3" w:rsidRDefault="003515E3" w:rsidP="00D363EC">
                      <w:r>
                        <w:t>C</w:t>
                      </w:r>
                    </w:p>
                  </w:txbxContent>
                </v:textbox>
              </v:shape>
            </w:pict>
          </mc:Fallback>
        </mc:AlternateContent>
      </w:r>
    </w:p>
    <w:p w:rsidR="00D363EC" w:rsidRPr="00A257D5" w:rsidRDefault="00D363EC" w:rsidP="00D363EC">
      <w:pPr>
        <w:spacing w:after="120" w:line="360" w:lineRule="auto"/>
        <w:rPr>
          <w:rFonts w:ascii="Times New Roman" w:hAnsi="Times New Roman" w:cs="Times New Roman"/>
        </w:rPr>
      </w:pPr>
    </w:p>
    <w:p w:rsidR="00D363EC" w:rsidRPr="00A257D5" w:rsidRDefault="00D363EC" w:rsidP="00D363EC">
      <w:pPr>
        <w:spacing w:after="120" w:line="360" w:lineRule="auto"/>
        <w:rPr>
          <w:rFonts w:ascii="Times New Roman" w:hAnsi="Times New Roman" w:cs="Times New Roman"/>
          <w:u w:val="single"/>
        </w:rPr>
      </w:pPr>
    </w:p>
    <w:p w:rsidR="00D363EC" w:rsidRPr="00A257D5" w:rsidRDefault="00D363EC" w:rsidP="00D363EC">
      <w:pPr>
        <w:spacing w:after="0" w:line="240" w:lineRule="auto"/>
        <w:rPr>
          <w:rFonts w:ascii="Times New Roman" w:hAnsi="Times New Roman" w:cs="Times New Roman"/>
          <w:u w:val="single"/>
        </w:rPr>
      </w:pPr>
    </w:p>
    <w:p w:rsidR="00D363EC" w:rsidRPr="00A257D5" w:rsidRDefault="00D363EC" w:rsidP="00D363EC">
      <w:pPr>
        <w:spacing w:after="240" w:line="360" w:lineRule="auto"/>
        <w:jc w:val="center"/>
        <w:rPr>
          <w:rFonts w:ascii="Times New Roman" w:hAnsi="Times New Roman" w:cs="Times New Roman"/>
        </w:rPr>
      </w:pPr>
      <w:r w:rsidRPr="00A257D5">
        <w:rPr>
          <w:rFonts w:ascii="Times New Roman" w:hAnsi="Times New Roman" w:cs="Times New Roman"/>
          <w:u w:val="single"/>
        </w:rPr>
        <w:t>Diagram A.</w:t>
      </w:r>
      <w:r w:rsidRPr="00A257D5">
        <w:rPr>
          <w:rFonts w:ascii="Times New Roman" w:hAnsi="Times New Roman" w:cs="Times New Roman"/>
          <w:u w:val="single"/>
        </w:rPr>
        <w:tab/>
        <w:t>Protest: Overlap in Types of Method Used</w:t>
      </w:r>
    </w:p>
    <w:p w:rsidR="00D363EC" w:rsidRPr="00A257D5" w:rsidRDefault="00D363EC" w:rsidP="00D363EC">
      <w:pPr>
        <w:spacing w:after="120" w:line="360" w:lineRule="auto"/>
        <w:rPr>
          <w:rFonts w:ascii="Times New Roman" w:hAnsi="Times New Roman" w:cs="Times New Roman"/>
          <w:sz w:val="24"/>
          <w:szCs w:val="24"/>
        </w:rPr>
      </w:pPr>
      <w:r w:rsidRPr="00A257D5">
        <w:rPr>
          <w:rFonts w:ascii="Times New Roman" w:hAnsi="Times New Roman" w:cs="Times New Roman"/>
          <w:sz w:val="24"/>
          <w:szCs w:val="24"/>
        </w:rPr>
        <w:t xml:space="preserve">Diagram A indicates how actions may differ and converge across different forms of protest.  In a given circumstance, figures struggling for independent respectability will employ calm </w:t>
      </w:r>
      <w:r w:rsidRPr="00A257D5">
        <w:rPr>
          <w:rFonts w:ascii="Times New Roman" w:hAnsi="Times New Roman" w:cs="Times New Roman"/>
          <w:sz w:val="24"/>
          <w:szCs w:val="24"/>
        </w:rPr>
        <w:lastRenderedPageBreak/>
        <w:t>argument to</w:t>
      </w:r>
      <w:r w:rsidRPr="00A257D5">
        <w:rPr>
          <w:rFonts w:ascii="Times New Roman" w:hAnsi="Times New Roman" w:cs="Times New Roman"/>
        </w:rPr>
        <w:t xml:space="preserve"> </w:t>
      </w:r>
      <w:r w:rsidRPr="00A257D5">
        <w:rPr>
          <w:rFonts w:ascii="Times New Roman" w:hAnsi="Times New Roman" w:cs="Times New Roman"/>
          <w:sz w:val="24"/>
          <w:szCs w:val="24"/>
        </w:rPr>
        <w:t xml:space="preserve">establish their position whereas those who protest ‘dangerously’ may resort to physical violence.  Only rarely do their methods </w:t>
      </w:r>
      <w:r w:rsidRPr="009D616D">
        <w:rPr>
          <w:rFonts w:ascii="Times New Roman" w:hAnsi="Times New Roman" w:cs="Times New Roman"/>
          <w:sz w:val="24"/>
          <w:szCs w:val="24"/>
        </w:rPr>
        <w:t xml:space="preserve">overlap.  </w:t>
      </w:r>
      <w:r w:rsidR="00BE1413" w:rsidRPr="009D616D">
        <w:rPr>
          <w:rFonts w:ascii="Times New Roman" w:hAnsi="Times New Roman" w:cs="Times New Roman"/>
          <w:sz w:val="24"/>
          <w:szCs w:val="24"/>
        </w:rPr>
        <w:t>In contrast</w:t>
      </w:r>
      <w:r w:rsidRPr="009D616D">
        <w:rPr>
          <w:rFonts w:ascii="Times New Roman" w:hAnsi="Times New Roman" w:cs="Times New Roman"/>
          <w:sz w:val="24"/>
          <w:szCs w:val="24"/>
        </w:rPr>
        <w:t>, each share a range of activity employed by disreputable protest, perhaps unsurprisingly since it may</w:t>
      </w:r>
      <w:r w:rsidRPr="00A257D5">
        <w:rPr>
          <w:rFonts w:ascii="Times New Roman" w:hAnsi="Times New Roman" w:cs="Times New Roman"/>
          <w:sz w:val="24"/>
          <w:szCs w:val="24"/>
        </w:rPr>
        <w:t xml:space="preserve"> be regarded as forming a centre ground.  However, while its methods frequently merge with the others, it usually lacks the openness and forthright manner of independent respectability while seldom descending into the brutality of dangerous protest.</w:t>
      </w:r>
    </w:p>
    <w:p w:rsidR="00D363EC" w:rsidRPr="00A257D5" w:rsidRDefault="00D363EC" w:rsidP="00D363EC">
      <w:pPr>
        <w:spacing w:after="120" w:line="360" w:lineRule="auto"/>
        <w:ind w:firstLine="720"/>
        <w:rPr>
          <w:rFonts w:ascii="Times New Roman" w:hAnsi="Times New Roman" w:cs="Times New Roman"/>
          <w:sz w:val="24"/>
          <w:szCs w:val="24"/>
        </w:rPr>
      </w:pPr>
      <w:r w:rsidRPr="00A257D5">
        <w:rPr>
          <w:rFonts w:ascii="Times New Roman" w:hAnsi="Times New Roman" w:cs="Times New Roman"/>
          <w:sz w:val="24"/>
          <w:szCs w:val="24"/>
        </w:rPr>
        <w:t>In terms of psychological qualities and moral intention the overlap operates differently.  Disreputable protest still forms the centre ground into which independent respectability and dangerous protest merge, but the latter pair experience no overlap.</w:t>
      </w:r>
    </w:p>
    <w:p w:rsidR="00D363EC" w:rsidRPr="00A257D5" w:rsidRDefault="00D363EC" w:rsidP="00D363EC">
      <w:pPr>
        <w:spacing w:after="120" w:line="360" w:lineRule="auto"/>
        <w:ind w:firstLine="720"/>
        <w:rPr>
          <w:rFonts w:ascii="Times New Roman" w:hAnsi="Times New Roman" w:cs="Times New Roman"/>
        </w:rPr>
      </w:pPr>
      <w:r w:rsidRPr="00A257D5">
        <w:rPr>
          <w:rFonts w:ascii="Times New Roman" w:hAnsi="Times New Roman" w:cs="Times New Roman"/>
          <w:noProof/>
          <w:lang w:eastAsia="en-GB"/>
        </w:rPr>
        <mc:AlternateContent>
          <mc:Choice Requires="wpg">
            <w:drawing>
              <wp:anchor distT="0" distB="0" distL="114300" distR="114300" simplePos="0" relativeHeight="251661824" behindDoc="0" locked="0" layoutInCell="1" allowOverlap="1" wp14:anchorId="28FF35B2" wp14:editId="61BBB36C">
                <wp:simplePos x="0" y="0"/>
                <wp:positionH relativeFrom="column">
                  <wp:posOffset>2499825</wp:posOffset>
                </wp:positionH>
                <wp:positionV relativeFrom="paragraph">
                  <wp:posOffset>152400</wp:posOffset>
                </wp:positionV>
                <wp:extent cx="2686050" cy="1151890"/>
                <wp:effectExtent l="0" t="0" r="19050" b="1016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6050" cy="1151890"/>
                          <a:chOff x="0" y="0"/>
                          <a:chExt cx="3629025" cy="1543050"/>
                        </a:xfrm>
                      </wpg:grpSpPr>
                      <wpg:grpSp>
                        <wpg:cNvPr id="2" name="Group 3"/>
                        <wpg:cNvGrpSpPr>
                          <a:grpSpLocks/>
                        </wpg:cNvGrpSpPr>
                        <wpg:grpSpPr bwMode="auto">
                          <a:xfrm>
                            <a:off x="0" y="0"/>
                            <a:ext cx="3629025" cy="1543050"/>
                            <a:chOff x="0" y="0"/>
                            <a:chExt cx="3629025" cy="1543050"/>
                          </a:xfrm>
                        </wpg:grpSpPr>
                        <wps:wsp>
                          <wps:cNvPr id="3" name="Oval 4"/>
                          <wps:cNvSpPr>
                            <a:spLocks noChangeArrowheads="1"/>
                          </wps:cNvSpPr>
                          <wps:spPr bwMode="auto">
                            <a:xfrm>
                              <a:off x="2133600" y="0"/>
                              <a:ext cx="1495425" cy="1543050"/>
                            </a:xfrm>
                            <a:prstGeom prst="ellipse">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4" name="Group 5"/>
                          <wpg:cNvGrpSpPr>
                            <a:grpSpLocks/>
                          </wpg:cNvGrpSpPr>
                          <wpg:grpSpPr bwMode="auto">
                            <a:xfrm>
                              <a:off x="0" y="0"/>
                              <a:ext cx="2552700" cy="1543050"/>
                              <a:chOff x="0" y="0"/>
                              <a:chExt cx="2552700" cy="1543050"/>
                            </a:xfrm>
                          </wpg:grpSpPr>
                          <wps:wsp>
                            <wps:cNvPr id="5" name="Oval 10"/>
                            <wps:cNvSpPr>
                              <a:spLocks noChangeArrowheads="1"/>
                            </wps:cNvSpPr>
                            <wps:spPr bwMode="auto">
                              <a:xfrm>
                                <a:off x="0" y="0"/>
                                <a:ext cx="1495425" cy="1543050"/>
                              </a:xfrm>
                              <a:prstGeom prst="ellipse">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 name="Oval 12"/>
                            <wps:cNvSpPr>
                              <a:spLocks noChangeArrowheads="1"/>
                            </wps:cNvSpPr>
                            <wps:spPr bwMode="auto">
                              <a:xfrm>
                                <a:off x="1057275" y="0"/>
                                <a:ext cx="1495425" cy="1543050"/>
                              </a:xfrm>
                              <a:prstGeom prst="ellipse">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s:wsp>
                        <wps:cNvPr id="7" name="Text Box 2"/>
                        <wps:cNvSpPr txBox="1">
                          <a:spLocks noChangeArrowheads="1"/>
                        </wps:cNvSpPr>
                        <wps:spPr bwMode="auto">
                          <a:xfrm>
                            <a:off x="533400" y="514587"/>
                            <a:ext cx="314960" cy="4634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5E3" w:rsidRDefault="003515E3" w:rsidP="00D363EC">
                              <w:r>
                                <w:t>A</w:t>
                              </w:r>
                            </w:p>
                          </w:txbxContent>
                        </wps:txbx>
                        <wps:bodyPr rot="0" vert="horz" wrap="square" lIns="91440" tIns="45720" rIns="91440" bIns="45720" anchor="t" anchorCtr="0" upright="1">
                          <a:noAutofit/>
                        </wps:bodyPr>
                      </wps:wsp>
                      <wps:wsp>
                        <wps:cNvPr id="8" name="Text Box 2"/>
                        <wps:cNvSpPr txBox="1">
                          <a:spLocks noChangeArrowheads="1"/>
                        </wps:cNvSpPr>
                        <wps:spPr bwMode="auto">
                          <a:xfrm>
                            <a:off x="1628775" y="457095"/>
                            <a:ext cx="314960" cy="4634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5E3" w:rsidRDefault="003515E3" w:rsidP="00D363EC">
                              <w:r>
                                <w:t>B</w:t>
                              </w:r>
                            </w:p>
                          </w:txbxContent>
                        </wps:txbx>
                        <wps:bodyPr rot="0" vert="horz" wrap="square" lIns="91440" tIns="45720" rIns="91440" bIns="45720" anchor="t" anchorCtr="0" upright="1">
                          <a:noAutofit/>
                        </wps:bodyPr>
                      </wps:wsp>
                      <wps:wsp>
                        <wps:cNvPr id="9" name="Text Box 2"/>
                        <wps:cNvSpPr txBox="1">
                          <a:spLocks noChangeArrowheads="1"/>
                        </wps:cNvSpPr>
                        <wps:spPr bwMode="auto">
                          <a:xfrm>
                            <a:off x="2781300" y="447868"/>
                            <a:ext cx="314960" cy="4634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5E3" w:rsidRDefault="003515E3" w:rsidP="00D363EC">
                              <w:r>
                                <w:t>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FF35B2" id="Group 1" o:spid="_x0000_s1032" style="position:absolute;left:0;text-align:left;margin-left:196.85pt;margin-top:12pt;width:211.5pt;height:90.7pt;z-index:251661824" coordsize="36290,1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">
                <v:group id="Group 3" o:spid="_x0000_s1033" style="position:absolute;width:36290;height:15430" coordsize="36290,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oval id="Oval 4" o:spid="_x0000_s1034" style="position:absolute;left:21336;width:14954;height:1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" filled="f" strokeweight="1pt">
                    <v:stroke joinstyle="miter"/>
                  </v:oval>
                  <v:group id="Group 5" o:spid="_x0000_s1035" style="position:absolute;width:25527;height:15430" coordsize="25527,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10" o:spid="_x0000_s1036" style="position:absolute;width:14954;height:1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" filled="f" strokeweight="1pt">
                      <v:stroke joinstyle="miter"/>
                    </v:oval>
                    <v:oval id="Oval 12" o:spid="_x0000_s1037" style="position:absolute;left:10572;width:14955;height:1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" filled="f" strokeweight="1pt">
                      <v:stroke joinstyle="miter"/>
                    </v:oval>
                  </v:group>
                </v:group>
                <v:shape id="Text Box 2" o:spid="_x0000_s1038" type="#_x0000_t202" style="position:absolute;left:5334;top:5145;width:3149;height:4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w:txbxContent>
                      <w:p w:rsidR="003515E3" w:rsidRDefault="003515E3" w:rsidP="00D363EC">
                        <w:r>
                          <w:t>A</w:t>
                        </w:r>
                      </w:p>
                    </w:txbxContent>
                  </v:textbox>
                </v:shape>
                <v:shape id="Text Box 2" o:spid="_x0000_s1039" type="#_x0000_t202" style="position:absolute;left:16287;top:4570;width:3150;height:4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rsidR="003515E3" w:rsidRDefault="003515E3" w:rsidP="00D363EC">
                        <w:r>
                          <w:t>B</w:t>
                        </w:r>
                      </w:p>
                    </w:txbxContent>
                  </v:textbox>
                </v:shape>
                <v:shape id="Text Box 2" o:spid="_x0000_s1040" type="#_x0000_t202" style="position:absolute;left:27813;top:4478;width:3149;height:4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" stroked="f">
                  <v:textbox>
                    <w:txbxContent>
                      <w:p w:rsidR="003515E3" w:rsidRDefault="003515E3" w:rsidP="00D363EC">
                        <w:r>
                          <w:t>C</w:t>
                        </w:r>
                      </w:p>
                    </w:txbxContent>
                  </v:textbox>
                </v:shape>
              </v:group>
            </w:pict>
          </mc:Fallback>
        </mc:AlternateContent>
      </w:r>
    </w:p>
    <w:p w:rsidR="00D363EC" w:rsidRPr="00A257D5" w:rsidRDefault="00D363EC" w:rsidP="00D363EC">
      <w:pPr>
        <w:numPr>
          <w:ilvl w:val="0"/>
          <w:numId w:val="1"/>
        </w:numPr>
        <w:spacing w:after="0" w:line="240" w:lineRule="auto"/>
        <w:rPr>
          <w:rFonts w:ascii="Times New Roman" w:hAnsi="Times New Roman" w:cs="Times New Roman"/>
        </w:rPr>
      </w:pPr>
      <w:r w:rsidRPr="00A257D5">
        <w:rPr>
          <w:rFonts w:ascii="Times New Roman" w:hAnsi="Times New Roman" w:cs="Times New Roman"/>
        </w:rPr>
        <w:t>Independent Respectability</w:t>
      </w:r>
    </w:p>
    <w:p w:rsidR="00D363EC" w:rsidRPr="00A257D5" w:rsidRDefault="00D363EC" w:rsidP="00D363EC">
      <w:pPr>
        <w:numPr>
          <w:ilvl w:val="0"/>
          <w:numId w:val="1"/>
        </w:numPr>
        <w:spacing w:after="0" w:line="240" w:lineRule="auto"/>
        <w:rPr>
          <w:rFonts w:ascii="Times New Roman" w:hAnsi="Times New Roman" w:cs="Times New Roman"/>
        </w:rPr>
      </w:pPr>
      <w:r w:rsidRPr="00A257D5">
        <w:rPr>
          <w:rFonts w:ascii="Times New Roman" w:hAnsi="Times New Roman" w:cs="Times New Roman"/>
        </w:rPr>
        <w:t>Disreputable Protest</w:t>
      </w:r>
    </w:p>
    <w:p w:rsidR="00D363EC" w:rsidRPr="00A257D5" w:rsidRDefault="00D363EC" w:rsidP="00D363EC">
      <w:pPr>
        <w:numPr>
          <w:ilvl w:val="0"/>
          <w:numId w:val="1"/>
        </w:numPr>
        <w:spacing w:after="120" w:line="360" w:lineRule="auto"/>
        <w:rPr>
          <w:rFonts w:ascii="Times New Roman" w:hAnsi="Times New Roman" w:cs="Times New Roman"/>
        </w:rPr>
      </w:pPr>
      <w:r w:rsidRPr="00A257D5">
        <w:rPr>
          <w:rFonts w:ascii="Times New Roman" w:hAnsi="Times New Roman" w:cs="Times New Roman"/>
        </w:rPr>
        <w:t>Dangerous Protest</w:t>
      </w:r>
    </w:p>
    <w:p w:rsidR="00D363EC" w:rsidRPr="00A257D5" w:rsidRDefault="00D363EC" w:rsidP="00D363EC">
      <w:pPr>
        <w:spacing w:after="120" w:line="360" w:lineRule="auto"/>
        <w:rPr>
          <w:rFonts w:ascii="Times New Roman" w:hAnsi="Times New Roman" w:cs="Times New Roman"/>
        </w:rPr>
      </w:pPr>
    </w:p>
    <w:p w:rsidR="00D363EC" w:rsidRPr="00A257D5" w:rsidRDefault="00D363EC" w:rsidP="00D363EC">
      <w:pPr>
        <w:spacing w:after="0" w:line="240" w:lineRule="auto"/>
        <w:rPr>
          <w:rFonts w:ascii="Times New Roman" w:hAnsi="Times New Roman" w:cs="Times New Roman"/>
        </w:rPr>
      </w:pPr>
    </w:p>
    <w:p w:rsidR="00D363EC" w:rsidRPr="00A257D5" w:rsidRDefault="00D363EC" w:rsidP="00D363EC">
      <w:pPr>
        <w:spacing w:after="240" w:line="360" w:lineRule="auto"/>
        <w:jc w:val="center"/>
        <w:rPr>
          <w:rFonts w:ascii="Times New Roman" w:hAnsi="Times New Roman" w:cs="Times New Roman"/>
        </w:rPr>
      </w:pPr>
      <w:r w:rsidRPr="00A257D5">
        <w:rPr>
          <w:rFonts w:ascii="Times New Roman" w:hAnsi="Times New Roman" w:cs="Times New Roman"/>
          <w:u w:val="single"/>
        </w:rPr>
        <w:t>Diagram B.</w:t>
      </w:r>
      <w:r w:rsidRPr="00A257D5">
        <w:rPr>
          <w:rFonts w:ascii="Times New Roman" w:hAnsi="Times New Roman" w:cs="Times New Roman"/>
          <w:u w:val="single"/>
        </w:rPr>
        <w:tab/>
        <w:t>Protest: Overlap in Psychological Qualities and Moral Intention</w:t>
      </w:r>
    </w:p>
    <w:p w:rsidR="00D363EC" w:rsidRPr="00A257D5" w:rsidRDefault="00D363EC" w:rsidP="00D363EC">
      <w:pPr>
        <w:spacing w:after="120" w:line="360" w:lineRule="auto"/>
        <w:rPr>
          <w:rFonts w:ascii="Times New Roman" w:hAnsi="Times New Roman" w:cs="Times New Roman"/>
          <w:sz w:val="24"/>
          <w:szCs w:val="24"/>
        </w:rPr>
      </w:pPr>
      <w:r w:rsidRPr="00A257D5">
        <w:rPr>
          <w:rFonts w:ascii="Times New Roman" w:hAnsi="Times New Roman" w:cs="Times New Roman"/>
          <w:sz w:val="24"/>
          <w:szCs w:val="24"/>
        </w:rPr>
        <w:t xml:space="preserve">A situation might see the individual reject bullying by social superiors with the justified aim of defending their self-respect.  Independent respectability will maintain this stance by </w:t>
      </w:r>
      <w:r w:rsidRPr="009D616D">
        <w:rPr>
          <w:rFonts w:ascii="Times New Roman" w:hAnsi="Times New Roman" w:cs="Times New Roman"/>
          <w:sz w:val="24"/>
          <w:szCs w:val="24"/>
        </w:rPr>
        <w:t xml:space="preserve">exercising reason and with the intention of establishing a fair and just relationship.  </w:t>
      </w:r>
      <w:r w:rsidR="00B52B12" w:rsidRPr="009D616D">
        <w:rPr>
          <w:rFonts w:ascii="Times New Roman" w:hAnsi="Times New Roman" w:cs="Times New Roman"/>
          <w:sz w:val="24"/>
          <w:szCs w:val="24"/>
        </w:rPr>
        <w:t>D</w:t>
      </w:r>
      <w:r w:rsidRPr="009D616D">
        <w:rPr>
          <w:rFonts w:ascii="Times New Roman" w:hAnsi="Times New Roman" w:cs="Times New Roman"/>
          <w:sz w:val="24"/>
          <w:szCs w:val="24"/>
        </w:rPr>
        <w:t xml:space="preserve">isreputable protest is </w:t>
      </w:r>
      <w:r w:rsidR="00B52B12" w:rsidRPr="009D616D">
        <w:rPr>
          <w:rFonts w:ascii="Times New Roman" w:hAnsi="Times New Roman" w:cs="Times New Roman"/>
          <w:sz w:val="24"/>
          <w:szCs w:val="24"/>
        </w:rPr>
        <w:t xml:space="preserve">more </w:t>
      </w:r>
      <w:r w:rsidRPr="009D616D">
        <w:rPr>
          <w:rFonts w:ascii="Times New Roman" w:hAnsi="Times New Roman" w:cs="Times New Roman"/>
          <w:sz w:val="24"/>
          <w:szCs w:val="24"/>
        </w:rPr>
        <w:t>likely</w:t>
      </w:r>
      <w:r w:rsidRPr="00A257D5">
        <w:rPr>
          <w:rFonts w:ascii="Times New Roman" w:hAnsi="Times New Roman" w:cs="Times New Roman"/>
          <w:sz w:val="24"/>
          <w:szCs w:val="24"/>
        </w:rPr>
        <w:t xml:space="preserve"> to succumb to anger and aim to cause insult or seek revenge.  All three forms of protest may aspire for material advancement in a world of unfair economic distribution.  However, independent respectability will do so governed by the sense of receiving due reward for labour honestly performed whereas dangerous protest will discard any psychological or moral restraint and be driven by the fiercest passions in assuming the right to instant gratification. </w:t>
      </w:r>
    </w:p>
    <w:p w:rsidR="00D363EC" w:rsidRPr="00A257D5" w:rsidRDefault="00D363EC" w:rsidP="00D363EC">
      <w:pPr>
        <w:spacing w:after="120" w:line="360" w:lineRule="auto"/>
        <w:ind w:firstLine="720"/>
        <w:rPr>
          <w:rFonts w:ascii="Times New Roman" w:hAnsi="Times New Roman" w:cs="Times New Roman"/>
          <w:sz w:val="24"/>
          <w:szCs w:val="24"/>
        </w:rPr>
      </w:pPr>
      <w:r w:rsidRPr="00A257D5">
        <w:rPr>
          <w:rFonts w:ascii="Times New Roman" w:hAnsi="Times New Roman" w:cs="Times New Roman"/>
          <w:sz w:val="24"/>
          <w:szCs w:val="24"/>
        </w:rPr>
        <w:t xml:space="preserve">The difference in these overlaps, with greater fluidity apparent in the methods employed, points to a central aspect of the thesis, which may be summed up by saying that Reynolds viewed the psychological and moral basis of protest as a more fundamental matter for consideration than the means used or the material success achieved.  This is exemplified in </w:t>
      </w:r>
      <w:r w:rsidRPr="00A257D5">
        <w:rPr>
          <w:rFonts w:ascii="Times New Roman" w:hAnsi="Times New Roman" w:cs="Times New Roman"/>
          <w:i/>
          <w:sz w:val="24"/>
          <w:szCs w:val="24"/>
        </w:rPr>
        <w:t>The Seamstress</w:t>
      </w:r>
      <w:r w:rsidRPr="00A257D5">
        <w:rPr>
          <w:rFonts w:ascii="Times New Roman" w:hAnsi="Times New Roman" w:cs="Times New Roman"/>
          <w:sz w:val="24"/>
          <w:szCs w:val="24"/>
        </w:rPr>
        <w:t xml:space="preserve"> (1850), Reynolds’s novel about exploitation in the dress-making trade, with the scene where the heroine Virginia Mordaunt threatens the foreman for making unwanted sexual advances: ‘the orphan […] seized a knife and threatened to stab him without </w:t>
      </w:r>
      <w:r w:rsidRPr="00A257D5">
        <w:rPr>
          <w:rFonts w:ascii="Times New Roman" w:hAnsi="Times New Roman" w:cs="Times New Roman"/>
          <w:sz w:val="24"/>
          <w:szCs w:val="24"/>
        </w:rPr>
        <w:lastRenderedPageBreak/>
        <w:t>remorse if he dared approach her’.</w:t>
      </w:r>
      <w:r w:rsidRPr="00A257D5">
        <w:rPr>
          <w:rStyle w:val="FootnoteReference"/>
          <w:rFonts w:ascii="Times New Roman" w:hAnsi="Times New Roman"/>
          <w:sz w:val="24"/>
          <w:szCs w:val="24"/>
        </w:rPr>
        <w:footnoteReference w:id="43"/>
      </w:r>
      <w:r w:rsidRPr="00A257D5">
        <w:rPr>
          <w:rFonts w:ascii="Times New Roman" w:hAnsi="Times New Roman" w:cs="Times New Roman"/>
          <w:sz w:val="24"/>
          <w:szCs w:val="24"/>
        </w:rPr>
        <w:t xml:space="preserve">  Such actions point to those commonly used by practitioners of dangerous protest but this comparison is superficial since there is no moral overlap.  While the latter may use them for revenge or material gain, Virginia is driven by a virtuous defence of her purity, after other methods, including pleading and calls for help, have failed.</w:t>
      </w:r>
    </w:p>
    <w:p w:rsidR="00D363EC" w:rsidRPr="00A257D5" w:rsidRDefault="00D363EC" w:rsidP="00D363EC">
      <w:pPr>
        <w:spacing w:after="0" w:line="360" w:lineRule="auto"/>
        <w:rPr>
          <w:rFonts w:ascii="Times New Roman" w:hAnsi="Times New Roman" w:cs="Times New Roman"/>
          <w:sz w:val="24"/>
          <w:szCs w:val="24"/>
        </w:rPr>
      </w:pPr>
      <w:r w:rsidRPr="00A257D5">
        <w:rPr>
          <w:rFonts w:ascii="Times New Roman" w:hAnsi="Times New Roman" w:cs="Times New Roman"/>
          <w:sz w:val="24"/>
          <w:szCs w:val="24"/>
        </w:rPr>
        <w:tab/>
        <w:t>Another aspect of Reynolds’s view of the different forms of protest can be highlighted by placing them in relation to what he believed were their implications for social change.</w:t>
      </w:r>
    </w:p>
    <w:p w:rsidR="00D363EC" w:rsidRPr="00A257D5" w:rsidRDefault="00D363EC" w:rsidP="00D363EC">
      <w:pPr>
        <w:spacing w:after="0" w:line="240" w:lineRule="auto"/>
        <w:rPr>
          <w:rFonts w:ascii="Times New Roman" w:hAnsi="Times New Roman" w:cs="Times New Roman"/>
        </w:rPr>
      </w:pPr>
    </w:p>
    <w:p w:rsidR="00D363EC" w:rsidRPr="00A257D5" w:rsidRDefault="00D363EC" w:rsidP="00D363EC">
      <w:pPr>
        <w:spacing w:after="0" w:line="240" w:lineRule="auto"/>
        <w:rPr>
          <w:rFonts w:ascii="Times New Roman" w:hAnsi="Times New Roman" w:cs="Times New Roman"/>
        </w:rPr>
      </w:pPr>
      <w:r w:rsidRPr="00A257D5">
        <w:rPr>
          <w:rFonts w:ascii="Times New Roman" w:hAnsi="Times New Roman" w:cs="Times New Roman"/>
        </w:rPr>
        <w:tab/>
      </w:r>
      <w:r w:rsidRPr="00A257D5">
        <w:rPr>
          <w:rFonts w:ascii="Times New Roman" w:hAnsi="Times New Roman" w:cs="Times New Roman"/>
        </w:rPr>
        <w:tab/>
        <w:t>HIGH</w:t>
      </w:r>
      <w:r w:rsidRPr="00A257D5">
        <w:rPr>
          <w:rFonts w:ascii="Times New Roman" w:hAnsi="Times New Roman" w:cs="Times New Roman"/>
        </w:rPr>
        <w:tab/>
      </w:r>
      <w:r w:rsidRPr="00A257D5">
        <w:rPr>
          <w:rFonts w:ascii="Times New Roman" w:hAnsi="Times New Roman" w:cs="Times New Roman"/>
        </w:rPr>
        <w:tab/>
      </w:r>
      <w:r w:rsidRPr="00A257D5">
        <w:rPr>
          <w:rFonts w:ascii="Times New Roman" w:hAnsi="Times New Roman" w:cs="Times New Roman"/>
        </w:rPr>
        <w:tab/>
      </w:r>
      <w:r w:rsidRPr="00A257D5">
        <w:rPr>
          <w:rFonts w:ascii="Times New Roman" w:hAnsi="Times New Roman" w:cs="Times New Roman"/>
        </w:rPr>
        <w:tab/>
      </w:r>
      <w:r w:rsidRPr="00A257D5">
        <w:rPr>
          <w:rFonts w:ascii="Times New Roman" w:hAnsi="Times New Roman" w:cs="Times New Roman"/>
        </w:rPr>
        <w:tab/>
        <w:t>A:</w:t>
      </w:r>
      <w:r w:rsidRPr="00A257D5">
        <w:rPr>
          <w:rFonts w:ascii="Times New Roman" w:hAnsi="Times New Roman" w:cs="Times New Roman"/>
        </w:rPr>
        <w:tab/>
        <w:t>Independent Respectability</w:t>
      </w:r>
    </w:p>
    <w:p w:rsidR="00D363EC" w:rsidRPr="00A257D5" w:rsidRDefault="00D363EC" w:rsidP="00D363EC">
      <w:pPr>
        <w:spacing w:after="0" w:line="240" w:lineRule="auto"/>
        <w:ind w:left="4321" w:firstLine="720"/>
        <w:rPr>
          <w:rFonts w:ascii="Times New Roman" w:hAnsi="Times New Roman" w:cs="Times New Roman"/>
        </w:rPr>
      </w:pPr>
      <w:r w:rsidRPr="00A257D5">
        <w:rPr>
          <w:rFonts w:ascii="Times New Roman" w:hAnsi="Times New Roman" w:cs="Times New Roman"/>
          <w:noProof/>
          <w:lang w:eastAsia="en-GB"/>
        </w:rPr>
        <mc:AlternateContent>
          <mc:Choice Requires="wps">
            <w:drawing>
              <wp:anchor distT="0" distB="0" distL="114300" distR="114300" simplePos="0" relativeHeight="251666944" behindDoc="0" locked="0" layoutInCell="1" allowOverlap="1" wp14:anchorId="78DF1431" wp14:editId="21169377">
                <wp:simplePos x="0" y="0"/>
                <wp:positionH relativeFrom="column">
                  <wp:posOffset>1260475</wp:posOffset>
                </wp:positionH>
                <wp:positionV relativeFrom="paragraph">
                  <wp:posOffset>63500</wp:posOffset>
                </wp:positionV>
                <wp:extent cx="45085" cy="1623060"/>
                <wp:effectExtent l="76200" t="38100" r="50165" b="1524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085" cy="16230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F67B4FF" id="_x0000_t32" coordsize="21600,21600" o:spt="32" o:oned="t" path="m,l21600,21600e" filled="f">
                <v:path arrowok="t" fillok="f" o:connecttype="none"/>
                <o:lock v:ext="edit" shapetype="t"/>
              </v:shapetype>
              <v:shape id="Straight Arrow Connector 15" o:spid="_x0000_s1026" type="#_x0000_t32" style="position:absolute;margin-left:99.25pt;margin-top:5pt;width:3.55pt;height:127.8pt;flip:x 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">
                <v:stroke endarrow="block"/>
              </v:shape>
            </w:pict>
          </mc:Fallback>
        </mc:AlternateContent>
      </w:r>
      <w:r w:rsidRPr="00A257D5">
        <w:rPr>
          <w:rFonts w:ascii="Times New Roman" w:hAnsi="Times New Roman" w:cs="Times New Roman"/>
          <w:noProof/>
          <w:lang w:eastAsia="en-GB"/>
        </w:rPr>
        <mc:AlternateContent>
          <mc:Choice Requires="wps">
            <w:drawing>
              <wp:anchor distT="0" distB="0" distL="114300" distR="114300" simplePos="0" relativeHeight="251662848" behindDoc="0" locked="0" layoutInCell="1" allowOverlap="1" wp14:anchorId="7A23F2DA" wp14:editId="50287EFE">
                <wp:simplePos x="0" y="0"/>
                <wp:positionH relativeFrom="column">
                  <wp:posOffset>1297305</wp:posOffset>
                </wp:positionH>
                <wp:positionV relativeFrom="paragraph">
                  <wp:posOffset>9525</wp:posOffset>
                </wp:positionV>
                <wp:extent cx="495300" cy="466725"/>
                <wp:effectExtent l="0" t="0" r="19050" b="28575"/>
                <wp:wrapNone/>
                <wp:docPr id="24"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0" cy="466725"/>
                        </a:xfrm>
                        <a:prstGeom prst="ellipse">
                          <a:avLst/>
                        </a:prstGeom>
                        <a:noFill/>
                        <a:ln w="12700" cap="flat" cmpd="sng" algn="ctr">
                          <a:solidFill>
                            <a:sysClr val="windowText" lastClr="000000"/>
                          </a:solidFill>
                          <a:prstDash val="solid"/>
                          <a:miter lim="800000"/>
                        </a:ln>
                        <a:effectLst/>
                      </wps:spPr>
                      <wps:txbx>
                        <w:txbxContent>
                          <w:p w:rsidR="003515E3" w:rsidRDefault="003515E3" w:rsidP="00D363EC">
                            <w:pPr>
                              <w:jc w:val="center"/>
                            </w:pPr>
                            <w: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A23F2DA" id="Oval 24" o:spid="_x0000_s1041" style="position:absolute;left:0;text-align:left;margin-left:102.15pt;margin-top:.75pt;width:39pt;height:36.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" filled="f" strokecolor="windowText" strokeweight="1pt">
                <v:stroke joinstyle="miter"/>
                <v:path arrowok="t"/>
                <v:textbox>
                  <w:txbxContent>
                    <w:p w:rsidR="003515E3" w:rsidRDefault="003515E3" w:rsidP="00D363EC">
                      <w:pPr>
                        <w:jc w:val="center"/>
                      </w:pPr>
                      <w:r>
                        <w:t>C</w:t>
                      </w:r>
                    </w:p>
                  </w:txbxContent>
                </v:textbox>
              </v:oval>
            </w:pict>
          </mc:Fallback>
        </mc:AlternateContent>
      </w:r>
      <w:r w:rsidRPr="00A257D5">
        <w:rPr>
          <w:rFonts w:ascii="Times New Roman" w:hAnsi="Times New Roman" w:cs="Times New Roman"/>
        </w:rPr>
        <w:t>B:</w:t>
      </w:r>
      <w:r w:rsidRPr="00A257D5">
        <w:rPr>
          <w:rFonts w:ascii="Times New Roman" w:hAnsi="Times New Roman" w:cs="Times New Roman"/>
        </w:rPr>
        <w:tab/>
        <w:t>Disreputable Protest</w:t>
      </w:r>
    </w:p>
    <w:p w:rsidR="00D363EC" w:rsidRPr="00A257D5" w:rsidRDefault="00D363EC" w:rsidP="00D363EC">
      <w:pPr>
        <w:spacing w:after="120" w:line="360" w:lineRule="auto"/>
        <w:ind w:left="4320" w:firstLine="720"/>
        <w:rPr>
          <w:rFonts w:ascii="Times New Roman" w:hAnsi="Times New Roman" w:cs="Times New Roman"/>
        </w:rPr>
      </w:pPr>
      <w:r w:rsidRPr="00A257D5">
        <w:rPr>
          <w:rFonts w:ascii="Times New Roman" w:hAnsi="Times New Roman" w:cs="Times New Roman"/>
        </w:rPr>
        <w:t>C:</w:t>
      </w:r>
      <w:r w:rsidRPr="00A257D5">
        <w:rPr>
          <w:rFonts w:ascii="Times New Roman" w:hAnsi="Times New Roman" w:cs="Times New Roman"/>
        </w:rPr>
        <w:tab/>
        <w:t>Dangerous Protest</w:t>
      </w:r>
    </w:p>
    <w:p w:rsidR="00D363EC" w:rsidRPr="00A257D5" w:rsidRDefault="00D363EC" w:rsidP="00D363EC">
      <w:pPr>
        <w:spacing w:after="120" w:line="240" w:lineRule="auto"/>
        <w:ind w:left="567"/>
        <w:rPr>
          <w:rFonts w:ascii="Times New Roman" w:hAnsi="Times New Roman" w:cs="Times New Roman"/>
        </w:rPr>
      </w:pPr>
      <w:r w:rsidRPr="00A257D5">
        <w:rPr>
          <w:rFonts w:ascii="Times New Roman" w:hAnsi="Times New Roman" w:cs="Times New Roman"/>
        </w:rPr>
        <w:t>Tendency to</w:t>
      </w:r>
      <w:r w:rsidRPr="00A257D5">
        <w:rPr>
          <w:rFonts w:ascii="Times New Roman" w:hAnsi="Times New Roman" w:cs="Times New Roman"/>
        </w:rPr>
        <w:br/>
        <w:t>use Violence</w:t>
      </w:r>
    </w:p>
    <w:p w:rsidR="00D363EC" w:rsidRPr="00A257D5" w:rsidRDefault="00D363EC" w:rsidP="00D363EC">
      <w:pPr>
        <w:spacing w:after="120" w:line="360" w:lineRule="auto"/>
        <w:ind w:firstLine="720"/>
        <w:rPr>
          <w:rFonts w:ascii="Times New Roman" w:hAnsi="Times New Roman" w:cs="Times New Roman"/>
        </w:rPr>
      </w:pPr>
      <w:r w:rsidRPr="00A257D5">
        <w:rPr>
          <w:rFonts w:ascii="Times New Roman" w:hAnsi="Times New Roman" w:cs="Times New Roman"/>
          <w:noProof/>
          <w:lang w:eastAsia="en-GB"/>
        </w:rPr>
        <mc:AlternateContent>
          <mc:Choice Requires="wps">
            <w:drawing>
              <wp:anchor distT="0" distB="0" distL="114300" distR="114300" simplePos="0" relativeHeight="251663872" behindDoc="0" locked="0" layoutInCell="1" allowOverlap="1" wp14:anchorId="3C9CC265" wp14:editId="64DA7AA6">
                <wp:simplePos x="0" y="0"/>
                <wp:positionH relativeFrom="column">
                  <wp:posOffset>1320165</wp:posOffset>
                </wp:positionH>
                <wp:positionV relativeFrom="paragraph">
                  <wp:posOffset>54610</wp:posOffset>
                </wp:positionV>
                <wp:extent cx="495300" cy="466725"/>
                <wp:effectExtent l="0" t="0" r="19050" b="28575"/>
                <wp:wrapNone/>
                <wp:docPr id="25"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0" cy="466725"/>
                        </a:xfrm>
                        <a:prstGeom prst="ellipse">
                          <a:avLst/>
                        </a:prstGeom>
                        <a:noFill/>
                        <a:ln w="12700" cap="flat" cmpd="sng" algn="ctr">
                          <a:solidFill>
                            <a:sysClr val="windowText" lastClr="000000"/>
                          </a:solidFill>
                          <a:prstDash val="solid"/>
                          <a:miter lim="800000"/>
                        </a:ln>
                        <a:effectLst/>
                      </wps:spPr>
                      <wps:txbx>
                        <w:txbxContent>
                          <w:p w:rsidR="003515E3" w:rsidRDefault="003515E3" w:rsidP="00D363EC">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C9CC265" id="Oval 25" o:spid="_x0000_s1042" style="position:absolute;left:0;text-align:left;margin-left:103.95pt;margin-top:4.3pt;width:39pt;height:36.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" filled="f" strokecolor="windowText" strokeweight="1pt">
                <v:stroke joinstyle="miter"/>
                <v:path arrowok="t"/>
                <v:textbox>
                  <w:txbxContent>
                    <w:p w:rsidR="003515E3" w:rsidRDefault="003515E3" w:rsidP="00D363EC">
                      <w:pPr>
                        <w:jc w:val="center"/>
                      </w:pPr>
                      <w:r>
                        <w:t>B</w:t>
                      </w:r>
                    </w:p>
                  </w:txbxContent>
                </v:textbox>
              </v:oval>
            </w:pict>
          </mc:Fallback>
        </mc:AlternateContent>
      </w:r>
    </w:p>
    <w:p w:rsidR="00D363EC" w:rsidRPr="00A257D5" w:rsidRDefault="00D363EC" w:rsidP="00D363EC">
      <w:pPr>
        <w:spacing w:after="120" w:line="360" w:lineRule="auto"/>
        <w:rPr>
          <w:rFonts w:ascii="Times New Roman" w:hAnsi="Times New Roman" w:cs="Times New Roman"/>
          <w:u w:val="single"/>
        </w:rPr>
      </w:pPr>
      <w:r w:rsidRPr="00A257D5">
        <w:rPr>
          <w:rFonts w:ascii="Times New Roman" w:hAnsi="Times New Roman" w:cs="Times New Roman"/>
          <w:noProof/>
          <w:u w:val="single"/>
          <w:lang w:eastAsia="en-GB"/>
        </w:rPr>
        <mc:AlternateContent>
          <mc:Choice Requires="wps">
            <w:drawing>
              <wp:anchor distT="0" distB="0" distL="114300" distR="114300" simplePos="0" relativeHeight="251664896" behindDoc="0" locked="0" layoutInCell="1" allowOverlap="1" wp14:anchorId="2CA029F7" wp14:editId="1776C5A5">
                <wp:simplePos x="0" y="0"/>
                <wp:positionH relativeFrom="column">
                  <wp:posOffset>3356610</wp:posOffset>
                </wp:positionH>
                <wp:positionV relativeFrom="paragraph">
                  <wp:posOffset>27305</wp:posOffset>
                </wp:positionV>
                <wp:extent cx="495300" cy="466725"/>
                <wp:effectExtent l="0" t="0" r="19050" b="28575"/>
                <wp:wrapNone/>
                <wp:docPr id="26"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0" cy="466725"/>
                        </a:xfrm>
                        <a:prstGeom prst="ellipse">
                          <a:avLst/>
                        </a:prstGeom>
                        <a:noFill/>
                        <a:ln w="12700" cap="flat" cmpd="sng" algn="ctr">
                          <a:solidFill>
                            <a:sysClr val="windowText" lastClr="000000"/>
                          </a:solidFill>
                          <a:prstDash val="solid"/>
                          <a:miter lim="800000"/>
                        </a:ln>
                        <a:effectLst/>
                      </wps:spPr>
                      <wps:txbx>
                        <w:txbxContent>
                          <w:p w:rsidR="003515E3" w:rsidRDefault="003515E3" w:rsidP="00D363EC">
                            <w:pPr>
                              <w:jc w:val="center"/>
                            </w:pPr>
                            <w: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CA029F7" id="Oval 26" o:spid="_x0000_s1043" style="position:absolute;margin-left:264.3pt;margin-top:2.15pt;width:39pt;height:36.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" filled="f" strokecolor="windowText" strokeweight="1pt">
                <v:stroke joinstyle="miter"/>
                <v:path arrowok="t"/>
                <v:textbox>
                  <w:txbxContent>
                    <w:p w:rsidR="003515E3" w:rsidRDefault="003515E3" w:rsidP="00D363EC">
                      <w:pPr>
                        <w:jc w:val="center"/>
                      </w:pPr>
                      <w:r>
                        <w:t>A</w:t>
                      </w:r>
                    </w:p>
                  </w:txbxContent>
                </v:textbox>
              </v:oval>
            </w:pict>
          </mc:Fallback>
        </mc:AlternateContent>
      </w:r>
    </w:p>
    <w:p w:rsidR="00D363EC" w:rsidRPr="00A257D5" w:rsidRDefault="00D363EC" w:rsidP="00D363EC">
      <w:pPr>
        <w:spacing w:after="0" w:line="360" w:lineRule="auto"/>
        <w:rPr>
          <w:rFonts w:ascii="Times New Roman" w:hAnsi="Times New Roman" w:cs="Times New Roman"/>
        </w:rPr>
      </w:pPr>
      <w:r w:rsidRPr="00A257D5">
        <w:rPr>
          <w:rFonts w:ascii="Times New Roman" w:hAnsi="Times New Roman" w:cs="Times New Roman"/>
          <w:noProof/>
          <w:u w:val="single"/>
          <w:lang w:eastAsia="en-GB"/>
        </w:rPr>
        <mc:AlternateContent>
          <mc:Choice Requires="wps">
            <w:drawing>
              <wp:anchor distT="0" distB="0" distL="114300" distR="114300" simplePos="0" relativeHeight="251665920" behindDoc="0" locked="0" layoutInCell="1" allowOverlap="1" wp14:anchorId="42890769" wp14:editId="1DEE1107">
                <wp:simplePos x="0" y="0"/>
                <wp:positionH relativeFrom="column">
                  <wp:posOffset>1304925</wp:posOffset>
                </wp:positionH>
                <wp:positionV relativeFrom="paragraph">
                  <wp:posOffset>180340</wp:posOffset>
                </wp:positionV>
                <wp:extent cx="3552825" cy="0"/>
                <wp:effectExtent l="0" t="76200" r="28575" b="95250"/>
                <wp:wrapNone/>
                <wp:docPr id="27"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28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203C56" id="Straight Arrow Connector 27" o:spid="_x0000_s1026" type="#_x0000_t32" style="position:absolute;margin-left:102.75pt;margin-top:14.2pt;width:279.75pt;height: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">
                <v:stroke endarrow="block"/>
              </v:shape>
            </w:pict>
          </mc:Fallback>
        </mc:AlternateContent>
      </w:r>
    </w:p>
    <w:p w:rsidR="00D363EC" w:rsidRPr="00A257D5" w:rsidRDefault="00D363EC" w:rsidP="00731857">
      <w:pPr>
        <w:spacing w:after="0" w:line="240" w:lineRule="auto"/>
        <w:ind w:firstLine="720"/>
        <w:rPr>
          <w:rFonts w:ascii="Times New Roman" w:hAnsi="Times New Roman" w:cs="Times New Roman"/>
        </w:rPr>
      </w:pPr>
      <w:r w:rsidRPr="00A257D5">
        <w:rPr>
          <w:rFonts w:ascii="Times New Roman" w:hAnsi="Times New Roman" w:cs="Times New Roman"/>
        </w:rPr>
        <w:tab/>
      </w:r>
      <w:r w:rsidR="00731857" w:rsidRPr="009D616D">
        <w:rPr>
          <w:rFonts w:ascii="Times New Roman" w:hAnsi="Times New Roman" w:cs="Times New Roman"/>
        </w:rPr>
        <w:t>ZERO</w:t>
      </w:r>
      <w:r w:rsidR="00731857">
        <w:rPr>
          <w:rFonts w:ascii="Times New Roman" w:hAnsi="Times New Roman" w:cs="Times New Roman"/>
        </w:rPr>
        <w:tab/>
      </w:r>
      <w:r w:rsidR="00731857">
        <w:rPr>
          <w:rFonts w:ascii="Times New Roman" w:hAnsi="Times New Roman" w:cs="Times New Roman"/>
        </w:rPr>
        <w:tab/>
      </w:r>
      <w:r w:rsidR="00731857">
        <w:rPr>
          <w:rFonts w:ascii="Times New Roman" w:hAnsi="Times New Roman" w:cs="Times New Roman"/>
        </w:rPr>
        <w:tab/>
      </w:r>
      <w:r w:rsidR="00731857">
        <w:rPr>
          <w:rFonts w:ascii="Times New Roman" w:hAnsi="Times New Roman" w:cs="Times New Roman"/>
        </w:rPr>
        <w:tab/>
      </w:r>
      <w:r w:rsidR="00731857">
        <w:rPr>
          <w:rFonts w:ascii="Times New Roman" w:hAnsi="Times New Roman" w:cs="Times New Roman"/>
        </w:rPr>
        <w:tab/>
      </w:r>
      <w:r w:rsidRPr="00A257D5">
        <w:rPr>
          <w:rFonts w:ascii="Times New Roman" w:hAnsi="Times New Roman" w:cs="Times New Roman"/>
        </w:rPr>
        <w:tab/>
      </w:r>
      <w:r w:rsidRPr="00A257D5">
        <w:rPr>
          <w:rFonts w:ascii="Times New Roman" w:hAnsi="Times New Roman" w:cs="Times New Roman"/>
        </w:rPr>
        <w:tab/>
      </w:r>
      <w:r w:rsidRPr="00A257D5">
        <w:rPr>
          <w:rFonts w:ascii="Times New Roman" w:hAnsi="Times New Roman" w:cs="Times New Roman"/>
        </w:rPr>
        <w:tab/>
        <w:t>HIGH</w:t>
      </w:r>
    </w:p>
    <w:p w:rsidR="00D363EC" w:rsidRPr="00A257D5" w:rsidRDefault="00D363EC" w:rsidP="00731857">
      <w:pPr>
        <w:spacing w:after="120" w:line="360" w:lineRule="auto"/>
        <w:ind w:left="2835" w:firstLine="720"/>
        <w:rPr>
          <w:rFonts w:ascii="Times New Roman" w:hAnsi="Times New Roman" w:cs="Times New Roman"/>
        </w:rPr>
      </w:pPr>
      <w:r w:rsidRPr="00A257D5">
        <w:rPr>
          <w:rFonts w:ascii="Times New Roman" w:hAnsi="Times New Roman" w:cs="Times New Roman"/>
        </w:rPr>
        <w:t>Desire for Social Change</w:t>
      </w:r>
    </w:p>
    <w:p w:rsidR="00D363EC" w:rsidRPr="00A257D5" w:rsidRDefault="00D363EC" w:rsidP="00D363EC">
      <w:pPr>
        <w:spacing w:after="240" w:line="360" w:lineRule="auto"/>
        <w:jc w:val="center"/>
        <w:rPr>
          <w:rFonts w:ascii="Times New Roman" w:hAnsi="Times New Roman" w:cs="Times New Roman"/>
        </w:rPr>
      </w:pPr>
      <w:r w:rsidRPr="00A257D5">
        <w:rPr>
          <w:rFonts w:ascii="Times New Roman" w:hAnsi="Times New Roman" w:cs="Times New Roman"/>
          <w:u w:val="single"/>
        </w:rPr>
        <w:t>Diagram C.</w:t>
      </w:r>
      <w:r w:rsidRPr="00A257D5">
        <w:rPr>
          <w:rFonts w:ascii="Times New Roman" w:hAnsi="Times New Roman" w:cs="Times New Roman"/>
          <w:u w:val="single"/>
        </w:rPr>
        <w:tab/>
        <w:t>Protest: Use of Violence and Desire for Social Change</w:t>
      </w:r>
    </w:p>
    <w:p w:rsidR="00D363EC" w:rsidRPr="00A257D5" w:rsidRDefault="00D363EC" w:rsidP="00D363EC">
      <w:pPr>
        <w:spacing w:after="120" w:line="360" w:lineRule="auto"/>
        <w:rPr>
          <w:rFonts w:ascii="Times New Roman" w:hAnsi="Times New Roman" w:cs="Times New Roman"/>
          <w:sz w:val="24"/>
          <w:szCs w:val="24"/>
        </w:rPr>
      </w:pPr>
      <w:r w:rsidRPr="00A257D5">
        <w:rPr>
          <w:rFonts w:ascii="Times New Roman" w:hAnsi="Times New Roman" w:cs="Times New Roman"/>
          <w:sz w:val="24"/>
          <w:szCs w:val="24"/>
        </w:rPr>
        <w:t xml:space="preserve">In line with Diagram C, the thesis will argue that he used his portrayals to disengage radical protest from violent behaviour, which might include anything from individual bullying through to criminal brutality and mob </w:t>
      </w:r>
      <w:r w:rsidR="009D616D" w:rsidRPr="003515E3">
        <w:rPr>
          <w:rFonts w:ascii="Times New Roman" w:hAnsi="Times New Roman" w:cs="Times New Roman"/>
          <w:sz w:val="24"/>
          <w:szCs w:val="24"/>
        </w:rPr>
        <w:t>disorder</w:t>
      </w:r>
      <w:r w:rsidRPr="003515E3">
        <w:rPr>
          <w:rFonts w:ascii="Times New Roman" w:hAnsi="Times New Roman" w:cs="Times New Roman"/>
          <w:sz w:val="24"/>
          <w:szCs w:val="24"/>
        </w:rPr>
        <w:t>.</w:t>
      </w:r>
      <w:r w:rsidRPr="00A257D5">
        <w:rPr>
          <w:rFonts w:ascii="Times New Roman" w:hAnsi="Times New Roman" w:cs="Times New Roman"/>
          <w:sz w:val="24"/>
          <w:szCs w:val="24"/>
        </w:rPr>
        <w:t xml:space="preserve">  Behind the brash and frequently demagogic exterior of these activities, Reynolds repeatedly shows them to be inherently conservative, with protagonists desiring personal gain but displaying little interest in social progress.  Independent respectability did not call for revolution but under its calm surface looked for deep-seated change.  Reynolds aimed to show this in a consistent manner, so that the upright dissent of a servant who faces down an overbearing employer encapsulates the same moral and psychological qualities that underpin the broader political struggles of the industrious classes.  In doing so, he portrayed the characteristics that formed the basis for asserting individual self-</w:t>
      </w:r>
      <w:r w:rsidRPr="009D616D">
        <w:rPr>
          <w:rFonts w:ascii="Times New Roman" w:hAnsi="Times New Roman" w:cs="Times New Roman"/>
          <w:sz w:val="24"/>
          <w:szCs w:val="24"/>
        </w:rPr>
        <w:t>respect fulfill</w:t>
      </w:r>
      <w:r w:rsidR="0015358C" w:rsidRPr="009D616D">
        <w:rPr>
          <w:rFonts w:ascii="Times New Roman" w:hAnsi="Times New Roman" w:cs="Times New Roman"/>
          <w:sz w:val="24"/>
          <w:szCs w:val="24"/>
        </w:rPr>
        <w:t>ing</w:t>
      </w:r>
      <w:r w:rsidRPr="009D616D">
        <w:rPr>
          <w:rFonts w:ascii="Times New Roman" w:hAnsi="Times New Roman" w:cs="Times New Roman"/>
          <w:sz w:val="24"/>
          <w:szCs w:val="24"/>
        </w:rPr>
        <w:t xml:space="preserve"> the</w:t>
      </w:r>
      <w:r w:rsidRPr="00A257D5">
        <w:rPr>
          <w:rFonts w:ascii="Times New Roman" w:hAnsi="Times New Roman" w:cs="Times New Roman"/>
          <w:sz w:val="24"/>
          <w:szCs w:val="24"/>
        </w:rPr>
        <w:t xml:space="preserve"> same role in the wider struggle for social advancement.</w:t>
      </w:r>
    </w:p>
    <w:p w:rsidR="00D363EC" w:rsidRPr="00A257D5" w:rsidRDefault="00D363EC" w:rsidP="00D363EC">
      <w:pPr>
        <w:spacing w:after="120" w:line="360" w:lineRule="auto"/>
        <w:ind w:firstLine="720"/>
        <w:rPr>
          <w:rFonts w:ascii="Times New Roman" w:hAnsi="Times New Roman" w:cs="Times New Roman"/>
          <w:sz w:val="24"/>
          <w:szCs w:val="24"/>
        </w:rPr>
      </w:pPr>
      <w:r w:rsidRPr="00A257D5">
        <w:rPr>
          <w:rFonts w:ascii="Times New Roman" w:hAnsi="Times New Roman" w:cs="Times New Roman"/>
          <w:sz w:val="24"/>
          <w:szCs w:val="24"/>
        </w:rPr>
        <w:t xml:space="preserve">Although the amount of critical analysis dealing with Reynolds’s work remains relatively small, researchers continue to make contributions that add to the understanding of his depictions of the lower strata of society and whose insights have proved invaluable for </w:t>
      </w:r>
      <w:r w:rsidRPr="00A257D5">
        <w:rPr>
          <w:rFonts w:ascii="Times New Roman" w:hAnsi="Times New Roman" w:cs="Times New Roman"/>
          <w:sz w:val="24"/>
          <w:szCs w:val="24"/>
        </w:rPr>
        <w:lastRenderedPageBreak/>
        <w:t xml:space="preserve">this thesis.  Early scholars who must be mentioned include Louis James and Anne Humpherys.  The former’s </w:t>
      </w:r>
      <w:r w:rsidRPr="00A257D5">
        <w:rPr>
          <w:rFonts w:ascii="Times New Roman" w:hAnsi="Times New Roman" w:cs="Times New Roman"/>
          <w:i/>
          <w:sz w:val="24"/>
          <w:szCs w:val="24"/>
        </w:rPr>
        <w:t xml:space="preserve">Fiction for the Working </w:t>
      </w:r>
      <w:r w:rsidRPr="00FF1D58">
        <w:rPr>
          <w:rFonts w:ascii="Times New Roman" w:hAnsi="Times New Roman" w:cs="Times New Roman"/>
          <w:i/>
          <w:sz w:val="24"/>
          <w:szCs w:val="24"/>
        </w:rPr>
        <w:t>Man</w:t>
      </w:r>
      <w:r w:rsidR="00E76A51" w:rsidRPr="00FF1D58">
        <w:rPr>
          <w:rFonts w:ascii="Times New Roman" w:hAnsi="Times New Roman" w:cs="Times New Roman"/>
          <w:i/>
          <w:sz w:val="24"/>
          <w:szCs w:val="24"/>
        </w:rPr>
        <w:t xml:space="preserve"> </w:t>
      </w:r>
      <w:r w:rsidR="00E76A51" w:rsidRPr="00FF1D58">
        <w:rPr>
          <w:rFonts w:ascii="Times New Roman" w:hAnsi="Times New Roman" w:cs="Times New Roman"/>
          <w:sz w:val="24"/>
          <w:szCs w:val="24"/>
        </w:rPr>
        <w:t>(1963</w:t>
      </w:r>
      <w:r w:rsidR="00E76A51" w:rsidRPr="009D616D">
        <w:rPr>
          <w:rFonts w:ascii="Times New Roman" w:hAnsi="Times New Roman" w:cs="Times New Roman"/>
          <w:sz w:val="24"/>
          <w:szCs w:val="24"/>
        </w:rPr>
        <w:t>)</w:t>
      </w:r>
      <w:r w:rsidRPr="009D616D">
        <w:rPr>
          <w:rFonts w:ascii="Times New Roman" w:hAnsi="Times New Roman" w:cs="Times New Roman"/>
          <w:sz w:val="24"/>
          <w:szCs w:val="24"/>
        </w:rPr>
        <w:t xml:space="preserve"> in analysing</w:t>
      </w:r>
      <w:r w:rsidRPr="00A257D5">
        <w:rPr>
          <w:rFonts w:ascii="Times New Roman" w:hAnsi="Times New Roman" w:cs="Times New Roman"/>
          <w:sz w:val="24"/>
          <w:szCs w:val="24"/>
        </w:rPr>
        <w:t xml:space="preserve"> the growth of cheap fiction detailed the representation of Sam Weller and the highlighting of his rebellious character in penny periodicals.</w:t>
      </w:r>
      <w:r w:rsidRPr="00A257D5">
        <w:rPr>
          <w:rStyle w:val="FootnoteReference"/>
          <w:rFonts w:ascii="Times New Roman" w:hAnsi="Times New Roman"/>
          <w:sz w:val="24"/>
          <w:szCs w:val="24"/>
        </w:rPr>
        <w:footnoteReference w:id="44"/>
      </w:r>
      <w:r w:rsidRPr="00A257D5">
        <w:rPr>
          <w:rFonts w:ascii="Times New Roman" w:hAnsi="Times New Roman" w:cs="Times New Roman"/>
          <w:sz w:val="24"/>
          <w:szCs w:val="24"/>
        </w:rPr>
        <w:t xml:space="preserve">  Humpherys has contributed many articles that establish Reynolds’s radical credentials while pointing to the ambiguity that exists in his written work and political activity.  As confirmed by the bibliography, the work of these two critics extends across numerous areas of Reynolds studies and many of their arguments have been adopted here.  It is fitting they have edited the most comprehensive collection of essays to date upon the author, which brings together the foremost researchers in the field who provide commentaries I have looked to repeatedly.</w:t>
      </w:r>
      <w:r w:rsidRPr="00A257D5">
        <w:rPr>
          <w:rStyle w:val="FootnoteReference"/>
          <w:rFonts w:ascii="Times New Roman" w:hAnsi="Times New Roman"/>
          <w:sz w:val="24"/>
          <w:szCs w:val="24"/>
        </w:rPr>
        <w:footnoteReference w:id="45"/>
      </w:r>
      <w:r w:rsidRPr="00A257D5">
        <w:rPr>
          <w:rFonts w:ascii="Times New Roman" w:hAnsi="Times New Roman" w:cs="Times New Roman"/>
          <w:sz w:val="24"/>
          <w:szCs w:val="24"/>
        </w:rPr>
        <w:t xml:space="preserve">  Another important early researcher is Virginia Berridge who demonstrated the value of closely analysing the advertisements and ‘Notices to Correspondents’ in Reynolds’s journals.</w:t>
      </w:r>
      <w:r w:rsidRPr="00A257D5">
        <w:rPr>
          <w:rStyle w:val="FootnoteReference"/>
          <w:rFonts w:ascii="Times New Roman" w:hAnsi="Times New Roman"/>
          <w:sz w:val="24"/>
          <w:szCs w:val="24"/>
        </w:rPr>
        <w:footnoteReference w:id="46"/>
      </w:r>
      <w:r w:rsidRPr="00A257D5">
        <w:rPr>
          <w:rFonts w:ascii="Times New Roman" w:hAnsi="Times New Roman" w:cs="Times New Roman"/>
          <w:sz w:val="24"/>
          <w:szCs w:val="24"/>
        </w:rPr>
        <w:t xml:space="preserve">  Her investigations analysed many aspects of his view towards the behaviour and aspirations of his readership which this thesis has incorporated.  Among surveys of cheap fiction from the period, </w:t>
      </w:r>
      <w:r w:rsidRPr="00FF1D58">
        <w:rPr>
          <w:rFonts w:ascii="Times New Roman" w:hAnsi="Times New Roman" w:cs="Times New Roman"/>
          <w:sz w:val="24"/>
          <w:szCs w:val="24"/>
        </w:rPr>
        <w:t>the work</w:t>
      </w:r>
      <w:r w:rsidR="00E76A51" w:rsidRPr="00FF1D58">
        <w:rPr>
          <w:rFonts w:ascii="Times New Roman" w:hAnsi="Times New Roman" w:cs="Times New Roman"/>
          <w:sz w:val="24"/>
          <w:szCs w:val="24"/>
        </w:rPr>
        <w:t>s</w:t>
      </w:r>
      <w:r w:rsidRPr="00FF1D58">
        <w:rPr>
          <w:rFonts w:ascii="Times New Roman" w:hAnsi="Times New Roman" w:cs="Times New Roman"/>
          <w:sz w:val="24"/>
          <w:szCs w:val="24"/>
        </w:rPr>
        <w:t xml:space="preserve"> of</w:t>
      </w:r>
      <w:r w:rsidRPr="00A257D5">
        <w:rPr>
          <w:rFonts w:ascii="Times New Roman" w:hAnsi="Times New Roman" w:cs="Times New Roman"/>
          <w:sz w:val="24"/>
          <w:szCs w:val="24"/>
        </w:rPr>
        <w:t xml:space="preserve"> Margaret Dalziel and Ian Haywood have been especially useful.</w:t>
      </w:r>
      <w:r w:rsidRPr="00A257D5">
        <w:rPr>
          <w:rStyle w:val="FootnoteReference"/>
          <w:rFonts w:ascii="Times New Roman" w:hAnsi="Times New Roman"/>
          <w:sz w:val="24"/>
          <w:szCs w:val="24"/>
        </w:rPr>
        <w:footnoteReference w:id="47"/>
      </w:r>
      <w:r w:rsidRPr="00A257D5">
        <w:rPr>
          <w:rFonts w:ascii="Times New Roman" w:hAnsi="Times New Roman" w:cs="Times New Roman"/>
          <w:sz w:val="24"/>
          <w:szCs w:val="24"/>
        </w:rPr>
        <w:t xml:space="preserve">  Both discuss Reynolds’s portrayals of the economic plight of the industrious classes particularly through the figure of Virginia Mordaunt in </w:t>
      </w:r>
      <w:r w:rsidRPr="00A257D5">
        <w:rPr>
          <w:rFonts w:ascii="Times New Roman" w:hAnsi="Times New Roman" w:cs="Times New Roman"/>
          <w:i/>
          <w:sz w:val="24"/>
          <w:szCs w:val="24"/>
        </w:rPr>
        <w:t>The Seamstress</w:t>
      </w:r>
      <w:r w:rsidRPr="00A257D5">
        <w:rPr>
          <w:rFonts w:ascii="Times New Roman" w:hAnsi="Times New Roman" w:cs="Times New Roman"/>
          <w:sz w:val="24"/>
          <w:szCs w:val="24"/>
        </w:rPr>
        <w:t>.  In doing so, Dalziel provides a valuable commentary upon how female sexual conduct was portrayed in these inexpensive formats.  Other critics have contributed to the discussion of Reynolds’s treatment of social issues in novels from the early 1850s.  T. J. Edelstein has contextualized the depiction of Virginia Mordant within the prevailing imagery of the suffering needlewoman.</w:t>
      </w:r>
      <w:r w:rsidRPr="00A257D5">
        <w:rPr>
          <w:rStyle w:val="FootnoteReference"/>
          <w:rFonts w:ascii="Times New Roman" w:hAnsi="Times New Roman"/>
          <w:sz w:val="24"/>
          <w:szCs w:val="24"/>
        </w:rPr>
        <w:footnoteReference w:id="48"/>
      </w:r>
      <w:r w:rsidRPr="00A257D5">
        <w:rPr>
          <w:rFonts w:ascii="Times New Roman" w:hAnsi="Times New Roman" w:cs="Times New Roman"/>
          <w:sz w:val="24"/>
          <w:szCs w:val="24"/>
        </w:rPr>
        <w:t xml:space="preserve">  Helen Rogers analyses the problems encountered by females in a male-dominated labour movement, and questions how far Mordaunt’s presentation recognizes female agency.</w:t>
      </w:r>
      <w:r w:rsidRPr="00A257D5">
        <w:rPr>
          <w:rStyle w:val="FootnoteReference"/>
          <w:rFonts w:ascii="Times New Roman" w:hAnsi="Times New Roman"/>
          <w:sz w:val="24"/>
          <w:szCs w:val="24"/>
        </w:rPr>
        <w:footnoteReference w:id="49"/>
      </w:r>
      <w:r w:rsidRPr="00A257D5">
        <w:rPr>
          <w:rFonts w:ascii="Times New Roman" w:hAnsi="Times New Roman" w:cs="Times New Roman"/>
          <w:sz w:val="24"/>
          <w:szCs w:val="24"/>
        </w:rPr>
        <w:t xml:space="preserve">  John Reed suggests that using a figure of aristocratic birth as a central point of opposition to authoritarian rule in the army </w:t>
      </w:r>
      <w:r w:rsidRPr="00A257D5">
        <w:rPr>
          <w:rFonts w:ascii="Times New Roman" w:hAnsi="Times New Roman" w:cs="Times New Roman"/>
          <w:sz w:val="24"/>
          <w:szCs w:val="24"/>
        </w:rPr>
        <w:lastRenderedPageBreak/>
        <w:t>undermines the sense of the industrious classes’ ability to take up the challenge.</w:t>
      </w:r>
      <w:r w:rsidRPr="00A257D5">
        <w:rPr>
          <w:rStyle w:val="FootnoteReference"/>
          <w:rFonts w:ascii="Times New Roman" w:hAnsi="Times New Roman"/>
          <w:sz w:val="24"/>
          <w:szCs w:val="24"/>
        </w:rPr>
        <w:footnoteReference w:id="50"/>
      </w:r>
      <w:r w:rsidRPr="00A257D5">
        <w:rPr>
          <w:rFonts w:ascii="Times New Roman" w:hAnsi="Times New Roman" w:cs="Times New Roman"/>
          <w:sz w:val="24"/>
          <w:szCs w:val="24"/>
        </w:rPr>
        <w:t xml:space="preserve">  All point in various ways to the cautious nature of Reynolds’s radicalism which is argued by this thesis.</w:t>
      </w:r>
    </w:p>
    <w:p w:rsidR="00D363EC" w:rsidRPr="00A257D5" w:rsidRDefault="00D363EC" w:rsidP="00D363EC">
      <w:pPr>
        <w:spacing w:after="120" w:line="360" w:lineRule="auto"/>
        <w:ind w:firstLine="720"/>
        <w:rPr>
          <w:rFonts w:ascii="Times New Roman" w:hAnsi="Times New Roman" w:cs="Times New Roman"/>
          <w:sz w:val="24"/>
          <w:szCs w:val="24"/>
        </w:rPr>
      </w:pPr>
      <w:r w:rsidRPr="00A257D5">
        <w:rPr>
          <w:rFonts w:ascii="Times New Roman" w:hAnsi="Times New Roman" w:cs="Times New Roman"/>
          <w:sz w:val="24"/>
          <w:szCs w:val="24"/>
        </w:rPr>
        <w:t xml:space="preserve">It is perhaps Reynolds’s depiction of the dangerous classes that has received most attention.  Gertrude Himmelfarb in her work on nineteenth-century poverty provides an account of the portrayal in </w:t>
      </w:r>
      <w:r w:rsidRPr="00A257D5">
        <w:rPr>
          <w:rFonts w:ascii="Times New Roman" w:hAnsi="Times New Roman" w:cs="Times New Roman"/>
          <w:i/>
          <w:sz w:val="24"/>
          <w:szCs w:val="24"/>
        </w:rPr>
        <w:t>The Mysteries of London</w:t>
      </w:r>
      <w:r w:rsidRPr="00A257D5">
        <w:rPr>
          <w:rFonts w:ascii="Times New Roman" w:hAnsi="Times New Roman" w:cs="Times New Roman"/>
          <w:sz w:val="24"/>
          <w:szCs w:val="24"/>
        </w:rPr>
        <w:t>.</w:t>
      </w:r>
      <w:r w:rsidRPr="00A257D5">
        <w:rPr>
          <w:rStyle w:val="FootnoteReference"/>
          <w:rFonts w:ascii="Times New Roman" w:hAnsi="Times New Roman"/>
          <w:sz w:val="24"/>
          <w:szCs w:val="24"/>
        </w:rPr>
        <w:footnoteReference w:id="51"/>
      </w:r>
      <w:r w:rsidRPr="00A257D5">
        <w:rPr>
          <w:rFonts w:ascii="Times New Roman" w:hAnsi="Times New Roman" w:cs="Times New Roman"/>
          <w:sz w:val="24"/>
          <w:szCs w:val="24"/>
        </w:rPr>
        <w:t xml:space="preserve">  Himmelfarb brings out the depraved nature of their behaviour while also suggesting the morally ambiguous quality of their lives.</w:t>
      </w:r>
      <w:r w:rsidRPr="00A257D5">
        <w:rPr>
          <w:rStyle w:val="FootnoteReference"/>
          <w:rFonts w:ascii="Times New Roman" w:hAnsi="Times New Roman"/>
          <w:sz w:val="24"/>
          <w:szCs w:val="24"/>
        </w:rPr>
        <w:footnoteReference w:id="52"/>
      </w:r>
      <w:r w:rsidRPr="00A257D5">
        <w:rPr>
          <w:rFonts w:ascii="Times New Roman" w:hAnsi="Times New Roman" w:cs="Times New Roman"/>
          <w:sz w:val="24"/>
          <w:szCs w:val="24"/>
        </w:rPr>
        <w:t xml:space="preserve">  Others have considered the implications of the physical geography of London in relation to this section of society.  Robert Mighall’s discussion of the city’s gothic elements provides many pointers for analysing the psychological motivations of Reynolds’s ‘dangerous’ stratum.</w:t>
      </w:r>
      <w:r w:rsidRPr="00A257D5">
        <w:rPr>
          <w:rStyle w:val="FootnoteReference"/>
          <w:rFonts w:ascii="Times New Roman" w:hAnsi="Times New Roman"/>
          <w:sz w:val="24"/>
          <w:szCs w:val="24"/>
        </w:rPr>
        <w:footnoteReference w:id="53"/>
      </w:r>
      <w:r w:rsidRPr="00A257D5">
        <w:rPr>
          <w:rFonts w:ascii="Times New Roman" w:hAnsi="Times New Roman" w:cs="Times New Roman"/>
          <w:sz w:val="24"/>
          <w:szCs w:val="24"/>
        </w:rPr>
        <w:t xml:space="preserve">  Sara James and Jessica Hindes have provided additional </w:t>
      </w:r>
      <w:r w:rsidRPr="009D616D">
        <w:rPr>
          <w:rFonts w:ascii="Times New Roman" w:hAnsi="Times New Roman" w:cs="Times New Roman"/>
          <w:sz w:val="24"/>
          <w:szCs w:val="24"/>
        </w:rPr>
        <w:t>findings in research upon</w:t>
      </w:r>
      <w:r w:rsidRPr="00A257D5">
        <w:rPr>
          <w:rFonts w:ascii="Times New Roman" w:hAnsi="Times New Roman" w:cs="Times New Roman"/>
          <w:sz w:val="24"/>
          <w:szCs w:val="24"/>
        </w:rPr>
        <w:t xml:space="preserve"> the capital’s slum areas and the protest of their inhabitants.</w:t>
      </w:r>
      <w:r w:rsidRPr="00A257D5">
        <w:rPr>
          <w:rStyle w:val="FootnoteReference"/>
          <w:rFonts w:ascii="Times New Roman" w:hAnsi="Times New Roman"/>
          <w:sz w:val="24"/>
          <w:szCs w:val="24"/>
        </w:rPr>
        <w:footnoteReference w:id="54"/>
      </w:r>
      <w:r w:rsidRPr="00A257D5">
        <w:rPr>
          <w:rFonts w:ascii="Times New Roman" w:hAnsi="Times New Roman" w:cs="Times New Roman"/>
          <w:sz w:val="24"/>
          <w:szCs w:val="24"/>
        </w:rPr>
        <w:t xml:space="preserve">  A recent valuable addition to Reynolds studies has been made by Mary Shannon.</w:t>
      </w:r>
      <w:r w:rsidRPr="00A257D5">
        <w:rPr>
          <w:rStyle w:val="FootnoteReference"/>
          <w:rFonts w:ascii="Times New Roman" w:hAnsi="Times New Roman"/>
          <w:sz w:val="24"/>
          <w:szCs w:val="24"/>
        </w:rPr>
        <w:footnoteReference w:id="55"/>
      </w:r>
      <w:r w:rsidRPr="00A257D5">
        <w:rPr>
          <w:rFonts w:ascii="Times New Roman" w:hAnsi="Times New Roman" w:cs="Times New Roman"/>
          <w:sz w:val="24"/>
          <w:szCs w:val="24"/>
        </w:rPr>
        <w:t xml:space="preserve">  Her work develops the theme of the district around Wellington Street as a contested space between Reynolds and his publishing rivals, and more broadly between the different sections of the population who co-exist there.  Her ideas, including an extended discussion of Reynolds’s emergence in the Chartist movement, are especially relevant for this thesis concerning the leadership of mass protest and Reynolds’s relationship towards it.  In this, Shannon expands upon Ian Haywood’s analysis of Reynolds’s involvement in the mass meeting to repeal the income tax at Trafalgar Square on 6 March 1848.</w:t>
      </w:r>
      <w:r w:rsidRPr="00A257D5">
        <w:rPr>
          <w:rStyle w:val="FootnoteReference"/>
          <w:rFonts w:ascii="Times New Roman" w:hAnsi="Times New Roman"/>
          <w:sz w:val="24"/>
          <w:szCs w:val="24"/>
        </w:rPr>
        <w:footnoteReference w:id="56"/>
      </w:r>
      <w:r w:rsidRPr="00A257D5">
        <w:rPr>
          <w:rFonts w:ascii="Times New Roman" w:hAnsi="Times New Roman" w:cs="Times New Roman"/>
          <w:sz w:val="24"/>
          <w:szCs w:val="24"/>
        </w:rPr>
        <w:t xml:space="preserve">  Haywood’s article provides a detailed account of the derogatory portrayals of the event in the media and makes useful suggestions about Reynolds’s position within the Chartist movement.</w:t>
      </w:r>
    </w:p>
    <w:p w:rsidR="00D363EC" w:rsidRPr="00A257D5" w:rsidRDefault="00D363EC" w:rsidP="00D363EC">
      <w:pPr>
        <w:spacing w:after="120" w:line="360" w:lineRule="auto"/>
        <w:ind w:firstLine="720"/>
        <w:rPr>
          <w:rFonts w:ascii="Times New Roman" w:hAnsi="Times New Roman" w:cs="Times New Roman"/>
          <w:sz w:val="24"/>
          <w:szCs w:val="24"/>
        </w:rPr>
      </w:pPr>
      <w:r w:rsidRPr="00A257D5">
        <w:rPr>
          <w:rFonts w:ascii="Times New Roman" w:hAnsi="Times New Roman" w:cs="Times New Roman"/>
          <w:sz w:val="24"/>
          <w:szCs w:val="24"/>
        </w:rPr>
        <w:t>The thesis also relies upon many works that mention Reynolds only in passing or not at all,</w:t>
      </w:r>
      <w:r w:rsidR="005B51F7">
        <w:rPr>
          <w:rFonts w:ascii="Times New Roman" w:hAnsi="Times New Roman" w:cs="Times New Roman"/>
          <w:sz w:val="24"/>
          <w:szCs w:val="24"/>
        </w:rPr>
        <w:t xml:space="preserve"> </w:t>
      </w:r>
      <w:r w:rsidRPr="00A257D5">
        <w:rPr>
          <w:rFonts w:ascii="Times New Roman" w:hAnsi="Times New Roman" w:cs="Times New Roman"/>
          <w:sz w:val="24"/>
          <w:szCs w:val="24"/>
        </w:rPr>
        <w:t xml:space="preserve">but discuss themes that are taken up and provide the social and political background </w:t>
      </w:r>
      <w:r w:rsidRPr="00A257D5">
        <w:rPr>
          <w:rFonts w:ascii="Times New Roman" w:hAnsi="Times New Roman" w:cs="Times New Roman"/>
          <w:sz w:val="24"/>
          <w:szCs w:val="24"/>
        </w:rPr>
        <w:lastRenderedPageBreak/>
        <w:t>within which he operated.  Particular mention should be given to the studies by Thomas Vargish and Catherine Gallagher for their elucidation of the varied and changing views towards providence in the nineteenth century.</w:t>
      </w:r>
      <w:r w:rsidRPr="00A257D5">
        <w:rPr>
          <w:rStyle w:val="FootnoteReference"/>
          <w:rFonts w:ascii="Times New Roman" w:hAnsi="Times New Roman"/>
          <w:sz w:val="24"/>
          <w:szCs w:val="24"/>
        </w:rPr>
        <w:footnoteReference w:id="57"/>
      </w:r>
      <w:r w:rsidRPr="00A257D5">
        <w:rPr>
          <w:rFonts w:ascii="Times New Roman" w:hAnsi="Times New Roman" w:cs="Times New Roman"/>
          <w:sz w:val="24"/>
          <w:szCs w:val="24"/>
        </w:rPr>
        <w:t xml:space="preserve">  Martin J. Wiener’s work upon Victorian attitudes towards deviance and criminality provides an extremely useful account of the prevailing views regarding psychological and moral weakness.</w:t>
      </w:r>
      <w:r w:rsidRPr="00A257D5">
        <w:rPr>
          <w:rStyle w:val="FootnoteReference"/>
          <w:rFonts w:ascii="Times New Roman" w:hAnsi="Times New Roman"/>
          <w:sz w:val="24"/>
          <w:szCs w:val="24"/>
        </w:rPr>
        <w:footnoteReference w:id="58"/>
      </w:r>
      <w:r w:rsidRPr="00A257D5">
        <w:rPr>
          <w:rFonts w:ascii="Times New Roman" w:hAnsi="Times New Roman" w:cs="Times New Roman"/>
          <w:sz w:val="24"/>
          <w:szCs w:val="24"/>
        </w:rPr>
        <w:t xml:space="preserve">  The writings of Helen Small and Elaine Showalter which detail Victorian attitudes toward women’s behaviour influenced the chapter upon female sexual transgression.</w:t>
      </w:r>
      <w:r w:rsidRPr="00A257D5">
        <w:rPr>
          <w:rStyle w:val="FootnoteReference"/>
          <w:rFonts w:ascii="Times New Roman" w:hAnsi="Times New Roman"/>
          <w:sz w:val="24"/>
          <w:szCs w:val="24"/>
        </w:rPr>
        <w:footnoteReference w:id="59"/>
      </w:r>
      <w:r w:rsidRPr="00A257D5">
        <w:rPr>
          <w:rFonts w:ascii="Times New Roman" w:hAnsi="Times New Roman" w:cs="Times New Roman"/>
          <w:sz w:val="24"/>
          <w:szCs w:val="24"/>
        </w:rPr>
        <w:t xml:space="preserve">  Their work, along with that of Margaret Dalziel mentioned above, provided much of the basis from which it was argued that Reynolds largely rejected these forms of ‘disobedience’ to social norms.  J. Nicholas Entrikin’s study of place and the part it plays in the construction of culture and identity cast considerable light upon how to approach the protest of the dangerous classes.</w:t>
      </w:r>
      <w:r w:rsidRPr="00A257D5">
        <w:rPr>
          <w:rStyle w:val="FootnoteReference"/>
          <w:rFonts w:ascii="Times New Roman" w:hAnsi="Times New Roman"/>
          <w:sz w:val="24"/>
          <w:szCs w:val="24"/>
        </w:rPr>
        <w:footnoteReference w:id="60"/>
      </w:r>
      <w:r w:rsidRPr="00A257D5">
        <w:rPr>
          <w:rFonts w:ascii="Times New Roman" w:hAnsi="Times New Roman" w:cs="Times New Roman"/>
          <w:sz w:val="24"/>
          <w:szCs w:val="24"/>
        </w:rPr>
        <w:t xml:space="preserve">  As noted, domestic servants play a central role in Reynolds’s fiction.  The study by Frank Huggett, referred to above, and that of Adeline Hartcup provide a detailed account not only of work practices but the interminable status divisions and confrontational attitudes that existed between household staff.</w:t>
      </w:r>
      <w:r w:rsidRPr="00A257D5">
        <w:rPr>
          <w:rStyle w:val="FootnoteReference"/>
          <w:rFonts w:ascii="Times New Roman" w:hAnsi="Times New Roman"/>
          <w:sz w:val="24"/>
          <w:szCs w:val="24"/>
        </w:rPr>
        <w:footnoteReference w:id="61"/>
      </w:r>
      <w:r w:rsidRPr="00A257D5">
        <w:rPr>
          <w:rFonts w:ascii="Times New Roman" w:hAnsi="Times New Roman" w:cs="Times New Roman"/>
          <w:sz w:val="24"/>
          <w:szCs w:val="24"/>
        </w:rPr>
        <w:t xml:space="preserve">  On a more directly political level, two writers particularly useful in contextualizing Reynolds’s depictions of protest have been E. P. Thompson and Iorwerth Prothero.</w:t>
      </w:r>
      <w:r w:rsidRPr="00A257D5">
        <w:rPr>
          <w:rStyle w:val="FootnoteReference"/>
          <w:rFonts w:ascii="Times New Roman" w:hAnsi="Times New Roman"/>
          <w:sz w:val="24"/>
          <w:szCs w:val="24"/>
        </w:rPr>
        <w:footnoteReference w:id="62"/>
      </w:r>
      <w:r w:rsidRPr="00A257D5">
        <w:rPr>
          <w:rFonts w:ascii="Times New Roman" w:hAnsi="Times New Roman" w:cs="Times New Roman"/>
          <w:sz w:val="24"/>
          <w:szCs w:val="24"/>
        </w:rPr>
        <w:t xml:space="preserve">  Both provide a ‘bottom-up’ perspective of radicalism in the early nineteenth century with a wealth of material concerning the vast array of dissent by the industrious classes.  The latter’s study of John Gast was important for its focus upon London.  Each brought out the partial nature of Reynolds’s portrayals, something that is taken up by this thesis particularly in the discussion of his presentation of mass protest.</w:t>
      </w:r>
    </w:p>
    <w:p w:rsidR="00D363EC" w:rsidRPr="00A257D5" w:rsidRDefault="00D363EC" w:rsidP="00D363EC">
      <w:pPr>
        <w:spacing w:after="120" w:line="360" w:lineRule="auto"/>
        <w:rPr>
          <w:rFonts w:ascii="Times New Roman" w:hAnsi="Times New Roman" w:cs="Times New Roman"/>
          <w:sz w:val="24"/>
          <w:szCs w:val="24"/>
        </w:rPr>
      </w:pPr>
      <w:r w:rsidRPr="00A257D5">
        <w:rPr>
          <w:rFonts w:ascii="Times New Roman" w:hAnsi="Times New Roman" w:cs="Times New Roman"/>
          <w:sz w:val="24"/>
          <w:szCs w:val="24"/>
        </w:rPr>
        <w:tab/>
        <w:t xml:space="preserve">In analysing Reynolds’s portrayals of protest, the thesis aims to build upon this important body of work.  Given the voluminous nature of his writings, it concentrates upon those dating from the late-1830s through to the mid-1850s that deal most clearly with the </w:t>
      </w:r>
      <w:r w:rsidRPr="00A257D5">
        <w:rPr>
          <w:rFonts w:ascii="Times New Roman" w:hAnsi="Times New Roman" w:cs="Times New Roman"/>
          <w:sz w:val="24"/>
          <w:szCs w:val="24"/>
        </w:rPr>
        <w:lastRenderedPageBreak/>
        <w:t>modern industrious classes.</w:t>
      </w:r>
      <w:r w:rsidRPr="00A257D5">
        <w:rPr>
          <w:rStyle w:val="FootnoteReference"/>
          <w:rFonts w:ascii="Times New Roman" w:hAnsi="Times New Roman"/>
          <w:sz w:val="24"/>
          <w:szCs w:val="24"/>
        </w:rPr>
        <w:footnoteReference w:id="63"/>
      </w:r>
      <w:r w:rsidRPr="00A257D5">
        <w:rPr>
          <w:rFonts w:ascii="Times New Roman" w:hAnsi="Times New Roman" w:cs="Times New Roman"/>
          <w:sz w:val="24"/>
          <w:szCs w:val="24"/>
        </w:rPr>
        <w:t xml:space="preserve">  This period besides covering his rise to prominence as a popular author and newspaper proprietor also marked his development from holding </w:t>
      </w:r>
      <w:r w:rsidRPr="00FF1D58">
        <w:rPr>
          <w:rFonts w:ascii="Times New Roman" w:hAnsi="Times New Roman" w:cs="Times New Roman"/>
          <w:sz w:val="24"/>
          <w:szCs w:val="24"/>
        </w:rPr>
        <w:t xml:space="preserve">republican views to supporting Chartism and trade union struggles.  The main focus is upon </w:t>
      </w:r>
      <w:r w:rsidRPr="00FF1D58">
        <w:rPr>
          <w:rFonts w:ascii="Times New Roman" w:hAnsi="Times New Roman" w:cs="Times New Roman"/>
          <w:i/>
          <w:sz w:val="24"/>
          <w:szCs w:val="24"/>
        </w:rPr>
        <w:t>The Mysteries of London</w:t>
      </w:r>
      <w:r w:rsidRPr="00FF1D58">
        <w:rPr>
          <w:rFonts w:ascii="Times New Roman" w:hAnsi="Times New Roman" w:cs="Times New Roman"/>
          <w:sz w:val="24"/>
          <w:szCs w:val="24"/>
        </w:rPr>
        <w:t xml:space="preserve"> with its depictions of the dangerous classes and slum areas of the capit</w:t>
      </w:r>
      <w:r w:rsidR="00E76A51" w:rsidRPr="00FF1D58">
        <w:rPr>
          <w:rFonts w:ascii="Times New Roman" w:hAnsi="Times New Roman" w:cs="Times New Roman"/>
          <w:sz w:val="24"/>
          <w:szCs w:val="24"/>
        </w:rPr>
        <w:t>a</w:t>
      </w:r>
      <w:r w:rsidRPr="00FF1D58">
        <w:rPr>
          <w:rFonts w:ascii="Times New Roman" w:hAnsi="Times New Roman" w:cs="Times New Roman"/>
          <w:sz w:val="24"/>
          <w:szCs w:val="24"/>
        </w:rPr>
        <w:t>l, and works published</w:t>
      </w:r>
      <w:r w:rsidRPr="00A257D5">
        <w:rPr>
          <w:rFonts w:ascii="Times New Roman" w:hAnsi="Times New Roman" w:cs="Times New Roman"/>
          <w:sz w:val="24"/>
          <w:szCs w:val="24"/>
        </w:rPr>
        <w:t xml:space="preserve"> between 1850–55 which give powerful portrayals of specific social issues; </w:t>
      </w:r>
      <w:r w:rsidRPr="00A257D5">
        <w:rPr>
          <w:rFonts w:ascii="Times New Roman" w:hAnsi="Times New Roman" w:cs="Times New Roman"/>
          <w:i/>
          <w:sz w:val="24"/>
          <w:szCs w:val="24"/>
        </w:rPr>
        <w:t>The Seamstress</w:t>
      </w:r>
      <w:r w:rsidRPr="00A257D5">
        <w:rPr>
          <w:rFonts w:ascii="Times New Roman" w:hAnsi="Times New Roman" w:cs="Times New Roman"/>
          <w:sz w:val="24"/>
          <w:szCs w:val="24"/>
        </w:rPr>
        <w:t xml:space="preserve"> with its exposure of exploitation in the dress-making trade; </w:t>
      </w:r>
      <w:r w:rsidRPr="00A257D5">
        <w:rPr>
          <w:rFonts w:ascii="Times New Roman" w:hAnsi="Times New Roman" w:cs="Times New Roman"/>
          <w:i/>
          <w:sz w:val="24"/>
          <w:szCs w:val="24"/>
        </w:rPr>
        <w:t>The Soldier’s Wife</w:t>
      </w:r>
      <w:r w:rsidRPr="00A257D5">
        <w:rPr>
          <w:rFonts w:ascii="Times New Roman" w:hAnsi="Times New Roman" w:cs="Times New Roman"/>
          <w:sz w:val="24"/>
          <w:szCs w:val="24"/>
        </w:rPr>
        <w:t xml:space="preserve"> (1852–53) which denounces the brutality endured by private troops in the army; and </w:t>
      </w:r>
      <w:r w:rsidRPr="00A257D5">
        <w:rPr>
          <w:rFonts w:ascii="Times New Roman" w:hAnsi="Times New Roman" w:cs="Times New Roman"/>
          <w:i/>
          <w:sz w:val="24"/>
          <w:szCs w:val="24"/>
        </w:rPr>
        <w:t>Mary Price</w:t>
      </w:r>
      <w:r w:rsidRPr="00A257D5">
        <w:rPr>
          <w:rFonts w:ascii="Times New Roman" w:hAnsi="Times New Roman" w:cs="Times New Roman"/>
          <w:sz w:val="24"/>
          <w:szCs w:val="24"/>
        </w:rPr>
        <w:t xml:space="preserve"> (1851–53) and </w:t>
      </w:r>
      <w:r w:rsidRPr="00A257D5">
        <w:rPr>
          <w:rFonts w:ascii="Times New Roman" w:hAnsi="Times New Roman" w:cs="Times New Roman"/>
          <w:i/>
          <w:sz w:val="24"/>
          <w:szCs w:val="24"/>
        </w:rPr>
        <w:t>Joseph Wilmot</w:t>
      </w:r>
      <w:r w:rsidRPr="00A257D5">
        <w:rPr>
          <w:rFonts w:ascii="Times New Roman" w:hAnsi="Times New Roman" w:cs="Times New Roman"/>
          <w:sz w:val="24"/>
          <w:szCs w:val="24"/>
        </w:rPr>
        <w:t xml:space="preserve"> (1853–55) with their narratives about the hardships of domestic service.  The thesis will argue that such novels bear a close relationship to his journalism, presenting fictionalised versions of responses by the industrious classes to the social injustices reported in the pages of his newspaper.  It will demonstrate how the proponents of independent respectability embody values that streamed continuously from advice columns in his journals, indicating how Reynolds’s provision of entertainment merged with the desire to educate his </w:t>
      </w:r>
      <w:r w:rsidRPr="009D616D">
        <w:rPr>
          <w:rFonts w:ascii="Times New Roman" w:hAnsi="Times New Roman" w:cs="Times New Roman"/>
          <w:sz w:val="24"/>
          <w:szCs w:val="24"/>
        </w:rPr>
        <w:t>readership and promote claims for the</w:t>
      </w:r>
      <w:r w:rsidR="00564EEB" w:rsidRPr="009D616D">
        <w:rPr>
          <w:rFonts w:ascii="Times New Roman" w:hAnsi="Times New Roman" w:cs="Times New Roman"/>
          <w:sz w:val="24"/>
          <w:szCs w:val="24"/>
        </w:rPr>
        <w:t>ir</w:t>
      </w:r>
      <w:r w:rsidRPr="00A257D5">
        <w:rPr>
          <w:rFonts w:ascii="Times New Roman" w:hAnsi="Times New Roman" w:cs="Times New Roman"/>
          <w:sz w:val="24"/>
          <w:szCs w:val="24"/>
        </w:rPr>
        <w:t xml:space="preserve"> moral and intellectual progress.</w:t>
      </w:r>
    </w:p>
    <w:p w:rsidR="006D1C67" w:rsidRDefault="00D363EC" w:rsidP="00D363EC">
      <w:pPr>
        <w:spacing w:after="120" w:line="360" w:lineRule="auto"/>
        <w:ind w:firstLine="720"/>
        <w:rPr>
          <w:rFonts w:ascii="Times New Roman" w:hAnsi="Times New Roman" w:cs="Times New Roman"/>
          <w:sz w:val="24"/>
          <w:szCs w:val="24"/>
        </w:rPr>
      </w:pPr>
      <w:r w:rsidRPr="00A257D5">
        <w:rPr>
          <w:rFonts w:ascii="Times New Roman" w:hAnsi="Times New Roman" w:cs="Times New Roman"/>
          <w:sz w:val="24"/>
          <w:szCs w:val="24"/>
        </w:rPr>
        <w:t xml:space="preserve">The opening chapter will outline those aspects of Reynolds’s social and political </w:t>
      </w:r>
      <w:r w:rsidRPr="00FF1D58">
        <w:rPr>
          <w:rFonts w:ascii="Times New Roman" w:hAnsi="Times New Roman" w:cs="Times New Roman"/>
          <w:sz w:val="24"/>
          <w:szCs w:val="24"/>
        </w:rPr>
        <w:t>perspective that imbue his outlook with a degree of conservatism, resulting in what is termed his ‘cautious radicalism’.  It suggests that they continue to influence his depictions of protest even after he displayed increased political militancy from the late-1840s.  This is followed by a discussion of</w:t>
      </w:r>
      <w:r w:rsidR="00F61D7B" w:rsidRPr="00FF1D58">
        <w:rPr>
          <w:rFonts w:ascii="Times New Roman" w:hAnsi="Times New Roman" w:cs="Times New Roman"/>
          <w:sz w:val="24"/>
          <w:szCs w:val="24"/>
        </w:rPr>
        <w:t xml:space="preserve"> the</w:t>
      </w:r>
      <w:r w:rsidRPr="00FF1D58">
        <w:rPr>
          <w:rFonts w:ascii="Times New Roman" w:hAnsi="Times New Roman" w:cs="Times New Roman"/>
          <w:sz w:val="24"/>
          <w:szCs w:val="24"/>
        </w:rPr>
        <w:t xml:space="preserve"> adoption of Dickens’s</w:t>
      </w:r>
      <w:r w:rsidRPr="00A257D5">
        <w:rPr>
          <w:rFonts w:ascii="Times New Roman" w:hAnsi="Times New Roman" w:cs="Times New Roman"/>
          <w:sz w:val="24"/>
          <w:szCs w:val="24"/>
        </w:rPr>
        <w:t xml:space="preserve"> Sam Weller in </w:t>
      </w:r>
      <w:r w:rsidRPr="00A257D5">
        <w:rPr>
          <w:rFonts w:ascii="Times New Roman" w:hAnsi="Times New Roman" w:cs="Times New Roman"/>
          <w:i/>
          <w:sz w:val="24"/>
          <w:szCs w:val="24"/>
        </w:rPr>
        <w:t>Pickwick Abroad</w:t>
      </w:r>
      <w:r w:rsidRPr="00A257D5">
        <w:rPr>
          <w:rFonts w:ascii="Times New Roman" w:hAnsi="Times New Roman" w:cs="Times New Roman"/>
          <w:sz w:val="24"/>
          <w:szCs w:val="24"/>
        </w:rPr>
        <w:t xml:space="preserve"> (1838–39).  Weller, a figure who embraces many forms of opposition to authority, provides an important starting point from which later chapters discuss Reynolds’s division of dissent into ‘disreputable protest’, ‘dangerous protest’ and ‘independent respectability’.  The first two, along with female sexual transgression which is taken as a specific variant of the former, are analysed to show how they constitute a warning to the industrious classes about the conduct of their </w:t>
      </w:r>
      <w:r w:rsidRPr="00FF1D58">
        <w:rPr>
          <w:rFonts w:ascii="Times New Roman" w:hAnsi="Times New Roman" w:cs="Times New Roman"/>
          <w:sz w:val="24"/>
          <w:szCs w:val="24"/>
        </w:rPr>
        <w:t>struggle</w:t>
      </w:r>
      <w:r w:rsidR="00F61D7B" w:rsidRPr="00FF1D58">
        <w:rPr>
          <w:rFonts w:ascii="Times New Roman" w:hAnsi="Times New Roman" w:cs="Times New Roman"/>
          <w:sz w:val="24"/>
          <w:szCs w:val="24"/>
        </w:rPr>
        <w:t>s.</w:t>
      </w:r>
      <w:r w:rsidRPr="00FF1D58">
        <w:rPr>
          <w:rFonts w:ascii="Times New Roman" w:hAnsi="Times New Roman" w:cs="Times New Roman"/>
          <w:sz w:val="24"/>
          <w:szCs w:val="24"/>
        </w:rPr>
        <w:t xml:space="preserve">  The</w:t>
      </w:r>
      <w:r w:rsidRPr="00A257D5">
        <w:rPr>
          <w:rFonts w:ascii="Times New Roman" w:hAnsi="Times New Roman" w:cs="Times New Roman"/>
          <w:sz w:val="24"/>
          <w:szCs w:val="24"/>
        </w:rPr>
        <w:t xml:space="preserve"> final two chapters deal with Reynolds’s portrayal of independent respectability, firstly at the individual level and then showing how he transfers its underlying values </w:t>
      </w:r>
      <w:r w:rsidRPr="00564EEB">
        <w:rPr>
          <w:rFonts w:ascii="Times New Roman" w:hAnsi="Times New Roman" w:cs="Times New Roman"/>
          <w:sz w:val="24"/>
          <w:szCs w:val="24"/>
        </w:rPr>
        <w:t xml:space="preserve">to optimistic scenes of </w:t>
      </w:r>
      <w:r w:rsidR="00F61D7B" w:rsidRPr="00564EEB">
        <w:rPr>
          <w:rFonts w:ascii="Times New Roman" w:hAnsi="Times New Roman" w:cs="Times New Roman"/>
          <w:sz w:val="24"/>
          <w:szCs w:val="24"/>
        </w:rPr>
        <w:t>broader</w:t>
      </w:r>
      <w:r w:rsidRPr="00564EEB">
        <w:rPr>
          <w:rFonts w:ascii="Times New Roman" w:hAnsi="Times New Roman" w:cs="Times New Roman"/>
          <w:sz w:val="24"/>
          <w:szCs w:val="24"/>
        </w:rPr>
        <w:t xml:space="preserve"> protest</w:t>
      </w:r>
      <w:r w:rsidRPr="00A257D5">
        <w:rPr>
          <w:rFonts w:ascii="Times New Roman" w:hAnsi="Times New Roman" w:cs="Times New Roman"/>
          <w:sz w:val="24"/>
          <w:szCs w:val="24"/>
        </w:rPr>
        <w:t xml:space="preserve">, signalling his belief that the masses were ready to assume full democratic rights.  This structure aims to provide a comprehensive account of the complex nature of Reynolds’s treatment of dissent as he ranges across different sections </w:t>
      </w:r>
      <w:r w:rsidRPr="00A257D5">
        <w:rPr>
          <w:rFonts w:ascii="Times New Roman" w:hAnsi="Times New Roman" w:cs="Times New Roman"/>
          <w:sz w:val="24"/>
          <w:szCs w:val="24"/>
        </w:rPr>
        <w:lastRenderedPageBreak/>
        <w:t xml:space="preserve">of the industrious classes.  While the thesis acknowledges that commercial considerations and opportunism were influential factors, it will argue that longstanding elements in his outlook were more fundamental in shaping the cautious aspect of his narratives.  To do this, particular attention is paid to early writings, notably </w:t>
      </w:r>
      <w:r w:rsidRPr="00A257D5">
        <w:rPr>
          <w:rFonts w:ascii="Times New Roman" w:hAnsi="Times New Roman" w:cs="Times New Roman"/>
          <w:i/>
          <w:sz w:val="24"/>
          <w:szCs w:val="24"/>
        </w:rPr>
        <w:t>Pickwick Abroad</w:t>
      </w:r>
      <w:r w:rsidRPr="00A257D5">
        <w:rPr>
          <w:rFonts w:ascii="Times New Roman" w:hAnsi="Times New Roman" w:cs="Times New Roman"/>
          <w:sz w:val="24"/>
          <w:szCs w:val="24"/>
        </w:rPr>
        <w:t xml:space="preserve"> and contributions to </w:t>
      </w:r>
      <w:r w:rsidRPr="00A257D5">
        <w:rPr>
          <w:rFonts w:ascii="Times New Roman" w:hAnsi="Times New Roman" w:cs="Times New Roman"/>
          <w:i/>
          <w:sz w:val="24"/>
          <w:szCs w:val="24"/>
        </w:rPr>
        <w:t xml:space="preserve">The Teetotaler </w:t>
      </w:r>
      <w:r w:rsidRPr="00A257D5">
        <w:rPr>
          <w:rFonts w:ascii="Times New Roman" w:hAnsi="Times New Roman" w:cs="Times New Roman"/>
          <w:sz w:val="24"/>
          <w:szCs w:val="24"/>
        </w:rPr>
        <w:t>magazine, which he edited between June 1840 and September 1841.  While emphasis is placed upon leading characters as representatives of the varied forms of protest, an attempt is made to give due weight to the many minor figures, clerks, waiters, seamstresses and above all domestic servants, that help form Reynolds’s panoramic view of society but are often largely ignored.  The thesis will agree to some extent with those such as Richard Maxwell who note that Reynolds was not a consistent thinker.</w:t>
      </w:r>
      <w:r w:rsidRPr="00A257D5">
        <w:rPr>
          <w:rStyle w:val="FootnoteReference"/>
          <w:rFonts w:ascii="Times New Roman" w:hAnsi="Times New Roman"/>
          <w:sz w:val="24"/>
          <w:szCs w:val="24"/>
        </w:rPr>
        <w:footnoteReference w:id="64"/>
      </w:r>
      <w:r w:rsidRPr="00A257D5">
        <w:rPr>
          <w:rFonts w:ascii="Times New Roman" w:hAnsi="Times New Roman" w:cs="Times New Roman"/>
          <w:sz w:val="24"/>
          <w:szCs w:val="24"/>
        </w:rPr>
        <w:t xml:space="preserve">  However, while pointing out his seemingly contradictory statements upon issues of the day, it will suggest that the continuing presence of longstanding values, even as his views towards the franchise and social problems became more progressive, led to his work retaining a considerable degree of cohesiveness throughout the period under discussion.  The exploration of his preference for certain methods of protest will be within the context of how he acknowledges, albeit inconsistently, that England and its governments have qualities that set them apart from the monarchical tyrannies that dominated Europe.  In doing so, the analysis will place Reynolds, despite his frequent denunciations of the monarchy, aristocracy and </w:t>
      </w:r>
      <w:r w:rsidRPr="00A257D5">
        <w:rPr>
          <w:rFonts w:ascii="Times New Roman" w:hAnsi="Times New Roman" w:cs="Times New Roman"/>
          <w:i/>
          <w:sz w:val="24"/>
          <w:szCs w:val="24"/>
        </w:rPr>
        <w:t>laissez-faire</w:t>
      </w:r>
      <w:r w:rsidRPr="00A257D5">
        <w:rPr>
          <w:rFonts w:ascii="Times New Roman" w:hAnsi="Times New Roman" w:cs="Times New Roman"/>
          <w:sz w:val="24"/>
          <w:szCs w:val="24"/>
        </w:rPr>
        <w:t xml:space="preserve"> manufacturers, as a forward-looking bourgeois radical rather than a genuine revolutionary.</w:t>
      </w:r>
    </w:p>
    <w:p w:rsidR="006D1C67" w:rsidRDefault="006D1C67" w:rsidP="006D1C67">
      <w:r>
        <w:br w:type="page"/>
      </w:r>
    </w:p>
    <w:p w:rsidR="00D363EC" w:rsidRPr="00D41C50" w:rsidRDefault="00D363EC" w:rsidP="00D363EC">
      <w:pPr>
        <w:spacing w:after="120" w:line="360" w:lineRule="auto"/>
        <w:ind w:firstLine="720"/>
        <w:rPr>
          <w:rFonts w:ascii="Times New Roman" w:hAnsi="Times New Roman" w:cs="Times New Roman"/>
          <w:sz w:val="24"/>
          <w:szCs w:val="24"/>
        </w:rPr>
      </w:pPr>
    </w:p>
    <w:p w:rsidR="00690DF3" w:rsidRDefault="00690DF3" w:rsidP="00690DF3">
      <w:pPr>
        <w:spacing w:after="120" w:line="360" w:lineRule="auto"/>
        <w:ind w:firstLine="720"/>
        <w:rPr>
          <w:rFonts w:ascii="Times New Roman" w:hAnsi="Times New Roman"/>
          <w:sz w:val="24"/>
          <w:szCs w:val="24"/>
        </w:rPr>
        <w:sectPr w:rsidR="00690DF3" w:rsidSect="00690DF3">
          <w:footerReference w:type="default" r:id="rId7"/>
          <w:footnotePr>
            <w:numRestart w:val="eachSect"/>
          </w:footnotePr>
          <w:pgSz w:w="11906" w:h="16838"/>
          <w:pgMar w:top="1440" w:right="1440" w:bottom="1440" w:left="1440" w:header="708" w:footer="708" w:gutter="0"/>
          <w:cols w:space="708"/>
          <w:docGrid w:linePitch="360"/>
        </w:sectPr>
      </w:pPr>
      <w:r>
        <w:rPr>
          <w:rFonts w:ascii="Times New Roman" w:hAnsi="Times New Roman"/>
          <w:sz w:val="24"/>
          <w:szCs w:val="24"/>
        </w:rPr>
        <w:tab/>
      </w:r>
    </w:p>
    <w:p w:rsidR="001151C3" w:rsidRPr="001151C3" w:rsidRDefault="001151C3" w:rsidP="001151C3">
      <w:pPr>
        <w:spacing w:after="120" w:line="360" w:lineRule="auto"/>
        <w:ind w:firstLine="720"/>
        <w:jc w:val="center"/>
        <w:rPr>
          <w:rFonts w:ascii="Times New Roman" w:hAnsi="Times New Roman"/>
          <w:sz w:val="24"/>
          <w:szCs w:val="24"/>
        </w:rPr>
      </w:pPr>
      <w:r w:rsidRPr="00200909">
        <w:rPr>
          <w:rFonts w:ascii="Times New Roman" w:hAnsi="Times New Roman" w:cs="Times New Roman"/>
          <w:b/>
          <w:bCs/>
          <w:sz w:val="24"/>
          <w:szCs w:val="24"/>
          <w:u w:val="single"/>
        </w:rPr>
        <w:lastRenderedPageBreak/>
        <w:t>Chapter 1:</w:t>
      </w:r>
      <w:r w:rsidRPr="00200909">
        <w:rPr>
          <w:rFonts w:ascii="Times New Roman" w:hAnsi="Times New Roman" w:cs="Times New Roman"/>
          <w:b/>
          <w:bCs/>
          <w:sz w:val="24"/>
          <w:szCs w:val="24"/>
          <w:u w:val="single"/>
        </w:rPr>
        <w:tab/>
        <w:t>G. W. M. Reynolds and Contemporary Radicalism</w:t>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 xml:space="preserve">It was suggested in the Introduction that although </w:t>
      </w:r>
      <w:r w:rsidRPr="00200909">
        <w:rPr>
          <w:rFonts w:ascii="Times New Roman" w:hAnsi="Times New Roman" w:cs="Times New Roman"/>
          <w:bCs/>
          <w:sz w:val="24"/>
          <w:szCs w:val="24"/>
        </w:rPr>
        <w:t>Reynolds was widely regarded as a political radical, he often displayed a guarded approach towards the social advancement of the industrious classes, particularly before adopting a more democratic standpoint in the late-1840s.  He returned to England from France in 1836 as a confirmed Republican and staunch supporter of the 1830 Revolution which defeated the attempted reassertion of monarchical privilege by Charles X.</w:t>
      </w:r>
      <w:r w:rsidRPr="00200909">
        <w:rPr>
          <w:rStyle w:val="FootnoteReference"/>
          <w:rFonts w:ascii="Times New Roman" w:hAnsi="Times New Roman" w:cs="Times New Roman"/>
          <w:bCs/>
          <w:sz w:val="24"/>
          <w:szCs w:val="24"/>
        </w:rPr>
        <w:footnoteReference w:id="65"/>
      </w:r>
      <w:r w:rsidRPr="00200909">
        <w:rPr>
          <w:rFonts w:ascii="Times New Roman" w:hAnsi="Times New Roman" w:cs="Times New Roman"/>
          <w:bCs/>
          <w:sz w:val="24"/>
          <w:szCs w:val="24"/>
        </w:rPr>
        <w:t xml:space="preserve">  However, during his absence Britain also witnessed much conflict, including protests over factory conditions, low wages, the 1832 Reform Bill and 1834 New Poor Law, many of which later coalesced in the Chartist movement with its demand for universal manhood suffrage.</w:t>
      </w:r>
      <w:r w:rsidRPr="00200909">
        <w:rPr>
          <w:rStyle w:val="FootnoteReference"/>
          <w:rFonts w:ascii="Times New Roman" w:hAnsi="Times New Roman" w:cs="Times New Roman"/>
          <w:bCs/>
          <w:sz w:val="24"/>
          <w:szCs w:val="24"/>
        </w:rPr>
        <w:footnoteReference w:id="66"/>
      </w:r>
      <w:r w:rsidRPr="00200909">
        <w:rPr>
          <w:rFonts w:ascii="Times New Roman" w:hAnsi="Times New Roman" w:cs="Times New Roman"/>
          <w:bCs/>
          <w:sz w:val="24"/>
          <w:szCs w:val="24"/>
        </w:rPr>
        <w:t xml:space="preserve">  Some held more far-reaching aims than those Reynolds espoused and employed methods he disliked, so his response was one of uncertainty and even opposition.  This chapter will explore several of his philosophical, political and economic beliefs that laid the basis for such caution.  These included how a general emphasis upon environmental influences determining human development was compromised by ambivalence towards individual moral weakness.  Another was the belief that strict rules of conduct and an acceptance of providence should govern behaviour.  Although holding strongly anti-aristocratic positions Reynolds viewed capitalist development more equivocally, seeing the ruling classes of Britain in a different light to what he termed ‘continental tyrannies’.</w:t>
      </w:r>
      <w:r w:rsidRPr="00200909">
        <w:rPr>
          <w:rStyle w:val="FootnoteReference"/>
          <w:rFonts w:ascii="Times New Roman" w:hAnsi="Times New Roman" w:cs="Times New Roman"/>
          <w:sz w:val="24"/>
          <w:szCs w:val="24"/>
        </w:rPr>
        <w:footnoteReference w:id="67"/>
      </w:r>
      <w:r w:rsidRPr="00200909">
        <w:rPr>
          <w:rFonts w:ascii="Times New Roman" w:hAnsi="Times New Roman" w:cs="Times New Roman"/>
          <w:bCs/>
          <w:sz w:val="24"/>
          <w:szCs w:val="24"/>
        </w:rPr>
        <w:t xml:space="preserve">  It will be argued that these ideas exerted a continuing </w:t>
      </w:r>
      <w:r w:rsidRPr="00200909">
        <w:rPr>
          <w:rFonts w:ascii="Times New Roman" w:hAnsi="Times New Roman" w:cs="Times New Roman"/>
          <w:sz w:val="24"/>
          <w:szCs w:val="24"/>
        </w:rPr>
        <w:t xml:space="preserve">influence, so that the underlying cautiousness of </w:t>
      </w:r>
      <w:r w:rsidRPr="00200909">
        <w:rPr>
          <w:rFonts w:ascii="Times New Roman" w:hAnsi="Times New Roman" w:cs="Times New Roman"/>
          <w:bCs/>
          <w:sz w:val="24"/>
          <w:szCs w:val="24"/>
        </w:rPr>
        <w:t xml:space="preserve">contributions to </w:t>
      </w:r>
      <w:r w:rsidRPr="009D616D">
        <w:rPr>
          <w:rFonts w:ascii="Times New Roman" w:hAnsi="Times New Roman" w:cs="Times New Roman"/>
          <w:bCs/>
          <w:i/>
          <w:sz w:val="24"/>
          <w:szCs w:val="24"/>
        </w:rPr>
        <w:t>T</w:t>
      </w:r>
      <w:r w:rsidRPr="009D616D">
        <w:rPr>
          <w:rFonts w:ascii="Times New Roman" w:hAnsi="Times New Roman" w:cs="Times New Roman"/>
          <w:i/>
          <w:sz w:val="24"/>
          <w:szCs w:val="24"/>
        </w:rPr>
        <w:t>he Teetotaler</w:t>
      </w:r>
      <w:r w:rsidRPr="009D616D">
        <w:rPr>
          <w:rFonts w:ascii="Times New Roman" w:hAnsi="Times New Roman" w:cs="Times New Roman"/>
          <w:sz w:val="24"/>
          <w:szCs w:val="24"/>
        </w:rPr>
        <w:t xml:space="preserve"> </w:t>
      </w:r>
      <w:r w:rsidR="00221104" w:rsidRPr="009D616D">
        <w:rPr>
          <w:rFonts w:ascii="Times New Roman" w:hAnsi="Times New Roman" w:cs="Times New Roman"/>
          <w:sz w:val="24"/>
          <w:szCs w:val="24"/>
        </w:rPr>
        <w:t>in</w:t>
      </w:r>
      <w:r w:rsidRPr="009D616D">
        <w:rPr>
          <w:rFonts w:ascii="Times New Roman" w:hAnsi="Times New Roman" w:cs="Times New Roman"/>
          <w:sz w:val="24"/>
          <w:szCs w:val="24"/>
        </w:rPr>
        <w:t xml:space="preserve"> 1840–41 was still observable in writings during his Chartist activity and after, affecting his </w:t>
      </w:r>
      <w:r w:rsidRPr="009D616D">
        <w:rPr>
          <w:rFonts w:ascii="Times New Roman" w:hAnsi="Times New Roman" w:cs="Times New Roman"/>
          <w:bCs/>
          <w:sz w:val="24"/>
          <w:szCs w:val="24"/>
        </w:rPr>
        <w:t>attitude towards contemporary</w:t>
      </w:r>
      <w:r w:rsidRPr="00200909">
        <w:rPr>
          <w:rFonts w:ascii="Times New Roman" w:hAnsi="Times New Roman" w:cs="Times New Roman"/>
          <w:bCs/>
          <w:sz w:val="24"/>
          <w:szCs w:val="24"/>
        </w:rPr>
        <w:t xml:space="preserve"> progressive movements</w:t>
      </w:r>
      <w:r w:rsidRPr="00200909">
        <w:rPr>
          <w:rFonts w:ascii="Times New Roman" w:hAnsi="Times New Roman" w:cs="Times New Roman"/>
          <w:sz w:val="24"/>
          <w:szCs w:val="24"/>
        </w:rPr>
        <w:t xml:space="preserve"> and </w:t>
      </w:r>
      <w:r w:rsidRPr="003515E3">
        <w:rPr>
          <w:rFonts w:ascii="Times New Roman" w:hAnsi="Times New Roman" w:cs="Times New Roman"/>
          <w:sz w:val="24"/>
          <w:szCs w:val="24"/>
        </w:rPr>
        <w:t>shaping portrayals of dissent waged</w:t>
      </w:r>
      <w:r w:rsidRPr="00200909">
        <w:rPr>
          <w:rFonts w:ascii="Times New Roman" w:hAnsi="Times New Roman" w:cs="Times New Roman"/>
          <w:sz w:val="24"/>
          <w:szCs w:val="24"/>
        </w:rPr>
        <w:t xml:space="preserve"> by the industrious classes.</w:t>
      </w:r>
      <w:r w:rsidRPr="00200909">
        <w:rPr>
          <w:rStyle w:val="FootnoteReference"/>
          <w:rFonts w:ascii="Times New Roman" w:hAnsi="Times New Roman" w:cs="Times New Roman"/>
          <w:bCs/>
          <w:sz w:val="24"/>
          <w:szCs w:val="24"/>
        </w:rPr>
        <w:footnoteReference w:id="68"/>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bCs/>
          <w:sz w:val="24"/>
          <w:szCs w:val="24"/>
        </w:rPr>
        <w:t xml:space="preserve">While the above comments suggest that Reynolds was subject to moderating influences, they do not deny he was a Radical who from early writings expressed a broad range of liberal views.  The </w:t>
      </w:r>
      <w:r w:rsidRPr="00200909">
        <w:rPr>
          <w:rFonts w:ascii="Times New Roman" w:hAnsi="Times New Roman" w:cs="Times New Roman"/>
          <w:sz w:val="24"/>
          <w:szCs w:val="24"/>
        </w:rPr>
        <w:t xml:space="preserve">introduction to </w:t>
      </w:r>
      <w:r w:rsidRPr="00200909">
        <w:rPr>
          <w:rFonts w:ascii="Times New Roman" w:hAnsi="Times New Roman" w:cs="Times New Roman"/>
          <w:i/>
          <w:iCs/>
          <w:sz w:val="24"/>
          <w:szCs w:val="24"/>
        </w:rPr>
        <w:t xml:space="preserve">Grace Darling </w:t>
      </w:r>
      <w:r w:rsidRPr="00200909">
        <w:rPr>
          <w:rFonts w:ascii="Times New Roman" w:hAnsi="Times New Roman" w:cs="Times New Roman"/>
          <w:sz w:val="24"/>
          <w:szCs w:val="24"/>
        </w:rPr>
        <w:t xml:space="preserve">(1839) referred scathingly to </w:t>
      </w:r>
      <w:r w:rsidRPr="00200909">
        <w:rPr>
          <w:rFonts w:ascii="Times New Roman" w:hAnsi="Times New Roman" w:cs="Times New Roman"/>
          <w:sz w:val="24"/>
          <w:szCs w:val="24"/>
        </w:rPr>
        <w:lastRenderedPageBreak/>
        <w:t>slavery and the subordination of women.</w:t>
      </w:r>
      <w:r w:rsidRPr="00200909">
        <w:rPr>
          <w:rStyle w:val="FootnoteReference"/>
          <w:rFonts w:ascii="Times New Roman" w:hAnsi="Times New Roman" w:cs="Times New Roman"/>
          <w:sz w:val="24"/>
          <w:szCs w:val="24"/>
        </w:rPr>
        <w:footnoteReference w:id="69"/>
      </w:r>
      <w:r w:rsidRPr="00200909">
        <w:rPr>
          <w:rFonts w:ascii="Times New Roman" w:hAnsi="Times New Roman" w:cs="Times New Roman"/>
          <w:sz w:val="24"/>
          <w:szCs w:val="24"/>
        </w:rPr>
        <w:t xml:space="preserve">  Somewhat later, the </w:t>
      </w:r>
      <w:r w:rsidRPr="00200909">
        <w:rPr>
          <w:rFonts w:ascii="Times New Roman" w:hAnsi="Times New Roman" w:cs="Times New Roman"/>
          <w:i/>
          <w:sz w:val="24"/>
          <w:szCs w:val="24"/>
        </w:rPr>
        <w:t>Miscellany</w:t>
      </w:r>
      <w:r w:rsidRPr="00200909">
        <w:rPr>
          <w:rFonts w:ascii="Times New Roman" w:hAnsi="Times New Roman" w:cs="Times New Roman"/>
          <w:sz w:val="24"/>
          <w:szCs w:val="24"/>
        </w:rPr>
        <w:t xml:space="preserve"> promoted Jewish Rights by welcoming Baron Lionel de Rothschild’s election to the House of Commons.  The article rejected the stereotyping of Jews as idle and greedy, stating that they were ‘the kindest and most humane of all men’.</w:t>
      </w:r>
      <w:r w:rsidRPr="00200909">
        <w:rPr>
          <w:rStyle w:val="FootnoteReference"/>
          <w:rFonts w:ascii="Times New Roman" w:hAnsi="Times New Roman" w:cs="Times New Roman"/>
          <w:sz w:val="24"/>
          <w:szCs w:val="24"/>
        </w:rPr>
        <w:footnoteReference w:id="70"/>
      </w:r>
      <w:r w:rsidRPr="00200909">
        <w:rPr>
          <w:rFonts w:ascii="Times New Roman" w:hAnsi="Times New Roman" w:cs="Times New Roman"/>
          <w:sz w:val="24"/>
          <w:szCs w:val="24"/>
        </w:rPr>
        <w:t xml:space="preserve">  Many contemporary radicals, such as Robert Owen, held a view of human development which Alan Wooldridge sums up as follows:</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Based on Locke’s theory that the mind is a tabula rasa, and buttressed by David Hartley’s associationist psychology, this belief held out the possibility not just of social improvement but even of human perfection.  Improve the circumstances and you improve the man.</w:t>
      </w:r>
      <w:r w:rsidRPr="00200909">
        <w:rPr>
          <w:rStyle w:val="FootnoteReference"/>
          <w:rFonts w:ascii="Times New Roman" w:hAnsi="Times New Roman" w:cs="Times New Roman"/>
          <w:sz w:val="24"/>
          <w:szCs w:val="24"/>
        </w:rPr>
        <w:footnoteReference w:id="71"/>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It will be argued later that Reynolds held reservations concerning this, yet at times he echoed its optimistic Lockean perspective quite openly: ‘The mind at its birth is an unformed and shapeless mass, which education and circumstances must fashion.’</w:t>
      </w:r>
      <w:r w:rsidRPr="00200909">
        <w:rPr>
          <w:rStyle w:val="FootnoteReference"/>
          <w:rFonts w:ascii="Times New Roman" w:hAnsi="Times New Roman" w:cs="Times New Roman"/>
          <w:sz w:val="24"/>
          <w:szCs w:val="24"/>
        </w:rPr>
        <w:footnoteReference w:id="72"/>
      </w:r>
      <w:r w:rsidRPr="00200909">
        <w:rPr>
          <w:rFonts w:ascii="Times New Roman" w:hAnsi="Times New Roman" w:cs="Times New Roman"/>
          <w:sz w:val="24"/>
          <w:szCs w:val="24"/>
        </w:rPr>
        <w:t xml:space="preserve">  According to this empiricist outlook, ideas entered the mind by sensation and were developed by reflection.  In </w:t>
      </w:r>
      <w:r w:rsidRPr="00200909">
        <w:rPr>
          <w:rFonts w:ascii="Times New Roman" w:hAnsi="Times New Roman" w:cs="Times New Roman"/>
          <w:i/>
          <w:sz w:val="24"/>
          <w:szCs w:val="24"/>
        </w:rPr>
        <w:t>The Teetotaler</w:t>
      </w:r>
      <w:r w:rsidRPr="00200909">
        <w:rPr>
          <w:rFonts w:ascii="Times New Roman" w:hAnsi="Times New Roman" w:cs="Times New Roman"/>
          <w:sz w:val="24"/>
          <w:szCs w:val="24"/>
        </w:rPr>
        <w:t>, he wrote: ‘Sensation is the notice the mind takes of impressions made upon our senses by outward objects, and reflection is the notice the mind takes of its own operations.’</w:t>
      </w:r>
      <w:r w:rsidRPr="00200909">
        <w:rPr>
          <w:rStyle w:val="FootnoteReference"/>
          <w:rFonts w:ascii="Times New Roman" w:hAnsi="Times New Roman" w:cs="Times New Roman"/>
          <w:sz w:val="24"/>
          <w:szCs w:val="24"/>
        </w:rPr>
        <w:footnoteReference w:id="73"/>
      </w:r>
      <w:r w:rsidRPr="00200909">
        <w:rPr>
          <w:rFonts w:ascii="Times New Roman" w:hAnsi="Times New Roman" w:cs="Times New Roman"/>
          <w:sz w:val="24"/>
          <w:szCs w:val="24"/>
        </w:rPr>
        <w:t xml:space="preserve">  He contended that environmental factors formed a chain of influences extending back to infancy, as with his own early years in Kent:</w:t>
      </w:r>
    </w:p>
    <w:p w:rsidR="001151C3" w:rsidRPr="00200909" w:rsidRDefault="001151C3" w:rsidP="001151C3">
      <w:pPr>
        <w:spacing w:after="240" w:line="240" w:lineRule="auto"/>
        <w:ind w:left="720"/>
        <w:rPr>
          <w:rFonts w:ascii="Times New Roman" w:hAnsi="Times New Roman" w:cs="Times New Roman"/>
          <w:b/>
          <w:sz w:val="24"/>
          <w:szCs w:val="24"/>
        </w:rPr>
      </w:pPr>
      <w:r w:rsidRPr="00200909">
        <w:rPr>
          <w:rFonts w:ascii="Times New Roman" w:hAnsi="Times New Roman" w:cs="Times New Roman"/>
          <w:sz w:val="24"/>
          <w:szCs w:val="24"/>
        </w:rPr>
        <w:t xml:space="preserve">There are you known by the very trees that grace the hamlet: that crowing cock announced your birth—that wooden cross looked on while you received the name of </w:t>
      </w:r>
      <w:r w:rsidRPr="00200909">
        <w:rPr>
          <w:rFonts w:ascii="Times New Roman" w:hAnsi="Times New Roman" w:cs="Times New Roman"/>
          <w:sz w:val="24"/>
          <w:szCs w:val="24"/>
        </w:rPr>
        <w:lastRenderedPageBreak/>
        <w:t>Christian—that heavenly star rose through the ethereal arc to protect your life—the old church-portals have creaked a kindly welcome to your repeated presence.</w:t>
      </w:r>
      <w:r w:rsidRPr="00200909">
        <w:rPr>
          <w:rStyle w:val="FootnoteReference"/>
          <w:rFonts w:ascii="Times New Roman" w:hAnsi="Times New Roman" w:cs="Times New Roman"/>
          <w:sz w:val="24"/>
          <w:szCs w:val="24"/>
        </w:rPr>
        <w:footnoteReference w:id="74"/>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Such experiences fundamentally shaped the individual’s character, with a happy childhood having a lasting, beneficial impact.  Remembrance of a benign upbringing brought forth the best feelings and those who remained untouched by these emotions were prone to coldness and egotism.</w:t>
      </w:r>
      <w:r w:rsidRPr="00200909">
        <w:rPr>
          <w:rStyle w:val="FootnoteReference"/>
          <w:rFonts w:ascii="Times New Roman" w:hAnsi="Times New Roman" w:cs="Times New Roman"/>
          <w:sz w:val="24"/>
          <w:szCs w:val="24"/>
        </w:rPr>
        <w:footnoteReference w:id="75"/>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 xml:space="preserve">Reynolds’s first period of sustained activism in England was during 1840–41, as a member of the </w:t>
      </w:r>
      <w:r w:rsidRPr="00200909">
        <w:rPr>
          <w:rFonts w:ascii="Times New Roman" w:hAnsi="Times New Roman" w:cs="Times New Roman"/>
          <w:i/>
          <w:sz w:val="24"/>
          <w:szCs w:val="24"/>
        </w:rPr>
        <w:t>United Teetotaller Association</w:t>
      </w:r>
      <w:r w:rsidRPr="00200909">
        <w:rPr>
          <w:rFonts w:ascii="Times New Roman" w:hAnsi="Times New Roman" w:cs="Times New Roman"/>
          <w:sz w:val="24"/>
          <w:szCs w:val="24"/>
        </w:rPr>
        <w:t xml:space="preserve"> (</w:t>
      </w:r>
      <w:r w:rsidRPr="00200909">
        <w:rPr>
          <w:rFonts w:ascii="Times New Roman" w:hAnsi="Times New Roman" w:cs="Times New Roman"/>
          <w:iCs/>
          <w:sz w:val="24"/>
          <w:szCs w:val="24"/>
        </w:rPr>
        <w:t>UTA</w:t>
      </w:r>
      <w:r w:rsidRPr="00200909">
        <w:rPr>
          <w:rFonts w:ascii="Times New Roman" w:hAnsi="Times New Roman" w:cs="Times New Roman"/>
          <w:sz w:val="24"/>
          <w:szCs w:val="24"/>
        </w:rPr>
        <w:t xml:space="preserve">), editing and writing for its journal, </w:t>
      </w:r>
      <w:r w:rsidRPr="00200909">
        <w:rPr>
          <w:rFonts w:ascii="Times New Roman" w:hAnsi="Times New Roman" w:cs="Times New Roman"/>
          <w:i/>
          <w:iCs/>
          <w:sz w:val="24"/>
          <w:szCs w:val="24"/>
        </w:rPr>
        <w:t>The Teetotaler</w:t>
      </w:r>
      <w:r w:rsidRPr="00200909">
        <w:rPr>
          <w:rFonts w:ascii="Times New Roman" w:hAnsi="Times New Roman" w:cs="Times New Roman"/>
          <w:sz w:val="24"/>
          <w:szCs w:val="24"/>
        </w:rPr>
        <w:t>.</w:t>
      </w:r>
      <w:r w:rsidRPr="00200909">
        <w:rPr>
          <w:rStyle w:val="FootnoteReference"/>
          <w:rFonts w:ascii="Times New Roman" w:hAnsi="Times New Roman" w:cs="Times New Roman"/>
          <w:sz w:val="24"/>
          <w:szCs w:val="24"/>
        </w:rPr>
        <w:footnoteReference w:id="76"/>
      </w:r>
      <w:r w:rsidRPr="00200909">
        <w:rPr>
          <w:rFonts w:ascii="Times New Roman" w:hAnsi="Times New Roman" w:cs="Times New Roman"/>
          <w:sz w:val="24"/>
          <w:szCs w:val="24"/>
        </w:rPr>
        <w:t xml:space="preserve">  He joined at the end of a period when teetotalism had enjoyed considerable growth.</w:t>
      </w:r>
      <w:r w:rsidRPr="00200909">
        <w:rPr>
          <w:rStyle w:val="FootnoteReference"/>
          <w:rFonts w:ascii="Times New Roman" w:hAnsi="Times New Roman" w:cs="Times New Roman"/>
          <w:sz w:val="24"/>
          <w:szCs w:val="24"/>
        </w:rPr>
        <w:footnoteReference w:id="77"/>
      </w:r>
      <w:r w:rsidRPr="00200909">
        <w:rPr>
          <w:rFonts w:ascii="Times New Roman" w:hAnsi="Times New Roman" w:cs="Times New Roman"/>
          <w:sz w:val="24"/>
          <w:szCs w:val="24"/>
        </w:rPr>
        <w:t xml:space="preserve">  As a movement that desired improvement of the masses within a careful moral framework, it was an appropriate vehicle to promote the varied elements of his outlook.  The radical aspects were forcefully displayed in proclamations that the industrious classes were the fundamental creators of wealth and pivotal to the development of society: ‘Commerce, manufactures, and labour, are the sources of wealth and prosperity; and the working-classes are the real agents of promoting or extending these.’</w:t>
      </w:r>
      <w:r w:rsidRPr="00200909">
        <w:rPr>
          <w:rStyle w:val="FootnoteReference"/>
          <w:rFonts w:ascii="Times New Roman" w:hAnsi="Times New Roman" w:cs="Times New Roman"/>
          <w:sz w:val="24"/>
          <w:szCs w:val="24"/>
        </w:rPr>
        <w:footnoteReference w:id="78"/>
      </w:r>
      <w:r w:rsidRPr="00200909">
        <w:rPr>
          <w:rFonts w:ascii="Times New Roman" w:hAnsi="Times New Roman" w:cs="Times New Roman"/>
          <w:sz w:val="24"/>
          <w:szCs w:val="24"/>
        </w:rPr>
        <w:t xml:space="preserve">  Alongside this economic importance, they were the mainspring for social advancement: ‘the working classes are the pillars of the state; and from them shall all salutary reform emanate’.</w:t>
      </w:r>
      <w:r w:rsidRPr="00200909">
        <w:rPr>
          <w:rStyle w:val="FootnoteReference"/>
          <w:rFonts w:ascii="Times New Roman" w:hAnsi="Times New Roman" w:cs="Times New Roman"/>
          <w:sz w:val="24"/>
          <w:szCs w:val="24"/>
        </w:rPr>
        <w:footnoteReference w:id="79"/>
      </w:r>
      <w:r w:rsidRPr="00200909">
        <w:rPr>
          <w:rFonts w:ascii="Times New Roman" w:hAnsi="Times New Roman" w:cs="Times New Roman"/>
          <w:sz w:val="24"/>
          <w:szCs w:val="24"/>
        </w:rPr>
        <w:t xml:space="preserve">  Reynolds’s wife Susannah went so far as to state in her poem ‘The Working Man’ that they were destined to save the nation from moral decline:</w:t>
      </w:r>
    </w:p>
    <w:p w:rsidR="001151C3" w:rsidRPr="00200909" w:rsidRDefault="001151C3" w:rsidP="001151C3">
      <w:pPr>
        <w:spacing w:after="0" w:line="240" w:lineRule="auto"/>
        <w:rPr>
          <w:rFonts w:ascii="Times New Roman" w:hAnsi="Times New Roman" w:cs="Times New Roman"/>
          <w:sz w:val="24"/>
          <w:szCs w:val="24"/>
        </w:rPr>
      </w:pPr>
      <w:r w:rsidRPr="00200909">
        <w:rPr>
          <w:rFonts w:ascii="Times New Roman" w:hAnsi="Times New Roman" w:cs="Times New Roman"/>
          <w:sz w:val="24"/>
          <w:szCs w:val="24"/>
        </w:rPr>
        <w:tab/>
        <w:t>Who; to uphold his country’s fame,</w:t>
      </w:r>
    </w:p>
    <w:p w:rsidR="001151C3" w:rsidRPr="00200909" w:rsidRDefault="001151C3" w:rsidP="001151C3">
      <w:pPr>
        <w:spacing w:after="0" w:line="240" w:lineRule="auto"/>
        <w:ind w:left="170" w:firstLine="720"/>
        <w:rPr>
          <w:rFonts w:ascii="Times New Roman" w:hAnsi="Times New Roman" w:cs="Times New Roman"/>
          <w:sz w:val="24"/>
          <w:szCs w:val="24"/>
        </w:rPr>
      </w:pPr>
      <w:r w:rsidRPr="00200909">
        <w:rPr>
          <w:rFonts w:ascii="Times New Roman" w:hAnsi="Times New Roman" w:cs="Times New Roman"/>
          <w:sz w:val="24"/>
          <w:szCs w:val="24"/>
        </w:rPr>
        <w:t>The temp’rance banner has unfurled,</w:t>
      </w:r>
    </w:p>
    <w:p w:rsidR="001151C3" w:rsidRPr="00200909" w:rsidRDefault="001151C3" w:rsidP="001151C3">
      <w:pPr>
        <w:spacing w:after="0" w:line="240" w:lineRule="auto"/>
        <w:ind w:firstLine="720"/>
        <w:rPr>
          <w:rFonts w:ascii="Times New Roman" w:hAnsi="Times New Roman" w:cs="Times New Roman"/>
          <w:sz w:val="24"/>
          <w:szCs w:val="24"/>
        </w:rPr>
      </w:pPr>
      <w:r w:rsidRPr="00200909">
        <w:rPr>
          <w:rFonts w:ascii="Times New Roman" w:hAnsi="Times New Roman" w:cs="Times New Roman"/>
          <w:sz w:val="24"/>
          <w:szCs w:val="24"/>
        </w:rPr>
        <w:t>And rescued from th’ abyss of shame</w:t>
      </w:r>
    </w:p>
    <w:p w:rsidR="001151C3" w:rsidRPr="00200909" w:rsidRDefault="001151C3" w:rsidP="001151C3">
      <w:pPr>
        <w:spacing w:after="0" w:line="240" w:lineRule="auto"/>
        <w:ind w:left="170" w:firstLine="720"/>
        <w:rPr>
          <w:rFonts w:ascii="Times New Roman" w:hAnsi="Times New Roman" w:cs="Times New Roman"/>
          <w:sz w:val="24"/>
          <w:szCs w:val="24"/>
        </w:rPr>
      </w:pPr>
      <w:r w:rsidRPr="00200909">
        <w:rPr>
          <w:rFonts w:ascii="Times New Roman" w:hAnsi="Times New Roman" w:cs="Times New Roman"/>
          <w:sz w:val="24"/>
          <w:szCs w:val="24"/>
        </w:rPr>
        <w:t>The Island-mistress of the world?</w:t>
      </w:r>
    </w:p>
    <w:p w:rsidR="001151C3" w:rsidRPr="00200909" w:rsidRDefault="001151C3" w:rsidP="001151C3">
      <w:pPr>
        <w:spacing w:after="120" w:line="360" w:lineRule="auto"/>
        <w:ind w:left="510" w:firstLine="720"/>
        <w:rPr>
          <w:rFonts w:ascii="Times New Roman" w:hAnsi="Times New Roman" w:cs="Times New Roman"/>
          <w:sz w:val="24"/>
          <w:szCs w:val="24"/>
        </w:rPr>
      </w:pPr>
      <w:r w:rsidRPr="00200909">
        <w:rPr>
          <w:rFonts w:ascii="Times New Roman" w:hAnsi="Times New Roman" w:cs="Times New Roman"/>
          <w:sz w:val="24"/>
          <w:szCs w:val="24"/>
        </w:rPr>
        <w:t>The Working Man!</w:t>
      </w:r>
      <w:r w:rsidRPr="00200909">
        <w:rPr>
          <w:rStyle w:val="FootnoteReference"/>
          <w:rFonts w:ascii="Times New Roman" w:hAnsi="Times New Roman" w:cs="Times New Roman"/>
          <w:sz w:val="24"/>
          <w:szCs w:val="24"/>
        </w:rPr>
        <w:footnoteReference w:id="80"/>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Responsibility is placed upon them to prevent the degradation brought by alcohol consumption.  They will lead Britain to a bright new future, maintaining her fame and </w:t>
      </w:r>
      <w:r w:rsidRPr="00200909">
        <w:rPr>
          <w:rFonts w:ascii="Times New Roman" w:hAnsi="Times New Roman" w:cs="Times New Roman"/>
          <w:sz w:val="24"/>
          <w:szCs w:val="24"/>
        </w:rPr>
        <w:lastRenderedPageBreak/>
        <w:t>position as moral leader across the globe.</w:t>
      </w:r>
      <w:r w:rsidRPr="00200909">
        <w:rPr>
          <w:rStyle w:val="FootnoteReference"/>
          <w:rFonts w:ascii="Times New Roman" w:hAnsi="Times New Roman" w:cs="Times New Roman"/>
          <w:sz w:val="24"/>
          <w:szCs w:val="24"/>
        </w:rPr>
        <w:footnoteReference w:id="81"/>
      </w:r>
      <w:r w:rsidRPr="00200909">
        <w:rPr>
          <w:rFonts w:ascii="Times New Roman" w:hAnsi="Times New Roman" w:cs="Times New Roman"/>
          <w:sz w:val="24"/>
          <w:szCs w:val="24"/>
        </w:rPr>
        <w:t xml:space="preserve">  The poem continues to argue that the working man by supporting temperance with ‘iron eloquence’ has taken over the role that should be played by government in providing guidance pertinent to all ranks of society.</w:t>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The socially progressive nature of teetotalism was emphasised by presenting it as having played a vital role in the history of English revolution:</w:t>
      </w:r>
    </w:p>
    <w:p w:rsidR="001151C3" w:rsidRPr="009D616D"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 xml:space="preserve">CROMWELL was a Puritan and a Republican.  The Puritans obtained their power by adopting principles of self-denial and abstemiousness; they forswore all improper indulgences in wines and intoxicating liquors, […] Like all </w:t>
      </w:r>
      <w:r w:rsidRPr="009D616D">
        <w:rPr>
          <w:rFonts w:ascii="Times New Roman" w:hAnsi="Times New Roman" w:cs="Times New Roman"/>
          <w:sz w:val="24"/>
          <w:szCs w:val="24"/>
        </w:rPr>
        <w:t>other moral reformations, the doctrines of the Puritans emanated from the working classes; and the period of political revolution, by breaking down all the monopolies of the great, opened numerous avenues of honour and success to the footsteps of the bold, the talented, and the upright.</w:t>
      </w:r>
      <w:r w:rsidRPr="009D616D">
        <w:rPr>
          <w:rStyle w:val="FootnoteReference"/>
          <w:rFonts w:ascii="Times New Roman" w:hAnsi="Times New Roman" w:cs="Times New Roman"/>
          <w:sz w:val="24"/>
          <w:szCs w:val="24"/>
        </w:rPr>
        <w:footnoteReference w:id="82"/>
      </w:r>
    </w:p>
    <w:p w:rsidR="001151C3" w:rsidRPr="009D616D" w:rsidRDefault="001151C3" w:rsidP="001151C3">
      <w:pPr>
        <w:spacing w:after="120" w:line="360" w:lineRule="auto"/>
        <w:rPr>
          <w:rFonts w:ascii="Times New Roman" w:hAnsi="Times New Roman" w:cs="Times New Roman"/>
          <w:sz w:val="24"/>
          <w:szCs w:val="24"/>
        </w:rPr>
      </w:pPr>
      <w:r w:rsidRPr="009D616D">
        <w:rPr>
          <w:rFonts w:ascii="Times New Roman" w:hAnsi="Times New Roman" w:cs="Times New Roman"/>
          <w:sz w:val="24"/>
          <w:szCs w:val="24"/>
        </w:rPr>
        <w:t>Its austere principles are seen as an essential component of the Puritan beliefs that bound Cromwell’s New Model Army.  Self-denial endowed the individual with courage to challenge entrenched social barriers erected by the idle rich.  The superiority of such values is confirmed by claiming they are based ‘upon the salutary doctrines of Holy Writ’.</w:t>
      </w:r>
      <w:r w:rsidRPr="009D616D">
        <w:rPr>
          <w:rStyle w:val="FootnoteReference"/>
          <w:rFonts w:ascii="Times New Roman" w:hAnsi="Times New Roman" w:cs="Times New Roman"/>
          <w:sz w:val="24"/>
          <w:szCs w:val="24"/>
        </w:rPr>
        <w:footnoteReference w:id="83"/>
      </w:r>
      <w:r w:rsidRPr="009D616D">
        <w:rPr>
          <w:rFonts w:ascii="Times New Roman" w:hAnsi="Times New Roman" w:cs="Times New Roman"/>
          <w:sz w:val="24"/>
          <w:szCs w:val="24"/>
        </w:rPr>
        <w:t xml:space="preserve">  Moral reformation is again presented as being driven by the working classes</w:t>
      </w:r>
      <w:r w:rsidR="00F40DFF" w:rsidRPr="009D616D">
        <w:rPr>
          <w:rFonts w:ascii="Times New Roman" w:hAnsi="Times New Roman" w:cs="Times New Roman"/>
          <w:sz w:val="24"/>
          <w:szCs w:val="24"/>
        </w:rPr>
        <w:t>, thereby</w:t>
      </w:r>
      <w:r w:rsidRPr="009D616D">
        <w:rPr>
          <w:rFonts w:ascii="Times New Roman" w:hAnsi="Times New Roman" w:cs="Times New Roman"/>
          <w:sz w:val="24"/>
          <w:szCs w:val="24"/>
        </w:rPr>
        <w:t xml:space="preserve"> opening the way for social and cultural advancement.  This perspective is continued in discussions of contemporary teetotalism which stressed how it was similarly engaged in battle:</w:t>
      </w:r>
    </w:p>
    <w:p w:rsidR="001151C3" w:rsidRPr="00200909" w:rsidRDefault="001151C3" w:rsidP="001151C3">
      <w:pPr>
        <w:spacing w:after="240" w:line="240" w:lineRule="auto"/>
        <w:ind w:left="720"/>
        <w:rPr>
          <w:rFonts w:ascii="Times New Roman" w:hAnsi="Times New Roman" w:cs="Times New Roman"/>
          <w:sz w:val="24"/>
          <w:szCs w:val="24"/>
        </w:rPr>
      </w:pPr>
      <w:r w:rsidRPr="009D616D">
        <w:rPr>
          <w:rFonts w:ascii="Times New Roman" w:hAnsi="Times New Roman" w:cs="Times New Roman"/>
          <w:sz w:val="24"/>
          <w:szCs w:val="24"/>
        </w:rPr>
        <w:t>While those processions pass through the streets, numbers of degraded drunkards—struck by the cleanly and comfortable appearance of the Teetotalers and their families, attracted by the halo of happiness and contentment which</w:t>
      </w:r>
      <w:r w:rsidRPr="00200909">
        <w:rPr>
          <w:rFonts w:ascii="Times New Roman" w:hAnsi="Times New Roman" w:cs="Times New Roman"/>
          <w:sz w:val="24"/>
          <w:szCs w:val="24"/>
        </w:rPr>
        <w:t xml:space="preserve"> surrounds them, and shamed by the example thus afforded them by their fellow-creatures—hasten to enlist themselves in the ranks of Teetotalism.</w:t>
      </w:r>
      <w:r w:rsidRPr="00200909">
        <w:rPr>
          <w:rStyle w:val="FootnoteReference"/>
          <w:rFonts w:ascii="Times New Roman" w:hAnsi="Times New Roman" w:cs="Times New Roman"/>
          <w:sz w:val="24"/>
          <w:szCs w:val="24"/>
        </w:rPr>
        <w:footnoteReference w:id="84"/>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The references to ‘processions’ and enlisting ‘in the ranks’ suggest the creation of a new force warring against governmental injustice and the prejudices spread by an intolerant educational system.</w:t>
      </w:r>
      <w:r w:rsidRPr="00200909">
        <w:rPr>
          <w:rStyle w:val="FootnoteReference"/>
          <w:rFonts w:ascii="Times New Roman" w:hAnsi="Times New Roman" w:cs="Times New Roman"/>
          <w:sz w:val="24"/>
          <w:szCs w:val="24"/>
        </w:rPr>
        <w:footnoteReference w:id="85"/>
      </w:r>
      <w:r w:rsidRPr="00200909">
        <w:rPr>
          <w:rFonts w:ascii="Times New Roman" w:hAnsi="Times New Roman" w:cs="Times New Roman"/>
          <w:sz w:val="24"/>
          <w:szCs w:val="24"/>
        </w:rPr>
        <w:t xml:space="preserve">  The clean, comfortable appearance of the marchers makes their opposition to alcohol a consciously visual protest against social ills, reducing the threat of workhouse, pawnbroker and prison, and relieving the streets ‘of many a frail daughter of </w:t>
      </w:r>
      <w:r w:rsidRPr="00200909">
        <w:rPr>
          <w:rFonts w:ascii="Times New Roman" w:hAnsi="Times New Roman" w:cs="Times New Roman"/>
          <w:sz w:val="24"/>
          <w:szCs w:val="24"/>
        </w:rPr>
        <w:lastRenderedPageBreak/>
        <w:t>crime’.</w:t>
      </w:r>
      <w:r w:rsidRPr="00200909">
        <w:rPr>
          <w:rStyle w:val="FootnoteReference"/>
          <w:rFonts w:ascii="Times New Roman" w:hAnsi="Times New Roman" w:cs="Times New Roman"/>
          <w:sz w:val="24"/>
          <w:szCs w:val="24"/>
        </w:rPr>
        <w:footnoteReference w:id="86"/>
      </w:r>
      <w:r w:rsidRPr="00200909">
        <w:rPr>
          <w:rFonts w:ascii="Times New Roman" w:hAnsi="Times New Roman" w:cs="Times New Roman"/>
          <w:sz w:val="24"/>
          <w:szCs w:val="24"/>
        </w:rPr>
        <w:t xml:space="preserve">  The association of Cromwell’s struggle with ‘Holy Writ’ is echoed by the ‘halo of happiness and contentment’ which appears to sanctify their actions.</w:t>
      </w:r>
      <w:r w:rsidRPr="00200909">
        <w:rPr>
          <w:rStyle w:val="FootnoteReference"/>
          <w:rFonts w:ascii="Times New Roman" w:hAnsi="Times New Roman" w:cs="Times New Roman"/>
          <w:sz w:val="24"/>
          <w:szCs w:val="24"/>
        </w:rPr>
        <w:footnoteReference w:id="87"/>
      </w:r>
      <w:r w:rsidRPr="00200909">
        <w:rPr>
          <w:rFonts w:ascii="Times New Roman" w:hAnsi="Times New Roman" w:cs="Times New Roman"/>
          <w:sz w:val="24"/>
          <w:szCs w:val="24"/>
        </w:rPr>
        <w:t xml:space="preserve">  However, times have changed, so while Reynolds envisages the movement as a vanguard, it rejects violence for harmonious organisation.  He argues that the moral and intellectual developments wrought by teetotalism parallel the wondrous advances made in science, each in their own way improving people’s lives.  Presenting it as a modernising force laid the platform from which to attack unthinking reverence for the past: ‘</w:t>
      </w:r>
      <w:r w:rsidRPr="00200909">
        <w:rPr>
          <w:rFonts w:ascii="Times New Roman" w:hAnsi="Times New Roman" w:cs="Times New Roman"/>
          <w:bCs/>
          <w:iCs/>
          <w:sz w:val="24"/>
          <w:szCs w:val="24"/>
        </w:rPr>
        <w:t>Teetotalism will give new life and youth to England, in casting her, disencumbered and divested of her past centuries of demoralising habits and ruinous customs, into an era of peace, happiness, and contentment.’</w:t>
      </w:r>
      <w:r w:rsidRPr="00200909">
        <w:rPr>
          <w:rStyle w:val="FootnoteReference"/>
          <w:rFonts w:ascii="Times New Roman" w:hAnsi="Times New Roman" w:cs="Times New Roman"/>
          <w:bCs/>
          <w:iCs/>
          <w:sz w:val="24"/>
          <w:szCs w:val="24"/>
        </w:rPr>
        <w:footnoteReference w:id="88"/>
      </w:r>
      <w:r w:rsidRPr="00200909">
        <w:rPr>
          <w:rFonts w:ascii="Times New Roman" w:hAnsi="Times New Roman" w:cs="Times New Roman"/>
          <w:bCs/>
          <w:iCs/>
          <w:sz w:val="24"/>
          <w:szCs w:val="24"/>
        </w:rPr>
        <w:t xml:space="preserve">  Such statements w</w:t>
      </w:r>
      <w:r w:rsidRPr="00200909">
        <w:rPr>
          <w:rFonts w:ascii="Times New Roman" w:hAnsi="Times New Roman" w:cs="Times New Roman"/>
          <w:sz w:val="24"/>
          <w:szCs w:val="24"/>
        </w:rPr>
        <w:t>hich place it as a protest against outmoded superstition</w:t>
      </w:r>
      <w:r w:rsidRPr="00200909">
        <w:rPr>
          <w:rFonts w:ascii="Times New Roman" w:hAnsi="Times New Roman" w:cs="Times New Roman"/>
          <w:bCs/>
          <w:iCs/>
          <w:sz w:val="24"/>
          <w:szCs w:val="24"/>
        </w:rPr>
        <w:t xml:space="preserve"> fitted neatly alongside Reynolds’s republicanism.  </w:t>
      </w:r>
      <w:r w:rsidRPr="00200909">
        <w:rPr>
          <w:rFonts w:ascii="Times New Roman" w:hAnsi="Times New Roman" w:cs="Times New Roman"/>
          <w:sz w:val="24"/>
          <w:szCs w:val="24"/>
        </w:rPr>
        <w:t>Earlier periods are portrayed as ones of ignorance and misery, emphasising the perfidious role played by rulers through the ages.  These views found support among other contributors to the journal.  The ‘Letters to the Working Classes’ signed by Gracchus charged the aristocracy with using alcohol to keep workers subjugated.</w:t>
      </w:r>
      <w:r w:rsidRPr="00200909">
        <w:rPr>
          <w:rStyle w:val="FootnoteReference"/>
          <w:rFonts w:ascii="Times New Roman" w:hAnsi="Times New Roman" w:cs="Times New Roman"/>
          <w:sz w:val="24"/>
          <w:szCs w:val="24"/>
        </w:rPr>
        <w:footnoteReference w:id="89"/>
      </w:r>
      <w:r w:rsidRPr="00200909">
        <w:rPr>
          <w:rFonts w:ascii="Times New Roman" w:hAnsi="Times New Roman" w:cs="Times New Roman"/>
          <w:sz w:val="24"/>
          <w:szCs w:val="24"/>
        </w:rPr>
        <w:t xml:space="preserve">  Teetotalism was essential for the development of ideas that would see the masses cast aside the mental shackles inherited from previous times:</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[T]hat same improved state of intellect also convinces us that kings and queens are the most effectual sources of misery, in consequence of war—poverty, as the result of taxation—and injustice, which is the invariable emanation of the exclusive privilege of royalty.</w:t>
      </w:r>
      <w:r w:rsidRPr="00200909">
        <w:rPr>
          <w:rStyle w:val="FootnoteReference"/>
          <w:rFonts w:ascii="Times New Roman" w:hAnsi="Times New Roman" w:cs="Times New Roman"/>
          <w:bCs/>
          <w:iCs/>
          <w:sz w:val="24"/>
          <w:szCs w:val="24"/>
        </w:rPr>
        <w:footnoteReference w:id="90"/>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The good sense of the present age that has revealed the dangers of alcohol has also led to an understanding of how monarchical rule encourages war, increases taxes and maintains unwarranted privileges.  Such articles task the movement with exposing the delusion that the working classes possess political rights.  Monarchy and alcohol are inextricably linked as </w:t>
      </w:r>
      <w:r w:rsidRPr="00200909">
        <w:rPr>
          <w:rFonts w:ascii="Times New Roman" w:hAnsi="Times New Roman" w:cs="Times New Roman"/>
          <w:sz w:val="24"/>
          <w:szCs w:val="24"/>
        </w:rPr>
        <w:lastRenderedPageBreak/>
        <w:t>problems to be abolished: ‘The demon of intemperance must be hurled from his throne in the same way as the tyrannical institutions of monarchical government must be annihilated’.</w:t>
      </w:r>
      <w:r w:rsidRPr="00200909">
        <w:rPr>
          <w:rStyle w:val="FootnoteReference"/>
          <w:rFonts w:ascii="Times New Roman" w:hAnsi="Times New Roman" w:cs="Times New Roman"/>
          <w:sz w:val="24"/>
          <w:szCs w:val="24"/>
        </w:rPr>
        <w:footnoteReference w:id="91"/>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bCs/>
          <w:sz w:val="24"/>
          <w:szCs w:val="24"/>
        </w:rPr>
        <w:t xml:space="preserve">Reynolds </w:t>
      </w:r>
      <w:r w:rsidRPr="00200909">
        <w:rPr>
          <w:rFonts w:ascii="Times New Roman" w:hAnsi="Times New Roman" w:cs="Times New Roman"/>
          <w:sz w:val="24"/>
          <w:szCs w:val="24"/>
        </w:rPr>
        <w:t>argued alcohol was the principle means by which exploitation of the poor was maintained, something evident in the support given to coal-whippers around Wapping.</w:t>
      </w:r>
      <w:r w:rsidRPr="00200909">
        <w:rPr>
          <w:rStyle w:val="FootnoteReference"/>
          <w:rFonts w:ascii="Times New Roman" w:hAnsi="Times New Roman" w:cs="Times New Roman"/>
          <w:sz w:val="24"/>
          <w:szCs w:val="24"/>
        </w:rPr>
        <w:footnoteReference w:id="92"/>
      </w:r>
      <w:r w:rsidRPr="00200909">
        <w:rPr>
          <w:rFonts w:ascii="Times New Roman" w:hAnsi="Times New Roman" w:cs="Times New Roman"/>
          <w:sz w:val="24"/>
          <w:szCs w:val="24"/>
        </w:rPr>
        <w:t xml:space="preserve">  At one UTA meeting in July 1840, he described how they were forced to spend one third of their wages consuming the wares of publicans who controlled the allocation of work.  However, the speech went further:</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The publicans of Wapping […] are protected and supported by the Coal-proprietors and Ship-owners of the North, who entrusted them with the discretionary privilege of employing the men to unload their vessels that were bound for Wapping.  The sail-makers, biscuit-venders, and slop-sellers, are all linked in one grand chain of monopoly and oppression with respect to the Coal-Whippers.  Those sail-makers and other tradesmen are for the most part shareholders in colliers, and of course give the working of their ships to those publicans who are patronized by the owners in the North, because those owners in return bestow their custom upon these tradesmen.</w:t>
      </w:r>
      <w:r w:rsidRPr="00200909">
        <w:rPr>
          <w:rStyle w:val="FootnoteReference"/>
          <w:rFonts w:ascii="Times New Roman" w:hAnsi="Times New Roman" w:cs="Times New Roman"/>
          <w:sz w:val="24"/>
          <w:szCs w:val="24"/>
        </w:rPr>
        <w:footnoteReference w:id="93"/>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bCs/>
          <w:iCs/>
          <w:sz w:val="24"/>
          <w:szCs w:val="24"/>
        </w:rPr>
        <w:t xml:space="preserve">Here Reynolds displays an important aspect of his radicalism, the transformation of what might be regarded as a matter involving a few greedy individuals into an issue encompassing </w:t>
      </w:r>
      <w:r w:rsidRPr="00200909">
        <w:rPr>
          <w:rFonts w:ascii="Times New Roman" w:hAnsi="Times New Roman" w:cs="Times New Roman"/>
          <w:sz w:val="24"/>
          <w:szCs w:val="24"/>
        </w:rPr>
        <w:t>many powerful interest groups.  Sympathy for workers is incorporated into a perspective that suggests they are facing a united front of oppressive shareholders and businesses, the size of whose profits is related to the amount of misery inflicted upon their employees.</w:t>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ab/>
        <w:t>However, despite republican sentiment and associating teetotalism with political advancement, Reynolds was constrained in his view of how class conflict should be conducted.  Philip Abrams writes that the middle class might adopt the perspective whereby social problems were translated into moral ones, largely deflecting protest from changing social structures into the route of individual improvement.</w:t>
      </w:r>
      <w:r w:rsidRPr="00200909">
        <w:rPr>
          <w:rStyle w:val="FootnoteReference"/>
          <w:rFonts w:ascii="Times New Roman" w:hAnsi="Times New Roman" w:cs="Times New Roman"/>
          <w:sz w:val="24"/>
          <w:szCs w:val="24"/>
        </w:rPr>
        <w:footnoteReference w:id="94"/>
      </w:r>
      <w:r w:rsidRPr="00200909">
        <w:rPr>
          <w:rFonts w:ascii="Times New Roman" w:hAnsi="Times New Roman" w:cs="Times New Roman"/>
          <w:sz w:val="24"/>
          <w:szCs w:val="24"/>
        </w:rPr>
        <w:t xml:space="preserve">  Teetotalism stressed this path and while Reynolds placed its practices within a progressive framework it indicated his ambivalence towards much working-class behaviour.  Despite the environmentalist leanings of his outlook, he shared contemporary attitudes about individual failure which ‘tended to see </w:t>
      </w:r>
      <w:r w:rsidRPr="00200909">
        <w:rPr>
          <w:rFonts w:ascii="Times New Roman" w:hAnsi="Times New Roman" w:cs="Times New Roman"/>
          <w:sz w:val="24"/>
          <w:szCs w:val="24"/>
        </w:rPr>
        <w:lastRenderedPageBreak/>
        <w:t>drunkenness as a form of personal immorality’.</w:t>
      </w:r>
      <w:r w:rsidRPr="00200909">
        <w:rPr>
          <w:rStyle w:val="FootnoteReference"/>
          <w:rFonts w:ascii="Times New Roman" w:hAnsi="Times New Roman" w:cs="Times New Roman"/>
          <w:sz w:val="24"/>
          <w:szCs w:val="24"/>
        </w:rPr>
        <w:footnoteReference w:id="95"/>
      </w:r>
      <w:r w:rsidRPr="00200909">
        <w:rPr>
          <w:rFonts w:ascii="Times New Roman" w:hAnsi="Times New Roman" w:cs="Times New Roman"/>
          <w:sz w:val="24"/>
          <w:szCs w:val="24"/>
        </w:rPr>
        <w:t xml:space="preserve">  As Raymond Williams noted, this involved the poor being seen as ‘victims of their own failings’.</w:t>
      </w:r>
      <w:r w:rsidRPr="00200909">
        <w:rPr>
          <w:rStyle w:val="FootnoteReference"/>
          <w:rFonts w:ascii="Times New Roman" w:hAnsi="Times New Roman" w:cs="Times New Roman"/>
          <w:sz w:val="24"/>
          <w:szCs w:val="24"/>
        </w:rPr>
        <w:footnoteReference w:id="96"/>
      </w:r>
      <w:r w:rsidRPr="00200909">
        <w:rPr>
          <w:rFonts w:ascii="Times New Roman" w:hAnsi="Times New Roman" w:cs="Times New Roman"/>
          <w:sz w:val="24"/>
          <w:szCs w:val="24"/>
        </w:rPr>
        <w:t xml:space="preserve">  If Reynolds followed Locke’s rejection of innate ideas in the development of human understanding, he was also influenced by his view towards human nature.  Locke while emphasising the centrality of experience also wrote: ‘God has stamped certain characters upon men’s minds, which, like their shapes, may perhaps be a little mended but can hardly be totally altered and transformed into the contrary.’</w:t>
      </w:r>
      <w:r w:rsidRPr="00200909">
        <w:rPr>
          <w:rStyle w:val="FootnoteReference"/>
          <w:rFonts w:ascii="Times New Roman" w:hAnsi="Times New Roman" w:cs="Times New Roman"/>
          <w:sz w:val="24"/>
          <w:szCs w:val="24"/>
        </w:rPr>
        <w:footnoteReference w:id="97"/>
      </w:r>
      <w:r w:rsidRPr="00200909">
        <w:rPr>
          <w:rFonts w:ascii="Times New Roman" w:hAnsi="Times New Roman" w:cs="Times New Roman"/>
          <w:sz w:val="24"/>
          <w:szCs w:val="24"/>
        </w:rPr>
        <w:t xml:space="preserve">  He referred to shortcomings that might beset the individual due to ‘the constitution of his mind’, such as stubbornness, lying and ill-natured actions, and that these ‘seeds of vices […] must be carefully weeded out’.</w:t>
      </w:r>
      <w:r w:rsidRPr="00200909">
        <w:rPr>
          <w:rStyle w:val="FootnoteReference"/>
          <w:rFonts w:ascii="Times New Roman" w:hAnsi="Times New Roman" w:cs="Times New Roman"/>
          <w:sz w:val="24"/>
          <w:szCs w:val="24"/>
        </w:rPr>
        <w:footnoteReference w:id="98"/>
      </w:r>
      <w:r w:rsidRPr="00200909">
        <w:rPr>
          <w:rFonts w:ascii="Times New Roman" w:hAnsi="Times New Roman" w:cs="Times New Roman"/>
          <w:sz w:val="24"/>
          <w:szCs w:val="24"/>
        </w:rPr>
        <w:t xml:space="preserve">  Such traits might be amended through experience but it was highly unlikely they could be removed.  This aspect of Locke’s outlook is adopted constantly in </w:t>
      </w:r>
      <w:r w:rsidRPr="00200909">
        <w:rPr>
          <w:rFonts w:ascii="Times New Roman" w:hAnsi="Times New Roman" w:cs="Times New Roman"/>
          <w:i/>
          <w:iCs/>
          <w:sz w:val="24"/>
          <w:szCs w:val="24"/>
        </w:rPr>
        <w:t xml:space="preserve">The </w:t>
      </w:r>
      <w:r w:rsidRPr="00200909">
        <w:rPr>
          <w:rFonts w:ascii="Times New Roman" w:hAnsi="Times New Roman" w:cs="Times New Roman"/>
          <w:i/>
          <w:sz w:val="24"/>
          <w:szCs w:val="24"/>
        </w:rPr>
        <w:t>Teetotaler</w:t>
      </w:r>
      <w:r w:rsidRPr="00200909">
        <w:rPr>
          <w:rFonts w:ascii="Times New Roman" w:hAnsi="Times New Roman" w:cs="Times New Roman"/>
          <w:sz w:val="24"/>
          <w:szCs w:val="24"/>
        </w:rPr>
        <w:t>, as when an article upon phrenology states: ‘nature is not responsible for vice; but man is responsible himself, in proportion to the amount of restraining power, and of the distinguishing faculties which he possesses’.</w:t>
      </w:r>
      <w:r w:rsidRPr="00200909">
        <w:rPr>
          <w:rStyle w:val="FootnoteReference"/>
          <w:rFonts w:ascii="Times New Roman" w:hAnsi="Times New Roman" w:cs="Times New Roman"/>
          <w:sz w:val="24"/>
          <w:szCs w:val="24"/>
        </w:rPr>
        <w:footnoteReference w:id="99"/>
      </w:r>
      <w:r w:rsidRPr="00200909">
        <w:rPr>
          <w:rFonts w:ascii="Times New Roman" w:hAnsi="Times New Roman" w:cs="Times New Roman"/>
          <w:sz w:val="24"/>
          <w:szCs w:val="24"/>
        </w:rPr>
        <w:t xml:space="preserve">  The Lead Article of the same number proclaims that the drunkard deserves ‘execration and scorn’ and has ‘no excuse for the practice to which he is the victim’.</w:t>
      </w:r>
      <w:r w:rsidRPr="00200909">
        <w:rPr>
          <w:rStyle w:val="FootnoteReference"/>
          <w:rFonts w:ascii="Times New Roman" w:hAnsi="Times New Roman" w:cs="Times New Roman"/>
          <w:sz w:val="24"/>
          <w:szCs w:val="24"/>
        </w:rPr>
        <w:footnoteReference w:id="100"/>
      </w:r>
      <w:r w:rsidRPr="00200909">
        <w:rPr>
          <w:rFonts w:ascii="Times New Roman" w:hAnsi="Times New Roman" w:cs="Times New Roman"/>
          <w:sz w:val="24"/>
          <w:szCs w:val="24"/>
        </w:rPr>
        <w:t xml:space="preserve">  This suggested the influence of alcohol was not necessarily the normal compulsion of environmental factors but a form of temptation bearing down upon a weak nature.  Once moral frailty has led individuals to succumb to personal gratification, they are trapped in a vicious cycle of decline.  </w:t>
      </w:r>
      <w:r w:rsidRPr="00200909">
        <w:rPr>
          <w:rFonts w:ascii="Times New Roman" w:hAnsi="Times New Roman" w:cs="Times New Roman"/>
          <w:bCs/>
          <w:iCs/>
          <w:sz w:val="24"/>
          <w:szCs w:val="24"/>
        </w:rPr>
        <w:t>Gracchus wrote that the working classes had sold themselves ‘to the demon of intemperance’ and were their own enemy, responsible for encouraging rulers to continue their iniquities ‘by the immoral example which you yourselves set the world; and because you would not dare to take upon your shoulders the government of an empire before you have properly understood how to govern your own passions!’.</w:t>
      </w:r>
      <w:r w:rsidRPr="00200909">
        <w:rPr>
          <w:rStyle w:val="FootnoteReference"/>
          <w:rFonts w:ascii="Times New Roman" w:hAnsi="Times New Roman" w:cs="Times New Roman"/>
          <w:bCs/>
          <w:iCs/>
          <w:sz w:val="24"/>
          <w:szCs w:val="24"/>
        </w:rPr>
        <w:footnoteReference w:id="101"/>
      </w:r>
      <w:r w:rsidRPr="00200909">
        <w:rPr>
          <w:rFonts w:ascii="Times New Roman" w:hAnsi="Times New Roman" w:cs="Times New Roman"/>
          <w:bCs/>
          <w:iCs/>
          <w:sz w:val="24"/>
          <w:szCs w:val="24"/>
        </w:rPr>
        <w:t xml:space="preserve">  They were charged with being unfit to take over the </w:t>
      </w:r>
      <w:r w:rsidRPr="00200909">
        <w:rPr>
          <w:rFonts w:ascii="Times New Roman" w:hAnsi="Times New Roman" w:cs="Times New Roman"/>
          <w:bCs/>
          <w:iCs/>
          <w:sz w:val="24"/>
          <w:szCs w:val="24"/>
        </w:rPr>
        <w:lastRenderedPageBreak/>
        <w:t>reins of power and fearing to do so.  T</w:t>
      </w:r>
      <w:r w:rsidRPr="00200909">
        <w:rPr>
          <w:rFonts w:ascii="Times New Roman" w:hAnsi="Times New Roman" w:cs="Times New Roman"/>
          <w:sz w:val="24"/>
          <w:szCs w:val="24"/>
        </w:rPr>
        <w:t>he time was ripe for agitation but everywhere it was subverted by their usage of alcohol.  The public house with its patriotic songs promoting illusions of liberty helped maintain aristocratic rule.</w:t>
      </w:r>
      <w:r w:rsidRPr="00200909">
        <w:rPr>
          <w:rStyle w:val="FootnoteReference"/>
          <w:rFonts w:ascii="Times New Roman" w:hAnsi="Times New Roman" w:cs="Times New Roman"/>
          <w:sz w:val="24"/>
          <w:szCs w:val="24"/>
        </w:rPr>
        <w:footnoteReference w:id="102"/>
      </w:r>
      <w:r w:rsidRPr="00200909">
        <w:rPr>
          <w:rFonts w:ascii="Times New Roman" w:hAnsi="Times New Roman" w:cs="Times New Roman"/>
          <w:sz w:val="24"/>
          <w:szCs w:val="24"/>
        </w:rPr>
        <w:t xml:space="preserve">  Reynolds depicts this in a scene from </w:t>
      </w:r>
      <w:r w:rsidRPr="00200909">
        <w:rPr>
          <w:rFonts w:ascii="Times New Roman" w:hAnsi="Times New Roman" w:cs="Times New Roman"/>
          <w:i/>
          <w:sz w:val="24"/>
          <w:szCs w:val="24"/>
        </w:rPr>
        <w:t>The Drunkard’s Progress</w:t>
      </w:r>
      <w:r w:rsidRPr="00200909">
        <w:rPr>
          <w:rFonts w:ascii="Times New Roman" w:hAnsi="Times New Roman" w:cs="Times New Roman"/>
          <w:sz w:val="24"/>
          <w:szCs w:val="24"/>
        </w:rPr>
        <w:t xml:space="preserve"> (1840) when one of those carousing expresses his view of freedom as follows: ‘Can’t you get as drunk as an owl for about a shilling or eighteen pence?  and ain’t that liberty?’.</w:t>
      </w:r>
      <w:r w:rsidRPr="00200909">
        <w:rPr>
          <w:rStyle w:val="FootnoteReference"/>
          <w:rFonts w:ascii="Times New Roman" w:hAnsi="Times New Roman" w:cs="Times New Roman"/>
          <w:sz w:val="24"/>
          <w:szCs w:val="24"/>
        </w:rPr>
        <w:footnoteReference w:id="103"/>
      </w:r>
      <w:r w:rsidRPr="00200909">
        <w:rPr>
          <w:rFonts w:ascii="Times New Roman" w:hAnsi="Times New Roman" w:cs="Times New Roman"/>
          <w:sz w:val="24"/>
          <w:szCs w:val="24"/>
        </w:rPr>
        <w:t xml:space="preserve">  In this atmosphere, the novel’s central figure Victor Melville who will die in a debtor’s gaol due to alcoholism can exclaim that ‘England is the freest country in the world’ where property is respected and laws are equally distributed.</w:t>
      </w:r>
      <w:r w:rsidRPr="00200909">
        <w:rPr>
          <w:rStyle w:val="FootnoteReference"/>
          <w:rFonts w:ascii="Times New Roman" w:hAnsi="Times New Roman" w:cs="Times New Roman"/>
          <w:sz w:val="24"/>
          <w:szCs w:val="24"/>
        </w:rPr>
        <w:footnoteReference w:id="104"/>
      </w:r>
      <w:r w:rsidRPr="00200909">
        <w:rPr>
          <w:rFonts w:ascii="Times New Roman" w:hAnsi="Times New Roman" w:cs="Times New Roman"/>
          <w:sz w:val="24"/>
          <w:szCs w:val="24"/>
        </w:rPr>
        <w:t xml:space="preserve">  He gains rapturous applause from an audience who possess none of the former and are oppressed by the latter.  The chapter, entitled ‘The Pot-House Orator’, emphasises how those in drink are easily manipulated by anyone with a loud voice and grandiose flourish.</w:t>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 xml:space="preserve">Such portrayals ran counter to articles that assigned the central role in social progress to the working classes.  Instead, they served to justify Reynolds’s argument that the teetotal movement be guided by philanthropists, something indicated by the front page ‘Address to the Public’ which appeared in early numbers of </w:t>
      </w:r>
      <w:r w:rsidRPr="00200909">
        <w:rPr>
          <w:rFonts w:ascii="Times New Roman" w:hAnsi="Times New Roman" w:cs="Times New Roman"/>
          <w:i/>
          <w:sz w:val="24"/>
          <w:szCs w:val="24"/>
        </w:rPr>
        <w:t>The Teetotaler</w:t>
      </w:r>
      <w:r w:rsidRPr="00200909">
        <w:rPr>
          <w:rFonts w:ascii="Times New Roman" w:hAnsi="Times New Roman" w:cs="Times New Roman"/>
          <w:sz w:val="24"/>
          <w:szCs w:val="24"/>
        </w:rPr>
        <w:t xml:space="preserve"> calling for donations to print gratuitous copies of the journal:</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 xml:space="preserve">An appeal is therefore now made to the rich and the charitable, in favour of the uneducated and the poor; and even those, who do not profess the doctrines of </w:t>
      </w:r>
      <w:r w:rsidRPr="00200909">
        <w:rPr>
          <w:rFonts w:ascii="Times New Roman" w:hAnsi="Times New Roman" w:cs="Times New Roman"/>
          <w:i/>
          <w:sz w:val="24"/>
          <w:szCs w:val="24"/>
        </w:rPr>
        <w:t>Teetotalism</w:t>
      </w:r>
      <w:r w:rsidRPr="00200909">
        <w:rPr>
          <w:rFonts w:ascii="Times New Roman" w:hAnsi="Times New Roman" w:cs="Times New Roman"/>
          <w:sz w:val="24"/>
          <w:szCs w:val="24"/>
        </w:rPr>
        <w:t>, are solicited to subscribe to the Fund, the object of which is to promote a purely humane and philanthropic view.</w:t>
      </w:r>
      <w:r w:rsidRPr="00200909">
        <w:rPr>
          <w:rStyle w:val="FootnoteReference"/>
          <w:rFonts w:ascii="Times New Roman" w:hAnsi="Times New Roman" w:cs="Times New Roman"/>
          <w:sz w:val="24"/>
          <w:szCs w:val="24"/>
        </w:rPr>
        <w:footnoteReference w:id="105"/>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The wealthy and generous are asked to support the UTA’s efforts to bestow moral guidance upon the poor and uneducated, and this picture of teetotallers as benevolent aiders to those in distress was a regular theme.  A practical example was the outing to Captain John Trotter’s Park, during which the thousands attending used the extensive grounds to picnic and engage in healthy pursuits, angling in the river and playing sports upon the green.</w:t>
      </w:r>
      <w:r w:rsidRPr="00200909">
        <w:rPr>
          <w:rStyle w:val="FootnoteReference"/>
          <w:rFonts w:ascii="Times New Roman" w:hAnsi="Times New Roman" w:cs="Times New Roman"/>
          <w:sz w:val="24"/>
          <w:szCs w:val="24"/>
        </w:rPr>
        <w:footnoteReference w:id="106"/>
      </w:r>
      <w:r w:rsidRPr="00200909">
        <w:rPr>
          <w:rFonts w:ascii="Times New Roman" w:hAnsi="Times New Roman" w:cs="Times New Roman"/>
          <w:sz w:val="24"/>
          <w:szCs w:val="24"/>
        </w:rPr>
        <w:t xml:space="preserve">  They were addressed by among others Sir Culling Eardley Smith.</w:t>
      </w:r>
      <w:r w:rsidRPr="00200909">
        <w:rPr>
          <w:rStyle w:val="FootnoteReference"/>
          <w:rFonts w:ascii="Times New Roman" w:hAnsi="Times New Roman" w:cs="Times New Roman"/>
          <w:sz w:val="24"/>
          <w:szCs w:val="24"/>
        </w:rPr>
        <w:footnoteReference w:id="107"/>
      </w:r>
      <w:r w:rsidRPr="00200909">
        <w:rPr>
          <w:rFonts w:ascii="Times New Roman" w:hAnsi="Times New Roman" w:cs="Times New Roman"/>
          <w:sz w:val="24"/>
          <w:szCs w:val="24"/>
        </w:rPr>
        <w:t xml:space="preserve">  Even politically tinged articles were </w:t>
      </w:r>
      <w:r w:rsidRPr="00200909">
        <w:rPr>
          <w:rFonts w:ascii="Times New Roman" w:hAnsi="Times New Roman" w:cs="Times New Roman"/>
          <w:sz w:val="24"/>
          <w:szCs w:val="24"/>
        </w:rPr>
        <w:lastRenderedPageBreak/>
        <w:t xml:space="preserve">framed in terms of humanitarian responsibility, as when government is attacked for supporting the brewers as a source of revenue while allowing ignorance to flourish among the working classes by </w:t>
      </w:r>
      <w:r w:rsidRPr="0060472C">
        <w:rPr>
          <w:rFonts w:ascii="Times New Roman" w:hAnsi="Times New Roman" w:cs="Times New Roman"/>
          <w:sz w:val="24"/>
          <w:szCs w:val="24"/>
        </w:rPr>
        <w:t xml:space="preserve">not </w:t>
      </w:r>
      <w:r w:rsidR="009D616D" w:rsidRPr="0060472C">
        <w:rPr>
          <w:rFonts w:ascii="Times New Roman" w:hAnsi="Times New Roman" w:cs="Times New Roman"/>
          <w:sz w:val="24"/>
          <w:szCs w:val="24"/>
        </w:rPr>
        <w:t>offering sufficient financial assistance for</w:t>
      </w:r>
      <w:r w:rsidRPr="0060472C">
        <w:rPr>
          <w:rFonts w:ascii="Times New Roman" w:hAnsi="Times New Roman" w:cs="Times New Roman"/>
          <w:sz w:val="24"/>
          <w:szCs w:val="24"/>
        </w:rPr>
        <w:t xml:space="preserve"> their</w:t>
      </w:r>
      <w:r w:rsidRPr="00200909">
        <w:rPr>
          <w:rFonts w:ascii="Times New Roman" w:hAnsi="Times New Roman" w:cs="Times New Roman"/>
          <w:sz w:val="24"/>
          <w:szCs w:val="24"/>
        </w:rPr>
        <w:t xml:space="preserve"> education:</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[S]hall we not, as philanthropists, and as men whom all powers of perception and understanding have not altogether abandoned, raise our voices and exclaim against these unjust—these disgraceful—these criminal proceedings, on the part of an authority which ought to command our respect and love?</w:t>
      </w:r>
      <w:r w:rsidRPr="00200909">
        <w:rPr>
          <w:rStyle w:val="FootnoteReference"/>
          <w:rFonts w:ascii="Times New Roman" w:hAnsi="Times New Roman" w:cs="Times New Roman"/>
          <w:sz w:val="24"/>
          <w:szCs w:val="24"/>
        </w:rPr>
        <w:footnoteReference w:id="108"/>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This shifts teetotalism even further away from being a modern revolutionary movement driven by the masses to one that is led by wealthy patrons with a sense of duty.  Reynolds continued to promote social philanthropy well after leaving the teetotal movement with his advocacy of the </w:t>
      </w:r>
      <w:r w:rsidRPr="00200909">
        <w:rPr>
          <w:rFonts w:ascii="Times New Roman" w:hAnsi="Times New Roman" w:cs="Times New Roman"/>
          <w:iCs/>
          <w:sz w:val="24"/>
          <w:szCs w:val="24"/>
        </w:rPr>
        <w:t>Metropolitan Labourers’ Suburban Dwelling Society</w:t>
      </w:r>
      <w:r w:rsidRPr="00200909">
        <w:rPr>
          <w:rFonts w:ascii="Times New Roman" w:hAnsi="Times New Roman" w:cs="Times New Roman"/>
          <w:sz w:val="24"/>
          <w:szCs w:val="24"/>
        </w:rPr>
        <w:t xml:space="preserve"> in early 1847, which relied upon middle-class and aristocratic support.</w:t>
      </w:r>
      <w:r w:rsidRPr="00200909">
        <w:rPr>
          <w:rStyle w:val="FootnoteReference"/>
          <w:rFonts w:ascii="Times New Roman" w:hAnsi="Times New Roman" w:cs="Times New Roman"/>
          <w:sz w:val="24"/>
          <w:szCs w:val="24"/>
        </w:rPr>
        <w:footnoteReference w:id="109"/>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 xml:space="preserve">The values of steady work and philanthropy are highlighted by the two related series of illustrations entitled ‘Progress of Intemperance’ and ‘Progress of Temperance’ that were given away as gifts to increase </w:t>
      </w:r>
      <w:r w:rsidRPr="00200909">
        <w:rPr>
          <w:rFonts w:ascii="Times New Roman" w:hAnsi="Times New Roman" w:cs="Times New Roman"/>
          <w:i/>
          <w:sz w:val="24"/>
          <w:szCs w:val="24"/>
        </w:rPr>
        <w:t>The Teetotaler</w:t>
      </w:r>
      <w:r w:rsidRPr="00200909">
        <w:rPr>
          <w:rFonts w:ascii="Times New Roman" w:hAnsi="Times New Roman" w:cs="Times New Roman"/>
          <w:sz w:val="24"/>
          <w:szCs w:val="24"/>
        </w:rPr>
        <w:t>’s circulation.</w:t>
      </w:r>
      <w:r w:rsidRPr="00200909">
        <w:rPr>
          <w:rStyle w:val="FootnoteReference"/>
          <w:rFonts w:ascii="Times New Roman" w:hAnsi="Times New Roman" w:cs="Times New Roman"/>
          <w:sz w:val="24"/>
          <w:szCs w:val="24"/>
        </w:rPr>
        <w:footnoteReference w:id="110"/>
      </w:r>
      <w:r w:rsidRPr="00200909">
        <w:rPr>
          <w:rFonts w:ascii="Times New Roman" w:hAnsi="Times New Roman" w:cs="Times New Roman"/>
          <w:sz w:val="24"/>
          <w:szCs w:val="24"/>
        </w:rPr>
        <w:t xml:space="preserve">  With accompanying commentaries, the first portrays the problem of alcohol abuse and the second the rewards of sober industry.</w:t>
      </w:r>
      <w:r w:rsidRPr="00200909">
        <w:rPr>
          <w:rStyle w:val="FootnoteReference"/>
          <w:rFonts w:ascii="Times New Roman" w:hAnsi="Times New Roman" w:cs="Times New Roman"/>
          <w:sz w:val="24"/>
          <w:szCs w:val="24"/>
        </w:rPr>
        <w:footnoteReference w:id="111"/>
      </w:r>
      <w:r w:rsidRPr="00200909">
        <w:rPr>
          <w:rFonts w:ascii="Times New Roman" w:hAnsi="Times New Roman" w:cs="Times New Roman"/>
          <w:sz w:val="24"/>
          <w:szCs w:val="24"/>
        </w:rPr>
        <w:t xml:space="preserve">  In the former, the apprentice having neglected his duties is shown playing a game of skittles at the public house (see Appendix A). He is watched by an unkempt audience, smoking and drinking amid an array of pewter pots.  Most damning is the suggestion that the working class is mainly responsible for this situation.  Others from the print shop where the hero works have encouraged his decline, with the ‘disgraceful scene’ only interrupted ‘by the entrance of the youth’s master, with an officer of justice, to drag him away from that den of iniquity’.</w:t>
      </w:r>
      <w:r w:rsidRPr="00200909">
        <w:rPr>
          <w:rStyle w:val="FootnoteReference"/>
          <w:rFonts w:ascii="Times New Roman" w:hAnsi="Times New Roman" w:cs="Times New Roman"/>
          <w:sz w:val="24"/>
          <w:szCs w:val="24"/>
        </w:rPr>
        <w:footnoteReference w:id="112"/>
      </w:r>
      <w:r w:rsidRPr="00200909">
        <w:rPr>
          <w:rFonts w:ascii="Times New Roman" w:hAnsi="Times New Roman" w:cs="Times New Roman"/>
          <w:sz w:val="24"/>
          <w:szCs w:val="24"/>
        </w:rPr>
        <w:t xml:space="preserve">  It is the bourgeois employer and representative of the state who provide needed advice and in a display of tolerance the apprentice is not sacked for misconduct.  However, the example set by colleagues propels him back to earlier practices.  </w:t>
      </w:r>
      <w:r w:rsidRPr="00200909">
        <w:rPr>
          <w:rFonts w:ascii="Times New Roman" w:hAnsi="Times New Roman" w:cs="Times New Roman"/>
          <w:sz w:val="24"/>
          <w:szCs w:val="24"/>
        </w:rPr>
        <w:lastRenderedPageBreak/>
        <w:t>During this period alcohol fuels resentment against his master and drives political protest in the tap-room where he is ‘clamorous against the “corn laws” and the “taxed state of the country”’.</w:t>
      </w:r>
      <w:r w:rsidRPr="00200909">
        <w:rPr>
          <w:rStyle w:val="FootnoteReference"/>
          <w:rFonts w:ascii="Times New Roman" w:hAnsi="Times New Roman" w:cs="Times New Roman"/>
          <w:sz w:val="24"/>
          <w:szCs w:val="24"/>
        </w:rPr>
        <w:footnoteReference w:id="113"/>
      </w:r>
      <w:r w:rsidRPr="00200909">
        <w:rPr>
          <w:rFonts w:ascii="Times New Roman" w:hAnsi="Times New Roman" w:cs="Times New Roman"/>
          <w:sz w:val="24"/>
          <w:szCs w:val="24"/>
        </w:rPr>
        <w:t xml:space="preserve">  While Reynolds disagreed with how the nation was governed in favour of an idle aristocracy, here he points to the danger of opinions that may have validity being held in an unthinking manner.  He had made a similarly caustic comment about the debased nature of public house politics in </w:t>
      </w:r>
      <w:r w:rsidRPr="00200909">
        <w:rPr>
          <w:rFonts w:ascii="Times New Roman" w:hAnsi="Times New Roman" w:cs="Times New Roman"/>
          <w:i/>
          <w:iCs/>
          <w:sz w:val="24"/>
          <w:szCs w:val="24"/>
        </w:rPr>
        <w:t>Pickwick Abroad</w:t>
      </w:r>
      <w:r w:rsidRPr="00200909">
        <w:rPr>
          <w:rFonts w:ascii="Times New Roman" w:hAnsi="Times New Roman" w:cs="Times New Roman"/>
          <w:sz w:val="24"/>
          <w:szCs w:val="24"/>
        </w:rPr>
        <w:t xml:space="preserve"> (1838–39) when Mr Tupman retires to his bedroom to mull over a ludicrous romance with the trickster Anastasie de Volage:</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The consultation […] was as important as any meeting that has ever yet taken place at the “Crown and Anchor,” in London.  Mr. Tupman was the president—Mr. Tupman was the vice-president—Mr. Tupman was the speaker—and Mr. Tupman was the audience.</w:t>
      </w:r>
      <w:r w:rsidRPr="00200909">
        <w:rPr>
          <w:rStyle w:val="FootnoteReference"/>
          <w:rFonts w:ascii="Times New Roman" w:hAnsi="Times New Roman" w:cs="Times New Roman"/>
          <w:sz w:val="24"/>
          <w:szCs w:val="24"/>
        </w:rPr>
        <w:footnoteReference w:id="114"/>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The ‘</w:t>
      </w:r>
      <w:r w:rsidRPr="00200909">
        <w:rPr>
          <w:rFonts w:ascii="Times New Roman" w:hAnsi="Times New Roman" w:cs="Times New Roman"/>
          <w:iCs/>
          <w:sz w:val="24"/>
          <w:szCs w:val="24"/>
        </w:rPr>
        <w:t>Crown and Anchor’</w:t>
      </w:r>
      <w:r w:rsidRPr="00200909">
        <w:rPr>
          <w:rFonts w:ascii="Times New Roman" w:hAnsi="Times New Roman" w:cs="Times New Roman"/>
          <w:i/>
          <w:iCs/>
          <w:sz w:val="24"/>
          <w:szCs w:val="24"/>
        </w:rPr>
        <w:t xml:space="preserve"> </w:t>
      </w:r>
      <w:r w:rsidRPr="00200909">
        <w:rPr>
          <w:rFonts w:ascii="Times New Roman" w:hAnsi="Times New Roman" w:cs="Times New Roman"/>
          <w:sz w:val="24"/>
          <w:szCs w:val="24"/>
        </w:rPr>
        <w:t>was a famous location for radical activity, not least the planning of the People’s Charter which at the time of the novel’s publication Reynolds held in disfavour.</w:t>
      </w:r>
      <w:r w:rsidRPr="00200909">
        <w:rPr>
          <w:rStyle w:val="FootnoteReference"/>
          <w:rFonts w:ascii="Times New Roman" w:hAnsi="Times New Roman" w:cs="Times New Roman"/>
          <w:sz w:val="24"/>
          <w:szCs w:val="24"/>
        </w:rPr>
        <w:footnoteReference w:id="115"/>
      </w:r>
      <w:r w:rsidRPr="00200909">
        <w:rPr>
          <w:rFonts w:ascii="Times New Roman" w:hAnsi="Times New Roman" w:cs="Times New Roman"/>
          <w:sz w:val="24"/>
          <w:szCs w:val="24"/>
        </w:rPr>
        <w:t xml:space="preserve">  With Tupman forming all elements of the debate, the picture suggests how such gatherings were meetings of closed minds.</w:t>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While the first tale leaves the apprentice in a downward spiral of dissolute behaviour, ‘Progress of Temperance’ opens with the former reprobate taking the pledge and suggestions of the moral revolution this will bring:</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He will become a constant attendant at the house of God; and from the produce of his earnings he will be enabled to subscribe to a circulating library.  If a man possess principles really virtuous, and an inclination to earn his livelihood respectably and honourably, his views will be materially aided by the doctrine of Teetotalism.</w:t>
      </w:r>
      <w:r w:rsidRPr="00200909">
        <w:rPr>
          <w:rStyle w:val="FootnoteReference"/>
          <w:rFonts w:ascii="Times New Roman" w:hAnsi="Times New Roman" w:cs="Times New Roman"/>
          <w:sz w:val="24"/>
          <w:szCs w:val="24"/>
        </w:rPr>
        <w:footnoteReference w:id="116"/>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bCs/>
          <w:sz w:val="24"/>
          <w:szCs w:val="24"/>
        </w:rPr>
        <w:t>The message is not that teetotalism guarantees success but will help the individual who toils constantly.  The plate entitled ‘The Recreation’ has the hero and his wife on a countryside walk, well attired and happily watching their two young daughters playing under the care of a nursemaid (see Appendix B).  However, this situation has not been attained without effort, something confirmed by the preceding scene, set some four or five years earlier, which shows the man returning home from work (see Appendix C).</w:t>
      </w:r>
      <w:r w:rsidRPr="00200909">
        <w:rPr>
          <w:rFonts w:ascii="Times New Roman" w:hAnsi="Times New Roman" w:cs="Times New Roman"/>
          <w:bCs/>
          <w:color w:val="FF0000"/>
          <w:sz w:val="24"/>
          <w:szCs w:val="24"/>
        </w:rPr>
        <w:t xml:space="preserve">  </w:t>
      </w:r>
      <w:r w:rsidRPr="00200909">
        <w:rPr>
          <w:rFonts w:ascii="Times New Roman" w:hAnsi="Times New Roman" w:cs="Times New Roman"/>
          <w:bCs/>
          <w:sz w:val="24"/>
          <w:szCs w:val="24"/>
        </w:rPr>
        <w:t xml:space="preserve">The room is clean and neat but rather spare.  Yet while luxury may be absent there is modest comfort, with the floor carpeted and </w:t>
      </w:r>
      <w:r w:rsidRPr="00200909">
        <w:rPr>
          <w:rFonts w:ascii="Times New Roman" w:hAnsi="Times New Roman" w:cs="Times New Roman"/>
          <w:bCs/>
          <w:sz w:val="24"/>
          <w:szCs w:val="24"/>
        </w:rPr>
        <w:lastRenderedPageBreak/>
        <w:t xml:space="preserve">his wife sat before a fire holding a baby.  On the </w:t>
      </w:r>
      <w:r w:rsidRPr="00DB1612">
        <w:rPr>
          <w:rFonts w:ascii="Times New Roman" w:hAnsi="Times New Roman" w:cs="Times New Roman"/>
          <w:bCs/>
          <w:sz w:val="24"/>
          <w:szCs w:val="24"/>
        </w:rPr>
        <w:t>wall</w:t>
      </w:r>
      <w:r w:rsidR="00B74392" w:rsidRPr="00DB1612">
        <w:rPr>
          <w:rFonts w:ascii="Times New Roman" w:hAnsi="Times New Roman" w:cs="Times New Roman"/>
          <w:bCs/>
          <w:sz w:val="24"/>
          <w:szCs w:val="24"/>
        </w:rPr>
        <w:t xml:space="preserve"> are two</w:t>
      </w:r>
      <w:r w:rsidRPr="00DB1612">
        <w:rPr>
          <w:rFonts w:ascii="Times New Roman" w:hAnsi="Times New Roman" w:cs="Times New Roman"/>
          <w:bCs/>
          <w:sz w:val="24"/>
          <w:szCs w:val="24"/>
        </w:rPr>
        <w:t xml:space="preserve"> well-stocked shel</w:t>
      </w:r>
      <w:r w:rsidR="00B74392" w:rsidRPr="00DB1612">
        <w:rPr>
          <w:rFonts w:ascii="Times New Roman" w:hAnsi="Times New Roman" w:cs="Times New Roman"/>
          <w:bCs/>
          <w:sz w:val="24"/>
          <w:szCs w:val="24"/>
        </w:rPr>
        <w:t>ves</w:t>
      </w:r>
      <w:r w:rsidRPr="00200909">
        <w:rPr>
          <w:rFonts w:ascii="Times New Roman" w:hAnsi="Times New Roman" w:cs="Times New Roman"/>
          <w:bCs/>
          <w:sz w:val="24"/>
          <w:szCs w:val="24"/>
        </w:rPr>
        <w:t xml:space="preserve"> of books.  He has brought an orange for his eldest daughter, a small sign that honest labour provides rewards beyond the basic necessities.  However, the main</w:t>
      </w:r>
      <w:r w:rsidR="00D02C56">
        <w:rPr>
          <w:rFonts w:ascii="Times New Roman" w:hAnsi="Times New Roman" w:cs="Times New Roman"/>
          <w:bCs/>
          <w:sz w:val="24"/>
          <w:szCs w:val="24"/>
        </w:rPr>
        <w:t xml:space="preserve"> reward</w:t>
      </w:r>
      <w:r w:rsidRPr="00200909">
        <w:rPr>
          <w:rFonts w:ascii="Times New Roman" w:hAnsi="Times New Roman" w:cs="Times New Roman"/>
          <w:bCs/>
          <w:sz w:val="24"/>
          <w:szCs w:val="24"/>
        </w:rPr>
        <w:t xml:space="preserve"> is the happy family life that prevails, with the daughter who once ‘cowered before his glance’ now running eagerly to greet his arrival.</w:t>
      </w:r>
      <w:r w:rsidRPr="00200909">
        <w:rPr>
          <w:rStyle w:val="FootnoteReference"/>
          <w:rFonts w:ascii="Times New Roman" w:hAnsi="Times New Roman" w:cs="Times New Roman"/>
          <w:sz w:val="24"/>
          <w:szCs w:val="24"/>
        </w:rPr>
        <w:footnoteReference w:id="117"/>
      </w:r>
      <w:r w:rsidRPr="00200909">
        <w:rPr>
          <w:rFonts w:ascii="Times New Roman" w:hAnsi="Times New Roman" w:cs="Times New Roman"/>
          <w:bCs/>
          <w:sz w:val="24"/>
          <w:szCs w:val="24"/>
        </w:rPr>
        <w:t xml:space="preserve">  </w:t>
      </w:r>
      <w:r w:rsidRPr="00200909">
        <w:rPr>
          <w:rFonts w:ascii="Times New Roman" w:hAnsi="Times New Roman" w:cs="Times New Roman"/>
          <w:sz w:val="24"/>
          <w:szCs w:val="24"/>
        </w:rPr>
        <w:t>Imbued with the aim of self-improvement, he becomes a master printer and property owner.  The two related series show Reynolds promoting what Martin J Wiener regards as the central trope of middle-class moral discourse, the ‘habitual deferral of imperious present desires for calm future benefit’.</w:t>
      </w:r>
      <w:r w:rsidRPr="00200909">
        <w:rPr>
          <w:rStyle w:val="FootnoteReference"/>
          <w:rFonts w:ascii="Times New Roman" w:hAnsi="Times New Roman" w:cs="Times New Roman"/>
          <w:sz w:val="24"/>
          <w:szCs w:val="24"/>
        </w:rPr>
        <w:footnoteReference w:id="118"/>
      </w:r>
      <w:r w:rsidRPr="00200909">
        <w:rPr>
          <w:rFonts w:ascii="Times New Roman" w:hAnsi="Times New Roman" w:cs="Times New Roman"/>
          <w:sz w:val="24"/>
          <w:szCs w:val="24"/>
        </w:rPr>
        <w:t xml:space="preserve">  However, this paean to individual industry draws a clear line between the journal and dominant </w:t>
      </w:r>
      <w:r w:rsidRPr="00200909">
        <w:rPr>
          <w:rFonts w:ascii="Times New Roman" w:hAnsi="Times New Roman" w:cs="Times New Roman"/>
          <w:i/>
          <w:iCs/>
          <w:sz w:val="24"/>
          <w:szCs w:val="24"/>
        </w:rPr>
        <w:t>laissez-faire</w:t>
      </w:r>
      <w:r w:rsidRPr="00200909">
        <w:rPr>
          <w:rFonts w:ascii="Times New Roman" w:hAnsi="Times New Roman" w:cs="Times New Roman"/>
          <w:sz w:val="24"/>
          <w:szCs w:val="24"/>
        </w:rPr>
        <w:t xml:space="preserve"> attitudes.  In the Plate which depicts his daughter’s wedding, the hero recognizes two former acquaintances fallen into poverty through misuse of alcohol, one wearing a placard upon which the word ‘STARVING’ is written:</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The merciful dispensations of the New Poor Law Bill (a statute passed in the nineteenth century and in a civilised country!) prevent these poor wretches from openly demanding the charity of which they stand so much in need.  But as no myrmidon of the New Police Force is near, they now clamour forth for alms.</w:t>
      </w:r>
      <w:r w:rsidRPr="00200909">
        <w:rPr>
          <w:rStyle w:val="FootnoteReference"/>
          <w:rFonts w:ascii="Times New Roman" w:hAnsi="Times New Roman" w:cs="Times New Roman"/>
          <w:sz w:val="24"/>
          <w:szCs w:val="24"/>
        </w:rPr>
        <w:footnoteReference w:id="119"/>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Reynolds, with heavy irony concerning its ‘merciful dispensations’, sets himself against contemporary legislation whose abandonment of philanthropic principles made it unsuitable for a ‘civilised country’.  The New Police Force is introduced as the henchman of society’s rulers to impose their oppressive laws.  When the hero gives his erstwhile associates a generous contribution, it symbolizes how teetotalism rejects these developments for a response befitting a more enlightened age.  At the same time, this stress upon the responsibility of the wealthy to help the poor also takes a bleak view of the latter’s intemperate behaviour:</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 xml:space="preserve">[T]he real principles of men’s success or failure in the affairs of this life, exist in their own conduct, abilities, and pursuits. […]  That men </w:t>
      </w:r>
      <w:r w:rsidRPr="00200909">
        <w:rPr>
          <w:rFonts w:ascii="Times New Roman" w:hAnsi="Times New Roman" w:cs="Times New Roman"/>
          <w:i/>
          <w:sz w:val="24"/>
          <w:szCs w:val="24"/>
        </w:rPr>
        <w:t>do</w:t>
      </w:r>
      <w:r w:rsidRPr="00200909">
        <w:rPr>
          <w:rFonts w:ascii="Times New Roman" w:hAnsi="Times New Roman" w:cs="Times New Roman"/>
          <w:sz w:val="24"/>
          <w:szCs w:val="24"/>
        </w:rPr>
        <w:t xml:space="preserve"> experience real misfortunes in life, over which they have no control, is certain;—but ruin and disgrace are to be attributed far less generally to this source than to misconduct and irregular habits.</w:t>
      </w:r>
      <w:r w:rsidRPr="00200909">
        <w:rPr>
          <w:rStyle w:val="FootnoteReference"/>
          <w:rFonts w:ascii="Times New Roman" w:hAnsi="Times New Roman" w:cs="Times New Roman"/>
          <w:sz w:val="24"/>
          <w:szCs w:val="24"/>
        </w:rPr>
        <w:footnoteReference w:id="120"/>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It argues that material circumstances are of secondary importance when considering the existence of poverty.  Ill-fortune is a relatively infrequent reason for ‘ruin and disgrace’ with the cause seen to reside much more commonly in individual weakness.  Reynolds was closely following an ‘unspoken consensus’ that was taking shape, in which although ‘want and </w:t>
      </w:r>
      <w:r w:rsidRPr="00200909">
        <w:rPr>
          <w:rFonts w:ascii="Times New Roman" w:hAnsi="Times New Roman" w:cs="Times New Roman"/>
          <w:sz w:val="24"/>
          <w:szCs w:val="24"/>
        </w:rPr>
        <w:lastRenderedPageBreak/>
        <w:t>mistreatment were acknowledged as contributing factors, crime was essentially seen as the expression of a fundamental character defect stemming from a refusal or an inability to deny wayward impulses’.</w:t>
      </w:r>
      <w:r w:rsidRPr="00200909">
        <w:rPr>
          <w:rStyle w:val="FootnoteReference"/>
          <w:rFonts w:ascii="Times New Roman" w:hAnsi="Times New Roman" w:cs="Times New Roman"/>
          <w:sz w:val="24"/>
          <w:szCs w:val="24"/>
        </w:rPr>
        <w:footnoteReference w:id="121"/>
      </w:r>
      <w:r w:rsidRPr="00200909">
        <w:rPr>
          <w:rFonts w:ascii="Times New Roman" w:hAnsi="Times New Roman" w:cs="Times New Roman"/>
          <w:sz w:val="24"/>
          <w:szCs w:val="24"/>
        </w:rPr>
        <w:t xml:space="preserve">  The only true way to oppose the shortcomings of society is by taking responsibility for one’s actions and striving for success through honest endeavour.</w:t>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 xml:space="preserve">The emphasis upon personal factors in </w:t>
      </w:r>
      <w:r w:rsidRPr="00200909">
        <w:rPr>
          <w:rFonts w:ascii="Times New Roman" w:hAnsi="Times New Roman" w:cs="Times New Roman"/>
          <w:i/>
          <w:sz w:val="24"/>
          <w:szCs w:val="24"/>
        </w:rPr>
        <w:t>The Teetotaler</w:t>
      </w:r>
      <w:r w:rsidRPr="00200909">
        <w:rPr>
          <w:rFonts w:ascii="Times New Roman" w:hAnsi="Times New Roman" w:cs="Times New Roman"/>
          <w:sz w:val="24"/>
          <w:szCs w:val="24"/>
        </w:rPr>
        <w:t xml:space="preserve">, with its concessions to middle-class mores, is apparent in ‘Etiquette for the Millions’ written during 1845 for the </w:t>
      </w:r>
      <w:r w:rsidRPr="00200909">
        <w:rPr>
          <w:rFonts w:ascii="Times New Roman" w:hAnsi="Times New Roman" w:cs="Times New Roman"/>
          <w:i/>
          <w:iCs/>
          <w:sz w:val="24"/>
          <w:szCs w:val="24"/>
        </w:rPr>
        <w:t>London Journal</w:t>
      </w:r>
      <w:r w:rsidRPr="00200909">
        <w:rPr>
          <w:rFonts w:ascii="Times New Roman" w:hAnsi="Times New Roman" w:cs="Times New Roman"/>
          <w:sz w:val="24"/>
          <w:szCs w:val="24"/>
        </w:rPr>
        <w:t>, a penny publication targeting the mass market.  The format of these articles suggests a pragmatic, commercial aspect.</w:t>
      </w:r>
      <w:r w:rsidRPr="00200909">
        <w:rPr>
          <w:rStyle w:val="FootnoteReference"/>
          <w:rFonts w:ascii="Times New Roman" w:hAnsi="Times New Roman" w:cs="Times New Roman"/>
          <w:sz w:val="24"/>
          <w:szCs w:val="24"/>
        </w:rPr>
        <w:footnoteReference w:id="122"/>
      </w:r>
      <w:r w:rsidRPr="00200909">
        <w:rPr>
          <w:rFonts w:ascii="Times New Roman" w:hAnsi="Times New Roman" w:cs="Times New Roman"/>
          <w:sz w:val="24"/>
          <w:szCs w:val="24"/>
        </w:rPr>
        <w:t xml:space="preserve">  However, they also saw Reynolds continue to promote the importance of personal behaviour, with attacks upon gaming and intemperance.</w:t>
      </w:r>
      <w:r w:rsidRPr="00200909">
        <w:rPr>
          <w:rStyle w:val="FootnoteReference"/>
          <w:rFonts w:ascii="Times New Roman" w:hAnsi="Times New Roman" w:cs="Times New Roman"/>
          <w:sz w:val="24"/>
          <w:szCs w:val="24"/>
        </w:rPr>
        <w:footnoteReference w:id="123"/>
      </w:r>
      <w:r w:rsidRPr="00200909">
        <w:rPr>
          <w:rFonts w:ascii="Times New Roman" w:hAnsi="Times New Roman" w:cs="Times New Roman"/>
          <w:sz w:val="24"/>
          <w:szCs w:val="24"/>
        </w:rPr>
        <w:t xml:space="preserve">  Louis James has pointed out they often display the paternal attitude of a benevolent adviser instructing his readership on their conduct.</w:t>
      </w:r>
      <w:r w:rsidRPr="00200909">
        <w:rPr>
          <w:rStyle w:val="FootnoteReference"/>
          <w:rFonts w:ascii="Times New Roman" w:hAnsi="Times New Roman" w:cs="Times New Roman"/>
          <w:sz w:val="24"/>
          <w:szCs w:val="24"/>
        </w:rPr>
        <w:footnoteReference w:id="124"/>
      </w:r>
      <w:r w:rsidRPr="00200909">
        <w:rPr>
          <w:rFonts w:ascii="Times New Roman" w:hAnsi="Times New Roman" w:cs="Times New Roman"/>
          <w:sz w:val="24"/>
          <w:szCs w:val="24"/>
        </w:rPr>
        <w:t xml:space="preserve">  Occasionally there are mildly radical overtones, warning employers not to be overbearing or rebuke servants publicly for any awkwardness they displayed.</w:t>
      </w:r>
      <w:r w:rsidRPr="00200909">
        <w:rPr>
          <w:rStyle w:val="FootnoteReference"/>
          <w:rFonts w:ascii="Times New Roman" w:hAnsi="Times New Roman" w:cs="Times New Roman"/>
          <w:sz w:val="24"/>
          <w:szCs w:val="24"/>
        </w:rPr>
        <w:footnoteReference w:id="125"/>
      </w:r>
      <w:r w:rsidRPr="00200909">
        <w:rPr>
          <w:rFonts w:ascii="Times New Roman" w:hAnsi="Times New Roman" w:cs="Times New Roman"/>
          <w:sz w:val="24"/>
          <w:szCs w:val="24"/>
        </w:rPr>
        <w:t xml:space="preserve">  Some show Reynolds holding a rather effete attitude, as when he writes that a ‘well-bred person’ should never ‘whistle or sing’ or ‘carry a huge stick’ in public.</w:t>
      </w:r>
      <w:r w:rsidRPr="00200909">
        <w:rPr>
          <w:rStyle w:val="FootnoteReference"/>
          <w:rFonts w:ascii="Times New Roman" w:hAnsi="Times New Roman" w:cs="Times New Roman"/>
          <w:sz w:val="24"/>
          <w:szCs w:val="24"/>
        </w:rPr>
        <w:footnoteReference w:id="126"/>
      </w:r>
      <w:r w:rsidRPr="00200909">
        <w:rPr>
          <w:rFonts w:ascii="Times New Roman" w:hAnsi="Times New Roman" w:cs="Times New Roman"/>
          <w:sz w:val="24"/>
          <w:szCs w:val="24"/>
        </w:rPr>
        <w:t xml:space="preserve">  Many are so inappropriate regarding the daily life of ‘the Millions’ as to be unintentionally humorous.</w:t>
      </w:r>
      <w:r w:rsidRPr="00200909">
        <w:rPr>
          <w:rStyle w:val="FootnoteReference"/>
          <w:rFonts w:ascii="Times New Roman" w:hAnsi="Times New Roman" w:cs="Times New Roman"/>
          <w:sz w:val="24"/>
          <w:szCs w:val="24"/>
        </w:rPr>
        <w:footnoteReference w:id="127"/>
      </w:r>
      <w:r w:rsidRPr="00200909">
        <w:rPr>
          <w:rFonts w:ascii="Times New Roman" w:hAnsi="Times New Roman" w:cs="Times New Roman"/>
          <w:sz w:val="24"/>
          <w:szCs w:val="24"/>
        </w:rPr>
        <w:t xml:space="preserve">  At the same time, their inclusion may be seen as encouraging readers to be more aspirational, holding out the prospect of a lifestyle attainable through steadiness and hard work.  Overall, the articles rather than criticizing pretentious manners among the upper classes largely present them as a model for emulation.  More dramatically, Reynolds writes that wilful opposition to the laws of etiquette had dangerous consequences: ‘By this system of reasoning the very elements of civilisation would be destroyed.’</w:t>
      </w:r>
      <w:r w:rsidRPr="00200909">
        <w:rPr>
          <w:rStyle w:val="FootnoteReference"/>
          <w:rFonts w:ascii="Times New Roman" w:hAnsi="Times New Roman" w:cs="Times New Roman"/>
          <w:sz w:val="24"/>
          <w:szCs w:val="24"/>
        </w:rPr>
        <w:footnoteReference w:id="128"/>
      </w:r>
      <w:r w:rsidRPr="00200909">
        <w:rPr>
          <w:rFonts w:ascii="Times New Roman" w:hAnsi="Times New Roman" w:cs="Times New Roman"/>
          <w:sz w:val="24"/>
          <w:szCs w:val="24"/>
        </w:rPr>
        <w:t xml:space="preserve">  Such ‘conventional rules’, as he terms them, were the cement that held society together.  Although minor, these pieces </w:t>
      </w:r>
      <w:r w:rsidRPr="00200909">
        <w:rPr>
          <w:rFonts w:ascii="Times New Roman" w:hAnsi="Times New Roman" w:cs="Times New Roman"/>
          <w:sz w:val="24"/>
          <w:szCs w:val="24"/>
        </w:rPr>
        <w:lastRenderedPageBreak/>
        <w:t>indicate how highly he values respectable behaviour with advice upon conversation, dress and eating habits.</w:t>
      </w:r>
      <w:r w:rsidRPr="00200909">
        <w:rPr>
          <w:rStyle w:val="FootnoteReference"/>
          <w:rFonts w:ascii="Times New Roman" w:hAnsi="Times New Roman" w:cs="Times New Roman"/>
          <w:b/>
          <w:sz w:val="24"/>
          <w:szCs w:val="24"/>
        </w:rPr>
        <w:footnoteReference w:id="129"/>
      </w:r>
      <w:r w:rsidRPr="00200909">
        <w:rPr>
          <w:rFonts w:ascii="Times New Roman" w:hAnsi="Times New Roman" w:cs="Times New Roman"/>
          <w:sz w:val="24"/>
          <w:szCs w:val="24"/>
        </w:rPr>
        <w:t xml:space="preserve">  A key element is the praise of personal restraint:</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One of the best evidences of good-breeding is a due command over the passions and feelings in public; and this mental equanimity is only to be obtained (when it is not a natural endowment) by means of intellectual cultivation.</w:t>
      </w:r>
    </w:p>
    <w:p w:rsidR="001151C3" w:rsidRPr="00200909" w:rsidRDefault="001151C3" w:rsidP="001151C3">
      <w:pPr>
        <w:spacing w:after="240" w:line="240" w:lineRule="auto"/>
        <w:ind w:left="720" w:firstLine="170"/>
        <w:rPr>
          <w:rFonts w:ascii="Times New Roman" w:hAnsi="Times New Roman" w:cs="Times New Roman"/>
          <w:sz w:val="24"/>
          <w:szCs w:val="24"/>
        </w:rPr>
      </w:pPr>
      <w:r w:rsidRPr="00200909">
        <w:rPr>
          <w:rFonts w:ascii="Times New Roman" w:hAnsi="Times New Roman" w:cs="Times New Roman"/>
          <w:sz w:val="24"/>
          <w:szCs w:val="24"/>
        </w:rPr>
        <w:t>Not only is it very improper and highly indecorous to manifest any evil passion in society, but also highly prejudicial to the health.  Hatred, malignity, and revenge, retain the brain in a perpetual condition of excitement, which leads to physical irritation.  Jealousy also affects the brain; and its baneful influence extends sympathetically to the heart.</w:t>
      </w:r>
      <w:r w:rsidRPr="00200909">
        <w:rPr>
          <w:rStyle w:val="FootnoteReference"/>
          <w:rFonts w:ascii="Times New Roman" w:hAnsi="Times New Roman" w:cs="Times New Roman"/>
          <w:sz w:val="24"/>
          <w:szCs w:val="24"/>
        </w:rPr>
        <w:footnoteReference w:id="130"/>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The implications for the psychological aspect of conduct are clear as Reynolds elevates calmness, reason and the cultivation of the intellect at the expense of passion.  While suggesting ‘mental equanimity’ is not natural to all, he argues that it must be striven for.  Without inner discipline the worst emotions may fester, resulting in the lowest forms of behaviour.  The same perspective is observable in the later ‘Notices to Correspondents’ columns of the</w:t>
      </w:r>
      <w:r w:rsidRPr="00200909">
        <w:rPr>
          <w:rFonts w:ascii="Times New Roman" w:hAnsi="Times New Roman" w:cs="Times New Roman"/>
          <w:i/>
          <w:iCs/>
          <w:sz w:val="24"/>
          <w:szCs w:val="24"/>
        </w:rPr>
        <w:t xml:space="preserve"> M</w:t>
      </w:r>
      <w:r w:rsidRPr="00200909">
        <w:rPr>
          <w:rFonts w:ascii="Times New Roman" w:hAnsi="Times New Roman" w:cs="Times New Roman"/>
          <w:i/>
          <w:sz w:val="24"/>
          <w:szCs w:val="24"/>
        </w:rPr>
        <w:t>iscellany</w:t>
      </w:r>
      <w:r w:rsidRPr="00200909">
        <w:rPr>
          <w:rFonts w:ascii="Times New Roman" w:hAnsi="Times New Roman" w:cs="Times New Roman"/>
          <w:sz w:val="24"/>
          <w:szCs w:val="24"/>
        </w:rPr>
        <w:t xml:space="preserve"> that see Reynolds merge commitment to etiquette with notions of respectability to advocate what he believes is appropriate conduct.  This impinges especially upon females with the disparagement of flirting and unbecoming activities.  The indignation displayed is sometimes comical as when a reply to ‘DECENCY’ complains of the immodesty of ladies bathing at Ramsgate under the impudent gaze of male watchers.</w:t>
      </w:r>
      <w:r w:rsidRPr="00200909">
        <w:rPr>
          <w:rStyle w:val="FootnoteReference"/>
          <w:rFonts w:ascii="Times New Roman" w:hAnsi="Times New Roman" w:cs="Times New Roman"/>
          <w:sz w:val="24"/>
          <w:szCs w:val="24"/>
        </w:rPr>
        <w:footnoteReference w:id="131"/>
      </w:r>
      <w:r w:rsidRPr="00200909">
        <w:rPr>
          <w:rFonts w:ascii="Times New Roman" w:hAnsi="Times New Roman" w:cs="Times New Roman"/>
          <w:sz w:val="24"/>
          <w:szCs w:val="24"/>
        </w:rPr>
        <w:t xml:space="preserve">  However, the underlying message that such behaviour is unsuitable for respectable families is a serious one.  The trend appears particularly marked in 1852, when the page entitled ‘Essays, Science and Art’ frequently included lengthy passages of domestic guidance.  Mothers were urged to involve daughters in housework from an early age, with one article detailing the ‘niceties’ of making a cup of tea, the efficient organisation of daily duties and the need to study household economy so that spending money becomes an ‘exercise in judgment and taste’.</w:t>
      </w:r>
      <w:r w:rsidRPr="00200909">
        <w:rPr>
          <w:rStyle w:val="FootnoteReference"/>
          <w:rFonts w:ascii="Times New Roman" w:hAnsi="Times New Roman" w:cs="Times New Roman"/>
          <w:sz w:val="24"/>
          <w:szCs w:val="24"/>
        </w:rPr>
        <w:footnoteReference w:id="132"/>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lastRenderedPageBreak/>
        <w:t>A sense of the importance of etiquette was especially prevalent in the vast amount of marital advice.  While entries in ‘Notices to Correspondents’ regarding female conduct emphasised the need for diligence and morality, those for male enquirers demanded they state their occupation and ability to support a family.</w:t>
      </w:r>
      <w:r w:rsidRPr="00200909">
        <w:rPr>
          <w:rStyle w:val="FootnoteReference"/>
          <w:rFonts w:ascii="Times New Roman" w:hAnsi="Times New Roman" w:cs="Times New Roman"/>
          <w:sz w:val="24"/>
          <w:szCs w:val="24"/>
        </w:rPr>
        <w:footnoteReference w:id="133"/>
      </w:r>
      <w:r w:rsidRPr="00200909">
        <w:rPr>
          <w:rFonts w:ascii="Times New Roman" w:hAnsi="Times New Roman" w:cs="Times New Roman"/>
          <w:sz w:val="24"/>
          <w:szCs w:val="24"/>
        </w:rPr>
        <w:t xml:space="preserve">  The association of ‘male etiquette’ with economic affairs is confirmed in suggestions upon their financial conduct.  Virginia Berridge notes: ‘Friendly and benefit societies, along with co-ops and trade unions, were the most characteristic institutions whereby more privileged members of the working class could maintain their valued respectability’.</w:t>
      </w:r>
      <w:r w:rsidRPr="00200909">
        <w:rPr>
          <w:rStyle w:val="FootnoteReference"/>
          <w:rFonts w:ascii="Times New Roman" w:hAnsi="Times New Roman" w:cs="Times New Roman"/>
          <w:sz w:val="24"/>
          <w:szCs w:val="24"/>
        </w:rPr>
        <w:footnoteReference w:id="134"/>
      </w:r>
      <w:r w:rsidRPr="00200909">
        <w:rPr>
          <w:rFonts w:ascii="Times New Roman" w:hAnsi="Times New Roman" w:cs="Times New Roman"/>
          <w:sz w:val="24"/>
          <w:szCs w:val="24"/>
        </w:rPr>
        <w:t xml:space="preserve">  Reynolds continually promoted thrift and responsibility in line with these methods.</w:t>
      </w:r>
      <w:r w:rsidRPr="00200909">
        <w:rPr>
          <w:rStyle w:val="FootnoteReference"/>
          <w:rFonts w:ascii="Times New Roman" w:hAnsi="Times New Roman" w:cs="Times New Roman"/>
          <w:sz w:val="24"/>
          <w:szCs w:val="24"/>
        </w:rPr>
        <w:footnoteReference w:id="135"/>
      </w:r>
      <w:r w:rsidRPr="00200909">
        <w:rPr>
          <w:rFonts w:ascii="Times New Roman" w:hAnsi="Times New Roman" w:cs="Times New Roman"/>
          <w:sz w:val="24"/>
          <w:szCs w:val="24"/>
        </w:rPr>
        <w:t xml:space="preserve">  As he did so, the back pages of the </w:t>
      </w:r>
      <w:r w:rsidRPr="00200909">
        <w:rPr>
          <w:rFonts w:ascii="Times New Roman" w:hAnsi="Times New Roman" w:cs="Times New Roman"/>
          <w:i/>
          <w:sz w:val="24"/>
          <w:szCs w:val="24"/>
        </w:rPr>
        <w:t>Miscellany</w:t>
      </w:r>
      <w:r w:rsidRPr="00200909">
        <w:rPr>
          <w:rFonts w:ascii="Times New Roman" w:hAnsi="Times New Roman" w:cs="Times New Roman"/>
          <w:sz w:val="24"/>
          <w:szCs w:val="24"/>
        </w:rPr>
        <w:t xml:space="preserve"> displayed many advertisements for Life Assurance Companies.</w:t>
      </w:r>
      <w:r w:rsidRPr="00200909">
        <w:rPr>
          <w:rStyle w:val="FootnoteReference"/>
          <w:rFonts w:ascii="Times New Roman" w:hAnsi="Times New Roman" w:cs="Times New Roman"/>
          <w:sz w:val="24"/>
          <w:szCs w:val="24"/>
        </w:rPr>
        <w:footnoteReference w:id="136"/>
      </w:r>
      <w:r w:rsidRPr="00200909">
        <w:rPr>
          <w:rFonts w:ascii="Times New Roman" w:hAnsi="Times New Roman" w:cs="Times New Roman"/>
          <w:sz w:val="24"/>
          <w:szCs w:val="24"/>
        </w:rPr>
        <w:t xml:space="preserve">  Berridge details how </w:t>
      </w:r>
      <w:r w:rsidRPr="00200909">
        <w:rPr>
          <w:rFonts w:ascii="Times New Roman" w:hAnsi="Times New Roman" w:cs="Times New Roman"/>
          <w:i/>
          <w:iCs/>
          <w:sz w:val="24"/>
          <w:szCs w:val="24"/>
        </w:rPr>
        <w:t>Reynolds’s Newspaper</w:t>
      </w:r>
      <w:r w:rsidRPr="00200909">
        <w:rPr>
          <w:rFonts w:ascii="Times New Roman" w:hAnsi="Times New Roman" w:cs="Times New Roman"/>
          <w:sz w:val="24"/>
          <w:szCs w:val="24"/>
        </w:rPr>
        <w:t xml:space="preserve"> paralleled this with yet more notices and columns concerning the benefits of friendly societies.</w:t>
      </w:r>
      <w:r w:rsidRPr="00200909">
        <w:rPr>
          <w:rStyle w:val="FootnoteReference"/>
          <w:rFonts w:ascii="Times New Roman" w:hAnsi="Times New Roman" w:cs="Times New Roman"/>
          <w:sz w:val="24"/>
          <w:szCs w:val="24"/>
        </w:rPr>
        <w:footnoteReference w:id="137"/>
      </w:r>
      <w:r w:rsidRPr="00200909">
        <w:rPr>
          <w:rFonts w:ascii="Times New Roman" w:hAnsi="Times New Roman" w:cs="Times New Roman"/>
          <w:sz w:val="24"/>
          <w:szCs w:val="24"/>
        </w:rPr>
        <w:t xml:space="preserve">  On one level such matter promoted the conventional family structure with husband as financial provider supported by a conscientious and attentive wife.  However, while these aims appear cautious they also implied ambition.  </w:t>
      </w:r>
      <w:r w:rsidRPr="0060472C">
        <w:rPr>
          <w:rFonts w:ascii="Times New Roman" w:hAnsi="Times New Roman" w:cs="Times New Roman"/>
          <w:sz w:val="24"/>
          <w:szCs w:val="24"/>
        </w:rPr>
        <w:t>Reynolds recogni</w:t>
      </w:r>
      <w:r w:rsidR="009D616D" w:rsidRPr="0060472C">
        <w:rPr>
          <w:rFonts w:ascii="Times New Roman" w:hAnsi="Times New Roman" w:cs="Times New Roman"/>
          <w:sz w:val="24"/>
          <w:szCs w:val="24"/>
        </w:rPr>
        <w:t>z</w:t>
      </w:r>
      <w:r w:rsidRPr="0060472C">
        <w:rPr>
          <w:rFonts w:ascii="Times New Roman" w:hAnsi="Times New Roman" w:cs="Times New Roman"/>
          <w:sz w:val="24"/>
          <w:szCs w:val="24"/>
        </w:rPr>
        <w:t>ed</w:t>
      </w:r>
      <w:r w:rsidRPr="00200909">
        <w:rPr>
          <w:rFonts w:ascii="Times New Roman" w:hAnsi="Times New Roman" w:cs="Times New Roman"/>
          <w:sz w:val="24"/>
          <w:szCs w:val="24"/>
        </w:rPr>
        <w:t xml:space="preserve"> they involved a desire for material advancement and the ability to obtain this honestly should be the right of all.  With the structure of society proving a barrier, these attitudes could lead to challenging authority in all walks of life.  Nevertheless, critics have noted there were more radical aspects to the notion of respectability, especially among artisans.  Iorwerth Prothero writes that it was not a matter of aping social superiors.</w:t>
      </w:r>
      <w:r w:rsidRPr="00200909">
        <w:rPr>
          <w:rStyle w:val="FootnoteReference"/>
          <w:rFonts w:ascii="Times New Roman" w:hAnsi="Times New Roman" w:cs="Times New Roman"/>
          <w:sz w:val="24"/>
          <w:szCs w:val="24"/>
        </w:rPr>
        <w:footnoteReference w:id="138"/>
      </w:r>
      <w:r w:rsidRPr="00200909">
        <w:rPr>
          <w:rFonts w:ascii="Times New Roman" w:hAnsi="Times New Roman" w:cs="Times New Roman"/>
          <w:sz w:val="24"/>
          <w:szCs w:val="24"/>
        </w:rPr>
        <w:t xml:space="preserve">  Geoffrey Crossick states it was not determined by bourgeois ideology but looked to pride in one’s work and rising ‘within’ your </w:t>
      </w:r>
      <w:r w:rsidRPr="00200909">
        <w:rPr>
          <w:rFonts w:ascii="Times New Roman" w:hAnsi="Times New Roman" w:cs="Times New Roman"/>
          <w:sz w:val="24"/>
          <w:szCs w:val="24"/>
        </w:rPr>
        <w:lastRenderedPageBreak/>
        <w:t>class.</w:t>
      </w:r>
      <w:r w:rsidRPr="00200909">
        <w:rPr>
          <w:rStyle w:val="FootnoteReference"/>
          <w:rFonts w:ascii="Times New Roman" w:hAnsi="Times New Roman" w:cs="Times New Roman"/>
          <w:sz w:val="24"/>
          <w:szCs w:val="24"/>
        </w:rPr>
        <w:footnoteReference w:id="139"/>
      </w:r>
      <w:r w:rsidRPr="00200909">
        <w:rPr>
          <w:rFonts w:ascii="Times New Roman" w:hAnsi="Times New Roman" w:cs="Times New Roman"/>
          <w:sz w:val="24"/>
          <w:szCs w:val="24"/>
        </w:rPr>
        <w:t xml:space="preserve">  Both argue it involved a sense of independence based upon supporting themselves and their families through personal factors such as skill, hard work and sobriety.  However, Prothero adds that it also entailed the belief one could rely upon institutions to guard against sickness, injury and unemployment, and provide the means to mount organized protest.</w:t>
      </w:r>
      <w:r w:rsidRPr="00200909">
        <w:rPr>
          <w:rStyle w:val="FootnoteReference"/>
          <w:rFonts w:ascii="Times New Roman" w:hAnsi="Times New Roman" w:cs="Times New Roman"/>
          <w:sz w:val="24"/>
          <w:szCs w:val="24"/>
        </w:rPr>
        <w:footnoteReference w:id="140"/>
      </w:r>
      <w:r w:rsidRPr="00200909">
        <w:rPr>
          <w:rFonts w:ascii="Times New Roman" w:hAnsi="Times New Roman" w:cs="Times New Roman"/>
          <w:sz w:val="24"/>
          <w:szCs w:val="24"/>
        </w:rPr>
        <w:t xml:space="preserve">  In this respect, it was a mark of Reynolds’s cautiousness through much of the 1840s that when dealing with respectability he downplayed its association with the defence of rights through combination and strikes.</w:t>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Another factor that influenced Reynolds was his view towards providence.  Catherine Gallagher writes that the difficulty writers had maintaining a consistent stance in the face of contemporary social conditions could lead to a ‘division of the fictional world into providential and anti-providential territories’ commonly expressed by opposing a demonic urban environment with an idyllic countryside.</w:t>
      </w:r>
      <w:r w:rsidRPr="00200909">
        <w:rPr>
          <w:rStyle w:val="FootnoteReference"/>
          <w:rFonts w:ascii="Times New Roman" w:hAnsi="Times New Roman" w:cs="Times New Roman"/>
          <w:sz w:val="24"/>
          <w:szCs w:val="24"/>
        </w:rPr>
        <w:footnoteReference w:id="141"/>
      </w:r>
      <w:r w:rsidRPr="00200909">
        <w:rPr>
          <w:rFonts w:ascii="Times New Roman" w:hAnsi="Times New Roman" w:cs="Times New Roman"/>
          <w:sz w:val="24"/>
          <w:szCs w:val="24"/>
        </w:rPr>
        <w:t xml:space="preserve">  In Disraeli’s </w:t>
      </w:r>
      <w:r w:rsidRPr="00200909">
        <w:rPr>
          <w:rFonts w:ascii="Times New Roman" w:hAnsi="Times New Roman" w:cs="Times New Roman"/>
          <w:i/>
          <w:sz w:val="24"/>
          <w:szCs w:val="24"/>
        </w:rPr>
        <w:t xml:space="preserve">Sybil </w:t>
      </w:r>
      <w:r w:rsidRPr="00200909">
        <w:rPr>
          <w:rFonts w:ascii="Times New Roman" w:hAnsi="Times New Roman" w:cs="Times New Roman"/>
          <w:sz w:val="24"/>
          <w:szCs w:val="24"/>
        </w:rPr>
        <w:t xml:space="preserve">(1845) for example, the scene of workers at Mowbray town ascending to the streets ‘from their dank and dismal dwellings by narrow flights of steps’ </w:t>
      </w:r>
      <w:r w:rsidRPr="00E85404">
        <w:rPr>
          <w:rFonts w:ascii="Times New Roman" w:hAnsi="Times New Roman" w:cs="Times New Roman"/>
          <w:sz w:val="24"/>
          <w:szCs w:val="24"/>
        </w:rPr>
        <w:t>is contrast</w:t>
      </w:r>
      <w:r w:rsidR="00181463" w:rsidRPr="00E85404">
        <w:rPr>
          <w:rFonts w:ascii="Times New Roman" w:hAnsi="Times New Roman" w:cs="Times New Roman"/>
          <w:sz w:val="24"/>
          <w:szCs w:val="24"/>
        </w:rPr>
        <w:t>ed</w:t>
      </w:r>
      <w:r w:rsidRPr="00E85404">
        <w:rPr>
          <w:rFonts w:ascii="Times New Roman" w:hAnsi="Times New Roman" w:cs="Times New Roman"/>
          <w:sz w:val="24"/>
          <w:szCs w:val="24"/>
        </w:rPr>
        <w:t xml:space="preserve"> to</w:t>
      </w:r>
      <w:r w:rsidRPr="00200909">
        <w:rPr>
          <w:rFonts w:ascii="Times New Roman" w:hAnsi="Times New Roman" w:cs="Times New Roman"/>
          <w:sz w:val="24"/>
          <w:szCs w:val="24"/>
        </w:rPr>
        <w:t xml:space="preserve"> the picture of life-sustaining meads, vegetable gardens and comfortable stone cottages by the River Mowe.</w:t>
      </w:r>
      <w:r w:rsidRPr="00200909">
        <w:rPr>
          <w:rStyle w:val="FootnoteReference"/>
          <w:rFonts w:ascii="Times New Roman" w:hAnsi="Times New Roman" w:cs="Times New Roman"/>
          <w:sz w:val="24"/>
          <w:szCs w:val="24"/>
        </w:rPr>
        <w:footnoteReference w:id="142"/>
      </w:r>
      <w:r w:rsidRPr="00200909">
        <w:rPr>
          <w:rFonts w:ascii="Times New Roman" w:hAnsi="Times New Roman" w:cs="Times New Roman"/>
          <w:sz w:val="24"/>
          <w:szCs w:val="24"/>
        </w:rPr>
        <w:t xml:space="preserve">  Reynolds largely rejected the symbolism of such a geographical division.  For him, the countryside may lack the concentrated horrors of London but it is often a region of poverty and ignorance.</w:t>
      </w:r>
      <w:r w:rsidRPr="00200909">
        <w:rPr>
          <w:rStyle w:val="FootnoteReference"/>
          <w:rFonts w:ascii="Times New Roman" w:hAnsi="Times New Roman" w:cs="Times New Roman"/>
          <w:sz w:val="24"/>
          <w:szCs w:val="24"/>
        </w:rPr>
        <w:footnoteReference w:id="143"/>
      </w:r>
      <w:r w:rsidRPr="00200909">
        <w:rPr>
          <w:rFonts w:ascii="Times New Roman" w:hAnsi="Times New Roman" w:cs="Times New Roman"/>
          <w:sz w:val="24"/>
          <w:szCs w:val="24"/>
        </w:rPr>
        <w:t xml:space="preserve">  Several commentators downplay the significance of providence in his work.  Louis James writes that ‘Reynolds sees destiny as directed not by a benevolent divine Providence, but by courageous human endeavour.’</w:t>
      </w:r>
      <w:r w:rsidRPr="00200909">
        <w:rPr>
          <w:rStyle w:val="FootnoteReference"/>
          <w:rFonts w:ascii="Times New Roman" w:hAnsi="Times New Roman" w:cs="Times New Roman"/>
          <w:sz w:val="24"/>
          <w:szCs w:val="24"/>
        </w:rPr>
        <w:footnoteReference w:id="144"/>
      </w:r>
      <w:r w:rsidRPr="00200909">
        <w:rPr>
          <w:rFonts w:ascii="Times New Roman" w:hAnsi="Times New Roman" w:cs="Times New Roman"/>
          <w:sz w:val="24"/>
          <w:szCs w:val="24"/>
        </w:rPr>
        <w:t xml:space="preserve">  Such ‘endeavour’ was certainly central for Reynolds, as suggested by the aspirational element in his picture of respectable conduct.  Additionally, he was aware that the concept of providence could be misused, demonstrated in ‘The Legend of St. Omers’, a tale inserted in </w:t>
      </w:r>
      <w:r w:rsidRPr="00200909">
        <w:rPr>
          <w:rFonts w:ascii="Times New Roman" w:hAnsi="Times New Roman" w:cs="Times New Roman"/>
          <w:i/>
          <w:sz w:val="24"/>
          <w:szCs w:val="24"/>
        </w:rPr>
        <w:t xml:space="preserve">The Steam Packet </w:t>
      </w:r>
      <w:r w:rsidRPr="00200909">
        <w:rPr>
          <w:rFonts w:ascii="Times New Roman" w:hAnsi="Times New Roman" w:cs="Times New Roman"/>
          <w:iCs/>
          <w:sz w:val="24"/>
          <w:szCs w:val="24"/>
        </w:rPr>
        <w:t>(1840)</w:t>
      </w:r>
      <w:r w:rsidRPr="00200909">
        <w:rPr>
          <w:rFonts w:ascii="Times New Roman" w:hAnsi="Times New Roman" w:cs="Times New Roman"/>
          <w:sz w:val="24"/>
          <w:szCs w:val="24"/>
        </w:rPr>
        <w:t xml:space="preserve"> where the character Marie greets the death of her illegitimate child as follows:</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 xml:space="preserve">She endeavoured to find consolation in the idea that God had doubtless deemed it wise, for his own good purposes, that the proof of her disgrace should disappear from </w:t>
      </w:r>
      <w:r w:rsidRPr="00200909">
        <w:rPr>
          <w:rFonts w:ascii="Times New Roman" w:hAnsi="Times New Roman" w:cs="Times New Roman"/>
          <w:sz w:val="24"/>
          <w:szCs w:val="24"/>
        </w:rPr>
        <w:lastRenderedPageBreak/>
        <w:t>the world.  She then set her imagination busily to work to justify the count, for the deed which he had committed—so deeply was she enamoured of him—so unwilling was she to recognise a blemish in his character. […]  Oh!  The miserable sophistries to which the human mind has recourse, as emollients in the hours of sorrow or remorse!</w:t>
      </w:r>
      <w:r w:rsidRPr="00200909">
        <w:rPr>
          <w:rStyle w:val="FootnoteReference"/>
          <w:rFonts w:ascii="Times New Roman" w:hAnsi="Times New Roman" w:cs="Times New Roman"/>
          <w:sz w:val="24"/>
          <w:szCs w:val="24"/>
        </w:rPr>
        <w:footnoteReference w:id="145"/>
      </w:r>
      <w:r w:rsidRPr="00200909">
        <w:rPr>
          <w:rFonts w:ascii="Times New Roman" w:hAnsi="Times New Roman" w:cs="Times New Roman"/>
          <w:sz w:val="24"/>
          <w:szCs w:val="24"/>
        </w:rPr>
        <w:t xml:space="preserve"> </w:t>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Marie sees the baby’s death as a beneficial event that conceals her ‘disgrace’ from society, making it easier to excuse her treacherous lover and permit a continued infatuation with him.  Reynolds concludes by regretting how such sophistry can acquire solace through excusing crimes that are of human making.  Elsewhere, he criticizes this fraudulence in relation to social issues, as when attacking the English government for advocating a general fast to placate the Almighty so He will avert His wrath from Ireland:</w:t>
      </w:r>
      <w:r w:rsidRPr="00200909">
        <w:rPr>
          <w:rStyle w:val="FootnoteReference"/>
          <w:rFonts w:ascii="Times New Roman" w:hAnsi="Times New Roman" w:cs="Times New Roman"/>
          <w:sz w:val="24"/>
          <w:szCs w:val="24"/>
        </w:rPr>
        <w:footnoteReference w:id="146"/>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People of the British Isles! Be not deceived by this blasphemous proceeding – a proceeding that would shift an awful responsibility from the shoulders of incompetent statesmen, and lay it to the account of heaven!  Our blood runs cold as we write these lines—we shudder as we contemplate the wickedness of this impious subterfuge!</w:t>
      </w:r>
      <w:r w:rsidRPr="00200909">
        <w:rPr>
          <w:rStyle w:val="FootnoteReference"/>
          <w:rFonts w:ascii="Times New Roman" w:hAnsi="Times New Roman" w:cs="Times New Roman"/>
          <w:sz w:val="24"/>
          <w:szCs w:val="24"/>
        </w:rPr>
        <w:footnoteReference w:id="147"/>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Responsibility for the state of the country is placed firmly upon human activity, specifically landlords who drained its resources.  </w:t>
      </w:r>
      <w:r w:rsidRPr="0060472C">
        <w:rPr>
          <w:rFonts w:ascii="Times New Roman" w:hAnsi="Times New Roman" w:cs="Times New Roman"/>
          <w:sz w:val="24"/>
          <w:szCs w:val="24"/>
        </w:rPr>
        <w:t xml:space="preserve">Politicians </w:t>
      </w:r>
      <w:r w:rsidR="009D616D" w:rsidRPr="0060472C">
        <w:rPr>
          <w:rFonts w:ascii="Times New Roman" w:hAnsi="Times New Roman" w:cs="Times New Roman"/>
          <w:sz w:val="24"/>
          <w:szCs w:val="24"/>
        </w:rPr>
        <w:t xml:space="preserve">falsely </w:t>
      </w:r>
      <w:r w:rsidRPr="0060472C">
        <w:rPr>
          <w:rFonts w:ascii="Times New Roman" w:hAnsi="Times New Roman" w:cs="Times New Roman"/>
          <w:sz w:val="24"/>
          <w:szCs w:val="24"/>
        </w:rPr>
        <w:t>claimed</w:t>
      </w:r>
      <w:r w:rsidRPr="00200909">
        <w:rPr>
          <w:rFonts w:ascii="Times New Roman" w:hAnsi="Times New Roman" w:cs="Times New Roman"/>
          <w:sz w:val="24"/>
          <w:szCs w:val="24"/>
        </w:rPr>
        <w:t xml:space="preserve"> that prevailing misery was the judgment of providence, so they might neglect their duty to reduce hardship.  Such profanity fills Reynolds with disgust and he calls upon the people to reject the imposture.</w:t>
      </w:r>
      <w:r w:rsidRPr="00200909">
        <w:rPr>
          <w:rStyle w:val="FootnoteReference"/>
          <w:rFonts w:ascii="Times New Roman" w:hAnsi="Times New Roman" w:cs="Times New Roman"/>
          <w:sz w:val="24"/>
          <w:szCs w:val="24"/>
        </w:rPr>
        <w:footnoteReference w:id="148"/>
      </w:r>
      <w:r w:rsidRPr="00200909">
        <w:rPr>
          <w:rFonts w:ascii="Times New Roman" w:hAnsi="Times New Roman" w:cs="Times New Roman"/>
          <w:sz w:val="24"/>
          <w:szCs w:val="24"/>
        </w:rPr>
        <w:t xml:space="preserve">  However, while pointing out such abuse he constantly argued for the existence of providence, whether in relation to occasions of a tragic or fortuitous nature.  In </w:t>
      </w:r>
      <w:r w:rsidRPr="00200909">
        <w:rPr>
          <w:rFonts w:ascii="Times New Roman" w:hAnsi="Times New Roman" w:cs="Times New Roman"/>
          <w:i/>
          <w:sz w:val="24"/>
          <w:szCs w:val="24"/>
        </w:rPr>
        <w:t>Grace Darling</w:t>
      </w:r>
      <w:r w:rsidRPr="00200909">
        <w:rPr>
          <w:rFonts w:ascii="Times New Roman" w:hAnsi="Times New Roman" w:cs="Times New Roman"/>
          <w:sz w:val="24"/>
          <w:szCs w:val="24"/>
        </w:rPr>
        <w:t>, when a storm wrecks the Forfarshire steam-ship, he considers a female passenger despairing over the loss of her children:</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We know not what demon had to be appeased by so much of mortal misery—nor dare we question the inscrutable decrees of Providence, and enquire what enormous crimes that poor woman had been guilty of, thus to experience such unmitigated tortures!</w:t>
      </w:r>
      <w:r w:rsidRPr="00200909">
        <w:rPr>
          <w:rStyle w:val="FootnoteReference"/>
          <w:rFonts w:ascii="Times New Roman" w:hAnsi="Times New Roman" w:cs="Times New Roman"/>
          <w:sz w:val="24"/>
          <w:szCs w:val="24"/>
        </w:rPr>
        <w:footnoteReference w:id="149"/>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Reynolds treats this scene in a conventional manner, suggesting that the woman may have been guilty of some tremendous wrongdoing and this is the stern judgment she must suffer.  He then displays conformist obedience in accepting that such a force, being beyond human understanding, should not be questioned.  Against this, his more usual position is one which </w:t>
      </w:r>
      <w:r w:rsidRPr="00200909">
        <w:rPr>
          <w:rFonts w:ascii="Times New Roman" w:hAnsi="Times New Roman" w:cs="Times New Roman"/>
          <w:sz w:val="24"/>
          <w:szCs w:val="24"/>
        </w:rPr>
        <w:lastRenderedPageBreak/>
        <w:t>performs a balancing act between providence and free-will.  He never suggests that earthly injustice be accepted as the work of God.  The problems of London must be seen in terms of human agency, particularly the depraved actions of the aristocracy.  However, this did not amount to rejecting the role of providence.  Thomas Vargish has written that for contemporary writers the providential intention could make itself known either through the overall design of the plot or ‘through certain revelatory glimpses, epiphanies, of immanence’.</w:t>
      </w:r>
      <w:r w:rsidRPr="00200909">
        <w:rPr>
          <w:rStyle w:val="FootnoteReference"/>
          <w:rFonts w:ascii="Times New Roman" w:hAnsi="Times New Roman" w:cs="Times New Roman"/>
          <w:sz w:val="24"/>
          <w:szCs w:val="24"/>
        </w:rPr>
        <w:footnoteReference w:id="150"/>
      </w:r>
      <w:r w:rsidRPr="00200909">
        <w:rPr>
          <w:rFonts w:ascii="Times New Roman" w:hAnsi="Times New Roman" w:cs="Times New Roman"/>
          <w:sz w:val="24"/>
          <w:szCs w:val="24"/>
        </w:rPr>
        <w:t xml:space="preserve">  In Reynolds’s work, while there is not always perceived poetic justice, these ‘revelatory glimpses’ constantly intervene, particularly during times of suffering.  In </w:t>
      </w:r>
      <w:r w:rsidRPr="00200909">
        <w:rPr>
          <w:rFonts w:ascii="Times New Roman" w:hAnsi="Times New Roman" w:cs="Times New Roman"/>
          <w:i/>
          <w:iCs/>
          <w:sz w:val="24"/>
          <w:szCs w:val="24"/>
        </w:rPr>
        <w:t xml:space="preserve">The Mysteries of London </w:t>
      </w:r>
      <w:r w:rsidRPr="00200909">
        <w:rPr>
          <w:rFonts w:ascii="Times New Roman" w:hAnsi="Times New Roman" w:cs="Times New Roman"/>
          <w:iCs/>
          <w:sz w:val="24"/>
          <w:szCs w:val="24"/>
        </w:rPr>
        <w:t>(1844</w:t>
      </w:r>
      <w:r w:rsidRPr="00200909">
        <w:rPr>
          <w:rFonts w:ascii="Times New Roman" w:hAnsi="Times New Roman" w:cs="Times New Roman"/>
          <w:sz w:val="24"/>
          <w:szCs w:val="24"/>
        </w:rPr>
        <w:t>–</w:t>
      </w:r>
      <w:r w:rsidRPr="00200909">
        <w:rPr>
          <w:rFonts w:ascii="Times New Roman" w:hAnsi="Times New Roman" w:cs="Times New Roman"/>
          <w:iCs/>
          <w:sz w:val="24"/>
          <w:szCs w:val="24"/>
        </w:rPr>
        <w:t>48)</w:t>
      </w:r>
      <w:r w:rsidRPr="00200909">
        <w:rPr>
          <w:rFonts w:ascii="Times New Roman" w:hAnsi="Times New Roman" w:cs="Times New Roman"/>
          <w:sz w:val="24"/>
          <w:szCs w:val="24"/>
        </w:rPr>
        <w:t>, when Richard Markham is imprisoned in Antony Tidkins’s den near Bird-cage Walk and pleads for God not to desert him he inadvertently discovers an escape route:</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A ray of hope penetrated his heart; and when upon further search, he discovered an aperture efficiently wide for him to creep through, he exclaimed, ‘O Lord! I thank thee, thou hast heard my prayer!  Pardon—oh! pardon my repinings;—forgive me that I dared to question thy sovereign will!’.</w:t>
      </w:r>
      <w:r w:rsidRPr="00200909">
        <w:rPr>
          <w:rStyle w:val="FootnoteReference"/>
          <w:rFonts w:ascii="Times New Roman" w:hAnsi="Times New Roman" w:cs="Times New Roman"/>
          <w:sz w:val="24"/>
          <w:szCs w:val="24"/>
        </w:rPr>
        <w:footnoteReference w:id="151"/>
      </w:r>
    </w:p>
    <w:p w:rsidR="001151C3" w:rsidRPr="00200909" w:rsidRDefault="001151C3" w:rsidP="001151C3">
      <w:pPr>
        <w:spacing w:after="240" w:line="360" w:lineRule="auto"/>
        <w:rPr>
          <w:rFonts w:ascii="Times New Roman" w:hAnsi="Times New Roman" w:cs="Times New Roman"/>
          <w:sz w:val="24"/>
          <w:szCs w:val="24"/>
        </w:rPr>
      </w:pPr>
      <w:r w:rsidRPr="00200909">
        <w:rPr>
          <w:rFonts w:ascii="Times New Roman" w:hAnsi="Times New Roman" w:cs="Times New Roman"/>
          <w:sz w:val="24"/>
          <w:szCs w:val="24"/>
        </w:rPr>
        <w:t>Reynolds generally leaves the possibility of explaining such events in rational terms, as a fortunate coincidence.</w:t>
      </w:r>
      <w:r w:rsidRPr="00200909">
        <w:rPr>
          <w:rStyle w:val="FootnoteReference"/>
          <w:rFonts w:ascii="Times New Roman" w:hAnsi="Times New Roman" w:cs="Times New Roman"/>
          <w:sz w:val="24"/>
          <w:szCs w:val="24"/>
        </w:rPr>
        <w:footnoteReference w:id="152"/>
      </w:r>
      <w:r w:rsidRPr="00200909">
        <w:rPr>
          <w:rFonts w:ascii="Times New Roman" w:hAnsi="Times New Roman" w:cs="Times New Roman"/>
          <w:sz w:val="24"/>
          <w:szCs w:val="24"/>
        </w:rPr>
        <w:t xml:space="preserve">  However, he also frames the scene with Richard’s earlier questioning of God’s benevolence and his later plea to be forgiven for doubting the divine intervention that has released him.  In </w:t>
      </w:r>
      <w:r w:rsidRPr="00200909">
        <w:rPr>
          <w:rFonts w:ascii="Times New Roman" w:hAnsi="Times New Roman" w:cs="Times New Roman"/>
          <w:i/>
          <w:sz w:val="24"/>
          <w:szCs w:val="24"/>
        </w:rPr>
        <w:t xml:space="preserve">The Mysteries of the Court </w:t>
      </w:r>
      <w:r w:rsidRPr="00200909">
        <w:rPr>
          <w:rFonts w:ascii="Times New Roman" w:hAnsi="Times New Roman" w:cs="Times New Roman"/>
          <w:iCs/>
          <w:sz w:val="24"/>
          <w:szCs w:val="24"/>
        </w:rPr>
        <w:t>(1848</w:t>
      </w:r>
      <w:r w:rsidRPr="00200909">
        <w:rPr>
          <w:rFonts w:ascii="Times New Roman" w:hAnsi="Times New Roman" w:cs="Times New Roman"/>
          <w:sz w:val="24"/>
          <w:szCs w:val="24"/>
        </w:rPr>
        <w:t>–</w:t>
      </w:r>
      <w:r w:rsidRPr="00200909">
        <w:rPr>
          <w:rFonts w:ascii="Times New Roman" w:hAnsi="Times New Roman" w:cs="Times New Roman"/>
          <w:iCs/>
          <w:sz w:val="24"/>
          <w:szCs w:val="24"/>
        </w:rPr>
        <w:t>56)</w:t>
      </w:r>
      <w:r w:rsidRPr="00200909">
        <w:rPr>
          <w:rFonts w:ascii="Times New Roman" w:hAnsi="Times New Roman" w:cs="Times New Roman"/>
          <w:sz w:val="24"/>
          <w:szCs w:val="24"/>
        </w:rPr>
        <w:t xml:space="preserve"> a similar sense shrouds Arthur Eaton’s unlikely discovery in a book-case of the antidote for the poison, the ‘Heir’s Friend’, that is killing him.</w:t>
      </w:r>
      <w:r w:rsidRPr="00200909">
        <w:rPr>
          <w:rStyle w:val="FootnoteReference"/>
          <w:rFonts w:ascii="Times New Roman" w:hAnsi="Times New Roman" w:cs="Times New Roman"/>
          <w:sz w:val="24"/>
          <w:szCs w:val="24"/>
        </w:rPr>
        <w:footnoteReference w:id="153"/>
      </w:r>
      <w:r w:rsidRPr="00200909">
        <w:rPr>
          <w:rFonts w:ascii="Times New Roman" w:hAnsi="Times New Roman" w:cs="Times New Roman"/>
          <w:sz w:val="24"/>
          <w:szCs w:val="24"/>
        </w:rPr>
        <w:t xml:space="preserve">  To the chemist, Mr Bradford, he tearfully says: ‘The hand of God is in this—and never, never, shall I cease to adore His holy name.’</w:t>
      </w:r>
      <w:r w:rsidRPr="00200909">
        <w:rPr>
          <w:rStyle w:val="FootnoteReference"/>
          <w:rFonts w:ascii="Times New Roman" w:hAnsi="Times New Roman" w:cs="Times New Roman"/>
          <w:sz w:val="24"/>
          <w:szCs w:val="24"/>
        </w:rPr>
        <w:footnoteReference w:id="154"/>
      </w:r>
      <w:r w:rsidRPr="00200909">
        <w:rPr>
          <w:rFonts w:ascii="Times New Roman" w:hAnsi="Times New Roman" w:cs="Times New Roman"/>
          <w:sz w:val="24"/>
          <w:szCs w:val="24"/>
        </w:rPr>
        <w:t xml:space="preserve">  Bradford, the man of science, while disowning superstitious beliefs confirms this view: ‘I do not hesitate to say that your affliction and your redemption will have been intended for purposes having their origin and destiny in the divine wisdom’.</w:t>
      </w:r>
      <w:r w:rsidRPr="00200909">
        <w:rPr>
          <w:rStyle w:val="FootnoteReference"/>
          <w:rFonts w:ascii="Times New Roman" w:hAnsi="Times New Roman" w:cs="Times New Roman"/>
          <w:sz w:val="24"/>
          <w:szCs w:val="24"/>
        </w:rPr>
        <w:footnoteReference w:id="155"/>
      </w:r>
      <w:r w:rsidRPr="00200909">
        <w:rPr>
          <w:rFonts w:ascii="Times New Roman" w:hAnsi="Times New Roman" w:cs="Times New Roman"/>
          <w:sz w:val="24"/>
          <w:szCs w:val="24"/>
        </w:rPr>
        <w:t xml:space="preserve">  He unquestioningly places Arthur’s pain and ensuing salvation within a heavenly overall scheme.  The recurrence of such coincidences develops a ‘collective force’ suggesting ‘a sense of the true underlying order of </w:t>
      </w:r>
      <w:r w:rsidRPr="00200909">
        <w:rPr>
          <w:rFonts w:ascii="Times New Roman" w:hAnsi="Times New Roman" w:cs="Times New Roman"/>
          <w:sz w:val="24"/>
          <w:szCs w:val="24"/>
        </w:rPr>
        <w:lastRenderedPageBreak/>
        <w:t>things’.</w:t>
      </w:r>
      <w:r w:rsidRPr="00200909">
        <w:rPr>
          <w:rStyle w:val="FootnoteReference"/>
          <w:rFonts w:ascii="Times New Roman" w:hAnsi="Times New Roman" w:cs="Times New Roman"/>
          <w:sz w:val="24"/>
          <w:szCs w:val="24"/>
        </w:rPr>
        <w:footnoteReference w:id="156"/>
      </w:r>
      <w:r w:rsidRPr="00200909">
        <w:rPr>
          <w:rFonts w:ascii="Times New Roman" w:hAnsi="Times New Roman" w:cs="Times New Roman"/>
          <w:sz w:val="24"/>
          <w:szCs w:val="24"/>
        </w:rPr>
        <w:t xml:space="preserve">  Bradford sees no conflict between science and religion, echoing the outlook of Reynolds, whose interest in scientific matters is attested by numerous articles in the </w:t>
      </w:r>
      <w:r w:rsidRPr="00200909">
        <w:rPr>
          <w:rFonts w:ascii="Times New Roman" w:hAnsi="Times New Roman" w:cs="Times New Roman"/>
          <w:i/>
          <w:iCs/>
          <w:sz w:val="24"/>
          <w:szCs w:val="24"/>
        </w:rPr>
        <w:t>Miscellany</w:t>
      </w:r>
      <w:r w:rsidRPr="00200909">
        <w:rPr>
          <w:rFonts w:ascii="Times New Roman" w:hAnsi="Times New Roman" w:cs="Times New Roman"/>
          <w:sz w:val="24"/>
          <w:szCs w:val="24"/>
        </w:rPr>
        <w:t>.</w:t>
      </w:r>
      <w:r w:rsidRPr="00200909">
        <w:rPr>
          <w:rStyle w:val="FootnoteReference"/>
          <w:rFonts w:ascii="Times New Roman" w:hAnsi="Times New Roman" w:cs="Times New Roman"/>
          <w:sz w:val="24"/>
          <w:szCs w:val="24"/>
        </w:rPr>
        <w:footnoteReference w:id="157"/>
      </w:r>
      <w:r w:rsidRPr="00200909">
        <w:rPr>
          <w:rFonts w:ascii="Times New Roman" w:hAnsi="Times New Roman" w:cs="Times New Roman"/>
          <w:sz w:val="24"/>
          <w:szCs w:val="24"/>
        </w:rPr>
        <w:t xml:space="preserve">  To one written by James Johnson detailing the complexities of human bone structure, he appended the following:</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It is impossible to read the above admirable analysis by our talented contributor, Mr. Johnson, without being struck by the complete refutation which this article, evidencing Almighty design as it does, gives to the system of Atheism.  Perhaps there never was a series of Articles in any periodical work, which so completely testifies to the sovereign power of an OMNIPOTENT as these papers on Anatomy.—G.W.M.R.</w:t>
      </w:r>
      <w:r w:rsidRPr="00200909">
        <w:rPr>
          <w:rStyle w:val="FootnoteReference"/>
          <w:rFonts w:ascii="Times New Roman" w:hAnsi="Times New Roman" w:cs="Times New Roman"/>
          <w:sz w:val="24"/>
          <w:szCs w:val="24"/>
        </w:rPr>
        <w:footnoteReference w:id="158"/>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These lines, following the argument from design, suggest how Reynolds believed that the Almighty oversaw every aspect of human existence.  They confirm the view expressed in </w:t>
      </w:r>
      <w:r w:rsidRPr="00200909">
        <w:rPr>
          <w:rFonts w:ascii="Times New Roman" w:hAnsi="Times New Roman" w:cs="Times New Roman"/>
          <w:i/>
          <w:iCs/>
          <w:sz w:val="24"/>
          <w:szCs w:val="24"/>
        </w:rPr>
        <w:t>The Steam Packet</w:t>
      </w:r>
      <w:r w:rsidRPr="00200909">
        <w:rPr>
          <w:rFonts w:ascii="Times New Roman" w:hAnsi="Times New Roman" w:cs="Times New Roman"/>
          <w:sz w:val="24"/>
          <w:szCs w:val="24"/>
        </w:rPr>
        <w:t xml:space="preserve"> when he wrote that the serene weather on a beautiful day was ‘a sign of the power of Him in whom alone we live and move, to give at any moment perfect bliss to our thirsting souls’.</w:t>
      </w:r>
      <w:r w:rsidRPr="00200909">
        <w:rPr>
          <w:rStyle w:val="FootnoteReference"/>
          <w:rFonts w:ascii="Times New Roman" w:hAnsi="Times New Roman" w:cs="Times New Roman"/>
          <w:sz w:val="24"/>
          <w:szCs w:val="24"/>
        </w:rPr>
        <w:footnoteReference w:id="159"/>
      </w:r>
      <w:r w:rsidRPr="00200909">
        <w:rPr>
          <w:rFonts w:ascii="Times New Roman" w:hAnsi="Times New Roman" w:cs="Times New Roman"/>
          <w:sz w:val="24"/>
          <w:szCs w:val="24"/>
        </w:rPr>
        <w:t xml:space="preserve">  The individual suffering torment should always remember that providence may intervene at any time and bring relief.</w:t>
      </w:r>
    </w:p>
    <w:p w:rsidR="001151C3" w:rsidRPr="00200909" w:rsidRDefault="001151C3" w:rsidP="001151C3">
      <w:pPr>
        <w:spacing w:after="120" w:line="360" w:lineRule="auto"/>
        <w:ind w:firstLine="720"/>
        <w:rPr>
          <w:rFonts w:ascii="Times New Roman" w:hAnsi="Times New Roman" w:cs="Times New Roman"/>
          <w:bCs/>
          <w:sz w:val="24"/>
          <w:szCs w:val="24"/>
        </w:rPr>
      </w:pPr>
      <w:r w:rsidRPr="00200909">
        <w:rPr>
          <w:rFonts w:ascii="Times New Roman" w:hAnsi="Times New Roman" w:cs="Times New Roman"/>
          <w:sz w:val="24"/>
          <w:szCs w:val="24"/>
        </w:rPr>
        <w:t xml:space="preserve">Reynolds adds credibility to this view by having characters that are models of moral rectitude expressing such beliefs.  In </w:t>
      </w:r>
      <w:r w:rsidRPr="00200909">
        <w:rPr>
          <w:rFonts w:ascii="Times New Roman" w:hAnsi="Times New Roman" w:cs="Times New Roman"/>
          <w:i/>
          <w:sz w:val="24"/>
          <w:szCs w:val="24"/>
        </w:rPr>
        <w:t>The Mysteries of London</w:t>
      </w:r>
      <w:r w:rsidRPr="00200909">
        <w:rPr>
          <w:rFonts w:ascii="Times New Roman" w:hAnsi="Times New Roman" w:cs="Times New Roman"/>
          <w:sz w:val="24"/>
          <w:szCs w:val="24"/>
        </w:rPr>
        <w:t>, the virtuous Katherine Wilmot voices her opinion upon Richard Markham’s success in leading the revolution against aristocratic tyranny in Castelcicala by saying that ‘the finger of heaven was assuredly visible’.</w:t>
      </w:r>
      <w:r w:rsidRPr="00200909">
        <w:rPr>
          <w:rStyle w:val="FootnoteReference"/>
          <w:rFonts w:ascii="Times New Roman" w:hAnsi="Times New Roman" w:cs="Times New Roman"/>
          <w:sz w:val="24"/>
          <w:szCs w:val="24"/>
        </w:rPr>
        <w:footnoteReference w:id="160"/>
      </w:r>
      <w:r w:rsidRPr="00200909">
        <w:rPr>
          <w:rFonts w:ascii="Times New Roman" w:hAnsi="Times New Roman" w:cs="Times New Roman"/>
          <w:sz w:val="24"/>
          <w:szCs w:val="24"/>
        </w:rPr>
        <w:t xml:space="preserve">  When the industrious Clarence Villiers acquires a lucrative post as secretary to the Earl of Ellingham, he says to his wife Adelais, ‘God is good to us’.</w:t>
      </w:r>
      <w:r w:rsidRPr="00200909">
        <w:rPr>
          <w:rStyle w:val="FootnoteReference"/>
          <w:rFonts w:ascii="Times New Roman" w:hAnsi="Times New Roman" w:cs="Times New Roman"/>
          <w:sz w:val="24"/>
          <w:szCs w:val="24"/>
        </w:rPr>
        <w:footnoteReference w:id="161"/>
      </w:r>
      <w:r w:rsidRPr="00200909">
        <w:rPr>
          <w:rFonts w:ascii="Times New Roman" w:hAnsi="Times New Roman" w:cs="Times New Roman"/>
          <w:sz w:val="24"/>
          <w:szCs w:val="24"/>
        </w:rPr>
        <w:t xml:space="preserve">  I</w:t>
      </w:r>
      <w:r w:rsidRPr="00200909">
        <w:rPr>
          <w:rFonts w:ascii="Times New Roman" w:hAnsi="Times New Roman" w:cs="Times New Roman"/>
          <w:bCs/>
          <w:sz w:val="24"/>
          <w:szCs w:val="24"/>
        </w:rPr>
        <w:t xml:space="preserve">n contrast, those who ignore providence are irredeemably corrupted.  In </w:t>
      </w:r>
      <w:r w:rsidRPr="00200909">
        <w:rPr>
          <w:rFonts w:ascii="Times New Roman" w:hAnsi="Times New Roman" w:cs="Times New Roman"/>
          <w:bCs/>
          <w:i/>
          <w:sz w:val="24"/>
          <w:szCs w:val="24"/>
        </w:rPr>
        <w:t>The Mysteries of the Court</w:t>
      </w:r>
      <w:r w:rsidRPr="00200909">
        <w:rPr>
          <w:rFonts w:ascii="Times New Roman" w:hAnsi="Times New Roman" w:cs="Times New Roman"/>
          <w:bCs/>
          <w:sz w:val="24"/>
          <w:szCs w:val="24"/>
        </w:rPr>
        <w:t xml:space="preserve"> when the villains Daniel Coffin and Ben Bencull dispose of Nell Gibson’s body, a colleague whom they have murdered, the former says they must do so while no-one is present to witness the event, to which Reynolds inserts the following authorial rejoinder:</w:t>
      </w:r>
    </w:p>
    <w:p w:rsidR="001151C3" w:rsidRPr="00200909" w:rsidRDefault="001151C3" w:rsidP="001151C3">
      <w:pPr>
        <w:spacing w:after="240" w:line="240" w:lineRule="auto"/>
        <w:ind w:left="720"/>
        <w:rPr>
          <w:rFonts w:ascii="Times New Roman" w:hAnsi="Times New Roman" w:cs="Times New Roman"/>
          <w:bCs/>
          <w:sz w:val="24"/>
          <w:szCs w:val="24"/>
        </w:rPr>
      </w:pPr>
      <w:r w:rsidRPr="00200909">
        <w:rPr>
          <w:rFonts w:ascii="Times New Roman" w:hAnsi="Times New Roman" w:cs="Times New Roman"/>
          <w:bCs/>
          <w:sz w:val="24"/>
          <w:szCs w:val="24"/>
        </w:rPr>
        <w:lastRenderedPageBreak/>
        <w:t>Nobody to see!  Ah</w:t>
      </w:r>
      <w:r w:rsidRPr="00200909">
        <w:rPr>
          <w:rFonts w:ascii="Times New Roman" w:hAnsi="Times New Roman" w:cs="Times New Roman"/>
          <w:sz w:val="24"/>
          <w:szCs w:val="24"/>
        </w:rPr>
        <w:t>—</w:t>
      </w:r>
      <w:r w:rsidRPr="00200909">
        <w:rPr>
          <w:rFonts w:ascii="Times New Roman" w:hAnsi="Times New Roman" w:cs="Times New Roman"/>
          <w:bCs/>
          <w:sz w:val="24"/>
          <w:szCs w:val="24"/>
        </w:rPr>
        <w:t>the insensate wretch!</w:t>
      </w:r>
      <w:r w:rsidRPr="00200909">
        <w:rPr>
          <w:rFonts w:ascii="Times New Roman" w:hAnsi="Times New Roman" w:cs="Times New Roman"/>
          <w:sz w:val="24"/>
          <w:szCs w:val="24"/>
        </w:rPr>
        <w:t>—</w:t>
      </w:r>
      <w:r w:rsidRPr="00200909">
        <w:rPr>
          <w:rFonts w:ascii="Times New Roman" w:hAnsi="Times New Roman" w:cs="Times New Roman"/>
          <w:bCs/>
          <w:sz w:val="24"/>
          <w:szCs w:val="24"/>
        </w:rPr>
        <w:t>the eye of God was upon him</w:t>
      </w:r>
      <w:r w:rsidRPr="00200909">
        <w:rPr>
          <w:rFonts w:ascii="Times New Roman" w:hAnsi="Times New Roman" w:cs="Times New Roman"/>
          <w:sz w:val="24"/>
          <w:szCs w:val="24"/>
        </w:rPr>
        <w:t>—</w:t>
      </w:r>
      <w:r w:rsidRPr="00200909">
        <w:rPr>
          <w:rFonts w:ascii="Times New Roman" w:hAnsi="Times New Roman" w:cs="Times New Roman"/>
          <w:bCs/>
          <w:sz w:val="24"/>
          <w:szCs w:val="24"/>
        </w:rPr>
        <w:t>fixed on that scene of murder: and yet, because there was no candle at any neighbouring window, and because not a human soul was visible either on the opposite side of the ditch or on the bridges, the ruthless murderers fancied that no eye was upon them as they lowered the corpse into the stagnant dyke!</w:t>
      </w:r>
      <w:r w:rsidRPr="00200909">
        <w:rPr>
          <w:rStyle w:val="FootnoteReference"/>
          <w:rFonts w:ascii="Times New Roman" w:hAnsi="Times New Roman" w:cs="Times New Roman"/>
          <w:sz w:val="24"/>
          <w:szCs w:val="24"/>
        </w:rPr>
        <w:footnoteReference w:id="162"/>
      </w:r>
    </w:p>
    <w:p w:rsidR="001151C3" w:rsidRPr="00200909" w:rsidRDefault="001151C3" w:rsidP="001151C3">
      <w:pPr>
        <w:spacing w:after="120" w:line="360" w:lineRule="auto"/>
        <w:rPr>
          <w:rFonts w:ascii="Times New Roman" w:hAnsi="Times New Roman" w:cs="Times New Roman"/>
          <w:bCs/>
          <w:sz w:val="24"/>
          <w:szCs w:val="24"/>
        </w:rPr>
      </w:pPr>
      <w:r w:rsidRPr="00200909">
        <w:rPr>
          <w:rFonts w:ascii="Times New Roman" w:hAnsi="Times New Roman" w:cs="Times New Roman"/>
          <w:bCs/>
          <w:sz w:val="24"/>
          <w:szCs w:val="24"/>
        </w:rPr>
        <w:t xml:space="preserve">The pair, consumed by material concerns, fear only earthly punishment and lack the sentiments to restrain them from committing the most heinous deeds.  For Reynolds, this rejection of the all-seeing ‘eye of God’ is a sign of grave psychological and moral shortcomings.  Perhaps his most famous affirmation of the providential theme is when summarizing the fate of the two Markham brothers in the Epilogue to the first series of </w:t>
      </w:r>
      <w:r w:rsidRPr="00200909">
        <w:rPr>
          <w:rFonts w:ascii="Times New Roman" w:hAnsi="Times New Roman" w:cs="Times New Roman"/>
          <w:bCs/>
          <w:i/>
          <w:iCs/>
          <w:sz w:val="24"/>
          <w:szCs w:val="24"/>
        </w:rPr>
        <w:t xml:space="preserve">The </w:t>
      </w:r>
      <w:r w:rsidRPr="00200909">
        <w:rPr>
          <w:rFonts w:ascii="Times New Roman" w:hAnsi="Times New Roman" w:cs="Times New Roman"/>
          <w:bCs/>
          <w:i/>
          <w:sz w:val="24"/>
          <w:szCs w:val="24"/>
        </w:rPr>
        <w:t>Mysteries of London</w:t>
      </w:r>
      <w:r w:rsidRPr="00200909">
        <w:rPr>
          <w:rFonts w:ascii="Times New Roman" w:hAnsi="Times New Roman" w:cs="Times New Roman"/>
          <w:bCs/>
          <w:sz w:val="24"/>
          <w:szCs w:val="24"/>
        </w:rPr>
        <w:t>:</w:t>
      </w:r>
    </w:p>
    <w:p w:rsidR="001151C3" w:rsidRPr="00200909" w:rsidRDefault="001151C3" w:rsidP="001151C3">
      <w:pPr>
        <w:spacing w:after="240" w:line="240" w:lineRule="auto"/>
        <w:ind w:firstLine="720"/>
        <w:rPr>
          <w:rFonts w:ascii="Times New Roman" w:hAnsi="Times New Roman" w:cs="Times New Roman"/>
          <w:sz w:val="24"/>
          <w:szCs w:val="24"/>
        </w:rPr>
      </w:pPr>
      <w:r w:rsidRPr="00200909">
        <w:rPr>
          <w:rFonts w:ascii="Times New Roman" w:hAnsi="Times New Roman" w:cs="Times New Roman"/>
          <w:sz w:val="24"/>
          <w:szCs w:val="24"/>
        </w:rPr>
        <w:t>’Tis done: VIRTUE is rewarded — VICE has received its punishment.</w:t>
      </w:r>
    </w:p>
    <w:p w:rsidR="001151C3" w:rsidRPr="00200909" w:rsidRDefault="001151C3" w:rsidP="001151C3">
      <w:pPr>
        <w:spacing w:after="240" w:line="240" w:lineRule="auto"/>
        <w:ind w:left="720" w:firstLine="170"/>
        <w:rPr>
          <w:rFonts w:ascii="Times New Roman" w:hAnsi="Times New Roman" w:cs="Times New Roman"/>
          <w:bCs/>
          <w:sz w:val="24"/>
          <w:szCs w:val="24"/>
        </w:rPr>
      </w:pPr>
      <w:r w:rsidRPr="00200909">
        <w:rPr>
          <w:rFonts w:ascii="Times New Roman" w:hAnsi="Times New Roman" w:cs="Times New Roman"/>
          <w:sz w:val="24"/>
          <w:szCs w:val="24"/>
        </w:rPr>
        <w:t>Said we not, in the very opening of this work, that from London branched off two roads, lead in to two points totally distinct the one from the other?</w:t>
      </w:r>
      <w:r w:rsidRPr="00200909">
        <w:rPr>
          <w:rStyle w:val="FootnoteReference"/>
          <w:rFonts w:ascii="Times New Roman" w:hAnsi="Times New Roman" w:cs="Times New Roman"/>
          <w:sz w:val="24"/>
          <w:szCs w:val="24"/>
        </w:rPr>
        <w:footnoteReference w:id="163"/>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Helen Hauser comments, ‘Eugene takes the path of an immoral, hedonistic capitalist, and Richard follows the more tedious path of virtue.’</w:t>
      </w:r>
      <w:r w:rsidRPr="00200909">
        <w:rPr>
          <w:rStyle w:val="FootnoteReference"/>
          <w:rFonts w:ascii="Times New Roman" w:hAnsi="Times New Roman" w:cs="Times New Roman"/>
          <w:sz w:val="24"/>
          <w:szCs w:val="24"/>
        </w:rPr>
        <w:footnoteReference w:id="164"/>
      </w:r>
      <w:r w:rsidRPr="00200909">
        <w:rPr>
          <w:rFonts w:ascii="Times New Roman" w:hAnsi="Times New Roman" w:cs="Times New Roman"/>
          <w:sz w:val="24"/>
          <w:szCs w:val="24"/>
        </w:rPr>
        <w:t xml:space="preserve">  The former</w:t>
      </w:r>
      <w:r w:rsidRPr="00200909">
        <w:rPr>
          <w:rFonts w:ascii="Times New Roman" w:hAnsi="Times New Roman" w:cs="Times New Roman"/>
          <w:bCs/>
          <w:sz w:val="24"/>
          <w:szCs w:val="24"/>
        </w:rPr>
        <w:t xml:space="preserve"> refuses honest work with his demand for instant success seeing him descend into financial malpractice and licentiousness that result in misery and early death.</w:t>
      </w:r>
      <w:r w:rsidRPr="00200909">
        <w:rPr>
          <w:rStyle w:val="FootnoteReference"/>
          <w:rFonts w:ascii="Times New Roman" w:hAnsi="Times New Roman" w:cs="Times New Roman"/>
          <w:sz w:val="24"/>
          <w:szCs w:val="24"/>
        </w:rPr>
        <w:footnoteReference w:id="165"/>
      </w:r>
      <w:r w:rsidRPr="00200909">
        <w:rPr>
          <w:rFonts w:ascii="Times New Roman" w:hAnsi="Times New Roman" w:cs="Times New Roman"/>
          <w:bCs/>
          <w:sz w:val="24"/>
          <w:szCs w:val="24"/>
        </w:rPr>
        <w:t xml:space="preserve">  In contrast,</w:t>
      </w:r>
      <w:r w:rsidRPr="00200909">
        <w:rPr>
          <w:rFonts w:ascii="Times New Roman" w:hAnsi="Times New Roman" w:cs="Times New Roman"/>
          <w:sz w:val="24"/>
          <w:szCs w:val="24"/>
        </w:rPr>
        <w:t xml:space="preserve"> </w:t>
      </w:r>
      <w:r w:rsidRPr="00200909">
        <w:rPr>
          <w:rFonts w:ascii="Times New Roman" w:hAnsi="Times New Roman" w:cs="Times New Roman"/>
          <w:bCs/>
          <w:sz w:val="24"/>
          <w:szCs w:val="24"/>
        </w:rPr>
        <w:t xml:space="preserve">Richard fights injustice while accepting life’s tribulations and ultimately achieves happiness and high honour.  Through the pair, </w:t>
      </w:r>
      <w:r w:rsidRPr="00200909">
        <w:rPr>
          <w:rFonts w:ascii="Times New Roman" w:hAnsi="Times New Roman" w:cs="Times New Roman"/>
          <w:sz w:val="24"/>
          <w:szCs w:val="24"/>
        </w:rPr>
        <w:t>Reynolds passes judgment that belief in providence should always influence human behaviour.</w:t>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 xml:space="preserve">The need for patient struggle in the face of difficulty indicated that forbearance and open-mindedness were essential components of human conduct.  Reynolds’s attitude was suggested in John Locke’s </w:t>
      </w:r>
      <w:r w:rsidRPr="00200909">
        <w:rPr>
          <w:rFonts w:ascii="Times New Roman" w:hAnsi="Times New Roman" w:cs="Times New Roman"/>
          <w:i/>
          <w:sz w:val="24"/>
          <w:szCs w:val="24"/>
        </w:rPr>
        <w:t>A Letter Concerning Toleration</w:t>
      </w:r>
      <w:r w:rsidRPr="00200909">
        <w:rPr>
          <w:rFonts w:ascii="Times New Roman" w:hAnsi="Times New Roman" w:cs="Times New Roman"/>
          <w:sz w:val="24"/>
          <w:szCs w:val="24"/>
        </w:rPr>
        <w:t xml:space="preserve"> (1689) which argued that differing religious practices, such as those of the Jews, should lie outside the control of civil authority, because ‘they are not prejudicial to other men’s rights, nor do they break the public peace of societies’.</w:t>
      </w:r>
      <w:r w:rsidRPr="00200909">
        <w:rPr>
          <w:rStyle w:val="FootnoteReference"/>
          <w:rFonts w:ascii="Times New Roman" w:hAnsi="Times New Roman" w:cs="Times New Roman"/>
          <w:sz w:val="24"/>
          <w:szCs w:val="24"/>
        </w:rPr>
        <w:footnoteReference w:id="166"/>
      </w:r>
      <w:r w:rsidRPr="00200909">
        <w:rPr>
          <w:rFonts w:ascii="Times New Roman" w:hAnsi="Times New Roman" w:cs="Times New Roman"/>
          <w:sz w:val="24"/>
          <w:szCs w:val="24"/>
        </w:rPr>
        <w:t xml:space="preserve">  It was a view that the </w:t>
      </w:r>
      <w:r w:rsidRPr="00200909">
        <w:rPr>
          <w:rFonts w:ascii="Times New Roman" w:hAnsi="Times New Roman" w:cs="Times New Roman"/>
          <w:i/>
          <w:sz w:val="24"/>
          <w:szCs w:val="24"/>
        </w:rPr>
        <w:t>Miscellan</w:t>
      </w:r>
      <w:r w:rsidRPr="00200909">
        <w:rPr>
          <w:rFonts w:ascii="Times New Roman" w:hAnsi="Times New Roman" w:cs="Times New Roman"/>
          <w:sz w:val="24"/>
          <w:szCs w:val="24"/>
        </w:rPr>
        <w:t xml:space="preserve">y echoed when supporting Lionel de </w:t>
      </w:r>
      <w:r w:rsidRPr="00200909">
        <w:rPr>
          <w:rFonts w:ascii="Times New Roman" w:hAnsi="Times New Roman" w:cs="Times New Roman"/>
          <w:sz w:val="24"/>
          <w:szCs w:val="24"/>
        </w:rPr>
        <w:lastRenderedPageBreak/>
        <w:t>Rothschild.</w:t>
      </w:r>
      <w:r w:rsidRPr="00200909">
        <w:rPr>
          <w:rStyle w:val="FootnoteReference"/>
          <w:rFonts w:ascii="Times New Roman" w:hAnsi="Times New Roman" w:cs="Times New Roman"/>
          <w:sz w:val="24"/>
          <w:szCs w:val="24"/>
        </w:rPr>
        <w:footnoteReference w:id="167"/>
      </w:r>
      <w:r w:rsidRPr="00200909">
        <w:rPr>
          <w:rFonts w:ascii="Times New Roman" w:hAnsi="Times New Roman" w:cs="Times New Roman"/>
          <w:sz w:val="24"/>
          <w:szCs w:val="24"/>
        </w:rPr>
        <w:t xml:space="preserve">  Reynolds believed this liberal approach should extend to other activities, something displayed when </w:t>
      </w:r>
      <w:r w:rsidRPr="00200909">
        <w:rPr>
          <w:rFonts w:ascii="Times New Roman" w:hAnsi="Times New Roman" w:cs="Times New Roman"/>
          <w:i/>
          <w:sz w:val="24"/>
          <w:szCs w:val="24"/>
        </w:rPr>
        <w:t>The</w:t>
      </w:r>
      <w:r w:rsidRPr="00200909">
        <w:rPr>
          <w:rFonts w:ascii="Times New Roman" w:hAnsi="Times New Roman" w:cs="Times New Roman"/>
          <w:sz w:val="24"/>
          <w:szCs w:val="24"/>
        </w:rPr>
        <w:t xml:space="preserve"> </w:t>
      </w:r>
      <w:r w:rsidRPr="00200909">
        <w:rPr>
          <w:rFonts w:ascii="Times New Roman" w:hAnsi="Times New Roman" w:cs="Times New Roman"/>
          <w:i/>
          <w:sz w:val="24"/>
          <w:szCs w:val="24"/>
        </w:rPr>
        <w:t>Teetotaler</w:t>
      </w:r>
      <w:r w:rsidRPr="00200909">
        <w:rPr>
          <w:rFonts w:ascii="Times New Roman" w:hAnsi="Times New Roman" w:cs="Times New Roman"/>
          <w:sz w:val="24"/>
          <w:szCs w:val="24"/>
        </w:rPr>
        <w:t xml:space="preserve"> published a letter by the French chemist Duvergier who supported temperance rather than teetotalism.</w:t>
      </w:r>
      <w:r w:rsidRPr="00200909">
        <w:rPr>
          <w:rStyle w:val="FootnoteReference"/>
          <w:rFonts w:ascii="Times New Roman" w:hAnsi="Times New Roman" w:cs="Times New Roman"/>
          <w:sz w:val="24"/>
          <w:szCs w:val="24"/>
        </w:rPr>
        <w:footnoteReference w:id="168"/>
      </w:r>
      <w:r w:rsidRPr="00200909">
        <w:rPr>
          <w:rFonts w:ascii="Times New Roman" w:hAnsi="Times New Roman" w:cs="Times New Roman"/>
          <w:sz w:val="24"/>
          <w:szCs w:val="24"/>
        </w:rPr>
        <w:t xml:space="preserve">  Reynolds received criticism for permitting views that opposed those of the journal but defended the action as being in pursuit of an informed debate.</w:t>
      </w:r>
      <w:r w:rsidRPr="00200909">
        <w:rPr>
          <w:rStyle w:val="FootnoteReference"/>
          <w:rFonts w:ascii="Times New Roman" w:hAnsi="Times New Roman" w:cs="Times New Roman"/>
          <w:sz w:val="24"/>
          <w:szCs w:val="24"/>
        </w:rPr>
        <w:footnoteReference w:id="169"/>
      </w:r>
      <w:r w:rsidRPr="00200909">
        <w:rPr>
          <w:rFonts w:ascii="Times New Roman" w:hAnsi="Times New Roman" w:cs="Times New Roman"/>
          <w:sz w:val="24"/>
          <w:szCs w:val="24"/>
        </w:rPr>
        <w:t xml:space="preserve">  Before he entered the Chartist movement the </w:t>
      </w:r>
      <w:r w:rsidRPr="00200909">
        <w:rPr>
          <w:rFonts w:ascii="Times New Roman" w:hAnsi="Times New Roman" w:cs="Times New Roman"/>
          <w:i/>
          <w:sz w:val="24"/>
          <w:szCs w:val="24"/>
        </w:rPr>
        <w:t>Miscellany</w:t>
      </w:r>
      <w:r w:rsidRPr="00200909">
        <w:rPr>
          <w:rFonts w:ascii="Times New Roman" w:hAnsi="Times New Roman" w:cs="Times New Roman"/>
          <w:sz w:val="24"/>
          <w:szCs w:val="24"/>
        </w:rPr>
        <w:t xml:space="preserve"> printed a front page illustration of Feargus O’Connor with an article outlining the rules of his National Land Company because ‘numerous letters’ had requested such information.</w:t>
      </w:r>
      <w:r w:rsidRPr="00200909">
        <w:rPr>
          <w:rStyle w:val="FootnoteReference"/>
          <w:rFonts w:ascii="Times New Roman" w:hAnsi="Times New Roman" w:cs="Times New Roman"/>
          <w:sz w:val="24"/>
          <w:szCs w:val="24"/>
        </w:rPr>
        <w:footnoteReference w:id="170"/>
      </w:r>
      <w:r w:rsidRPr="00200909">
        <w:rPr>
          <w:rFonts w:ascii="Times New Roman" w:hAnsi="Times New Roman" w:cs="Times New Roman"/>
          <w:sz w:val="24"/>
          <w:szCs w:val="24"/>
        </w:rPr>
        <w:t xml:space="preserve">  Reynolds’s view that such openness should extend to political activity was shown in his pursuit of electoral reform when he joined both the National Charter Association (NCA) and Sir Joshua Walmsley’s middle-class National Parliamentary and Financial Reform Association (NPFRA), the latter following a less progressive course than himself.</w:t>
      </w:r>
      <w:r w:rsidRPr="00200909">
        <w:rPr>
          <w:rStyle w:val="FootnoteReference"/>
          <w:rFonts w:ascii="Times New Roman" w:hAnsi="Times New Roman" w:cs="Times New Roman"/>
          <w:sz w:val="24"/>
          <w:szCs w:val="24"/>
        </w:rPr>
        <w:footnoteReference w:id="171"/>
      </w:r>
      <w:r w:rsidRPr="00200909">
        <w:rPr>
          <w:rFonts w:ascii="Times New Roman" w:hAnsi="Times New Roman" w:cs="Times New Roman"/>
          <w:sz w:val="24"/>
          <w:szCs w:val="24"/>
        </w:rPr>
        <w:t xml:space="preserve">  However, for Locke toleration did not mean passive acceptance of mistaken beliefs: </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I would not have this understood, as if I meant hereby to condemn all charitable admonitions, and affectionate endeavours to reduce men from errors; which are indeed the greatest duty of a Christian.  Any one may employ as many exhortations and arguments as he pleases, towards the promoting of another man’s salvation.  But all force and compulsion are to be forborn.</w:t>
      </w:r>
      <w:r w:rsidRPr="00200909">
        <w:rPr>
          <w:rStyle w:val="FootnoteReference"/>
          <w:rFonts w:ascii="Times New Roman" w:hAnsi="Times New Roman" w:cs="Times New Roman"/>
          <w:sz w:val="24"/>
          <w:szCs w:val="24"/>
        </w:rPr>
        <w:footnoteReference w:id="172"/>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In such circumstances, rational opposition is not only permissible but becomes a duty individuals owe to each other.  This was Reynolds’s practice throughout the period of his dual membership of the two organisations.  Reports show that he did not hide his republicanism, leading to fractiousness at NPFRA meetings.</w:t>
      </w:r>
      <w:r w:rsidRPr="00200909">
        <w:rPr>
          <w:rStyle w:val="FootnoteReference"/>
          <w:rFonts w:ascii="Times New Roman" w:hAnsi="Times New Roman" w:cs="Times New Roman"/>
          <w:sz w:val="24"/>
          <w:szCs w:val="24"/>
        </w:rPr>
        <w:footnoteReference w:id="173"/>
      </w:r>
      <w:r w:rsidRPr="00200909">
        <w:rPr>
          <w:rFonts w:ascii="Times New Roman" w:hAnsi="Times New Roman" w:cs="Times New Roman"/>
          <w:sz w:val="24"/>
          <w:szCs w:val="24"/>
        </w:rPr>
        <w:t xml:space="preserve">  He also made persistent appeals for Walmsley to be more adventurous in his programme to extend the suffrage.</w:t>
      </w:r>
      <w:r w:rsidRPr="00200909">
        <w:rPr>
          <w:rStyle w:val="FootnoteReference"/>
          <w:rFonts w:ascii="Times New Roman" w:hAnsi="Times New Roman" w:cs="Times New Roman"/>
          <w:sz w:val="24"/>
          <w:szCs w:val="24"/>
        </w:rPr>
        <w:footnoteReference w:id="174"/>
      </w:r>
      <w:r w:rsidRPr="00200909">
        <w:rPr>
          <w:rFonts w:ascii="Times New Roman" w:hAnsi="Times New Roman" w:cs="Times New Roman"/>
          <w:sz w:val="24"/>
          <w:szCs w:val="24"/>
        </w:rPr>
        <w:t xml:space="preserve">  While stating societies like the NPFRA were merely stepping stones on the road to attaining full manhood suffrage, Reynolds writes with generous praise of the man himself:</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lastRenderedPageBreak/>
        <w:t>This gentleman [Walmsley] is thoroughly honest and an undoubted Liberal: indeed, he himself has admitted in the admirable speeches which he has delivered at recent public meetings, that he goes beyond the principles set forth in the “profession of faith” promulgated by the National Parliamentary and Financial Reform Association.</w:t>
      </w:r>
      <w:r w:rsidRPr="00200909">
        <w:rPr>
          <w:rStyle w:val="FootnoteReference"/>
          <w:rFonts w:ascii="Times New Roman" w:hAnsi="Times New Roman" w:cs="Times New Roman"/>
          <w:sz w:val="24"/>
          <w:szCs w:val="24"/>
        </w:rPr>
        <w:footnoteReference w:id="175"/>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Such positivity did not stop </w:t>
      </w:r>
      <w:r w:rsidRPr="0060472C">
        <w:rPr>
          <w:rFonts w:ascii="Times New Roman" w:hAnsi="Times New Roman" w:cs="Times New Roman"/>
          <w:sz w:val="24"/>
          <w:szCs w:val="24"/>
        </w:rPr>
        <w:t>with Walmsley</w:t>
      </w:r>
      <w:r w:rsidR="009D616D" w:rsidRPr="0060472C">
        <w:rPr>
          <w:rFonts w:ascii="Times New Roman" w:hAnsi="Times New Roman" w:cs="Times New Roman"/>
          <w:sz w:val="24"/>
          <w:szCs w:val="24"/>
        </w:rPr>
        <w:t>.</w:t>
      </w:r>
      <w:r w:rsidRPr="0060472C">
        <w:rPr>
          <w:rFonts w:ascii="Times New Roman" w:hAnsi="Times New Roman" w:cs="Times New Roman"/>
          <w:sz w:val="24"/>
          <w:szCs w:val="24"/>
        </w:rPr>
        <w:t xml:space="preserve"> </w:t>
      </w:r>
      <w:r w:rsidR="009D616D" w:rsidRPr="0060472C">
        <w:rPr>
          <w:rFonts w:ascii="Times New Roman" w:hAnsi="Times New Roman" w:cs="Times New Roman"/>
          <w:sz w:val="24"/>
          <w:szCs w:val="24"/>
        </w:rPr>
        <w:t xml:space="preserve"> </w:t>
      </w:r>
      <w:r w:rsidRPr="0060472C">
        <w:rPr>
          <w:rFonts w:ascii="Times New Roman" w:hAnsi="Times New Roman" w:cs="Times New Roman"/>
          <w:sz w:val="24"/>
          <w:szCs w:val="24"/>
        </w:rPr>
        <w:t>Reynolds</w:t>
      </w:r>
      <w:r w:rsidRPr="00200909">
        <w:rPr>
          <w:rFonts w:ascii="Times New Roman" w:hAnsi="Times New Roman" w:cs="Times New Roman"/>
          <w:sz w:val="24"/>
          <w:szCs w:val="24"/>
        </w:rPr>
        <w:t xml:space="preserve"> wrote more generally that if middle-class agitation remained true to its aims ‘it assuredly deserves the support of the working classes’ while they continued their own struggle for the ‘Six Points’ of the Charter.</w:t>
      </w:r>
      <w:r w:rsidRPr="00200909">
        <w:rPr>
          <w:rStyle w:val="FootnoteReference"/>
          <w:rFonts w:ascii="Times New Roman" w:hAnsi="Times New Roman" w:cs="Times New Roman"/>
          <w:sz w:val="24"/>
          <w:szCs w:val="24"/>
        </w:rPr>
        <w:footnoteReference w:id="176"/>
      </w:r>
      <w:r w:rsidRPr="00200909">
        <w:rPr>
          <w:rFonts w:ascii="Times New Roman" w:hAnsi="Times New Roman" w:cs="Times New Roman"/>
          <w:sz w:val="24"/>
          <w:szCs w:val="24"/>
        </w:rPr>
        <w:t xml:space="preserve">  This optimism </w:t>
      </w:r>
      <w:r w:rsidRPr="0060472C">
        <w:rPr>
          <w:rFonts w:ascii="Times New Roman" w:hAnsi="Times New Roman" w:cs="Times New Roman"/>
          <w:sz w:val="24"/>
          <w:szCs w:val="24"/>
        </w:rPr>
        <w:t xml:space="preserve">saw </w:t>
      </w:r>
      <w:r w:rsidR="009D616D" w:rsidRPr="0060472C">
        <w:rPr>
          <w:rFonts w:ascii="Times New Roman" w:hAnsi="Times New Roman" w:cs="Times New Roman"/>
          <w:sz w:val="24"/>
          <w:szCs w:val="24"/>
        </w:rPr>
        <w:t>him</w:t>
      </w:r>
      <w:r w:rsidRPr="0060472C">
        <w:rPr>
          <w:rFonts w:ascii="Times New Roman" w:hAnsi="Times New Roman" w:cs="Times New Roman"/>
          <w:sz w:val="24"/>
          <w:szCs w:val="24"/>
        </w:rPr>
        <w:t xml:space="preserve"> attempting</w:t>
      </w:r>
      <w:r w:rsidRPr="00200909">
        <w:rPr>
          <w:rFonts w:ascii="Times New Roman" w:hAnsi="Times New Roman" w:cs="Times New Roman"/>
          <w:sz w:val="24"/>
          <w:szCs w:val="24"/>
        </w:rPr>
        <w:t xml:space="preserve"> to bring Chartist delegates to NPFRA Conferences.</w:t>
      </w:r>
      <w:r w:rsidRPr="00200909">
        <w:rPr>
          <w:rStyle w:val="FootnoteReference"/>
          <w:rFonts w:ascii="Times New Roman" w:hAnsi="Times New Roman" w:cs="Times New Roman"/>
          <w:sz w:val="24"/>
          <w:szCs w:val="24"/>
        </w:rPr>
        <w:footnoteReference w:id="177"/>
      </w:r>
      <w:r w:rsidRPr="00200909">
        <w:rPr>
          <w:rFonts w:ascii="Times New Roman" w:hAnsi="Times New Roman" w:cs="Times New Roman"/>
          <w:sz w:val="24"/>
          <w:szCs w:val="24"/>
        </w:rPr>
        <w:t xml:space="preserve">  Only when it became clear that Walmsley would not embrace universal manhood suffrage did Reynolds, having exhausted the road of reasoned debate, break from him, feeling further collaboration would harm the Chartist cause.</w:t>
      </w:r>
      <w:r w:rsidRPr="00200909">
        <w:rPr>
          <w:rStyle w:val="FootnoteReference"/>
          <w:rFonts w:ascii="Times New Roman" w:hAnsi="Times New Roman" w:cs="Times New Roman"/>
          <w:sz w:val="24"/>
          <w:szCs w:val="24"/>
        </w:rPr>
        <w:footnoteReference w:id="178"/>
      </w:r>
      <w:r w:rsidRPr="00200909">
        <w:rPr>
          <w:rFonts w:ascii="Times New Roman" w:hAnsi="Times New Roman" w:cs="Times New Roman"/>
          <w:sz w:val="24"/>
          <w:szCs w:val="24"/>
        </w:rPr>
        <w:t xml:space="preserve">  This toleration could be extended to those he regularly opposed, as in 1852 when writing ‘there is one gentleman in the new Cabinet whose tendencies are not naturally so illiberal as those of his coadjutors: this is Mr. Disraeli’.</w:t>
      </w:r>
      <w:r w:rsidRPr="00200909">
        <w:rPr>
          <w:rStyle w:val="FootnoteReference"/>
          <w:rFonts w:ascii="Times New Roman" w:hAnsi="Times New Roman" w:cs="Times New Roman"/>
          <w:sz w:val="24"/>
          <w:szCs w:val="24"/>
        </w:rPr>
        <w:footnoteReference w:id="179"/>
      </w:r>
      <w:r w:rsidRPr="00200909">
        <w:rPr>
          <w:rFonts w:ascii="Times New Roman" w:hAnsi="Times New Roman" w:cs="Times New Roman"/>
          <w:sz w:val="24"/>
          <w:szCs w:val="24"/>
        </w:rPr>
        <w:t xml:space="preserve">  In an article soon after, he suffers a similar fate to Walmsley:</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[A]n intelligent gentleman who by his own talents raised himself from next to nothing […] Truly lamentable, therefore, is it to behold a thoroughly able and enlightened man thus compelled to sacrifice himself to the dominance of an aristocratic party.</w:t>
      </w:r>
      <w:r w:rsidRPr="00200909">
        <w:rPr>
          <w:rStyle w:val="FootnoteReference"/>
          <w:rFonts w:ascii="Times New Roman" w:hAnsi="Times New Roman" w:cs="Times New Roman"/>
          <w:sz w:val="24"/>
          <w:szCs w:val="24"/>
        </w:rPr>
        <w:footnoteReference w:id="180"/>
      </w:r>
      <w:r w:rsidRPr="00200909">
        <w:rPr>
          <w:rFonts w:ascii="Times New Roman" w:hAnsi="Times New Roman" w:cs="Times New Roman"/>
          <w:sz w:val="24"/>
          <w:szCs w:val="24"/>
        </w:rPr>
        <w:t xml:space="preserve"> </w:t>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Even while the article criticizes the budget for failing to reduce taxation, there is acknowledgment of Disraeli’s talents and intelligence, a man who has raised himself to high position through personal endeavour but is now lost </w:t>
      </w:r>
      <w:r w:rsidR="00E85404" w:rsidRPr="009D616D">
        <w:rPr>
          <w:rFonts w:ascii="Times New Roman" w:hAnsi="Times New Roman" w:cs="Times New Roman"/>
          <w:sz w:val="24"/>
          <w:szCs w:val="24"/>
        </w:rPr>
        <w:t>serving the needs of</w:t>
      </w:r>
      <w:r w:rsidRPr="009D616D">
        <w:rPr>
          <w:rFonts w:ascii="Times New Roman" w:hAnsi="Times New Roman" w:cs="Times New Roman"/>
          <w:sz w:val="24"/>
          <w:szCs w:val="24"/>
        </w:rPr>
        <w:t xml:space="preserve"> the</w:t>
      </w:r>
      <w:r w:rsidRPr="00200909">
        <w:rPr>
          <w:rFonts w:ascii="Times New Roman" w:hAnsi="Times New Roman" w:cs="Times New Roman"/>
          <w:sz w:val="24"/>
          <w:szCs w:val="24"/>
        </w:rPr>
        <w:t xml:space="preserve"> establishment.  Reynolds continues that he has ‘not the slightest doubt’ Disraeli would have carried out the necessary measures if allowed to follow ‘his own secret convictions’ rather than being left with ‘an unpleasant office to perform’.  The tone is of regret rather than anger as it is suggested such political representatives have the qualities necessary to bring social change if not constrained in a system controlled by a privileged minority.</w:t>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 xml:space="preserve">This openness towards individuals with differing political opinions, largely based upon consideration of their personal traits, did not extend so readily towards those who held </w:t>
      </w:r>
      <w:r w:rsidRPr="00200909">
        <w:rPr>
          <w:rFonts w:ascii="Times New Roman" w:hAnsi="Times New Roman" w:cs="Times New Roman"/>
          <w:sz w:val="24"/>
          <w:szCs w:val="24"/>
        </w:rPr>
        <w:lastRenderedPageBreak/>
        <w:t>advanced economic views.  While Reynolds bitterly attacked the ‘idle aristocracy’ he left contemporary capitalism largely untouched.  Consequently, his radicalism lagged behind many progressive ideas, such as the labour theories of Thomas Hodgskin that gained ground during the 1820s.  For Hodgskin, the capitalist was an unwelcome trespasser in the productive process.</w:t>
      </w:r>
      <w:r w:rsidRPr="00200909">
        <w:rPr>
          <w:rStyle w:val="FootnoteReference"/>
          <w:rFonts w:ascii="Times New Roman" w:hAnsi="Times New Roman" w:cs="Times New Roman"/>
          <w:sz w:val="24"/>
          <w:szCs w:val="24"/>
        </w:rPr>
        <w:footnoteReference w:id="181"/>
      </w:r>
      <w:r w:rsidRPr="00200909">
        <w:rPr>
          <w:rFonts w:ascii="Times New Roman" w:hAnsi="Times New Roman" w:cs="Times New Roman"/>
          <w:sz w:val="24"/>
          <w:szCs w:val="24"/>
        </w:rPr>
        <w:t xml:space="preserve">  He believed the obfuscations placed in front of workers prevented them seeing the true nature of the production of value, rather like Reynolds saw the use of medieval ceremony and superstition as fooling the masses into accepting aristocratic privileges.  Hodgskin considered the role of the entrepreneur was vastly overestimated.  Enterprise shown by masters might deserve ‘the respect of the labourer’ but only in so far as it contributed to the overall value of the finished product.</w:t>
      </w:r>
      <w:r w:rsidRPr="00200909">
        <w:rPr>
          <w:rStyle w:val="FootnoteReference"/>
          <w:rFonts w:ascii="Times New Roman" w:hAnsi="Times New Roman" w:cs="Times New Roman"/>
          <w:sz w:val="24"/>
          <w:szCs w:val="24"/>
        </w:rPr>
        <w:footnoteReference w:id="182"/>
      </w:r>
      <w:r w:rsidRPr="00200909">
        <w:rPr>
          <w:rFonts w:ascii="Times New Roman" w:hAnsi="Times New Roman" w:cs="Times New Roman"/>
          <w:sz w:val="24"/>
          <w:szCs w:val="24"/>
        </w:rPr>
        <w:t xml:space="preserve">  Nothing suggestive of profit should be made: ‘the best means of securing the progressive improvement, both of individuals and of nations, is to do justice, and allow labour to possess and enjoy the whole of its produce’.</w:t>
      </w:r>
      <w:r w:rsidRPr="00200909">
        <w:rPr>
          <w:rStyle w:val="FootnoteReference"/>
          <w:rFonts w:ascii="Times New Roman" w:hAnsi="Times New Roman" w:cs="Times New Roman"/>
          <w:sz w:val="24"/>
          <w:szCs w:val="24"/>
        </w:rPr>
        <w:footnoteReference w:id="183"/>
      </w:r>
      <w:r w:rsidRPr="00200909">
        <w:rPr>
          <w:rFonts w:ascii="Times New Roman" w:hAnsi="Times New Roman" w:cs="Times New Roman"/>
          <w:sz w:val="24"/>
          <w:szCs w:val="24"/>
        </w:rPr>
        <w:t xml:space="preserve">  It is through the distribution of wealth in line with the individual’s </w:t>
      </w:r>
      <w:r w:rsidRPr="009D616D">
        <w:rPr>
          <w:rFonts w:ascii="Times New Roman" w:hAnsi="Times New Roman" w:cs="Times New Roman"/>
          <w:sz w:val="24"/>
          <w:szCs w:val="24"/>
        </w:rPr>
        <w:t>contribution to production that justice and social progress will be achieved.  William Thompson combined labour theory with Owenite doctrines to propose a system of organisation to bring about social change.</w:t>
      </w:r>
      <w:r w:rsidRPr="009D616D">
        <w:rPr>
          <w:rStyle w:val="FootnoteReference"/>
          <w:rFonts w:ascii="Times New Roman" w:hAnsi="Times New Roman" w:cs="Times New Roman"/>
          <w:sz w:val="24"/>
          <w:szCs w:val="24"/>
        </w:rPr>
        <w:footnoteReference w:id="184"/>
      </w:r>
      <w:r w:rsidRPr="009D616D">
        <w:rPr>
          <w:rFonts w:ascii="Times New Roman" w:hAnsi="Times New Roman" w:cs="Times New Roman"/>
          <w:sz w:val="24"/>
          <w:szCs w:val="24"/>
        </w:rPr>
        <w:t xml:space="preserve">  His most important</w:t>
      </w:r>
      <w:r w:rsidR="00BE77B6" w:rsidRPr="009D616D">
        <w:rPr>
          <w:rFonts w:ascii="Times New Roman" w:hAnsi="Times New Roman" w:cs="Times New Roman"/>
          <w:sz w:val="24"/>
          <w:szCs w:val="24"/>
        </w:rPr>
        <w:t xml:space="preserve"> work</w:t>
      </w:r>
      <w:r w:rsidRPr="009D616D">
        <w:rPr>
          <w:rFonts w:ascii="Times New Roman" w:hAnsi="Times New Roman" w:cs="Times New Roman"/>
          <w:sz w:val="24"/>
          <w:szCs w:val="24"/>
        </w:rPr>
        <w:t xml:space="preserve"> was </w:t>
      </w:r>
      <w:r w:rsidRPr="009D616D">
        <w:rPr>
          <w:rFonts w:ascii="Times New Roman" w:hAnsi="Times New Roman" w:cs="Times New Roman"/>
          <w:i/>
          <w:sz w:val="24"/>
          <w:szCs w:val="24"/>
        </w:rPr>
        <w:t>Practical Directions for the Speedy and Economical Establishment of Communities</w:t>
      </w:r>
      <w:r w:rsidRPr="009D616D">
        <w:rPr>
          <w:rFonts w:ascii="Times New Roman" w:hAnsi="Times New Roman" w:cs="Times New Roman"/>
          <w:sz w:val="24"/>
          <w:szCs w:val="24"/>
        </w:rPr>
        <w:t xml:space="preserve"> (1830) which advocated setting up Co-operative Communities of two thousand people using the latest machinery and scientific advances to achieve self-sufficiency.</w:t>
      </w:r>
      <w:r w:rsidRPr="009D616D">
        <w:rPr>
          <w:rStyle w:val="FootnoteReference"/>
          <w:rFonts w:ascii="Times New Roman" w:hAnsi="Times New Roman" w:cs="Times New Roman"/>
          <w:sz w:val="24"/>
          <w:szCs w:val="24"/>
        </w:rPr>
        <w:footnoteReference w:id="185"/>
      </w:r>
      <w:r w:rsidRPr="009D616D">
        <w:rPr>
          <w:rFonts w:ascii="Times New Roman" w:hAnsi="Times New Roman" w:cs="Times New Roman"/>
          <w:sz w:val="24"/>
          <w:szCs w:val="24"/>
        </w:rPr>
        <w:t xml:space="preserve">  Reynolds rejected these egalitarian aims even as he attacked the division of wealth in society: ‘I have certainly ranked myself amongst those champions who have been raised up </w:t>
      </w:r>
      <w:r w:rsidRPr="009D616D">
        <w:rPr>
          <w:rFonts w:ascii="Times New Roman" w:hAnsi="Times New Roman" w:cs="Times New Roman"/>
          <w:i/>
          <w:iCs/>
          <w:sz w:val="24"/>
          <w:szCs w:val="24"/>
        </w:rPr>
        <w:t>by the discontent which is based on reason and justice</w:t>
      </w:r>
      <w:r w:rsidRPr="009D616D">
        <w:rPr>
          <w:rFonts w:ascii="Times New Roman" w:hAnsi="Times New Roman" w:cs="Times New Roman"/>
          <w:sz w:val="24"/>
          <w:szCs w:val="24"/>
        </w:rPr>
        <w:t>’.</w:t>
      </w:r>
      <w:r w:rsidRPr="009D616D">
        <w:rPr>
          <w:rStyle w:val="FootnoteReference"/>
          <w:rFonts w:ascii="Times New Roman" w:hAnsi="Times New Roman" w:cs="Times New Roman"/>
          <w:sz w:val="24"/>
          <w:szCs w:val="24"/>
        </w:rPr>
        <w:footnoteReference w:id="186"/>
      </w:r>
      <w:r w:rsidRPr="009D616D">
        <w:rPr>
          <w:rFonts w:ascii="Times New Roman" w:hAnsi="Times New Roman" w:cs="Times New Roman"/>
          <w:sz w:val="24"/>
          <w:szCs w:val="24"/>
        </w:rPr>
        <w:t xml:space="preserve">  The caveat of ‘reason and justice’ pointed to the cautiousness of his support for this discontent which become apparent later in the article with its generous view of capitalist </w:t>
      </w:r>
      <w:r w:rsidR="00C80705" w:rsidRPr="009D616D">
        <w:rPr>
          <w:rFonts w:ascii="Times New Roman" w:hAnsi="Times New Roman" w:cs="Times New Roman"/>
          <w:sz w:val="24"/>
          <w:szCs w:val="24"/>
        </w:rPr>
        <w:t>innovation</w:t>
      </w:r>
      <w:r w:rsidRPr="009D616D">
        <w:rPr>
          <w:rFonts w:ascii="Times New Roman" w:hAnsi="Times New Roman" w:cs="Times New Roman"/>
          <w:sz w:val="24"/>
          <w:szCs w:val="24"/>
        </w:rPr>
        <w:t>:</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lastRenderedPageBreak/>
        <w:t xml:space="preserve">I do not say that you should equally share the profits of your employer: I admit that </w:t>
      </w:r>
      <w:r w:rsidRPr="00200909">
        <w:rPr>
          <w:rFonts w:ascii="Times New Roman" w:hAnsi="Times New Roman" w:cs="Times New Roman"/>
          <w:i/>
          <w:sz w:val="24"/>
          <w:szCs w:val="24"/>
        </w:rPr>
        <w:t>he</w:t>
      </w:r>
      <w:r w:rsidRPr="00200909">
        <w:rPr>
          <w:rFonts w:ascii="Times New Roman" w:hAnsi="Times New Roman" w:cs="Times New Roman"/>
          <w:sz w:val="24"/>
          <w:szCs w:val="24"/>
        </w:rPr>
        <w:t xml:space="preserve"> must be adequately recompensed for his outlay of capital, the interest on that capital, the risk he incurs, the bad debts that may deteriorate his profits, and the anxiety of mind invariably attendant on the spirit of speculation.  These reasons will show why </w:t>
      </w:r>
      <w:r w:rsidRPr="00200909">
        <w:rPr>
          <w:rFonts w:ascii="Times New Roman" w:hAnsi="Times New Roman" w:cs="Times New Roman"/>
          <w:i/>
          <w:sz w:val="24"/>
          <w:szCs w:val="24"/>
        </w:rPr>
        <w:t>his</w:t>
      </w:r>
      <w:r w:rsidRPr="00200909">
        <w:rPr>
          <w:rFonts w:ascii="Times New Roman" w:hAnsi="Times New Roman" w:cs="Times New Roman"/>
          <w:sz w:val="24"/>
          <w:szCs w:val="24"/>
        </w:rPr>
        <w:t xml:space="preserve"> gains, my friends, should in justice be larger than your’s [</w:t>
      </w:r>
      <w:r w:rsidRPr="00200909">
        <w:rPr>
          <w:rFonts w:ascii="Times New Roman" w:hAnsi="Times New Roman" w:cs="Times New Roman"/>
          <w:i/>
          <w:sz w:val="24"/>
          <w:szCs w:val="24"/>
        </w:rPr>
        <w:t>sic</w:t>
      </w:r>
      <w:r w:rsidRPr="00200909">
        <w:rPr>
          <w:rFonts w:ascii="Times New Roman" w:hAnsi="Times New Roman" w:cs="Times New Roman"/>
          <w:sz w:val="24"/>
          <w:szCs w:val="24"/>
        </w:rPr>
        <w:t>]; but they will not prove why they should be so much larger as they are.</w:t>
      </w:r>
      <w:r w:rsidRPr="00200909">
        <w:rPr>
          <w:rStyle w:val="FootnoteReference"/>
          <w:rFonts w:ascii="Times New Roman" w:hAnsi="Times New Roman" w:cs="Times New Roman"/>
          <w:sz w:val="24"/>
          <w:szCs w:val="24"/>
        </w:rPr>
        <w:footnoteReference w:id="187"/>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Reynolds may disagree with the level of gains made but claims the profit of the employer is a matter of justice and there should be appropriate recognition of the risk he takes and the anxiety he experiences.  The reference to the ‘spirit of speculation’ gives a definite sense it is the entrepreneur who is the driving force behind the productive process.  This attitude is present in many expressions of admiration for the energy of private enterprise.  In </w:t>
      </w:r>
      <w:r w:rsidRPr="00200909">
        <w:rPr>
          <w:rFonts w:ascii="Times New Roman" w:hAnsi="Times New Roman" w:cs="Times New Roman"/>
          <w:i/>
          <w:iCs/>
          <w:sz w:val="24"/>
          <w:szCs w:val="24"/>
        </w:rPr>
        <w:t>The Days of Hogarth</w:t>
      </w:r>
      <w:r w:rsidRPr="00200909">
        <w:rPr>
          <w:rFonts w:ascii="Times New Roman" w:hAnsi="Times New Roman" w:cs="Times New Roman"/>
          <w:sz w:val="24"/>
          <w:szCs w:val="24"/>
        </w:rPr>
        <w:t xml:space="preserve"> (1847–48) praise is given to the Spitalfields silk industry, whose history is described as an exercise in bold ingenuity, particularly under the influence of French refugees who introduced ‘several new branches to the art’ of its manufacture, combining their skills with English mechanics, so that trade flourished even in times of fierce competition from abroad.</w:t>
      </w:r>
      <w:r w:rsidRPr="00200909">
        <w:rPr>
          <w:rStyle w:val="FootnoteReference"/>
          <w:rFonts w:ascii="Times New Roman" w:hAnsi="Times New Roman" w:cs="Times New Roman"/>
          <w:sz w:val="24"/>
          <w:szCs w:val="24"/>
        </w:rPr>
        <w:footnoteReference w:id="188"/>
      </w:r>
      <w:r w:rsidRPr="00200909">
        <w:rPr>
          <w:rFonts w:ascii="Times New Roman" w:hAnsi="Times New Roman" w:cs="Times New Roman"/>
          <w:sz w:val="24"/>
          <w:szCs w:val="24"/>
        </w:rPr>
        <w:t xml:space="preserve">  Reynolds broadens this perspective when commenting upon the shipping of the metropolis:</w:t>
      </w:r>
    </w:p>
    <w:p w:rsidR="001151C3" w:rsidRPr="00200909" w:rsidRDefault="001151C3" w:rsidP="001151C3">
      <w:pPr>
        <w:spacing w:after="240" w:line="240" w:lineRule="auto"/>
        <w:ind w:left="720"/>
        <w:rPr>
          <w:rFonts w:ascii="Times New Roman" w:hAnsi="Times New Roman" w:cs="Times New Roman"/>
          <w:bCs/>
          <w:sz w:val="24"/>
          <w:szCs w:val="24"/>
        </w:rPr>
      </w:pPr>
      <w:r w:rsidRPr="00200909">
        <w:rPr>
          <w:rFonts w:ascii="Times New Roman" w:hAnsi="Times New Roman" w:cs="Times New Roman"/>
          <w:bCs/>
          <w:sz w:val="24"/>
          <w:szCs w:val="24"/>
        </w:rPr>
        <w:t>Britain, on her island throne, by means of her ships that plough the radii of her communications with all the points of the earth’s circumference, is the centre of the world […] Yes</w:t>
      </w:r>
      <w:r w:rsidRPr="00200909">
        <w:rPr>
          <w:rFonts w:ascii="Times New Roman" w:hAnsi="Times New Roman" w:cs="Times New Roman"/>
          <w:b/>
          <w:sz w:val="24"/>
          <w:szCs w:val="24"/>
        </w:rPr>
        <w:t>—</w:t>
      </w:r>
      <w:r w:rsidRPr="00200909">
        <w:rPr>
          <w:rFonts w:ascii="Times New Roman" w:hAnsi="Times New Roman" w:cs="Times New Roman"/>
          <w:bCs/>
          <w:sz w:val="24"/>
          <w:szCs w:val="24"/>
        </w:rPr>
        <w:t>London is the heart of the intellectual universe of Britain, upon which are directed all the streams of thought that keep up the harmony and connexion of its social action; and whence they are re-issued, along its complex channels, to play in unison the thousand pulses of the moral world.</w:t>
      </w:r>
      <w:r w:rsidRPr="00200909">
        <w:rPr>
          <w:rStyle w:val="FootnoteReference"/>
          <w:rFonts w:ascii="Times New Roman" w:hAnsi="Times New Roman" w:cs="Times New Roman"/>
          <w:bCs/>
          <w:sz w:val="24"/>
          <w:szCs w:val="24"/>
        </w:rPr>
        <w:footnoteReference w:id="189"/>
      </w:r>
    </w:p>
    <w:p w:rsidR="001151C3" w:rsidRPr="00200909" w:rsidRDefault="001151C3" w:rsidP="001151C3">
      <w:pPr>
        <w:spacing w:after="120" w:line="360" w:lineRule="auto"/>
        <w:rPr>
          <w:rFonts w:ascii="Times New Roman" w:hAnsi="Times New Roman" w:cs="Times New Roman"/>
          <w:bCs/>
          <w:sz w:val="24"/>
          <w:szCs w:val="24"/>
        </w:rPr>
      </w:pPr>
      <w:r w:rsidRPr="00200909">
        <w:rPr>
          <w:rFonts w:ascii="Times New Roman" w:hAnsi="Times New Roman" w:cs="Times New Roman"/>
          <w:bCs/>
          <w:sz w:val="24"/>
          <w:szCs w:val="24"/>
        </w:rPr>
        <w:t>The passage focuses upon the maritime glory of the Thames, conducting trade to all points of the earth.  This is seen not only in commercial terms, London is a mighty machine of infinite complexity nourishing the world materially, intellectually and morally.  Although Reynolds frequently rails against the ‘system of competition’, there is no suggestion that it should be replaced.  The capitalist, unlike the idle aristocrat, is not an outmoded figure but one who embodies scientific and technological advancement.  However</w:t>
      </w:r>
      <w:r w:rsidRPr="00200909">
        <w:rPr>
          <w:rFonts w:ascii="Times New Roman" w:hAnsi="Times New Roman" w:cs="Times New Roman"/>
          <w:sz w:val="24"/>
          <w:szCs w:val="24"/>
        </w:rPr>
        <w:t xml:space="preserve">, </w:t>
      </w:r>
      <w:r w:rsidRPr="009D616D">
        <w:rPr>
          <w:rFonts w:ascii="Times New Roman" w:hAnsi="Times New Roman" w:cs="Times New Roman"/>
          <w:sz w:val="24"/>
          <w:szCs w:val="24"/>
        </w:rPr>
        <w:t>amid this admiration</w:t>
      </w:r>
      <w:r w:rsidRPr="00200909">
        <w:rPr>
          <w:rFonts w:ascii="Times New Roman" w:hAnsi="Times New Roman" w:cs="Times New Roman"/>
          <w:sz w:val="24"/>
          <w:szCs w:val="24"/>
        </w:rPr>
        <w:t xml:space="preserve"> Reynolds suggests the psychological danger of a system motivated by self-interest that can become all-consuming.  One might walk through London and encounter ‘thousands of anxious faces, which denote the deep occupation of the mind, and the universal adoration of </w:t>
      </w:r>
      <w:r w:rsidRPr="00200909">
        <w:rPr>
          <w:rFonts w:ascii="Times New Roman" w:hAnsi="Times New Roman" w:cs="Times New Roman"/>
          <w:sz w:val="24"/>
          <w:szCs w:val="24"/>
        </w:rPr>
        <w:lastRenderedPageBreak/>
        <w:t>Mammon that directs the actions of the inhabitants of the richest of cities’.</w:t>
      </w:r>
      <w:r w:rsidRPr="00200909">
        <w:rPr>
          <w:rStyle w:val="FootnoteReference"/>
          <w:rFonts w:ascii="Times New Roman" w:hAnsi="Times New Roman" w:cs="Times New Roman"/>
          <w:sz w:val="24"/>
          <w:szCs w:val="24"/>
        </w:rPr>
        <w:footnoteReference w:id="190"/>
      </w:r>
      <w:r w:rsidRPr="00200909">
        <w:rPr>
          <w:rFonts w:ascii="Times New Roman" w:hAnsi="Times New Roman" w:cs="Times New Roman"/>
          <w:sz w:val="24"/>
          <w:szCs w:val="24"/>
        </w:rPr>
        <w:t xml:space="preserve">  His fear of the unhealthy desire for wealth is reflected in scepticism towards the stock market, a view in line with many contemporaries.</w:t>
      </w:r>
      <w:r w:rsidRPr="00200909">
        <w:rPr>
          <w:rStyle w:val="FootnoteReference"/>
          <w:rFonts w:ascii="Times New Roman" w:hAnsi="Times New Roman" w:cs="Times New Roman"/>
          <w:sz w:val="24"/>
          <w:szCs w:val="24"/>
        </w:rPr>
        <w:footnoteReference w:id="191"/>
      </w:r>
      <w:r w:rsidRPr="00200909">
        <w:rPr>
          <w:rFonts w:ascii="Times New Roman" w:hAnsi="Times New Roman" w:cs="Times New Roman"/>
          <w:sz w:val="24"/>
          <w:szCs w:val="24"/>
        </w:rPr>
        <w:t xml:space="preserve">  Unlike manufacturing, he portrays this branch of capitalism as rife with financial chicanery, as when Eugene Markham, parading under the name Montague Greenwood, is involved with setting up the ‘Algiers, Oran, and Morocco Great Desert Railway’.</w:t>
      </w:r>
      <w:r w:rsidRPr="00200909">
        <w:rPr>
          <w:rStyle w:val="FootnoteReference"/>
          <w:rFonts w:ascii="Times New Roman" w:hAnsi="Times New Roman" w:cs="Times New Roman"/>
          <w:sz w:val="24"/>
          <w:szCs w:val="24"/>
        </w:rPr>
        <w:footnoteReference w:id="192"/>
      </w:r>
      <w:r w:rsidRPr="00200909">
        <w:rPr>
          <w:rFonts w:ascii="Times New Roman" w:hAnsi="Times New Roman" w:cs="Times New Roman"/>
          <w:sz w:val="24"/>
          <w:szCs w:val="24"/>
        </w:rPr>
        <w:t xml:space="preserve">  Such schemes involve fraudulent prospectuses, bribing dignitaries to lend their names, and advertising in ‘respectable’ newspapers.  </w:t>
      </w:r>
      <w:r w:rsidRPr="00200909">
        <w:rPr>
          <w:rFonts w:ascii="Times New Roman" w:hAnsi="Times New Roman" w:cs="Times New Roman"/>
          <w:bCs/>
          <w:sz w:val="24"/>
          <w:szCs w:val="24"/>
        </w:rPr>
        <w:t>Reynolds’s double-edged view of capitalist entrepreneurship is discernible when he merges admiration of the metropolis with warnings of the dire social divisions that exist:</w:t>
      </w:r>
    </w:p>
    <w:p w:rsidR="001151C3" w:rsidRPr="00200909" w:rsidRDefault="001151C3" w:rsidP="001151C3">
      <w:pPr>
        <w:pStyle w:val="FootnoteText"/>
        <w:spacing w:after="240"/>
        <w:ind w:left="720"/>
        <w:rPr>
          <w:rFonts w:ascii="Times New Roman" w:hAnsi="Times New Roman"/>
          <w:bCs/>
          <w:sz w:val="24"/>
          <w:szCs w:val="24"/>
        </w:rPr>
      </w:pPr>
      <w:r w:rsidRPr="00200909">
        <w:rPr>
          <w:rFonts w:ascii="Times New Roman" w:hAnsi="Times New Roman"/>
          <w:bCs/>
          <w:sz w:val="24"/>
          <w:szCs w:val="24"/>
        </w:rPr>
        <w:t>And well may the Londoner be proud of his city in numerous respects.  It is the richest and most powerful that the world has ever seen!  The dingy back parlours in Lombard Street, the upstairs business rooms in Cheapside, and the warehouses with shutters half up the windows in Wood Street and its neighbourhood, are the mysterious places in which the springs of the finance and trade of a mighty empire are set in motion?  Half a dozen men in the City can command in an hour more wealth than either Rome or Babylon had to boast of at the respective periods of their greatest prosperity.</w:t>
      </w:r>
      <w:r w:rsidRPr="00200909">
        <w:rPr>
          <w:rStyle w:val="FootnoteReference"/>
          <w:rFonts w:ascii="Times New Roman" w:hAnsi="Times New Roman"/>
          <w:sz w:val="24"/>
          <w:szCs w:val="24"/>
        </w:rPr>
        <w:footnoteReference w:id="193"/>
      </w:r>
    </w:p>
    <w:p w:rsidR="001151C3" w:rsidRPr="00200909" w:rsidRDefault="001151C3" w:rsidP="001151C3">
      <w:pPr>
        <w:spacing w:after="120" w:line="360" w:lineRule="auto"/>
        <w:rPr>
          <w:rFonts w:ascii="Times New Roman" w:hAnsi="Times New Roman" w:cs="Times New Roman"/>
          <w:bCs/>
          <w:sz w:val="24"/>
          <w:szCs w:val="24"/>
        </w:rPr>
      </w:pPr>
      <w:r w:rsidRPr="00200909">
        <w:rPr>
          <w:rFonts w:ascii="Times New Roman" w:hAnsi="Times New Roman" w:cs="Times New Roman"/>
          <w:bCs/>
          <w:sz w:val="24"/>
          <w:szCs w:val="24"/>
        </w:rPr>
        <w:t>There is recognition that the commerce of London, exceeding even the great cities of antiquity, made it unique and that her inhabitants should regard the capital’s power and accumulations of wealth as great achievements.  At the same time, everything is shrouded in mystery with questionable deals taking place behind closed doors, leading to the final warning ‘the reader must not imagine that all which glitters is gold’ and that behind a magnificent façade the creativity and invention that brings untold riches is also responsible for great poverty.</w:t>
      </w:r>
      <w:r w:rsidRPr="00200909">
        <w:rPr>
          <w:rStyle w:val="FootnoteReference"/>
          <w:rFonts w:ascii="Times New Roman" w:hAnsi="Times New Roman" w:cs="Times New Roman"/>
          <w:sz w:val="24"/>
          <w:szCs w:val="24"/>
        </w:rPr>
        <w:footnoteReference w:id="194"/>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lastRenderedPageBreak/>
        <w:t xml:space="preserve">Such attitudes suggest a closeness to the ideas of radicals like John Wade whose </w:t>
      </w:r>
      <w:r w:rsidRPr="00200909">
        <w:rPr>
          <w:rFonts w:ascii="Times New Roman" w:hAnsi="Times New Roman" w:cs="Times New Roman"/>
          <w:i/>
          <w:sz w:val="24"/>
          <w:szCs w:val="24"/>
        </w:rPr>
        <w:t>Extraordinary Black Book</w:t>
      </w:r>
      <w:r w:rsidRPr="00200909">
        <w:rPr>
          <w:rFonts w:ascii="Times New Roman" w:hAnsi="Times New Roman" w:cs="Times New Roman"/>
          <w:sz w:val="24"/>
          <w:szCs w:val="24"/>
        </w:rPr>
        <w:t xml:space="preserve"> first published 1820–23 attacked the idleness of the aristocracy and how the army, church and legal system provided it with sinecures and pensions.</w:t>
      </w:r>
      <w:r w:rsidRPr="00200909">
        <w:rPr>
          <w:rStyle w:val="FootnoteReference"/>
          <w:rFonts w:ascii="Times New Roman" w:hAnsi="Times New Roman" w:cs="Times New Roman"/>
          <w:sz w:val="24"/>
          <w:szCs w:val="24"/>
        </w:rPr>
        <w:footnoteReference w:id="195"/>
      </w:r>
      <w:r w:rsidRPr="00200909">
        <w:rPr>
          <w:rFonts w:ascii="Times New Roman" w:hAnsi="Times New Roman" w:cs="Times New Roman"/>
          <w:sz w:val="24"/>
          <w:szCs w:val="24"/>
        </w:rPr>
        <w:t xml:space="preserve">  This did not prevent him regarding the co-operative schemes of Robert Owen as ‘wild and puerile’.</w:t>
      </w:r>
      <w:r w:rsidRPr="00200909">
        <w:rPr>
          <w:rStyle w:val="FootnoteReference"/>
          <w:rFonts w:ascii="Times New Roman" w:hAnsi="Times New Roman" w:cs="Times New Roman"/>
          <w:sz w:val="24"/>
          <w:szCs w:val="24"/>
        </w:rPr>
        <w:footnoteReference w:id="196"/>
      </w:r>
      <w:r w:rsidRPr="00200909">
        <w:rPr>
          <w:rFonts w:ascii="Times New Roman" w:hAnsi="Times New Roman" w:cs="Times New Roman"/>
          <w:sz w:val="24"/>
          <w:szCs w:val="24"/>
        </w:rPr>
        <w:t xml:space="preserve">  Wade saw both capital and labour as indispensable but remained fully committed to the former when inveighing against socialistic theories:</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Recently very strange ideas have been propagated […] It has been attempted to depreciate the utility of capital, and consider the profits derived from its employment as a spoliation or tithe-gathering by which capitalists appropriate the reward that justly belongs to industry.</w:t>
      </w:r>
      <w:r w:rsidRPr="00200909">
        <w:rPr>
          <w:rStyle w:val="FootnoteReference"/>
          <w:rFonts w:ascii="Times New Roman" w:hAnsi="Times New Roman" w:cs="Times New Roman"/>
          <w:sz w:val="24"/>
          <w:szCs w:val="24"/>
        </w:rPr>
        <w:footnoteReference w:id="197"/>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Wade saw profit as due reward for the ‘utility of capital’, a perspective echoed by Reynolds who when attacking the aristocracy wrote that their ‘Tory egotism’ was aimed not only against the working class but was ‘the decided enemy to the interests of the middling and lower orders of society’.</w:t>
      </w:r>
      <w:r w:rsidRPr="00200909">
        <w:rPr>
          <w:rStyle w:val="FootnoteReference"/>
          <w:rFonts w:ascii="Times New Roman" w:hAnsi="Times New Roman" w:cs="Times New Roman"/>
          <w:sz w:val="24"/>
          <w:szCs w:val="24"/>
        </w:rPr>
        <w:footnoteReference w:id="198"/>
      </w:r>
      <w:r w:rsidRPr="00200909">
        <w:rPr>
          <w:rFonts w:ascii="Times New Roman" w:hAnsi="Times New Roman" w:cs="Times New Roman"/>
          <w:sz w:val="24"/>
          <w:szCs w:val="24"/>
        </w:rPr>
        <w:t xml:space="preserve">  This points to why he used the word ‘industrious’ very broadly, as in </w:t>
      </w:r>
      <w:r w:rsidRPr="00200909">
        <w:rPr>
          <w:rFonts w:ascii="Times New Roman" w:hAnsi="Times New Roman" w:cs="Times New Roman"/>
          <w:i/>
          <w:iCs/>
          <w:sz w:val="24"/>
          <w:szCs w:val="24"/>
        </w:rPr>
        <w:t>The Days of Hogarth</w:t>
      </w:r>
      <w:r w:rsidRPr="00200909">
        <w:rPr>
          <w:rFonts w:ascii="Times New Roman" w:hAnsi="Times New Roman" w:cs="Times New Roman"/>
          <w:sz w:val="24"/>
          <w:szCs w:val="24"/>
        </w:rPr>
        <w:t xml:space="preserve"> when describing the factory owner Mr West having supper with his family and apprentices: ‘The worthy merchant sate down to it with that mental tranquillity which arose from the consciousness of having passed the day in a manner beneficial to his family and useful to society at large’.</w:t>
      </w:r>
      <w:r w:rsidRPr="00200909">
        <w:rPr>
          <w:rStyle w:val="FootnoteReference"/>
          <w:rFonts w:ascii="Times New Roman" w:hAnsi="Times New Roman" w:cs="Times New Roman"/>
          <w:sz w:val="24"/>
          <w:szCs w:val="24"/>
        </w:rPr>
        <w:footnoteReference w:id="199"/>
      </w:r>
      <w:r w:rsidRPr="00200909">
        <w:rPr>
          <w:rFonts w:ascii="Times New Roman" w:hAnsi="Times New Roman" w:cs="Times New Roman"/>
          <w:sz w:val="24"/>
          <w:szCs w:val="24"/>
        </w:rPr>
        <w:t xml:space="preserve">  It is the picture of an individual enjoying the just rewards of honest toil.  During the meal West presents an economic perspective to his guest, Jem Ruffles, which argues that the workman’s labour is his capital that he sells to the employer.  He points to more equitable wealth distribution with the idea that workers should share in profits during times of prosperity.  However, there is no suggestion that his portion should not be much greater, displayed when he withstands the theft of eighteen hundred pounds.  His words go unchallenged and one can see in the liberal-minded attitudes towards his workforce a similarity to Reynolds’s annual festivities with his own staff.  Showing few signs of his earlier rigid teetotalism, with the open enjoyment of good food and drink, they celebrated the bonds that should exist between the classes, as when he hoped those gathered </w:t>
      </w:r>
      <w:r w:rsidRPr="00200909">
        <w:rPr>
          <w:rFonts w:ascii="Times New Roman" w:hAnsi="Times New Roman" w:cs="Times New Roman"/>
          <w:sz w:val="24"/>
          <w:szCs w:val="24"/>
        </w:rPr>
        <w:lastRenderedPageBreak/>
        <w:t>would be long in his service and expressed regret at being compelled to use the terms ‘employer and employed’.</w:t>
      </w:r>
      <w:r w:rsidRPr="00200909">
        <w:rPr>
          <w:rStyle w:val="FootnoteReference"/>
          <w:rFonts w:ascii="Times New Roman" w:hAnsi="Times New Roman" w:cs="Times New Roman"/>
          <w:iCs/>
          <w:sz w:val="24"/>
          <w:szCs w:val="24"/>
        </w:rPr>
        <w:footnoteReference w:id="200"/>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 xml:space="preserve">These examples from Reynolds’s written work and role as newspaper proprietor point to an outlook as much in line with that of </w:t>
      </w:r>
      <w:r w:rsidRPr="00200909">
        <w:rPr>
          <w:rFonts w:ascii="Times New Roman" w:hAnsi="Times New Roman" w:cs="Times New Roman"/>
          <w:i/>
          <w:sz w:val="24"/>
          <w:szCs w:val="24"/>
        </w:rPr>
        <w:t xml:space="preserve">The </w:t>
      </w:r>
      <w:r w:rsidRPr="00200909">
        <w:rPr>
          <w:rFonts w:ascii="Times New Roman" w:hAnsi="Times New Roman" w:cs="Times New Roman"/>
          <w:i/>
          <w:iCs/>
          <w:sz w:val="24"/>
          <w:szCs w:val="24"/>
        </w:rPr>
        <w:t>Teetotaler</w:t>
      </w:r>
      <w:r w:rsidRPr="00200909">
        <w:rPr>
          <w:rFonts w:ascii="Times New Roman" w:hAnsi="Times New Roman" w:cs="Times New Roman"/>
          <w:sz w:val="24"/>
          <w:szCs w:val="24"/>
        </w:rPr>
        <w:t xml:space="preserve"> </w:t>
      </w:r>
      <w:r w:rsidRPr="00200909">
        <w:rPr>
          <w:rFonts w:ascii="Times New Roman" w:hAnsi="Times New Roman" w:cs="Times New Roman"/>
          <w:iCs/>
          <w:sz w:val="24"/>
          <w:szCs w:val="24"/>
        </w:rPr>
        <w:t xml:space="preserve">as with </w:t>
      </w:r>
      <w:r w:rsidRPr="00200909">
        <w:rPr>
          <w:rFonts w:ascii="Times New Roman" w:hAnsi="Times New Roman" w:cs="Times New Roman"/>
          <w:sz w:val="24"/>
          <w:szCs w:val="24"/>
        </w:rPr>
        <w:t>contemporary radical movements.  It echoed, although much less disdainfully, aspects of articles such as ‘Socialism; or Mr. Owen’s New Moral World’.  Like Reynolds, Robert Owen saw the importance of sobriety and steady work in bringing about change and even pointed to the middle class guiding workers to ‘follow their directions in a unity of design, from its commencement through all its ramifications’.</w:t>
      </w:r>
      <w:r w:rsidRPr="00200909">
        <w:rPr>
          <w:rStyle w:val="FootnoteReference"/>
          <w:rFonts w:ascii="Times New Roman" w:hAnsi="Times New Roman" w:cs="Times New Roman"/>
          <w:sz w:val="24"/>
          <w:szCs w:val="24"/>
        </w:rPr>
        <w:footnoteReference w:id="201"/>
      </w:r>
      <w:r w:rsidRPr="00200909">
        <w:rPr>
          <w:rFonts w:ascii="Times New Roman" w:hAnsi="Times New Roman" w:cs="Times New Roman"/>
          <w:sz w:val="24"/>
          <w:szCs w:val="24"/>
        </w:rPr>
        <w:t xml:space="preserve">  However, his promotion of the ‘Rational Society’ differed significantly from Reynolds’s progressive teetotalism.  On the one hand, Owen agreed there might be difficulties in making psychological improvements with some individuals.</w:t>
      </w:r>
      <w:r w:rsidRPr="00200909">
        <w:rPr>
          <w:rStyle w:val="FootnoteReference"/>
          <w:rFonts w:ascii="Times New Roman" w:hAnsi="Times New Roman" w:cs="Times New Roman"/>
          <w:sz w:val="24"/>
          <w:szCs w:val="24"/>
        </w:rPr>
        <w:footnoteReference w:id="202"/>
      </w:r>
      <w:r w:rsidRPr="00200909">
        <w:rPr>
          <w:rFonts w:ascii="Times New Roman" w:hAnsi="Times New Roman" w:cs="Times New Roman"/>
          <w:sz w:val="24"/>
          <w:szCs w:val="24"/>
        </w:rPr>
        <w:t xml:space="preserve">  Yet he still envisaged a brief transitional period after which the general population will run society in a co-operative manner: ‘</w:t>
      </w:r>
      <w:r w:rsidRPr="00200909">
        <w:rPr>
          <w:rFonts w:ascii="Times New Roman" w:hAnsi="Times New Roman" w:cs="Times New Roman"/>
          <w:i/>
          <w:iCs/>
          <w:sz w:val="24"/>
          <w:szCs w:val="24"/>
        </w:rPr>
        <w:t>shortly</w:t>
      </w:r>
      <w:r w:rsidRPr="00200909">
        <w:rPr>
          <w:rFonts w:ascii="Times New Roman" w:hAnsi="Times New Roman" w:cs="Times New Roman"/>
          <w:sz w:val="24"/>
          <w:szCs w:val="24"/>
        </w:rPr>
        <w:t xml:space="preserve">, </w:t>
      </w:r>
      <w:r w:rsidRPr="00200909">
        <w:rPr>
          <w:rFonts w:ascii="Times New Roman" w:hAnsi="Times New Roman" w:cs="Times New Roman"/>
          <w:i/>
          <w:iCs/>
          <w:sz w:val="24"/>
          <w:szCs w:val="24"/>
        </w:rPr>
        <w:t>directly</w:t>
      </w:r>
      <w:r w:rsidRPr="00200909">
        <w:rPr>
          <w:rFonts w:ascii="Times New Roman" w:hAnsi="Times New Roman" w:cs="Times New Roman"/>
          <w:sz w:val="24"/>
          <w:szCs w:val="24"/>
        </w:rPr>
        <w:t xml:space="preserve">, and </w:t>
      </w:r>
      <w:r w:rsidRPr="00200909">
        <w:rPr>
          <w:rFonts w:ascii="Times New Roman" w:hAnsi="Times New Roman" w:cs="Times New Roman"/>
          <w:i/>
          <w:iCs/>
          <w:sz w:val="24"/>
          <w:szCs w:val="24"/>
        </w:rPr>
        <w:t>certainly</w:t>
      </w:r>
      <w:r w:rsidRPr="00200909">
        <w:rPr>
          <w:rFonts w:ascii="Times New Roman" w:hAnsi="Times New Roman" w:cs="Times New Roman"/>
          <w:sz w:val="24"/>
          <w:szCs w:val="24"/>
        </w:rPr>
        <w:t xml:space="preserve"> may mankind be taught the essence, and to attain the ultimate object, of all former </w:t>
      </w:r>
      <w:r w:rsidRPr="00200909">
        <w:rPr>
          <w:rFonts w:ascii="Times New Roman" w:hAnsi="Times New Roman" w:cs="Times New Roman"/>
          <w:i/>
          <w:iCs/>
          <w:sz w:val="24"/>
          <w:szCs w:val="24"/>
        </w:rPr>
        <w:t>moral</w:t>
      </w:r>
      <w:r w:rsidRPr="00200909">
        <w:rPr>
          <w:rFonts w:ascii="Times New Roman" w:hAnsi="Times New Roman" w:cs="Times New Roman"/>
          <w:sz w:val="24"/>
          <w:szCs w:val="24"/>
        </w:rPr>
        <w:t xml:space="preserve"> and </w:t>
      </w:r>
      <w:r w:rsidRPr="00200909">
        <w:rPr>
          <w:rFonts w:ascii="Times New Roman" w:hAnsi="Times New Roman" w:cs="Times New Roman"/>
          <w:i/>
          <w:iCs/>
          <w:sz w:val="24"/>
          <w:szCs w:val="24"/>
        </w:rPr>
        <w:t>religious</w:t>
      </w:r>
      <w:r w:rsidRPr="00200909">
        <w:rPr>
          <w:rFonts w:ascii="Times New Roman" w:hAnsi="Times New Roman" w:cs="Times New Roman"/>
          <w:sz w:val="24"/>
          <w:szCs w:val="24"/>
        </w:rPr>
        <w:t xml:space="preserve"> instruction’.</w:t>
      </w:r>
      <w:r w:rsidRPr="00200909">
        <w:rPr>
          <w:rStyle w:val="FootnoteReference"/>
          <w:rFonts w:ascii="Times New Roman" w:hAnsi="Times New Roman" w:cs="Times New Roman"/>
          <w:sz w:val="24"/>
          <w:szCs w:val="24"/>
        </w:rPr>
        <w:footnoteReference w:id="203"/>
      </w:r>
      <w:r w:rsidRPr="00200909">
        <w:rPr>
          <w:rFonts w:ascii="Times New Roman" w:hAnsi="Times New Roman" w:cs="Times New Roman"/>
          <w:sz w:val="24"/>
          <w:szCs w:val="24"/>
        </w:rPr>
        <w:t xml:space="preserve">  A peaceful transfer of property would lead to a higher stage of organisation that negated the need for a middle class determining economic development.  Owen’s proposals were based upon an optimistic view of humanity.  The individual was born with a nature continually changed by external influences, a process he regards not as the mere receiving of mechanical impressions </w:t>
      </w:r>
      <w:r w:rsidRPr="00127961">
        <w:rPr>
          <w:rFonts w:ascii="Times New Roman" w:hAnsi="Times New Roman" w:cs="Times New Roman"/>
          <w:sz w:val="24"/>
          <w:szCs w:val="24"/>
        </w:rPr>
        <w:t>but a</w:t>
      </w:r>
      <w:r w:rsidR="00AE699A" w:rsidRPr="00127961">
        <w:rPr>
          <w:rFonts w:ascii="Times New Roman" w:hAnsi="Times New Roman" w:cs="Times New Roman"/>
          <w:sz w:val="24"/>
          <w:szCs w:val="24"/>
        </w:rPr>
        <w:t>kin to</w:t>
      </w:r>
      <w:r w:rsidRPr="00127961">
        <w:rPr>
          <w:rFonts w:ascii="Times New Roman" w:hAnsi="Times New Roman" w:cs="Times New Roman"/>
          <w:sz w:val="24"/>
          <w:szCs w:val="24"/>
        </w:rPr>
        <w:t xml:space="preserve"> a chemical</w:t>
      </w:r>
      <w:r w:rsidRPr="00200909">
        <w:rPr>
          <w:rFonts w:ascii="Times New Roman" w:hAnsi="Times New Roman" w:cs="Times New Roman"/>
          <w:sz w:val="24"/>
          <w:szCs w:val="24"/>
        </w:rPr>
        <w:t xml:space="preserve"> reaction in which no aspect of character was immutable.</w:t>
      </w:r>
      <w:r w:rsidRPr="00200909">
        <w:rPr>
          <w:rStyle w:val="FootnoteReference"/>
          <w:rFonts w:ascii="Times New Roman" w:hAnsi="Times New Roman" w:cs="Times New Roman"/>
          <w:sz w:val="24"/>
          <w:szCs w:val="24"/>
        </w:rPr>
        <w:footnoteReference w:id="204"/>
      </w:r>
      <w:r w:rsidRPr="00200909">
        <w:rPr>
          <w:rFonts w:ascii="Times New Roman" w:hAnsi="Times New Roman" w:cs="Times New Roman"/>
          <w:sz w:val="24"/>
          <w:szCs w:val="24"/>
        </w:rPr>
        <w:t xml:space="preserve">  </w:t>
      </w:r>
      <w:r w:rsidRPr="00200909">
        <w:rPr>
          <w:rFonts w:ascii="Times New Roman" w:hAnsi="Times New Roman" w:cs="Times New Roman"/>
          <w:i/>
          <w:sz w:val="24"/>
          <w:szCs w:val="24"/>
        </w:rPr>
        <w:t>The Teetotaler</w:t>
      </w:r>
      <w:r w:rsidRPr="00200909">
        <w:rPr>
          <w:rFonts w:ascii="Times New Roman" w:hAnsi="Times New Roman" w:cs="Times New Roman"/>
          <w:sz w:val="24"/>
          <w:szCs w:val="24"/>
        </w:rPr>
        <w:t>’s concerns over moral weakness meant Owen’s theories were seen as psychologically shallow, and the paper charged the co-operative system with being ‘insipid’ and unable to stop ‘natural evil’.</w:t>
      </w:r>
      <w:r w:rsidRPr="00200909">
        <w:rPr>
          <w:rStyle w:val="FootnoteReference"/>
          <w:rFonts w:ascii="Times New Roman" w:hAnsi="Times New Roman" w:cs="Times New Roman"/>
          <w:sz w:val="24"/>
          <w:szCs w:val="24"/>
        </w:rPr>
        <w:footnoteReference w:id="205"/>
      </w:r>
      <w:r w:rsidRPr="00200909">
        <w:rPr>
          <w:rFonts w:ascii="Times New Roman" w:hAnsi="Times New Roman" w:cs="Times New Roman"/>
          <w:sz w:val="24"/>
          <w:szCs w:val="24"/>
        </w:rPr>
        <w:t xml:space="preserve">  </w:t>
      </w:r>
      <w:r w:rsidRPr="00200909">
        <w:rPr>
          <w:rFonts w:ascii="Times New Roman" w:hAnsi="Times New Roman" w:cs="Times New Roman"/>
          <w:bCs/>
          <w:iCs/>
          <w:sz w:val="24"/>
          <w:szCs w:val="24"/>
        </w:rPr>
        <w:t xml:space="preserve">Reynolds acknowledged in the </w:t>
      </w:r>
      <w:r w:rsidRPr="00200909">
        <w:rPr>
          <w:rFonts w:ascii="Times New Roman" w:hAnsi="Times New Roman" w:cs="Times New Roman"/>
          <w:sz w:val="24"/>
          <w:szCs w:val="24"/>
        </w:rPr>
        <w:t xml:space="preserve">Preface to volume one that under his editorship the journal had </w:t>
      </w:r>
      <w:r w:rsidRPr="00200909">
        <w:rPr>
          <w:rFonts w:ascii="Times New Roman" w:hAnsi="Times New Roman" w:cs="Times New Roman"/>
          <w:bCs/>
          <w:iCs/>
          <w:sz w:val="24"/>
          <w:szCs w:val="24"/>
        </w:rPr>
        <w:t>published numerous complimentary articles upon the Roman Catholic Father Mathew and the ‘non-political’ Rechabites</w:t>
      </w:r>
      <w:r w:rsidRPr="00200909">
        <w:rPr>
          <w:rFonts w:ascii="Times New Roman" w:hAnsi="Times New Roman" w:cs="Times New Roman"/>
          <w:sz w:val="24"/>
          <w:szCs w:val="24"/>
        </w:rPr>
        <w:t>.</w:t>
      </w:r>
      <w:r w:rsidRPr="00200909">
        <w:rPr>
          <w:rStyle w:val="FootnoteReference"/>
          <w:rFonts w:ascii="Times New Roman" w:hAnsi="Times New Roman" w:cs="Times New Roman"/>
          <w:sz w:val="24"/>
          <w:szCs w:val="24"/>
        </w:rPr>
        <w:footnoteReference w:id="206"/>
      </w:r>
      <w:r w:rsidRPr="00200909">
        <w:rPr>
          <w:rFonts w:ascii="Times New Roman" w:hAnsi="Times New Roman" w:cs="Times New Roman"/>
          <w:sz w:val="24"/>
          <w:szCs w:val="24"/>
        </w:rPr>
        <w:t xml:space="preserve">  This </w:t>
      </w:r>
      <w:r w:rsidRPr="00200909">
        <w:rPr>
          <w:rFonts w:ascii="Times New Roman" w:hAnsi="Times New Roman" w:cs="Times New Roman"/>
          <w:sz w:val="24"/>
          <w:szCs w:val="24"/>
        </w:rPr>
        <w:lastRenderedPageBreak/>
        <w:t xml:space="preserve">was in </w:t>
      </w:r>
      <w:r w:rsidRPr="00200909">
        <w:rPr>
          <w:rFonts w:ascii="Times New Roman" w:hAnsi="Times New Roman" w:cs="Times New Roman"/>
          <w:bCs/>
          <w:iCs/>
          <w:sz w:val="24"/>
          <w:szCs w:val="24"/>
        </w:rPr>
        <w:t xml:space="preserve">contrast to the scarce and </w:t>
      </w:r>
      <w:r w:rsidRPr="00200909">
        <w:rPr>
          <w:rFonts w:ascii="Times New Roman" w:hAnsi="Times New Roman" w:cs="Times New Roman"/>
          <w:sz w:val="24"/>
          <w:szCs w:val="24"/>
        </w:rPr>
        <w:t xml:space="preserve">generally negative </w:t>
      </w:r>
      <w:r w:rsidRPr="00200909">
        <w:rPr>
          <w:rFonts w:ascii="Times New Roman" w:hAnsi="Times New Roman" w:cs="Times New Roman"/>
          <w:bCs/>
          <w:iCs/>
          <w:sz w:val="24"/>
          <w:szCs w:val="24"/>
        </w:rPr>
        <w:t>commentary upon Chartists or Socialists.</w:t>
      </w:r>
      <w:r w:rsidRPr="00200909">
        <w:rPr>
          <w:rFonts w:ascii="Times New Roman" w:hAnsi="Times New Roman" w:cs="Times New Roman"/>
          <w:sz w:val="24"/>
          <w:szCs w:val="24"/>
        </w:rPr>
        <w:t xml:space="preserve">  The laudatory account of the meeting at Captain Trotter’s park made no reference to the banning of the latter as reported in the </w:t>
      </w:r>
      <w:r w:rsidRPr="00200909">
        <w:rPr>
          <w:rFonts w:ascii="Times New Roman" w:hAnsi="Times New Roman" w:cs="Times New Roman"/>
          <w:i/>
          <w:sz w:val="24"/>
          <w:szCs w:val="24"/>
        </w:rPr>
        <w:t>London Tee-Total Magazine</w:t>
      </w:r>
      <w:r w:rsidRPr="00200909">
        <w:rPr>
          <w:rFonts w:ascii="Times New Roman" w:hAnsi="Times New Roman" w:cs="Times New Roman"/>
          <w:sz w:val="24"/>
          <w:szCs w:val="24"/>
        </w:rPr>
        <w:t>.</w:t>
      </w:r>
      <w:r w:rsidRPr="00200909">
        <w:rPr>
          <w:rStyle w:val="FootnoteReference"/>
          <w:rFonts w:ascii="Times New Roman" w:hAnsi="Times New Roman" w:cs="Times New Roman"/>
          <w:sz w:val="24"/>
          <w:szCs w:val="24"/>
        </w:rPr>
        <w:footnoteReference w:id="207"/>
      </w:r>
      <w:r w:rsidRPr="00200909">
        <w:rPr>
          <w:rFonts w:ascii="Times New Roman" w:hAnsi="Times New Roman" w:cs="Times New Roman"/>
          <w:sz w:val="24"/>
          <w:szCs w:val="24"/>
        </w:rPr>
        <w:t xml:space="preserve">  In this case, Reynolds seemingly abandoned his advocacy of free speech rather than show support for a small group peaceably handing out leaflets.  Even acknowledgments that they should not be excluded from the movement displayed antipathy: ‘We are no friends to the infamous doctrines of Socialism; at the same time, we should be sorry to see the portals of Teetotal temples closed against Socialists.’</w:t>
      </w:r>
      <w:r w:rsidRPr="00200909">
        <w:rPr>
          <w:rStyle w:val="FootnoteReference"/>
          <w:rFonts w:ascii="Times New Roman" w:hAnsi="Times New Roman" w:cs="Times New Roman"/>
          <w:sz w:val="24"/>
          <w:szCs w:val="24"/>
        </w:rPr>
        <w:footnoteReference w:id="208"/>
      </w:r>
      <w:r w:rsidRPr="00200909">
        <w:rPr>
          <w:rFonts w:ascii="Times New Roman" w:hAnsi="Times New Roman" w:cs="Times New Roman"/>
          <w:sz w:val="24"/>
          <w:szCs w:val="24"/>
        </w:rPr>
        <w:t xml:space="preserve">  Reynolds generally welcomed unification between the many factions, in the face of what Brian Harrison notes was the movement’s ‘propensity for schism’.</w:t>
      </w:r>
      <w:r w:rsidRPr="00200909">
        <w:rPr>
          <w:rStyle w:val="FootnoteReference"/>
          <w:rFonts w:ascii="Times New Roman" w:hAnsi="Times New Roman" w:cs="Times New Roman"/>
          <w:sz w:val="24"/>
          <w:szCs w:val="24"/>
        </w:rPr>
        <w:footnoteReference w:id="209"/>
      </w:r>
      <w:r w:rsidRPr="00200909">
        <w:rPr>
          <w:rFonts w:ascii="Times New Roman" w:hAnsi="Times New Roman" w:cs="Times New Roman"/>
          <w:sz w:val="24"/>
          <w:szCs w:val="24"/>
        </w:rPr>
        <w:t xml:space="preserve"> However, reports suggest he made little or no attempt to link up with the strong strand of chartist teetotalism despite </w:t>
      </w:r>
      <w:r w:rsidRPr="00200909">
        <w:rPr>
          <w:rFonts w:ascii="Times New Roman" w:hAnsi="Times New Roman" w:cs="Times New Roman"/>
          <w:i/>
          <w:sz w:val="24"/>
          <w:szCs w:val="24"/>
        </w:rPr>
        <w:t>The Teetotaler</w:t>
      </w:r>
      <w:r w:rsidRPr="00200909">
        <w:rPr>
          <w:rFonts w:ascii="Times New Roman" w:hAnsi="Times New Roman" w:cs="Times New Roman"/>
          <w:sz w:val="24"/>
          <w:szCs w:val="24"/>
        </w:rPr>
        <w:t xml:space="preserve"> hosting advertisements for its meetings.</w:t>
      </w:r>
      <w:r w:rsidRPr="00200909">
        <w:rPr>
          <w:rStyle w:val="FootnoteReference"/>
          <w:rFonts w:ascii="Times New Roman" w:hAnsi="Times New Roman" w:cs="Times New Roman"/>
          <w:sz w:val="24"/>
          <w:szCs w:val="24"/>
        </w:rPr>
        <w:footnoteReference w:id="210"/>
      </w:r>
      <w:r w:rsidRPr="00200909">
        <w:rPr>
          <w:rFonts w:ascii="Times New Roman" w:hAnsi="Times New Roman" w:cs="Times New Roman"/>
          <w:sz w:val="24"/>
          <w:szCs w:val="24"/>
        </w:rPr>
        <w:t xml:space="preserve">  The journal’s wariness of Chartism was signalled by the unenthusiastic conclusion to a short account of its teetotal associations: ‘Without at all interfering with, or even alluding to the political tenets of these Societies, we consider it to be our duty to record the progress of Teetotalism in all places and under all influences’.</w:t>
      </w:r>
      <w:r w:rsidRPr="00200909">
        <w:rPr>
          <w:rStyle w:val="FootnoteReference"/>
          <w:rFonts w:ascii="Times New Roman" w:hAnsi="Times New Roman" w:cs="Times New Roman"/>
          <w:sz w:val="24"/>
          <w:szCs w:val="24"/>
        </w:rPr>
        <w:footnoteReference w:id="211"/>
      </w:r>
      <w:r w:rsidRPr="00200909">
        <w:rPr>
          <w:rFonts w:ascii="Times New Roman" w:hAnsi="Times New Roman" w:cs="Times New Roman"/>
          <w:sz w:val="24"/>
          <w:szCs w:val="24"/>
        </w:rPr>
        <w:t xml:space="preserve">  Rather than being a pleasure, as was the case when reporting on Father Mathew, it became a seemingly onerous ‘duty’ with the Chartists.  An example of Reynolds’s reticence may be seen from the shortening of a letter by Henry Vincent printed in the </w:t>
      </w:r>
      <w:r w:rsidRPr="00200909">
        <w:rPr>
          <w:rFonts w:ascii="Times New Roman" w:hAnsi="Times New Roman" w:cs="Times New Roman"/>
          <w:i/>
          <w:sz w:val="24"/>
          <w:szCs w:val="24"/>
        </w:rPr>
        <w:t>Northern Star</w:t>
      </w:r>
      <w:r w:rsidRPr="00200909">
        <w:rPr>
          <w:rFonts w:ascii="Times New Roman" w:hAnsi="Times New Roman" w:cs="Times New Roman"/>
          <w:sz w:val="24"/>
          <w:szCs w:val="24"/>
        </w:rPr>
        <w:t>: ‘We do not publish the whole of this address, because its contents are of a strong political character; and we have determined henceforth neither to adopt, nor countenance any particular bias.’</w:t>
      </w:r>
      <w:r w:rsidRPr="00200909">
        <w:rPr>
          <w:rStyle w:val="FootnoteReference"/>
          <w:rFonts w:ascii="Times New Roman" w:hAnsi="Times New Roman" w:cs="Times New Roman"/>
          <w:sz w:val="24"/>
          <w:szCs w:val="24"/>
        </w:rPr>
        <w:footnoteReference w:id="212"/>
      </w:r>
      <w:r w:rsidRPr="00200909">
        <w:rPr>
          <w:rFonts w:ascii="Times New Roman" w:hAnsi="Times New Roman" w:cs="Times New Roman"/>
          <w:sz w:val="24"/>
          <w:szCs w:val="24"/>
        </w:rPr>
        <w:t xml:space="preserve">  To shorten the address would have indicated the limitations of </w:t>
      </w:r>
      <w:r w:rsidRPr="00200909">
        <w:rPr>
          <w:rFonts w:ascii="Times New Roman" w:hAnsi="Times New Roman" w:cs="Times New Roman"/>
          <w:i/>
          <w:sz w:val="24"/>
          <w:szCs w:val="24"/>
        </w:rPr>
        <w:t>The Teet</w:t>
      </w:r>
      <w:r w:rsidRPr="009D616D">
        <w:rPr>
          <w:rFonts w:ascii="Times New Roman" w:hAnsi="Times New Roman" w:cs="Times New Roman"/>
          <w:i/>
          <w:sz w:val="24"/>
          <w:szCs w:val="24"/>
        </w:rPr>
        <w:t>otaler</w:t>
      </w:r>
      <w:r w:rsidRPr="009D616D">
        <w:rPr>
          <w:rFonts w:ascii="Times New Roman" w:hAnsi="Times New Roman" w:cs="Times New Roman"/>
          <w:sz w:val="24"/>
          <w:szCs w:val="24"/>
        </w:rPr>
        <w:t>’s outlook</w:t>
      </w:r>
      <w:r w:rsidRPr="00200909">
        <w:rPr>
          <w:rFonts w:ascii="Times New Roman" w:hAnsi="Times New Roman" w:cs="Times New Roman"/>
          <w:sz w:val="24"/>
          <w:szCs w:val="24"/>
        </w:rPr>
        <w:t xml:space="preserve"> but this statement displayed intent that such opposition be known.  The omitted passages were mild enough, with their most radical statement being: ‘We are zealously desirous of seeing our aristocratic institutions superseded </w:t>
      </w:r>
      <w:r w:rsidRPr="00200909">
        <w:rPr>
          <w:rFonts w:ascii="Times New Roman" w:hAnsi="Times New Roman" w:cs="Times New Roman"/>
          <w:sz w:val="24"/>
          <w:szCs w:val="24"/>
        </w:rPr>
        <w:lastRenderedPageBreak/>
        <w:t>by those of an enlightened democracy</w:t>
      </w:r>
      <w:r w:rsidRPr="00200909">
        <w:rPr>
          <w:rFonts w:ascii="Times New Roman" w:hAnsi="Times New Roman" w:cs="Times New Roman"/>
          <w:b/>
          <w:sz w:val="24"/>
          <w:szCs w:val="24"/>
        </w:rPr>
        <w:t>—</w:t>
      </w:r>
      <w:r w:rsidRPr="00200909">
        <w:rPr>
          <w:rFonts w:ascii="Times New Roman" w:hAnsi="Times New Roman" w:cs="Times New Roman"/>
          <w:sz w:val="24"/>
          <w:szCs w:val="24"/>
        </w:rPr>
        <w:t>a system of Government according to which, every member of society shall be considered a man, and nothing more.’</w:t>
      </w:r>
      <w:r w:rsidRPr="00200909">
        <w:rPr>
          <w:rStyle w:val="FootnoteReference"/>
          <w:rFonts w:ascii="Times New Roman" w:hAnsi="Times New Roman" w:cs="Times New Roman"/>
          <w:kern w:val="36"/>
          <w:sz w:val="24"/>
          <w:szCs w:val="24"/>
          <w:lang w:val="en"/>
        </w:rPr>
        <w:footnoteReference w:id="213"/>
      </w:r>
      <w:r w:rsidRPr="00200909">
        <w:rPr>
          <w:rFonts w:ascii="Times New Roman" w:hAnsi="Times New Roman" w:cs="Times New Roman"/>
          <w:sz w:val="24"/>
          <w:szCs w:val="24"/>
        </w:rPr>
        <w:t xml:space="preserve">  Such loosely worded comments would have fitted into articles by Reynolds at the time but the taint of Chartism was enough to result in their being disavowed.</w:t>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At this period, any dealing with more class-based, radical organisations rarely came without an explicit moral and political health warning.  Given the form Reynolds believed protest should take, his early concerns regarding Chartism are unsurprising.  David Jones writes that among weaving communities ‘Chartism frequently took on the character of a desperate holy war’.</w:t>
      </w:r>
      <w:r w:rsidRPr="00200909">
        <w:rPr>
          <w:rStyle w:val="FootnoteReference"/>
          <w:rFonts w:ascii="Times New Roman" w:hAnsi="Times New Roman" w:cs="Times New Roman"/>
          <w:sz w:val="24"/>
          <w:szCs w:val="24"/>
        </w:rPr>
        <w:footnoteReference w:id="214"/>
      </w:r>
      <w:r w:rsidRPr="00200909">
        <w:rPr>
          <w:rFonts w:ascii="Times New Roman" w:hAnsi="Times New Roman" w:cs="Times New Roman"/>
          <w:sz w:val="24"/>
          <w:szCs w:val="24"/>
        </w:rPr>
        <w:t xml:space="preserve">  This was epitomised in the violent Tory Radicalism of the firebrand Methodist Joseph Rayner Stephens </w:t>
      </w:r>
      <w:r w:rsidRPr="00200909">
        <w:rPr>
          <w:rFonts w:ascii="Times New Roman" w:hAnsi="Times New Roman" w:cs="Times New Roman"/>
          <w:bCs/>
          <w:sz w:val="24"/>
          <w:szCs w:val="24"/>
          <w:lang w:val="en"/>
        </w:rPr>
        <w:t>who called for direct action by the people.</w:t>
      </w:r>
      <w:r w:rsidRPr="00200909">
        <w:rPr>
          <w:rStyle w:val="FootnoteReference"/>
          <w:rFonts w:ascii="Times New Roman" w:hAnsi="Times New Roman" w:cs="Times New Roman"/>
          <w:sz w:val="24"/>
          <w:szCs w:val="24"/>
          <w:lang w:val="en"/>
        </w:rPr>
        <w:footnoteReference w:id="215"/>
      </w:r>
      <w:r w:rsidRPr="00200909">
        <w:rPr>
          <w:rFonts w:ascii="Times New Roman" w:hAnsi="Times New Roman" w:cs="Times New Roman"/>
          <w:sz w:val="24"/>
          <w:szCs w:val="24"/>
          <w:lang w:val="en"/>
        </w:rPr>
        <w:t xml:space="preserve">  In 1839 he preached to large congregations quoting Biblical text to decry the ruling classes: ‘When we can no longer earn enough by our own hard-labour, it is God’s command, and God’s will that we should take where we can get it.’</w:t>
      </w:r>
      <w:r w:rsidRPr="00200909">
        <w:rPr>
          <w:rStyle w:val="FootnoteReference"/>
          <w:rFonts w:ascii="Times New Roman" w:hAnsi="Times New Roman" w:cs="Times New Roman"/>
          <w:sz w:val="24"/>
          <w:szCs w:val="24"/>
          <w:lang w:val="en"/>
        </w:rPr>
        <w:footnoteReference w:id="216"/>
      </w:r>
      <w:r w:rsidRPr="00200909">
        <w:rPr>
          <w:rFonts w:ascii="Times New Roman" w:hAnsi="Times New Roman" w:cs="Times New Roman"/>
          <w:sz w:val="24"/>
          <w:szCs w:val="24"/>
          <w:lang w:val="en"/>
        </w:rPr>
        <w:t xml:space="preserve">  The same year, a</w:t>
      </w:r>
      <w:r w:rsidRPr="00200909">
        <w:rPr>
          <w:rFonts w:ascii="Times New Roman" w:hAnsi="Times New Roman" w:cs="Times New Roman"/>
          <w:sz w:val="24"/>
          <w:szCs w:val="24"/>
        </w:rPr>
        <w:t xml:space="preserve"> delegate at the Manchester Chartist Convention proclaimed that until the working class had a voice in the House of Commons ‘they were like the children of Israel when in bondage’ and were justified in opposing any further impositions, such as the proposed rural police force: ‘He would let Lord John Russell know that he had a pistol over his chimney-piece and when it was required, it should come out (Great applause).’</w:t>
      </w:r>
      <w:r w:rsidRPr="00200909">
        <w:rPr>
          <w:rStyle w:val="FootnoteReference"/>
          <w:rFonts w:ascii="Times New Roman" w:hAnsi="Times New Roman" w:cs="Times New Roman"/>
          <w:kern w:val="36"/>
          <w:sz w:val="24"/>
          <w:szCs w:val="24"/>
          <w:lang w:val="en"/>
        </w:rPr>
        <w:footnoteReference w:id="217"/>
      </w:r>
      <w:r w:rsidRPr="00200909">
        <w:rPr>
          <w:rFonts w:ascii="Times New Roman" w:hAnsi="Times New Roman" w:cs="Times New Roman"/>
          <w:sz w:val="24"/>
          <w:szCs w:val="24"/>
        </w:rPr>
        <w:t xml:space="preserve">  Reynolds felt Chartism encouraged these sentiments, particularly its physical force wing which he would have seen as culpable for disasters such as the 1839 Newport rising when several thousand armed men descended on the town only to flee before gunshot from the troops stationed there, leaving over twenty of their number dead.</w:t>
      </w:r>
      <w:r w:rsidRPr="00200909">
        <w:rPr>
          <w:rStyle w:val="FootnoteReference"/>
          <w:rFonts w:ascii="Times New Roman" w:hAnsi="Times New Roman" w:cs="Times New Roman"/>
          <w:sz w:val="24"/>
          <w:szCs w:val="24"/>
        </w:rPr>
        <w:footnoteReference w:id="218"/>
      </w:r>
      <w:r w:rsidRPr="00200909">
        <w:rPr>
          <w:rFonts w:ascii="Times New Roman" w:hAnsi="Times New Roman" w:cs="Times New Roman"/>
          <w:sz w:val="24"/>
          <w:szCs w:val="24"/>
        </w:rPr>
        <w:t xml:space="preserve">  This was apparent with his poem </w:t>
      </w:r>
      <w:r w:rsidRPr="00200909">
        <w:rPr>
          <w:rFonts w:ascii="Times New Roman" w:hAnsi="Times New Roman" w:cs="Times New Roman"/>
          <w:i/>
          <w:sz w:val="24"/>
          <w:szCs w:val="24"/>
        </w:rPr>
        <w:t>A Sequel to Don Juan</w:t>
      </w:r>
      <w:r w:rsidRPr="00200909">
        <w:rPr>
          <w:rFonts w:ascii="Times New Roman" w:hAnsi="Times New Roman" w:cs="Times New Roman"/>
          <w:sz w:val="24"/>
          <w:szCs w:val="24"/>
        </w:rPr>
        <w:t xml:space="preserve"> (1843).  In a section that denounced the prevalence of hypocrisy throughout society, it noted the problem ‘most especially befriends the Chartists’.</w:t>
      </w:r>
      <w:r w:rsidRPr="00200909">
        <w:rPr>
          <w:rStyle w:val="FootnoteReference"/>
          <w:rFonts w:ascii="Times New Roman" w:hAnsi="Times New Roman" w:cs="Times New Roman"/>
          <w:sz w:val="24"/>
          <w:szCs w:val="24"/>
        </w:rPr>
        <w:footnoteReference w:id="219"/>
      </w:r>
      <w:r w:rsidRPr="00200909">
        <w:rPr>
          <w:rFonts w:ascii="Times New Roman" w:hAnsi="Times New Roman" w:cs="Times New Roman"/>
          <w:sz w:val="24"/>
          <w:szCs w:val="24"/>
        </w:rPr>
        <w:t xml:space="preserve">  A lengthy footnote elaborated this view:</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 xml:space="preserve">The Chartists, by their clamorous, intemperate, and absurd conduct have done much to render the cause of freedom unpopular with men of even the most liberal minds.  </w:t>
      </w:r>
      <w:r w:rsidRPr="00200909">
        <w:rPr>
          <w:rFonts w:ascii="Times New Roman" w:hAnsi="Times New Roman" w:cs="Times New Roman"/>
          <w:sz w:val="24"/>
          <w:szCs w:val="24"/>
        </w:rPr>
        <w:lastRenderedPageBreak/>
        <w:t>God protect the country when such insane men as the Chartists shall become actively interested in its legislation.  A true republican spirit revolts from a mere factious display of prejudice, conceit, and wrong-headedness.</w:t>
      </w:r>
      <w:r w:rsidRPr="00200909">
        <w:rPr>
          <w:rStyle w:val="FootnoteReference"/>
          <w:rFonts w:ascii="Times New Roman" w:hAnsi="Times New Roman" w:cs="Times New Roman"/>
          <w:sz w:val="24"/>
          <w:szCs w:val="24"/>
        </w:rPr>
        <w:footnoteReference w:id="220"/>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For Reynolds the Chartists with their adventurist tactics were ‘the worst enemies in existence to the true cause of freedom’.  He sets ‘true republican spirit’ against such activity which he considered divisive and as cutting across his perspective of collaborating with a broad swathe of liberal thought.  Woven through this criticism were comments disparaging to the industrious classes more generally:</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[W]hen the people are not predisposed by education to exercise the privilege with judgment. […]  Universal suffrage in the hands of the people, before they are educated, would be as dangerous as a razor in the possession of an infant.</w:t>
      </w:r>
      <w:r w:rsidRPr="00200909">
        <w:rPr>
          <w:rStyle w:val="FootnoteReference"/>
          <w:rFonts w:ascii="Times New Roman" w:hAnsi="Times New Roman" w:cs="Times New Roman"/>
          <w:sz w:val="24"/>
          <w:szCs w:val="24"/>
        </w:rPr>
        <w:footnoteReference w:id="221"/>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The belief that calling for universal suffrage was precipitate is based upon a view of their being like an uneducated ‘infant’, dangerous to itself and others, and permitting them the vote would result in social chaos.  Reynolds refers to the suffrage as a privilege not a right and </w:t>
      </w:r>
      <w:r w:rsidRPr="00200909">
        <w:rPr>
          <w:rFonts w:ascii="Times New Roman" w:hAnsi="Times New Roman" w:cs="Times New Roman"/>
          <w:bCs/>
          <w:iCs/>
          <w:sz w:val="24"/>
          <w:szCs w:val="24"/>
        </w:rPr>
        <w:t>bemoans the sale of votes at elections, asking rhetorically that if the franchise was extended ‘how much greater would be the amount of bribery?’.</w:t>
      </w:r>
      <w:r w:rsidRPr="00200909">
        <w:rPr>
          <w:rStyle w:val="FootnoteReference"/>
          <w:rFonts w:ascii="Times New Roman" w:hAnsi="Times New Roman" w:cs="Times New Roman"/>
          <w:bCs/>
          <w:iCs/>
          <w:sz w:val="24"/>
          <w:szCs w:val="24"/>
        </w:rPr>
        <w:footnoteReference w:id="222"/>
      </w:r>
      <w:r w:rsidRPr="00200909">
        <w:rPr>
          <w:rFonts w:ascii="Times New Roman" w:hAnsi="Times New Roman" w:cs="Times New Roman"/>
          <w:bCs/>
          <w:iCs/>
          <w:sz w:val="24"/>
          <w:szCs w:val="24"/>
        </w:rPr>
        <w:t xml:space="preserve">  Workers could not be trusted with such rights, which they would only see as the means to satisfy the lowest forms of gratification.  These views </w:t>
      </w:r>
      <w:r w:rsidRPr="00200909">
        <w:rPr>
          <w:rFonts w:ascii="Times New Roman" w:hAnsi="Times New Roman" w:cs="Times New Roman"/>
          <w:sz w:val="24"/>
          <w:szCs w:val="24"/>
        </w:rPr>
        <w:t xml:space="preserve">echo </w:t>
      </w:r>
      <w:r w:rsidRPr="00200909">
        <w:rPr>
          <w:rFonts w:ascii="Times New Roman" w:hAnsi="Times New Roman" w:cs="Times New Roman"/>
          <w:i/>
          <w:sz w:val="24"/>
          <w:szCs w:val="24"/>
        </w:rPr>
        <w:t>Teetotaler</w:t>
      </w:r>
      <w:r w:rsidRPr="00200909">
        <w:rPr>
          <w:rFonts w:ascii="Times New Roman" w:hAnsi="Times New Roman" w:cs="Times New Roman"/>
          <w:sz w:val="24"/>
          <w:szCs w:val="24"/>
        </w:rPr>
        <w:t xml:space="preserve"> articles by </w:t>
      </w:r>
      <w:r w:rsidRPr="00200909">
        <w:rPr>
          <w:rFonts w:ascii="Times New Roman" w:hAnsi="Times New Roman" w:cs="Times New Roman"/>
          <w:bCs/>
          <w:iCs/>
          <w:sz w:val="24"/>
          <w:szCs w:val="24"/>
        </w:rPr>
        <w:t>Gracchus who wrote that only when freed from the shackles of drink might workers assert their ‘right to be heard through the means of universal suffrage’, but at present they were in a state of degradation and would not know how to use it.</w:t>
      </w:r>
      <w:r w:rsidRPr="00200909">
        <w:rPr>
          <w:rStyle w:val="FootnoteReference"/>
          <w:rFonts w:ascii="Times New Roman" w:hAnsi="Times New Roman" w:cs="Times New Roman"/>
          <w:bCs/>
          <w:iCs/>
          <w:sz w:val="24"/>
          <w:szCs w:val="24"/>
        </w:rPr>
        <w:footnoteReference w:id="223"/>
      </w:r>
      <w:r w:rsidRPr="00200909">
        <w:rPr>
          <w:rFonts w:ascii="Times New Roman" w:hAnsi="Times New Roman" w:cs="Times New Roman"/>
          <w:bCs/>
          <w:iCs/>
          <w:sz w:val="24"/>
          <w:szCs w:val="24"/>
        </w:rPr>
        <w:t xml:space="preserve">  </w:t>
      </w:r>
      <w:r w:rsidRPr="00200909">
        <w:rPr>
          <w:rFonts w:ascii="Times New Roman" w:hAnsi="Times New Roman" w:cs="Times New Roman"/>
          <w:sz w:val="24"/>
          <w:szCs w:val="24"/>
        </w:rPr>
        <w:t>Reynolds, with his advocacy of social reform, disagreed with commentators such as Thomas Carlyle who saw these matters as merely the ‘shadows of things’.</w:t>
      </w:r>
      <w:r w:rsidRPr="00200909">
        <w:rPr>
          <w:rStyle w:val="FootnoteReference"/>
          <w:rFonts w:ascii="Times New Roman" w:hAnsi="Times New Roman" w:cs="Times New Roman"/>
          <w:sz w:val="24"/>
          <w:szCs w:val="24"/>
        </w:rPr>
        <w:footnoteReference w:id="224"/>
      </w:r>
      <w:r w:rsidRPr="00200909">
        <w:rPr>
          <w:rFonts w:ascii="Times New Roman" w:hAnsi="Times New Roman" w:cs="Times New Roman"/>
          <w:sz w:val="24"/>
          <w:szCs w:val="24"/>
        </w:rPr>
        <w:t xml:space="preserve">  However, in the early 1840s he accepted that the industrious classes needed to undergo moral and intellectual reformation before exercising more democratic power and social advancement should be based primarily upon self-improvement rather than a political programme.  His attitude echoed the pessimism of Radicals such as Francis Place whose </w:t>
      </w:r>
      <w:r w:rsidRPr="00200909">
        <w:rPr>
          <w:rFonts w:ascii="Times New Roman" w:hAnsi="Times New Roman" w:cs="Times New Roman"/>
          <w:sz w:val="24"/>
          <w:szCs w:val="24"/>
        </w:rPr>
        <w:lastRenderedPageBreak/>
        <w:t>letters during 1840–41 displayed a belief that workers were not educated enough to accept gradual and peaceful change.</w:t>
      </w:r>
      <w:r w:rsidRPr="00200909">
        <w:rPr>
          <w:rStyle w:val="FootnoteReference"/>
          <w:rFonts w:ascii="Times New Roman" w:hAnsi="Times New Roman" w:cs="Times New Roman"/>
          <w:sz w:val="24"/>
          <w:szCs w:val="24"/>
        </w:rPr>
        <w:footnoteReference w:id="225"/>
      </w:r>
      <w:r w:rsidRPr="00200909">
        <w:rPr>
          <w:rFonts w:ascii="Times New Roman" w:hAnsi="Times New Roman" w:cs="Times New Roman"/>
          <w:sz w:val="24"/>
          <w:szCs w:val="24"/>
        </w:rPr>
        <w:t xml:space="preserve">  </w:t>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 xml:space="preserve">Until now most writings referred to have </w:t>
      </w:r>
      <w:r w:rsidRPr="00127961">
        <w:rPr>
          <w:rFonts w:ascii="Times New Roman" w:hAnsi="Times New Roman" w:cs="Times New Roman"/>
          <w:sz w:val="24"/>
          <w:szCs w:val="24"/>
        </w:rPr>
        <w:t xml:space="preserve">predated Reynolds’s involvement with the Chartist movement which he espoused quite impulsively </w:t>
      </w:r>
      <w:r w:rsidR="00AF4374" w:rsidRPr="00127961">
        <w:rPr>
          <w:rFonts w:ascii="Times New Roman" w:hAnsi="Times New Roman" w:cs="Times New Roman"/>
          <w:sz w:val="24"/>
          <w:szCs w:val="24"/>
        </w:rPr>
        <w:t>after taking over</w:t>
      </w:r>
      <w:r w:rsidRPr="00127961">
        <w:rPr>
          <w:rFonts w:ascii="Times New Roman" w:hAnsi="Times New Roman" w:cs="Times New Roman"/>
          <w:sz w:val="24"/>
          <w:szCs w:val="24"/>
        </w:rPr>
        <w:t xml:space="preserve"> the anti-income tax meeting at Trafalgar Square in March 1848, when the planned speaker Charles Cochrane</w:t>
      </w:r>
      <w:r w:rsidR="00AF4374" w:rsidRPr="00127961">
        <w:rPr>
          <w:rFonts w:ascii="Times New Roman" w:hAnsi="Times New Roman" w:cs="Times New Roman"/>
          <w:sz w:val="24"/>
          <w:szCs w:val="24"/>
        </w:rPr>
        <w:t xml:space="preserve"> </w:t>
      </w:r>
      <w:r w:rsidRPr="00127961">
        <w:rPr>
          <w:rFonts w:ascii="Times New Roman" w:hAnsi="Times New Roman" w:cs="Times New Roman"/>
          <w:sz w:val="24"/>
          <w:szCs w:val="24"/>
        </w:rPr>
        <w:t>failed to turn up for fear of trouble that might ensue.</w:t>
      </w:r>
      <w:r w:rsidRPr="00127961">
        <w:rPr>
          <w:rStyle w:val="FootnoteReference"/>
          <w:rFonts w:ascii="Times New Roman" w:hAnsi="Times New Roman" w:cs="Times New Roman"/>
          <w:sz w:val="24"/>
          <w:szCs w:val="24"/>
        </w:rPr>
        <w:footnoteReference w:id="226"/>
      </w:r>
      <w:r w:rsidRPr="00127961">
        <w:rPr>
          <w:rFonts w:ascii="Times New Roman" w:hAnsi="Times New Roman" w:cs="Times New Roman"/>
          <w:sz w:val="24"/>
          <w:szCs w:val="24"/>
        </w:rPr>
        <w:t xml:space="preserve">  The event marked a shift in what he saw as the aims that should be embraced by the industrious classes, notably universal manhood suffrage.  However, despite this change the more guarded aspects</w:t>
      </w:r>
      <w:r w:rsidRPr="00200909">
        <w:rPr>
          <w:rFonts w:ascii="Times New Roman" w:hAnsi="Times New Roman" w:cs="Times New Roman"/>
          <w:sz w:val="24"/>
          <w:szCs w:val="24"/>
        </w:rPr>
        <w:t xml:space="preserve"> of Reynolds’s earlier outlook continued.  His lingering anti-Socialism is confirmed by a lengthy entry in the </w:t>
      </w:r>
      <w:r w:rsidRPr="009D616D">
        <w:rPr>
          <w:rFonts w:ascii="Times New Roman" w:hAnsi="Times New Roman" w:cs="Times New Roman"/>
          <w:i/>
          <w:iCs/>
          <w:sz w:val="24"/>
          <w:szCs w:val="24"/>
        </w:rPr>
        <w:t>Miscellany</w:t>
      </w:r>
      <w:r w:rsidR="00127961" w:rsidRPr="009D616D">
        <w:rPr>
          <w:rFonts w:ascii="Times New Roman" w:hAnsi="Times New Roman" w:cs="Times New Roman"/>
          <w:sz w:val="24"/>
          <w:szCs w:val="24"/>
        </w:rPr>
        <w:t>’</w:t>
      </w:r>
      <w:r w:rsidRPr="009D616D">
        <w:rPr>
          <w:rFonts w:ascii="Times New Roman" w:hAnsi="Times New Roman" w:cs="Times New Roman"/>
          <w:sz w:val="24"/>
          <w:szCs w:val="24"/>
        </w:rPr>
        <w:t>s ‘No</w:t>
      </w:r>
      <w:r w:rsidRPr="00200909">
        <w:rPr>
          <w:rFonts w:ascii="Times New Roman" w:hAnsi="Times New Roman" w:cs="Times New Roman"/>
          <w:sz w:val="24"/>
          <w:szCs w:val="24"/>
        </w:rPr>
        <w:t>tices to Correspondents’ during July 1849:</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 xml:space="preserve">The </w:t>
      </w:r>
      <w:r w:rsidRPr="00200909">
        <w:rPr>
          <w:rFonts w:ascii="Times New Roman" w:hAnsi="Times New Roman" w:cs="Times New Roman"/>
          <w:i/>
          <w:sz w:val="24"/>
          <w:szCs w:val="24"/>
        </w:rPr>
        <w:t>Scottish Press</w:t>
      </w:r>
      <w:r w:rsidRPr="00200909">
        <w:rPr>
          <w:rFonts w:ascii="Times New Roman" w:hAnsi="Times New Roman" w:cs="Times New Roman"/>
          <w:sz w:val="24"/>
          <w:szCs w:val="24"/>
        </w:rPr>
        <w:t xml:space="preserve"> accuses us of advocating socialism at the great Reform Meeting at the London Tavern three weeks ago.  We emphatically deny the accusation.  The only passage in our speech touching upon a </w:t>
      </w:r>
      <w:r w:rsidRPr="00200909">
        <w:rPr>
          <w:rFonts w:ascii="Times New Roman" w:hAnsi="Times New Roman" w:cs="Times New Roman"/>
          <w:i/>
          <w:sz w:val="24"/>
          <w:szCs w:val="24"/>
        </w:rPr>
        <w:t>social</w:t>
      </w:r>
      <w:r w:rsidRPr="00200909">
        <w:rPr>
          <w:rFonts w:ascii="Times New Roman" w:hAnsi="Times New Roman" w:cs="Times New Roman"/>
          <w:sz w:val="24"/>
          <w:szCs w:val="24"/>
        </w:rPr>
        <w:t xml:space="preserve">, in distinction from a </w:t>
      </w:r>
      <w:r w:rsidRPr="00200909">
        <w:rPr>
          <w:rFonts w:ascii="Times New Roman" w:hAnsi="Times New Roman" w:cs="Times New Roman"/>
          <w:i/>
          <w:sz w:val="24"/>
          <w:szCs w:val="24"/>
        </w:rPr>
        <w:t>political</w:t>
      </w:r>
      <w:r w:rsidRPr="00200909">
        <w:rPr>
          <w:rFonts w:ascii="Times New Roman" w:hAnsi="Times New Roman" w:cs="Times New Roman"/>
          <w:sz w:val="24"/>
          <w:szCs w:val="24"/>
        </w:rPr>
        <w:t xml:space="preserve"> question, was the following:—‘I maintain that the earth belongs, first of all, to the inhabitants who are upon it, and that therefore every person alive ought to receive a </w:t>
      </w:r>
      <w:r w:rsidRPr="00200909">
        <w:rPr>
          <w:rFonts w:ascii="Times New Roman" w:hAnsi="Times New Roman" w:cs="Times New Roman"/>
          <w:i/>
          <w:sz w:val="24"/>
          <w:szCs w:val="24"/>
        </w:rPr>
        <w:t>subsistence</w:t>
      </w:r>
      <w:r w:rsidRPr="00200909">
        <w:rPr>
          <w:rFonts w:ascii="Times New Roman" w:hAnsi="Times New Roman" w:cs="Times New Roman"/>
          <w:sz w:val="24"/>
          <w:szCs w:val="24"/>
        </w:rPr>
        <w:t xml:space="preserve"> from the produce of the earth before any one has </w:t>
      </w:r>
      <w:r w:rsidRPr="00200909">
        <w:rPr>
          <w:rFonts w:ascii="Times New Roman" w:hAnsi="Times New Roman" w:cs="Times New Roman"/>
          <w:i/>
          <w:sz w:val="24"/>
          <w:szCs w:val="24"/>
        </w:rPr>
        <w:t>more</w:t>
      </w:r>
      <w:r w:rsidRPr="00200909">
        <w:rPr>
          <w:rFonts w:ascii="Times New Roman" w:hAnsi="Times New Roman" w:cs="Times New Roman"/>
          <w:sz w:val="24"/>
          <w:szCs w:val="24"/>
        </w:rPr>
        <w:t>. […]  But instead of this being the case, what have we?  A system which tells the working man that all the beneficent provisions and provident regulations of nature are repealed—that his labour is not wanted—that the earth’s produce is already monopolised by the few possessing wealth—that no more labourers are required than are sufficient to produce for those few fortunate ones the comforts and elegancies of life—and that to starve is the penalty justly entailed upon all others for their intrusion.’</w:t>
      </w:r>
      <w:r w:rsidRPr="00200909">
        <w:rPr>
          <w:rStyle w:val="FootnoteReference"/>
          <w:rFonts w:ascii="Times New Roman" w:hAnsi="Times New Roman" w:cs="Times New Roman"/>
          <w:sz w:val="24"/>
          <w:szCs w:val="24"/>
        </w:rPr>
        <w:footnoteReference w:id="227"/>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Most important is the introductory remark that the speech was primarily focused upon political rather than social questions.  Reynolds states that it had little to do with Socialism but inveighed against poverty and excessive profiteering.  His demands had been for the industrious classes to have reasonable wages and living conditions, currently unobtainable because of the ‘selfishness and egotism’ of the competitive system.  The argument calls for the morality of individual capitalists to change not that the economic system is inherently deficient or that workers need to take greater control of the means of production.  His charge against those eating ‘the bread of idleness’ would have been seen as attacking the aristocracy </w:t>
      </w:r>
      <w:r w:rsidRPr="00200909">
        <w:rPr>
          <w:rFonts w:ascii="Times New Roman" w:hAnsi="Times New Roman" w:cs="Times New Roman"/>
          <w:sz w:val="24"/>
          <w:szCs w:val="24"/>
        </w:rPr>
        <w:lastRenderedPageBreak/>
        <w:t>not the capitalist class.  However, the report of the ‘Scottish Press’ does indicate that his fiery speeches and articles were open to interpretation, suggesting the looseness with which he expressed views towards matters such as the role of the state and the position of the middle classes, each having implications for the conduct of popular protest.</w:t>
      </w:r>
    </w:p>
    <w:p w:rsidR="001151C3" w:rsidRPr="00200909" w:rsidRDefault="001151C3" w:rsidP="001151C3">
      <w:pPr>
        <w:spacing w:after="120" w:line="360" w:lineRule="auto"/>
        <w:ind w:firstLine="720"/>
        <w:rPr>
          <w:rFonts w:ascii="Times New Roman" w:hAnsi="Times New Roman" w:cs="Times New Roman"/>
          <w:sz w:val="24"/>
          <w:szCs w:val="24"/>
          <w:u w:val="single"/>
        </w:rPr>
      </w:pPr>
      <w:r w:rsidRPr="00200909">
        <w:rPr>
          <w:rFonts w:ascii="Times New Roman" w:hAnsi="Times New Roman" w:cs="Times New Roman"/>
          <w:sz w:val="24"/>
          <w:szCs w:val="24"/>
        </w:rPr>
        <w:t xml:space="preserve">This is not to deny developments were observable in this later period.  They can be </w:t>
      </w:r>
      <w:r w:rsidRPr="00200909">
        <w:rPr>
          <w:rFonts w:ascii="Times New Roman" w:hAnsi="Times New Roman" w:cs="Times New Roman"/>
          <w:bCs/>
          <w:sz w:val="24"/>
          <w:szCs w:val="24"/>
        </w:rPr>
        <w:t>highlighted by the laudatory description of Robert Owen in the</w:t>
      </w:r>
      <w:r w:rsidRPr="00200909">
        <w:rPr>
          <w:rFonts w:ascii="Times New Roman" w:hAnsi="Times New Roman" w:cs="Times New Roman"/>
          <w:i/>
          <w:sz w:val="24"/>
          <w:szCs w:val="24"/>
        </w:rPr>
        <w:t xml:space="preserve"> Political Instructor</w:t>
      </w:r>
      <w:r w:rsidRPr="00200909">
        <w:rPr>
          <w:rFonts w:ascii="Times New Roman" w:hAnsi="Times New Roman" w:cs="Times New Roman"/>
          <w:bCs/>
          <w:sz w:val="24"/>
          <w:szCs w:val="24"/>
        </w:rPr>
        <w:t xml:space="preserve"> which praises the improved condition of his model community at New Lanark and acknowledges it is due to the ‘excellence of his measures’.</w:t>
      </w:r>
      <w:r w:rsidRPr="00200909">
        <w:rPr>
          <w:rStyle w:val="FootnoteReference"/>
          <w:rFonts w:ascii="Times New Roman" w:hAnsi="Times New Roman" w:cs="Times New Roman"/>
          <w:sz w:val="24"/>
          <w:szCs w:val="24"/>
        </w:rPr>
        <w:footnoteReference w:id="228"/>
      </w:r>
      <w:r w:rsidRPr="00200909">
        <w:rPr>
          <w:rFonts w:ascii="Times New Roman" w:hAnsi="Times New Roman" w:cs="Times New Roman"/>
          <w:bCs/>
          <w:sz w:val="24"/>
          <w:szCs w:val="24"/>
        </w:rPr>
        <w:t xml:space="preserve">  However, echoes of </w:t>
      </w:r>
      <w:r w:rsidRPr="00200909">
        <w:rPr>
          <w:rFonts w:ascii="Times New Roman" w:hAnsi="Times New Roman" w:cs="Times New Roman"/>
          <w:bCs/>
          <w:i/>
          <w:sz w:val="24"/>
          <w:szCs w:val="24"/>
        </w:rPr>
        <w:t>The Teetotaler</w:t>
      </w:r>
      <w:r w:rsidRPr="00200909">
        <w:rPr>
          <w:rFonts w:ascii="Times New Roman" w:hAnsi="Times New Roman" w:cs="Times New Roman"/>
          <w:bCs/>
          <w:sz w:val="24"/>
          <w:szCs w:val="24"/>
        </w:rPr>
        <w:t xml:space="preserve"> remain.  While there is passing reference to Owen as a Socialist, he is introduced as ‘this great philanthropist’ and mentioned in similar terms a further three times, making Socialism effectively become the peaceable implementation of benevolent measures.  The article is probably most significant for accepting how the conditions provided have had a great influence in the formation of character.  This theme had found strong support in the latter stages of </w:t>
      </w:r>
      <w:r w:rsidRPr="00200909">
        <w:rPr>
          <w:rFonts w:ascii="Times New Roman" w:hAnsi="Times New Roman" w:cs="Times New Roman"/>
          <w:bCs/>
          <w:i/>
          <w:iCs/>
          <w:sz w:val="24"/>
          <w:szCs w:val="24"/>
        </w:rPr>
        <w:t>The Mysteries of London</w:t>
      </w:r>
      <w:r w:rsidRPr="00200909">
        <w:rPr>
          <w:rFonts w:ascii="Times New Roman" w:hAnsi="Times New Roman" w:cs="Times New Roman"/>
          <w:bCs/>
          <w:sz w:val="24"/>
          <w:szCs w:val="24"/>
        </w:rPr>
        <w:t xml:space="preserve"> with the rehabilitation of the criminals who circulate around Old Bones.  After a period </w:t>
      </w:r>
      <w:r w:rsidRPr="009D616D">
        <w:rPr>
          <w:rFonts w:ascii="Times New Roman" w:hAnsi="Times New Roman" w:cs="Times New Roman"/>
          <w:bCs/>
          <w:sz w:val="24"/>
          <w:szCs w:val="24"/>
        </w:rPr>
        <w:t>of isolat</w:t>
      </w:r>
      <w:r w:rsidR="00F81E6F" w:rsidRPr="009D616D">
        <w:rPr>
          <w:rFonts w:ascii="Times New Roman" w:hAnsi="Times New Roman" w:cs="Times New Roman"/>
          <w:bCs/>
          <w:sz w:val="24"/>
          <w:szCs w:val="24"/>
        </w:rPr>
        <w:t>ed</w:t>
      </w:r>
      <w:r w:rsidRPr="009D616D">
        <w:rPr>
          <w:rFonts w:ascii="Times New Roman" w:hAnsi="Times New Roman" w:cs="Times New Roman"/>
          <w:bCs/>
          <w:sz w:val="24"/>
          <w:szCs w:val="24"/>
        </w:rPr>
        <w:t xml:space="preserve"> captivity they are given an opportunity to find a new life of honest endeavour.</w:t>
      </w:r>
      <w:r w:rsidRPr="009D616D">
        <w:rPr>
          <w:rStyle w:val="FootnoteReference"/>
          <w:rFonts w:ascii="Times New Roman" w:hAnsi="Times New Roman" w:cs="Times New Roman"/>
          <w:sz w:val="24"/>
          <w:szCs w:val="24"/>
        </w:rPr>
        <w:footnoteReference w:id="229"/>
      </w:r>
      <w:r w:rsidRPr="009D616D">
        <w:rPr>
          <w:rFonts w:ascii="Times New Roman" w:hAnsi="Times New Roman" w:cs="Times New Roman"/>
          <w:bCs/>
          <w:sz w:val="24"/>
          <w:szCs w:val="24"/>
        </w:rPr>
        <w:t xml:space="preserve">  All grasp the offer except for Bones, who retains a murderous intent, proving to be the only one who is irredeemable.</w:t>
      </w:r>
      <w:r w:rsidRPr="009D616D">
        <w:rPr>
          <w:rStyle w:val="FootnoteReference"/>
          <w:rFonts w:ascii="Times New Roman" w:hAnsi="Times New Roman" w:cs="Times New Roman"/>
          <w:sz w:val="24"/>
          <w:szCs w:val="24"/>
        </w:rPr>
        <w:footnoteReference w:id="230"/>
      </w:r>
      <w:r w:rsidRPr="009D616D">
        <w:rPr>
          <w:rFonts w:ascii="Times New Roman" w:hAnsi="Times New Roman" w:cs="Times New Roman"/>
          <w:bCs/>
          <w:sz w:val="24"/>
          <w:szCs w:val="24"/>
        </w:rPr>
        <w:t xml:space="preserve"> This perspective continues in </w:t>
      </w:r>
      <w:r w:rsidRPr="009D616D">
        <w:rPr>
          <w:rFonts w:ascii="Times New Roman" w:hAnsi="Times New Roman" w:cs="Times New Roman"/>
          <w:i/>
          <w:sz w:val="24"/>
          <w:szCs w:val="24"/>
        </w:rPr>
        <w:t>Reynolds’s</w:t>
      </w:r>
      <w:r w:rsidRPr="009D616D">
        <w:rPr>
          <w:rFonts w:ascii="Times New Roman" w:hAnsi="Times New Roman" w:cs="Times New Roman"/>
          <w:sz w:val="24"/>
          <w:szCs w:val="24"/>
        </w:rPr>
        <w:t xml:space="preserve"> </w:t>
      </w:r>
      <w:r w:rsidRPr="009D616D">
        <w:rPr>
          <w:rFonts w:ascii="Times New Roman" w:hAnsi="Times New Roman" w:cs="Times New Roman"/>
          <w:i/>
          <w:iCs/>
          <w:sz w:val="24"/>
          <w:szCs w:val="24"/>
        </w:rPr>
        <w:t>Newspaper</w:t>
      </w:r>
      <w:r w:rsidRPr="009D616D">
        <w:rPr>
          <w:rFonts w:ascii="Times New Roman" w:hAnsi="Times New Roman" w:cs="Times New Roman"/>
          <w:sz w:val="24"/>
          <w:szCs w:val="24"/>
        </w:rPr>
        <w:t xml:space="preserve">, which generally stiffens the argument regarding environmental factors at the expense of </w:t>
      </w:r>
      <w:r w:rsidRPr="009D616D">
        <w:rPr>
          <w:rFonts w:ascii="Times New Roman" w:hAnsi="Times New Roman" w:cs="Times New Roman"/>
          <w:i/>
          <w:sz w:val="24"/>
          <w:szCs w:val="24"/>
        </w:rPr>
        <w:t xml:space="preserve">The </w:t>
      </w:r>
      <w:r w:rsidRPr="009D616D">
        <w:rPr>
          <w:rFonts w:ascii="Times New Roman" w:hAnsi="Times New Roman" w:cs="Times New Roman"/>
          <w:i/>
          <w:iCs/>
          <w:sz w:val="24"/>
          <w:szCs w:val="24"/>
        </w:rPr>
        <w:t>Teetotaler</w:t>
      </w:r>
      <w:r w:rsidRPr="009D616D">
        <w:rPr>
          <w:rFonts w:ascii="Times New Roman" w:hAnsi="Times New Roman" w:cs="Times New Roman"/>
          <w:sz w:val="24"/>
          <w:szCs w:val="24"/>
        </w:rPr>
        <w:t>’s earlier emphasis upon the role played by individual moral weakness.  An address entitled ‘The Crime and Profligacy of London’ claims that poverty is creating an army of crim</w:t>
      </w:r>
      <w:r w:rsidR="00F81E6F" w:rsidRPr="009D616D">
        <w:rPr>
          <w:rFonts w:ascii="Times New Roman" w:hAnsi="Times New Roman" w:cs="Times New Roman"/>
          <w:sz w:val="24"/>
          <w:szCs w:val="24"/>
        </w:rPr>
        <w:t>inality</w:t>
      </w:r>
      <w:r w:rsidRPr="009D616D">
        <w:rPr>
          <w:rFonts w:ascii="Times New Roman" w:hAnsi="Times New Roman" w:cs="Times New Roman"/>
          <w:sz w:val="24"/>
          <w:szCs w:val="24"/>
        </w:rPr>
        <w:t xml:space="preserve"> and</w:t>
      </w:r>
      <w:r w:rsidRPr="00200909">
        <w:rPr>
          <w:rFonts w:ascii="Times New Roman" w:hAnsi="Times New Roman" w:cs="Times New Roman"/>
          <w:sz w:val="24"/>
          <w:szCs w:val="24"/>
        </w:rPr>
        <w:t xml:space="preserve"> demoralization with children having only one ‘apprenticeship’ to learn.</w:t>
      </w:r>
      <w:r w:rsidRPr="00200909">
        <w:rPr>
          <w:rStyle w:val="FootnoteReference"/>
          <w:rFonts w:ascii="Times New Roman" w:hAnsi="Times New Roman" w:cs="Times New Roman"/>
          <w:sz w:val="24"/>
          <w:szCs w:val="24"/>
        </w:rPr>
        <w:footnoteReference w:id="231"/>
      </w:r>
      <w:r w:rsidRPr="00200909">
        <w:rPr>
          <w:rFonts w:ascii="Times New Roman" w:hAnsi="Times New Roman" w:cs="Times New Roman"/>
          <w:sz w:val="24"/>
          <w:szCs w:val="24"/>
        </w:rPr>
        <w:t xml:space="preserve">  It presents the masses as victims battling against starvation.  Genuine theft is rare with those involved quickly repenting and wishing to return to the path of honesty.  The haughty Aristocracy and purse-proud Moneyocracy are blind to the danger they are responsible for creating, but Reynolds warns the day will come when ‘neither law nor force can prevent the miseries of the millions from becoming a terror to those who dwell in the halls of wrongful luxury’.</w:t>
      </w:r>
      <w:r w:rsidRPr="00200909">
        <w:rPr>
          <w:rStyle w:val="FootnoteReference"/>
          <w:rFonts w:ascii="Times New Roman" w:hAnsi="Times New Roman" w:cs="Times New Roman"/>
          <w:sz w:val="24"/>
          <w:szCs w:val="24"/>
        </w:rPr>
        <w:footnoteReference w:id="232"/>
      </w:r>
    </w:p>
    <w:p w:rsidR="001151C3" w:rsidRPr="00200909" w:rsidRDefault="001151C3" w:rsidP="001151C3">
      <w:pPr>
        <w:spacing w:after="120" w:line="360" w:lineRule="auto"/>
        <w:ind w:firstLine="720"/>
        <w:rPr>
          <w:rFonts w:ascii="Times New Roman" w:hAnsi="Times New Roman" w:cs="Times New Roman"/>
          <w:iCs/>
          <w:sz w:val="24"/>
          <w:szCs w:val="24"/>
        </w:rPr>
      </w:pPr>
      <w:r w:rsidRPr="00200909">
        <w:rPr>
          <w:rFonts w:ascii="Times New Roman" w:hAnsi="Times New Roman" w:cs="Times New Roman"/>
          <w:iCs/>
          <w:sz w:val="24"/>
          <w:szCs w:val="24"/>
        </w:rPr>
        <w:t xml:space="preserve">The adoption of Chartist principles was accompanied by a broadening in Reynolds’s economic thought, exemplified by addresses during 1851 that advocated the nationalisation </w:t>
      </w:r>
      <w:r w:rsidRPr="00200909">
        <w:rPr>
          <w:rFonts w:ascii="Times New Roman" w:hAnsi="Times New Roman" w:cs="Times New Roman"/>
          <w:iCs/>
          <w:sz w:val="24"/>
          <w:szCs w:val="24"/>
        </w:rPr>
        <w:lastRenderedPageBreak/>
        <w:t>of industry.  Citing the Post Office as proof that government interference was not new, he argued that nationalisation will make machinery a blessing rather than a curse, leading to shorter working hours and profits going into the payment of wages.</w:t>
      </w:r>
      <w:r w:rsidRPr="00200909">
        <w:rPr>
          <w:rStyle w:val="FootnoteReference"/>
          <w:rFonts w:ascii="Times New Roman" w:hAnsi="Times New Roman" w:cs="Times New Roman"/>
          <w:iCs/>
          <w:sz w:val="24"/>
          <w:szCs w:val="24"/>
        </w:rPr>
        <w:footnoteReference w:id="233"/>
      </w:r>
      <w:r w:rsidRPr="00200909">
        <w:rPr>
          <w:rFonts w:ascii="Times New Roman" w:hAnsi="Times New Roman" w:cs="Times New Roman"/>
          <w:iCs/>
          <w:sz w:val="24"/>
          <w:szCs w:val="24"/>
        </w:rPr>
        <w:t xml:space="preserve">  The following week he made an unusual criticism of American Republicanism for which he frequently expressed admiration.  In the pol</w:t>
      </w:r>
      <w:r w:rsidRPr="00200909">
        <w:rPr>
          <w:rFonts w:ascii="Times New Roman" w:hAnsi="Times New Roman" w:cs="Times New Roman"/>
          <w:sz w:val="24"/>
          <w:szCs w:val="24"/>
        </w:rPr>
        <w:t>itical arena it was necessary to abolish the senate and socially it had to ‘annihilate all the tyrannies of capital’ and ‘nationalize the land and the manufactures’.</w:t>
      </w:r>
      <w:r w:rsidRPr="00200909">
        <w:rPr>
          <w:rStyle w:val="FootnoteReference"/>
          <w:rFonts w:ascii="Times New Roman" w:hAnsi="Times New Roman" w:cs="Times New Roman"/>
          <w:sz w:val="24"/>
          <w:szCs w:val="24"/>
        </w:rPr>
        <w:footnoteReference w:id="234"/>
      </w:r>
      <w:r w:rsidRPr="00200909">
        <w:rPr>
          <w:rFonts w:ascii="Times New Roman" w:hAnsi="Times New Roman" w:cs="Times New Roman"/>
          <w:sz w:val="24"/>
          <w:szCs w:val="24"/>
        </w:rPr>
        <w:t xml:space="preserve">  </w:t>
      </w:r>
      <w:r w:rsidRPr="00200909">
        <w:rPr>
          <w:rFonts w:ascii="Times New Roman" w:hAnsi="Times New Roman" w:cs="Times New Roman"/>
          <w:iCs/>
          <w:sz w:val="24"/>
          <w:szCs w:val="24"/>
        </w:rPr>
        <w:t>These articles suggest the influence of Bronterre O’Brien who had contributed to the</w:t>
      </w:r>
      <w:r w:rsidRPr="00200909">
        <w:rPr>
          <w:rFonts w:ascii="Times New Roman" w:hAnsi="Times New Roman" w:cs="Times New Roman"/>
          <w:i/>
          <w:sz w:val="24"/>
          <w:szCs w:val="24"/>
        </w:rPr>
        <w:t xml:space="preserve"> Political Instructor.</w:t>
      </w:r>
      <w:r w:rsidRPr="00200909">
        <w:rPr>
          <w:rStyle w:val="FootnoteReference"/>
          <w:rFonts w:ascii="Times New Roman" w:hAnsi="Times New Roman" w:cs="Times New Roman"/>
          <w:sz w:val="24"/>
          <w:szCs w:val="24"/>
        </w:rPr>
        <w:footnoteReference w:id="235"/>
      </w:r>
      <w:r w:rsidRPr="00200909">
        <w:rPr>
          <w:rFonts w:ascii="Times New Roman" w:hAnsi="Times New Roman" w:cs="Times New Roman"/>
          <w:iCs/>
          <w:sz w:val="24"/>
          <w:szCs w:val="24"/>
        </w:rPr>
        <w:t xml:space="preserve">  Reynolds acknowledged him as perhaps the leading theorist of the industrious classes, using the title widely bestowed on him as the ‘political schoolmaster of the age’.</w:t>
      </w:r>
      <w:r w:rsidRPr="00200909">
        <w:rPr>
          <w:rStyle w:val="FootnoteReference"/>
          <w:rFonts w:ascii="Times New Roman" w:hAnsi="Times New Roman" w:cs="Times New Roman"/>
          <w:sz w:val="24"/>
          <w:szCs w:val="24"/>
        </w:rPr>
        <w:footnoteReference w:id="236"/>
      </w:r>
      <w:r w:rsidRPr="00200909">
        <w:rPr>
          <w:rFonts w:ascii="Times New Roman" w:hAnsi="Times New Roman" w:cs="Times New Roman"/>
          <w:iCs/>
          <w:sz w:val="24"/>
          <w:szCs w:val="24"/>
        </w:rPr>
        <w:t xml:space="preserve">  However, it is important not to exaggerate what was meant by nationalisation.  The Chartist movement largely followed two methods to break what they called the ‘land monopoly’.  O’Brien advocated nationalisation of all land coupled with a system of tenancies held directly from the state, while Feargus O’Connor favoured private peasant proprietorship.</w:t>
      </w:r>
      <w:r w:rsidRPr="00200909">
        <w:rPr>
          <w:rStyle w:val="FootnoteReference"/>
          <w:rFonts w:ascii="Times New Roman" w:hAnsi="Times New Roman" w:cs="Times New Roman"/>
          <w:iCs/>
          <w:sz w:val="24"/>
          <w:szCs w:val="24"/>
        </w:rPr>
        <w:footnoteReference w:id="237"/>
      </w:r>
      <w:r w:rsidRPr="00200909">
        <w:rPr>
          <w:rFonts w:ascii="Times New Roman" w:hAnsi="Times New Roman" w:cs="Times New Roman"/>
          <w:iCs/>
          <w:sz w:val="24"/>
          <w:szCs w:val="24"/>
        </w:rPr>
        <w:t xml:space="preserve">  Given that each strategy allowed individual production rather than large state collectivisation, Reynolds could regard them as promoting personal enterprise and lend support to both.  He would also have agreed with O’Brien that there would be just compensation and this ‘great end must be attained gradually and not by revolutionary confiscation’.</w:t>
      </w:r>
      <w:r w:rsidRPr="00200909">
        <w:rPr>
          <w:rStyle w:val="FootnoteReference"/>
          <w:rFonts w:ascii="Times New Roman" w:hAnsi="Times New Roman" w:cs="Times New Roman"/>
          <w:iCs/>
          <w:sz w:val="24"/>
          <w:szCs w:val="24"/>
        </w:rPr>
        <w:footnoteReference w:id="238"/>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Reynolds summarised his position with a manifesto to the electors of Finsbury in 1850 when the possibility arose he might stand for the seat.</w:t>
      </w:r>
      <w:r w:rsidRPr="00200909">
        <w:rPr>
          <w:rStyle w:val="FootnoteReference"/>
          <w:rFonts w:ascii="Times New Roman" w:hAnsi="Times New Roman" w:cs="Times New Roman"/>
          <w:sz w:val="24"/>
          <w:szCs w:val="24"/>
        </w:rPr>
        <w:footnoteReference w:id="239"/>
      </w:r>
      <w:r w:rsidRPr="00200909">
        <w:rPr>
          <w:rFonts w:ascii="Times New Roman" w:hAnsi="Times New Roman" w:cs="Times New Roman"/>
          <w:sz w:val="24"/>
          <w:szCs w:val="24"/>
        </w:rPr>
        <w:t xml:space="preserve">  Denouncing the New Poor Law, calling for the separation of Church and State and the virtual removal of the Pensions List, the address contained an extract from John Wade’s 1849 ‘Unreformed Abuses’ with its strident attack upon aristocratic wastefulness.  Basing himself around the six points of the Charter, Reynolds argued he was a ‘friend to Free Trade’ and called for the replacement of indirect by direct taxation because the former hit the poorer classes disproportionately.  He </w:t>
      </w:r>
      <w:r w:rsidRPr="00200909">
        <w:rPr>
          <w:rFonts w:ascii="Times New Roman" w:hAnsi="Times New Roman" w:cs="Times New Roman"/>
          <w:sz w:val="24"/>
          <w:szCs w:val="24"/>
        </w:rPr>
        <w:lastRenderedPageBreak/>
        <w:t>complained that the middle and working classes were forced to pay the overwhelming amount of taxation, with the aristocracy shifting the burthens ‘upon the shoulders of Trade and Industry’.  It was a programme of progressive, reforming liberalism, confirming that in Reynolds’s journalism, as well as fiction, alongside denunciations of the middle class for their greed lay a more ambiguous attitude.  On the one hand, they were part of the ruling classes and the 1832 Reform Bill had been a ploy to ‘rivet the chains wherewith the Aristocracy and Moneyocracy have bound the masses’.</w:t>
      </w:r>
      <w:r w:rsidRPr="00200909">
        <w:rPr>
          <w:rStyle w:val="FootnoteReference"/>
          <w:rFonts w:ascii="Times New Roman" w:hAnsi="Times New Roman" w:cs="Times New Roman"/>
          <w:sz w:val="24"/>
          <w:szCs w:val="24"/>
        </w:rPr>
        <w:footnoteReference w:id="240"/>
      </w:r>
      <w:r w:rsidRPr="00200909">
        <w:rPr>
          <w:rFonts w:ascii="Times New Roman" w:hAnsi="Times New Roman" w:cs="Times New Roman"/>
          <w:sz w:val="24"/>
          <w:szCs w:val="24"/>
        </w:rPr>
        <w:t xml:space="preserve"> Elsewhere he asserts that ‘Birth and Money are alone represented in Parliament’.</w:t>
      </w:r>
      <w:r w:rsidRPr="00200909">
        <w:rPr>
          <w:rStyle w:val="FootnoteReference"/>
          <w:rFonts w:ascii="Times New Roman" w:hAnsi="Times New Roman" w:cs="Times New Roman"/>
          <w:sz w:val="24"/>
          <w:szCs w:val="24"/>
        </w:rPr>
        <w:footnoteReference w:id="241"/>
      </w:r>
      <w:r w:rsidRPr="00200909">
        <w:rPr>
          <w:rFonts w:ascii="Times New Roman" w:hAnsi="Times New Roman" w:cs="Times New Roman"/>
          <w:sz w:val="24"/>
          <w:szCs w:val="24"/>
        </w:rPr>
        <w:t xml:space="preserve">  However, political power is mainly held by the aristocracy who control the monarchy and armed forces.  Furthermore, Reynolds frequently displays a degree of sympathy for the middle classes, since they too are squeezed by an aristocracy who live as ‘state pensioners’ with the money wrung from their toil and that of the working classes.</w:t>
      </w:r>
      <w:r w:rsidRPr="00200909">
        <w:rPr>
          <w:rStyle w:val="FootnoteReference"/>
          <w:rFonts w:ascii="Times New Roman" w:hAnsi="Times New Roman" w:cs="Times New Roman"/>
          <w:sz w:val="24"/>
          <w:szCs w:val="24"/>
        </w:rPr>
        <w:footnoteReference w:id="242"/>
      </w:r>
      <w:r w:rsidRPr="00200909">
        <w:rPr>
          <w:rFonts w:ascii="Times New Roman" w:hAnsi="Times New Roman" w:cs="Times New Roman"/>
          <w:sz w:val="24"/>
          <w:szCs w:val="24"/>
        </w:rPr>
        <w:t xml:space="preserve">  When commenting upon Disraeli’s 1852 budget, he argues that all are drained by the demands of the nobility: ‘Not a single branch of industry is to be relieved from the burdens of taxation’.</w:t>
      </w:r>
      <w:r w:rsidRPr="00200909">
        <w:rPr>
          <w:rStyle w:val="FootnoteReference"/>
          <w:rFonts w:ascii="Times New Roman" w:hAnsi="Times New Roman" w:cs="Times New Roman"/>
          <w:sz w:val="24"/>
          <w:szCs w:val="24"/>
        </w:rPr>
        <w:footnoteReference w:id="243"/>
      </w:r>
      <w:r w:rsidRPr="00200909">
        <w:rPr>
          <w:rFonts w:ascii="Times New Roman" w:hAnsi="Times New Roman" w:cs="Times New Roman"/>
          <w:sz w:val="24"/>
          <w:szCs w:val="24"/>
        </w:rPr>
        <w:t xml:space="preserve">  This position was suggested when he sought support from small traders whom he saw as doomed by ‘the demon of Competition’.</w:t>
      </w:r>
      <w:r w:rsidRPr="00200909">
        <w:rPr>
          <w:rStyle w:val="FootnoteReference"/>
          <w:rFonts w:ascii="Times New Roman" w:hAnsi="Times New Roman" w:cs="Times New Roman"/>
          <w:sz w:val="24"/>
          <w:szCs w:val="24"/>
        </w:rPr>
        <w:footnoteReference w:id="244"/>
      </w:r>
      <w:r w:rsidRPr="00200909">
        <w:rPr>
          <w:rFonts w:ascii="Times New Roman" w:hAnsi="Times New Roman" w:cs="Times New Roman"/>
          <w:sz w:val="24"/>
          <w:szCs w:val="24"/>
        </w:rPr>
        <w:t xml:space="preserve">  Driven by petty selfishness and unattainable aspirations, they had sided with the rich against the poor to their own cost: ‘Competition is a monster which these Frankensteins of shopkeepers have themselves created and inspired with all its terrible vitality’.</w:t>
      </w:r>
      <w:r w:rsidRPr="00200909">
        <w:rPr>
          <w:rStyle w:val="FootnoteReference"/>
          <w:rFonts w:ascii="Times New Roman" w:hAnsi="Times New Roman" w:cs="Times New Roman"/>
          <w:sz w:val="24"/>
          <w:szCs w:val="24"/>
        </w:rPr>
        <w:footnoteReference w:id="245"/>
      </w:r>
      <w:r w:rsidRPr="00200909">
        <w:rPr>
          <w:rFonts w:ascii="Times New Roman" w:hAnsi="Times New Roman" w:cs="Times New Roman"/>
          <w:sz w:val="24"/>
          <w:szCs w:val="24"/>
        </w:rPr>
        <w:t xml:space="preserve">  It was necessary to realize their error and acknowledge the decency and </w:t>
      </w:r>
      <w:r w:rsidRPr="009D616D">
        <w:rPr>
          <w:rFonts w:ascii="Times New Roman" w:hAnsi="Times New Roman" w:cs="Times New Roman"/>
          <w:sz w:val="24"/>
          <w:szCs w:val="24"/>
        </w:rPr>
        <w:t>courage of workers, uniting</w:t>
      </w:r>
      <w:r w:rsidRPr="00200909">
        <w:rPr>
          <w:rFonts w:ascii="Times New Roman" w:hAnsi="Times New Roman" w:cs="Times New Roman"/>
          <w:sz w:val="24"/>
          <w:szCs w:val="24"/>
        </w:rPr>
        <w:t xml:space="preserve"> with them in the call for universal suffrage.  In seeing an identity of interests between the two, the alliance he envisages is again primarily based upon moral virtues and its aim remains to moderate the excesses of competition rather than create new economic structures.</w:t>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Also important for determining Reynolds’s portrayals of protest was his view of the state.  Any that were despotic justified violent action by the population, a view that again echoed Locke:</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 xml:space="preserve">Just and moderate governments are every where quiet, every where safe. But oppression raises ferments, and makes men struggle to cast off an uneasy and tyrannical yoke. [It is] the common disposition of all mankind, who, when they groan </w:t>
      </w:r>
      <w:r w:rsidRPr="00200909">
        <w:rPr>
          <w:rFonts w:ascii="Times New Roman" w:hAnsi="Times New Roman" w:cs="Times New Roman"/>
          <w:sz w:val="24"/>
          <w:szCs w:val="24"/>
        </w:rPr>
        <w:lastRenderedPageBreak/>
        <w:t>under any heavy burthen, endeavour naturally to shake off the yoke that galls their neck.</w:t>
      </w:r>
      <w:r w:rsidRPr="00200909">
        <w:rPr>
          <w:rStyle w:val="FootnoteReference"/>
          <w:rFonts w:ascii="Times New Roman" w:hAnsi="Times New Roman" w:cs="Times New Roman"/>
          <w:sz w:val="24"/>
          <w:szCs w:val="24"/>
        </w:rPr>
        <w:footnoteReference w:id="246"/>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Lockean toleration did not entail accepting rule that endangered the well-being of the individual or nation.  In Europe, rule by terror had goaded people into the uprisings of 1848.  Reynolds saw this positively, arguing that workers fought for the rights of the general population and revolutions were ‘not merely the signs of progress, but they </w:t>
      </w:r>
      <w:r w:rsidRPr="00200909">
        <w:rPr>
          <w:rFonts w:ascii="Times New Roman" w:hAnsi="Times New Roman" w:cs="Times New Roman"/>
          <w:i/>
          <w:iCs/>
          <w:sz w:val="24"/>
          <w:szCs w:val="24"/>
        </w:rPr>
        <w:t>are</w:t>
      </w:r>
      <w:r w:rsidRPr="00200909">
        <w:rPr>
          <w:rFonts w:ascii="Times New Roman" w:hAnsi="Times New Roman" w:cs="Times New Roman"/>
          <w:sz w:val="24"/>
          <w:szCs w:val="24"/>
        </w:rPr>
        <w:t xml:space="preserve"> progress in themselves’.</w:t>
      </w:r>
      <w:r w:rsidRPr="00200909">
        <w:rPr>
          <w:rStyle w:val="FootnoteReference"/>
          <w:rFonts w:ascii="Times New Roman" w:hAnsi="Times New Roman" w:cs="Times New Roman"/>
          <w:sz w:val="24"/>
          <w:szCs w:val="24"/>
        </w:rPr>
        <w:footnoteReference w:id="247"/>
      </w:r>
      <w:r w:rsidRPr="00200909">
        <w:rPr>
          <w:rFonts w:ascii="Times New Roman" w:hAnsi="Times New Roman" w:cs="Times New Roman"/>
          <w:sz w:val="24"/>
          <w:szCs w:val="24"/>
        </w:rPr>
        <w:t xml:space="preserve">  France in 1789, 1830 and 1848 exemplified this, and despite shortcomings, as when Napoleon crushed the republic, Reynolds saw the period as one of improvement confidently proclaiming: ‘To France, then, revolution is progress.’</w:t>
      </w:r>
      <w:r w:rsidRPr="00200909">
        <w:rPr>
          <w:rStyle w:val="FootnoteReference"/>
          <w:rFonts w:ascii="Times New Roman" w:hAnsi="Times New Roman" w:cs="Times New Roman"/>
          <w:sz w:val="24"/>
          <w:szCs w:val="24"/>
        </w:rPr>
        <w:footnoteReference w:id="248"/>
      </w:r>
      <w:r w:rsidRPr="00200909">
        <w:rPr>
          <w:rFonts w:ascii="Times New Roman" w:hAnsi="Times New Roman" w:cs="Times New Roman"/>
          <w:sz w:val="24"/>
          <w:szCs w:val="24"/>
        </w:rPr>
        <w:t xml:space="preserve">  However, the situation at home was seen differently, indicated by two unsigned </w:t>
      </w:r>
      <w:r w:rsidRPr="00200909">
        <w:rPr>
          <w:rFonts w:ascii="Times New Roman" w:hAnsi="Times New Roman" w:cs="Times New Roman"/>
          <w:i/>
          <w:iCs/>
          <w:sz w:val="24"/>
          <w:szCs w:val="24"/>
        </w:rPr>
        <w:t>Miscellany</w:t>
      </w:r>
      <w:r w:rsidRPr="00200909">
        <w:rPr>
          <w:rFonts w:ascii="Times New Roman" w:hAnsi="Times New Roman" w:cs="Times New Roman"/>
          <w:sz w:val="24"/>
          <w:szCs w:val="24"/>
        </w:rPr>
        <w:t xml:space="preserve"> articles that focused upon the Royal Families of Britain and Spain.  The one on Victoria and Albert is relatively complimentary:</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A great, a free, and an industrious people have with one accord acknowledged Victoria as their chief magistrate; and she has not the will, even if unfortunately she had the power, to be despotic.  She can commit no act of injustice in her public capacity: the royal mandate can no longer command arrests, confiscations, banishments, and even executions, save in carrying out the sentences pronounced by competent and regularly constituted tribunals.  Absolute monarchy is henceforth as impossible in England, as it is impossible that the English people themselves can ever retrograde to that state of barbarism in which they were discovered by the Romans.  We possess essentially republican institutions ranged around a throne.</w:t>
      </w:r>
      <w:r w:rsidRPr="00200909">
        <w:rPr>
          <w:rStyle w:val="FootnoteReference"/>
          <w:rFonts w:ascii="Times New Roman" w:hAnsi="Times New Roman" w:cs="Times New Roman"/>
          <w:sz w:val="24"/>
          <w:szCs w:val="24"/>
        </w:rPr>
        <w:footnoteReference w:id="249"/>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The passage argues that Victoria is not an imposed tyrant since she has been welcomed wholeheartedly by a free people.  It rejects the idea she could act as a despot since the nation’s laws are passed by ‘competent and regularly constituted tribunals’, suggesting governments are well run and frequently renewed.  The final sentence pointing to the limitations of monarchical power held significance for Reynolds since he re-used it a year later in </w:t>
      </w:r>
      <w:r w:rsidRPr="00200909">
        <w:rPr>
          <w:rFonts w:ascii="Times New Roman" w:hAnsi="Times New Roman" w:cs="Times New Roman"/>
          <w:i/>
          <w:sz w:val="24"/>
          <w:szCs w:val="24"/>
        </w:rPr>
        <w:t xml:space="preserve">The </w:t>
      </w:r>
      <w:r w:rsidRPr="00200909">
        <w:rPr>
          <w:rFonts w:ascii="Times New Roman" w:hAnsi="Times New Roman" w:cs="Times New Roman"/>
          <w:i/>
          <w:iCs/>
          <w:sz w:val="24"/>
          <w:szCs w:val="24"/>
        </w:rPr>
        <w:t>Mysteries of London</w:t>
      </w:r>
      <w:r w:rsidRPr="00200909">
        <w:rPr>
          <w:rFonts w:ascii="Times New Roman" w:hAnsi="Times New Roman" w:cs="Times New Roman"/>
          <w:sz w:val="24"/>
          <w:szCs w:val="24"/>
        </w:rPr>
        <w:t xml:space="preserve"> to describe Castelcicala as Richard Markham guides it from autocratic rule.</w:t>
      </w:r>
      <w:r w:rsidRPr="00200909">
        <w:rPr>
          <w:rStyle w:val="FootnoteReference"/>
          <w:rFonts w:ascii="Times New Roman" w:hAnsi="Times New Roman" w:cs="Times New Roman"/>
          <w:sz w:val="24"/>
          <w:szCs w:val="24"/>
        </w:rPr>
        <w:footnoteReference w:id="250"/>
      </w:r>
      <w:r w:rsidRPr="00200909">
        <w:rPr>
          <w:rFonts w:ascii="Times New Roman" w:hAnsi="Times New Roman" w:cs="Times New Roman"/>
          <w:sz w:val="24"/>
          <w:szCs w:val="24"/>
        </w:rPr>
        <w:t xml:space="preserve">  Politically speaking, </w:t>
      </w:r>
      <w:r w:rsidRPr="00F81E6F">
        <w:rPr>
          <w:rFonts w:ascii="Times New Roman" w:hAnsi="Times New Roman" w:cs="Times New Roman"/>
          <w:sz w:val="24"/>
          <w:szCs w:val="24"/>
        </w:rPr>
        <w:t>England is presented as being at an interim stage where she has the opportunity to attain the republican status he desired.  This is in sharp contrast to the picture of how Spain is positioned, which emphasises the ignorance and frivolity of Queen Isabella II and describes the Queen-Mother, Christina</w:t>
      </w:r>
      <w:r w:rsidR="00BC6444" w:rsidRPr="00F81E6F">
        <w:rPr>
          <w:rFonts w:ascii="Times New Roman" w:hAnsi="Times New Roman" w:cs="Times New Roman"/>
          <w:sz w:val="24"/>
          <w:szCs w:val="24"/>
        </w:rPr>
        <w:t>,</w:t>
      </w:r>
      <w:r w:rsidRPr="00F81E6F">
        <w:rPr>
          <w:rFonts w:ascii="Times New Roman" w:hAnsi="Times New Roman" w:cs="Times New Roman"/>
          <w:sz w:val="24"/>
          <w:szCs w:val="24"/>
        </w:rPr>
        <w:t xml:space="preserve"> as ‘</w:t>
      </w:r>
      <w:r w:rsidRPr="00200909">
        <w:rPr>
          <w:rFonts w:ascii="Times New Roman" w:hAnsi="Times New Roman" w:cs="Times New Roman"/>
          <w:sz w:val="24"/>
          <w:szCs w:val="24"/>
        </w:rPr>
        <w:t xml:space="preserve">immensely rich </w:t>
      </w:r>
      <w:r w:rsidRPr="00200909">
        <w:rPr>
          <w:rFonts w:ascii="Times New Roman" w:hAnsi="Times New Roman" w:cs="Times New Roman"/>
          <w:sz w:val="24"/>
          <w:szCs w:val="24"/>
        </w:rPr>
        <w:lastRenderedPageBreak/>
        <w:t>[…] excessively avaricious [and] detested by the great majority of the Spanish nation’.</w:t>
      </w:r>
      <w:r w:rsidRPr="00200909">
        <w:rPr>
          <w:rStyle w:val="FootnoteReference"/>
          <w:rFonts w:ascii="Times New Roman" w:hAnsi="Times New Roman" w:cs="Times New Roman"/>
          <w:sz w:val="24"/>
          <w:szCs w:val="24"/>
        </w:rPr>
        <w:footnoteReference w:id="251"/>
      </w:r>
      <w:r w:rsidRPr="00200909">
        <w:rPr>
          <w:rFonts w:ascii="Times New Roman" w:hAnsi="Times New Roman" w:cs="Times New Roman"/>
          <w:sz w:val="24"/>
          <w:szCs w:val="24"/>
        </w:rPr>
        <w:t xml:space="preserve">  The country is in a deplorable condition, governed by the conservative Moderados who ‘constitute the smallest of the political parties’ and their opponents must make common cause against them.</w:t>
      </w:r>
      <w:r w:rsidRPr="00200909">
        <w:rPr>
          <w:rStyle w:val="FootnoteReference"/>
          <w:rFonts w:ascii="Times New Roman" w:hAnsi="Times New Roman" w:cs="Times New Roman"/>
          <w:sz w:val="24"/>
          <w:szCs w:val="24"/>
        </w:rPr>
        <w:footnoteReference w:id="252"/>
      </w:r>
      <w:r w:rsidRPr="00200909">
        <w:rPr>
          <w:rFonts w:ascii="Times New Roman" w:hAnsi="Times New Roman" w:cs="Times New Roman"/>
          <w:sz w:val="24"/>
          <w:szCs w:val="24"/>
        </w:rPr>
        <w:t xml:space="preserve">  Other articles appearing soon after which describe contemporary British parliamentary figures confirm the difference.  One refers to Sir Robert Peel: ‘his splendid talents—his admirable tact—</w:t>
      </w:r>
      <w:r w:rsidRPr="00200909">
        <w:rPr>
          <w:rFonts w:ascii="Times New Roman" w:hAnsi="Times New Roman" w:cs="Times New Roman"/>
          <w:sz w:val="24"/>
          <w:szCs w:val="24"/>
          <w:vertAlign w:val="superscript"/>
        </w:rPr>
        <w:t xml:space="preserve"> </w:t>
      </w:r>
      <w:r w:rsidRPr="00200909">
        <w:rPr>
          <w:rFonts w:ascii="Times New Roman" w:hAnsi="Times New Roman" w:cs="Times New Roman"/>
          <w:sz w:val="24"/>
          <w:szCs w:val="24"/>
        </w:rPr>
        <w:t>his impressive, logical, and yet brilliant eloquence’.</w:t>
      </w:r>
      <w:r w:rsidRPr="00200909">
        <w:rPr>
          <w:rStyle w:val="FootnoteReference"/>
          <w:rFonts w:ascii="Times New Roman" w:hAnsi="Times New Roman" w:cs="Times New Roman"/>
          <w:sz w:val="24"/>
          <w:szCs w:val="24"/>
        </w:rPr>
        <w:footnoteReference w:id="253"/>
      </w:r>
      <w:r w:rsidRPr="00200909">
        <w:rPr>
          <w:rFonts w:ascii="Times New Roman" w:hAnsi="Times New Roman" w:cs="Times New Roman"/>
          <w:sz w:val="24"/>
          <w:szCs w:val="24"/>
        </w:rPr>
        <w:t xml:space="preserve">  Occasional criticisms are made regarding their lack of political acumen and oratorical ability but none suggest the nation endures dictatorship.  Such writings suggest Reynolds tried to steer a course that highlighted the failings of the aristocracy while acknowledging Britain was not a genuine tyranny.  In doing so, he lacked consistency in his appraisal of the state, since many articles forthrightly described its violent role:</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[L]aws are mere engines of repression and coercion, wielded by the privileged orders: and as the privileged orders are the stronger party, having the army, navy, and constabulary forces on their side, they are enabled to tyrannise at will under the colour of “vindicating or defending society!”</w:t>
      </w:r>
      <w:r w:rsidRPr="00200909">
        <w:rPr>
          <w:rStyle w:val="FootnoteReference"/>
          <w:rFonts w:ascii="Times New Roman" w:hAnsi="Times New Roman" w:cs="Times New Roman"/>
          <w:sz w:val="24"/>
          <w:szCs w:val="24"/>
        </w:rPr>
        <w:footnoteReference w:id="254"/>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This placed the judiciary and military as tools of the upper classes, employed to maintain their privileges under the hypocritical claim of ‘defending society’.  Reynolds writes the workers will be menaced with cannon and bayonets should they show discontent and argues only political equality will heal class divisions so that ‘the Duke of Wellington will not be compelled to marshal his troops and prepare his artillery to butcher the people’.</w:t>
      </w:r>
      <w:r w:rsidRPr="00200909">
        <w:rPr>
          <w:rStyle w:val="FootnoteReference"/>
          <w:rFonts w:ascii="Times New Roman" w:hAnsi="Times New Roman" w:cs="Times New Roman"/>
          <w:sz w:val="24"/>
          <w:szCs w:val="24"/>
        </w:rPr>
        <w:footnoteReference w:id="255"/>
      </w:r>
      <w:r w:rsidRPr="00200909">
        <w:rPr>
          <w:rFonts w:ascii="Times New Roman" w:hAnsi="Times New Roman" w:cs="Times New Roman"/>
          <w:sz w:val="24"/>
          <w:szCs w:val="24"/>
        </w:rPr>
        <w:t xml:space="preserve">  A few weeks later the aristocracy are described as becoming more powerful, demonstrated by their response to the Chartist demonstration on 10 April 1848, when the right of assemblage was arrogantly dismissed and a ‘Reign of Terror’ imposed, which proved how a ‘worse than Russian despotism’ could be implemented in England.</w:t>
      </w:r>
      <w:r w:rsidRPr="00200909">
        <w:rPr>
          <w:rStyle w:val="FootnoteReference"/>
          <w:rFonts w:ascii="Times New Roman" w:hAnsi="Times New Roman" w:cs="Times New Roman"/>
          <w:sz w:val="24"/>
          <w:szCs w:val="24"/>
        </w:rPr>
        <w:footnoteReference w:id="256"/>
      </w:r>
      <w:r w:rsidRPr="00200909">
        <w:rPr>
          <w:rFonts w:ascii="Times New Roman" w:hAnsi="Times New Roman" w:cs="Times New Roman"/>
          <w:sz w:val="24"/>
          <w:szCs w:val="24"/>
        </w:rPr>
        <w:t xml:space="preserve">  Such action sees the aristocracy, monarchy and middle classes in league against workers and acting like their continental counterparts.  Any talk of English liberty was nonsense when six sevenths of the community were at the mercy of the one seventh that possessed the vote.  The minority levy taxes </w:t>
      </w:r>
      <w:r w:rsidRPr="00200909">
        <w:rPr>
          <w:rFonts w:ascii="Times New Roman" w:hAnsi="Times New Roman" w:cs="Times New Roman"/>
          <w:sz w:val="24"/>
          <w:szCs w:val="24"/>
        </w:rPr>
        <w:lastRenderedPageBreak/>
        <w:t>through parliament and if the majority revolt they are met with ‘police, soldiers, and cannon—or else with the gibbet, the hulks, the penal settlement, or the prison’.</w:t>
      </w:r>
      <w:r w:rsidRPr="00200909">
        <w:rPr>
          <w:rStyle w:val="FootnoteReference"/>
          <w:rFonts w:ascii="Times New Roman" w:hAnsi="Times New Roman" w:cs="Times New Roman"/>
          <w:sz w:val="24"/>
          <w:szCs w:val="24"/>
        </w:rPr>
        <w:footnoteReference w:id="257"/>
      </w:r>
    </w:p>
    <w:p w:rsidR="001151C3" w:rsidRPr="00200909" w:rsidRDefault="001151C3" w:rsidP="001151C3">
      <w:pPr>
        <w:spacing w:after="120" w:line="360" w:lineRule="auto"/>
        <w:ind w:firstLine="720"/>
        <w:rPr>
          <w:rFonts w:ascii="Times New Roman" w:hAnsi="Times New Roman" w:cs="Times New Roman"/>
          <w:sz w:val="24"/>
          <w:szCs w:val="24"/>
        </w:rPr>
      </w:pPr>
      <w:r w:rsidRPr="00200909">
        <w:rPr>
          <w:rFonts w:ascii="Times New Roman" w:hAnsi="Times New Roman" w:cs="Times New Roman"/>
          <w:sz w:val="24"/>
          <w:szCs w:val="24"/>
        </w:rPr>
        <w:t xml:space="preserve">Weaving through these articles, however, are others that adopt a different perspective, </w:t>
      </w:r>
      <w:r w:rsidRPr="00F81E6F">
        <w:rPr>
          <w:rFonts w:ascii="Times New Roman" w:hAnsi="Times New Roman" w:cs="Times New Roman"/>
          <w:sz w:val="24"/>
          <w:szCs w:val="24"/>
        </w:rPr>
        <w:t xml:space="preserve">echoing </w:t>
      </w:r>
      <w:r w:rsidR="00FD088D" w:rsidRPr="00F81E6F">
        <w:rPr>
          <w:rFonts w:ascii="Times New Roman" w:hAnsi="Times New Roman" w:cs="Times New Roman"/>
          <w:sz w:val="24"/>
          <w:szCs w:val="24"/>
        </w:rPr>
        <w:t xml:space="preserve">those published </w:t>
      </w:r>
      <w:r w:rsidR="001348AC" w:rsidRPr="00F81E6F">
        <w:rPr>
          <w:rFonts w:ascii="Times New Roman" w:hAnsi="Times New Roman" w:cs="Times New Roman"/>
          <w:sz w:val="24"/>
          <w:szCs w:val="24"/>
        </w:rPr>
        <w:t>e</w:t>
      </w:r>
      <w:r w:rsidRPr="00F81E6F">
        <w:rPr>
          <w:rFonts w:ascii="Times New Roman" w:hAnsi="Times New Roman" w:cs="Times New Roman"/>
          <w:sz w:val="24"/>
          <w:szCs w:val="24"/>
        </w:rPr>
        <w:t>arlier</w:t>
      </w:r>
      <w:r w:rsidR="001348AC" w:rsidRPr="00F81E6F">
        <w:rPr>
          <w:rFonts w:ascii="Times New Roman" w:hAnsi="Times New Roman" w:cs="Times New Roman"/>
          <w:sz w:val="24"/>
          <w:szCs w:val="24"/>
        </w:rPr>
        <w:t xml:space="preserve"> in the</w:t>
      </w:r>
      <w:r w:rsidRPr="00F81E6F">
        <w:rPr>
          <w:rFonts w:ascii="Times New Roman" w:hAnsi="Times New Roman" w:cs="Times New Roman"/>
          <w:sz w:val="24"/>
          <w:szCs w:val="24"/>
        </w:rPr>
        <w:t xml:space="preserve"> </w:t>
      </w:r>
      <w:r w:rsidRPr="00F81E6F">
        <w:rPr>
          <w:rFonts w:ascii="Times New Roman" w:hAnsi="Times New Roman" w:cs="Times New Roman"/>
          <w:i/>
          <w:sz w:val="24"/>
          <w:szCs w:val="24"/>
        </w:rPr>
        <w:t>Miscellany</w:t>
      </w:r>
      <w:r w:rsidRPr="00F81E6F">
        <w:rPr>
          <w:rFonts w:ascii="Times New Roman" w:hAnsi="Times New Roman" w:cs="Times New Roman"/>
          <w:sz w:val="24"/>
          <w:szCs w:val="24"/>
        </w:rPr>
        <w:t xml:space="preserve"> and</w:t>
      </w:r>
      <w:r w:rsidRPr="00200909">
        <w:rPr>
          <w:rFonts w:ascii="Times New Roman" w:hAnsi="Times New Roman" w:cs="Times New Roman"/>
          <w:sz w:val="24"/>
          <w:szCs w:val="24"/>
        </w:rPr>
        <w:t xml:space="preserve"> suggesting an exceptional situation exists in Britain offering the hope of peaceful social advancement:</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[T]hrough the revolution of mind, as to a certain extent is the case in England: but where the press is gagged, the right of public meetings denied, […] the down-trampled millions must inevitably find a periodical vent in the volcanic bursting forth of revolution.</w:t>
      </w:r>
      <w:r w:rsidRPr="00200909">
        <w:rPr>
          <w:rStyle w:val="FootnoteReference"/>
          <w:rFonts w:ascii="Times New Roman" w:hAnsi="Times New Roman" w:cs="Times New Roman"/>
          <w:sz w:val="24"/>
          <w:szCs w:val="24"/>
        </w:rPr>
        <w:footnoteReference w:id="258"/>
      </w:r>
      <w:r w:rsidRPr="00200909">
        <w:rPr>
          <w:rFonts w:ascii="Times New Roman" w:hAnsi="Times New Roman" w:cs="Times New Roman"/>
          <w:sz w:val="24"/>
          <w:szCs w:val="24"/>
        </w:rPr>
        <w:t xml:space="preserve"> </w:t>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Reynolds returns to his constant theme of the ‘revolution of the mind’ that is taking place which gives the opportunity for progress by moral means.  He acknowledges the less despotic nature of the upper classes while simultaneously warning that should they adopt the practices employed on the Continent they risk a violent uprising.  This uncertainty is also present when he discusses the need for a written constitution.  Without one, he insists that Britain is controlled by an oligarchy because Parliament is unaccountable and free to pass laws in the interests of a privileged minority.  However, despite having the means to wield despotic power it does not do so, leading him to pull back from his dire warnings: ‘neither do I pretend for a moment that it would venture upon any preposterous outrage upon such liberties as we may happen to possess’.</w:t>
      </w:r>
      <w:r w:rsidRPr="00200909">
        <w:rPr>
          <w:rStyle w:val="FootnoteReference"/>
          <w:rFonts w:ascii="Times New Roman" w:hAnsi="Times New Roman" w:cs="Times New Roman"/>
          <w:sz w:val="24"/>
          <w:szCs w:val="24"/>
        </w:rPr>
        <w:footnoteReference w:id="259"/>
      </w:r>
      <w:r w:rsidRPr="00200909">
        <w:rPr>
          <w:rFonts w:ascii="Times New Roman" w:hAnsi="Times New Roman" w:cs="Times New Roman"/>
          <w:sz w:val="24"/>
          <w:szCs w:val="24"/>
        </w:rPr>
        <w:t xml:space="preserve">  Consequently, he chides the </w:t>
      </w:r>
      <w:r w:rsidRPr="00200909">
        <w:rPr>
          <w:rFonts w:ascii="Times New Roman" w:hAnsi="Times New Roman" w:cs="Times New Roman"/>
          <w:i/>
          <w:sz w:val="24"/>
          <w:szCs w:val="24"/>
        </w:rPr>
        <w:t>Quarterly Review</w:t>
      </w:r>
      <w:r w:rsidRPr="00200909">
        <w:rPr>
          <w:rFonts w:ascii="Times New Roman" w:hAnsi="Times New Roman" w:cs="Times New Roman"/>
          <w:sz w:val="24"/>
          <w:szCs w:val="24"/>
        </w:rPr>
        <w:t xml:space="preserve"> for an article that urged no concessions be made to the working class.</w:t>
      </w:r>
      <w:r w:rsidRPr="00200909">
        <w:rPr>
          <w:rStyle w:val="FootnoteReference"/>
          <w:rFonts w:ascii="Times New Roman" w:hAnsi="Times New Roman" w:cs="Times New Roman"/>
          <w:sz w:val="24"/>
          <w:szCs w:val="24"/>
        </w:rPr>
        <w:footnoteReference w:id="260"/>
      </w:r>
      <w:r w:rsidRPr="00200909">
        <w:rPr>
          <w:rFonts w:ascii="Times New Roman" w:hAnsi="Times New Roman" w:cs="Times New Roman"/>
          <w:sz w:val="24"/>
          <w:szCs w:val="24"/>
        </w:rPr>
        <w:t xml:space="preserve">  For Reynolds, preparedness to compromise is the reason the upper classes have survived in Britain, confirming their difference from continental rulers and suggesting liberal reform can be implemented peacefully:</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But in those countries where the privileged oligarchy yields in time and adopts a prudential course, the grand consummation may be achieved without a single incident of violence and without a dr</w:t>
      </w:r>
      <w:r w:rsidR="00CE455F">
        <w:rPr>
          <w:rFonts w:ascii="Times New Roman" w:hAnsi="Times New Roman" w:cs="Times New Roman"/>
          <w:sz w:val="24"/>
          <w:szCs w:val="24"/>
        </w:rPr>
        <w:t>o</w:t>
      </w:r>
      <w:r w:rsidRPr="00200909">
        <w:rPr>
          <w:rFonts w:ascii="Times New Roman" w:hAnsi="Times New Roman" w:cs="Times New Roman"/>
          <w:sz w:val="24"/>
          <w:szCs w:val="24"/>
        </w:rPr>
        <w:t>p of blood being shed. Such is the warning I seek to give: such is the policy I hope to see carried out.</w:t>
      </w:r>
      <w:r w:rsidRPr="00200909">
        <w:rPr>
          <w:rStyle w:val="FootnoteReference"/>
          <w:rFonts w:ascii="Times New Roman" w:hAnsi="Times New Roman" w:cs="Times New Roman"/>
          <w:sz w:val="24"/>
          <w:szCs w:val="24"/>
        </w:rPr>
        <w:footnoteReference w:id="261"/>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lastRenderedPageBreak/>
        <w:t>Here Reynolds believes it is worthwhile exhorting the ruling classes, offering them the opportunity to take the matter into their own hands and avert bloodshed.  Previous concessions, as with the 1832 Reform Bill, have been to accommodate the middle classes but now ‘the turn of the working classes is come’.</w:t>
      </w:r>
      <w:r w:rsidRPr="00200909">
        <w:rPr>
          <w:rStyle w:val="FootnoteReference"/>
          <w:rFonts w:ascii="Times New Roman" w:hAnsi="Times New Roman" w:cs="Times New Roman"/>
          <w:sz w:val="24"/>
          <w:szCs w:val="24"/>
        </w:rPr>
        <w:footnoteReference w:id="262"/>
      </w:r>
      <w:r w:rsidRPr="00200909">
        <w:rPr>
          <w:rFonts w:ascii="Times New Roman" w:hAnsi="Times New Roman" w:cs="Times New Roman"/>
          <w:sz w:val="24"/>
          <w:szCs w:val="24"/>
        </w:rPr>
        <w:t xml:space="preserve">  At his most optimistic he envisages a social revolution that requires nothing but the close co-operation of the industrious classes:</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Were the masses active, resolute, energetic, and united, they could so wield the battering-ram of Truth that the colossal edifice of injustice […] would speedily totter and soon fall.  Not a drop of blood need be shed—not a hostile finger raised, in order to reach this grand consummation: the intelligence and moral power of the masses, if directed with an unity of purpose, are amply sufficient for the achievement of the sublime result.</w:t>
      </w:r>
      <w:r w:rsidRPr="00200909">
        <w:rPr>
          <w:rStyle w:val="FootnoteReference"/>
          <w:rFonts w:ascii="Times New Roman" w:hAnsi="Times New Roman" w:cs="Times New Roman"/>
          <w:sz w:val="24"/>
          <w:szCs w:val="24"/>
        </w:rPr>
        <w:footnoteReference w:id="263"/>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Such a perspective has implications for the conduct of future protest, making violence unnecessary since they are naturally becoming the dominant force in society.  What is required is an ‘active, resolute, energetic’ unity, in the form of meetings and peaceful demonstrations.  The battering ram of ‘Truth’ will be sufficient and regardless of any military force that might be called upon the ruling oligarchy will crumble and cede its privileges.  He could even prophesy the imminent demise of the nobility due to its degenerate behaviour: ‘The Hereditary Aristocracy is perishing, thank God, visibly and fast: it is dying by a suicidal process’.</w:t>
      </w:r>
      <w:r w:rsidRPr="00200909">
        <w:rPr>
          <w:rStyle w:val="FootnoteReference"/>
          <w:rFonts w:ascii="Times New Roman" w:hAnsi="Times New Roman" w:cs="Times New Roman"/>
          <w:sz w:val="24"/>
          <w:szCs w:val="24"/>
        </w:rPr>
        <w:footnoteReference w:id="264"/>
      </w:r>
      <w:r w:rsidRPr="00200909">
        <w:rPr>
          <w:rFonts w:ascii="Times New Roman" w:hAnsi="Times New Roman" w:cs="Times New Roman"/>
          <w:sz w:val="24"/>
          <w:szCs w:val="24"/>
        </w:rPr>
        <w:t xml:space="preserve">  These newspaper articles present contradictory perspectives of the British ruling classes, one pointing to their strength and willingness to employ despotic force and the other suggesting they are rapidly weakening and open to compromise.</w:t>
      </w:r>
    </w:p>
    <w:p w:rsidR="001151C3" w:rsidRPr="00200909"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b/>
          <w:sz w:val="24"/>
          <w:szCs w:val="24"/>
        </w:rPr>
        <w:tab/>
      </w:r>
      <w:r w:rsidRPr="00200909">
        <w:rPr>
          <w:rFonts w:ascii="Times New Roman" w:hAnsi="Times New Roman" w:cs="Times New Roman"/>
          <w:sz w:val="24"/>
          <w:szCs w:val="24"/>
        </w:rPr>
        <w:t>The chapter has outlined elements of Reynolds’s radicalism, pointing to an equivocal social and political outlook that impacted upon how he saw protest should be undertaken.  Alongside strong environmentalist tendencies lay a cautious approach towards the shortcomings of human nature, an ambivalence summarized by the following:</w:t>
      </w:r>
    </w:p>
    <w:p w:rsidR="001151C3" w:rsidRPr="00200909" w:rsidRDefault="001151C3" w:rsidP="001151C3">
      <w:pPr>
        <w:spacing w:after="240" w:line="240" w:lineRule="auto"/>
        <w:ind w:left="720"/>
        <w:rPr>
          <w:rFonts w:ascii="Times New Roman" w:hAnsi="Times New Roman" w:cs="Times New Roman"/>
          <w:sz w:val="24"/>
          <w:szCs w:val="24"/>
        </w:rPr>
      </w:pPr>
      <w:r w:rsidRPr="00200909">
        <w:rPr>
          <w:rFonts w:ascii="Times New Roman" w:hAnsi="Times New Roman" w:cs="Times New Roman"/>
          <w:sz w:val="24"/>
          <w:szCs w:val="24"/>
        </w:rPr>
        <w:t>Many are driven by circumstances only to commit crime; while others are born with a natural predilection to evil.  It is not well for a virtuous man to be too proud of his abstinence from moral delinquency, unless he can reply in the affirmative to the question ‘Whether he had ever been thrown in the way of temptation, so as to have had an opportunity of resisting it?’</w:t>
      </w:r>
      <w:r w:rsidRPr="00200909">
        <w:rPr>
          <w:rStyle w:val="FootnoteReference"/>
          <w:rFonts w:ascii="Times New Roman" w:hAnsi="Times New Roman" w:cs="Times New Roman"/>
          <w:bCs/>
          <w:sz w:val="24"/>
          <w:szCs w:val="24"/>
        </w:rPr>
        <w:footnoteReference w:id="265"/>
      </w:r>
    </w:p>
    <w:p w:rsidR="006D1C67" w:rsidRDefault="001151C3" w:rsidP="001151C3">
      <w:pPr>
        <w:spacing w:after="120" w:line="360" w:lineRule="auto"/>
        <w:rPr>
          <w:rFonts w:ascii="Times New Roman" w:hAnsi="Times New Roman" w:cs="Times New Roman"/>
          <w:sz w:val="24"/>
          <w:szCs w:val="24"/>
        </w:rPr>
      </w:pPr>
      <w:r w:rsidRPr="00200909">
        <w:rPr>
          <w:rFonts w:ascii="Times New Roman" w:hAnsi="Times New Roman" w:cs="Times New Roman"/>
          <w:sz w:val="24"/>
          <w:szCs w:val="24"/>
        </w:rPr>
        <w:t xml:space="preserve">This sees twin recognition of external factors and innate weakness, with each being related to criminal behaviour.  Although written in 1838, the viewpoint persists in Reynolds’s later </w:t>
      </w:r>
      <w:r w:rsidRPr="00200909">
        <w:rPr>
          <w:rFonts w:ascii="Times New Roman" w:hAnsi="Times New Roman" w:cs="Times New Roman"/>
          <w:sz w:val="24"/>
          <w:szCs w:val="24"/>
        </w:rPr>
        <w:lastRenderedPageBreak/>
        <w:t>writing.</w:t>
      </w:r>
      <w:r w:rsidRPr="00200909">
        <w:rPr>
          <w:rStyle w:val="FootnoteReference"/>
          <w:rFonts w:ascii="Times New Roman" w:hAnsi="Times New Roman" w:cs="Times New Roman"/>
          <w:bCs/>
          <w:sz w:val="24"/>
          <w:szCs w:val="24"/>
        </w:rPr>
        <w:footnoteReference w:id="266"/>
      </w:r>
      <w:r w:rsidRPr="00200909">
        <w:rPr>
          <w:rFonts w:ascii="Times New Roman" w:hAnsi="Times New Roman" w:cs="Times New Roman"/>
          <w:sz w:val="24"/>
          <w:szCs w:val="24"/>
        </w:rPr>
        <w:t xml:space="preserve">  It left him concerned that sections of the industrious classes were liable to adopt methods of struggle that he disavowed or openly feared.  Rejection of violence is not necessarily a sign of anti-radicalism but it may be used to adopt strategies which while claiming to be a reasoned approach guide activity into rejecting or modifying progressive ideas.  In relation to this, it is useful to reference Locke concerning the education of character, where he detailed four aims; ‘virtue, wisdom, breeding and learning’, of which virtue was placed ‘as the first and most necessary’ endowment.</w:t>
      </w:r>
      <w:r w:rsidRPr="00200909">
        <w:rPr>
          <w:rStyle w:val="FootnoteReference"/>
          <w:rFonts w:ascii="Times New Roman" w:hAnsi="Times New Roman" w:cs="Times New Roman"/>
          <w:sz w:val="24"/>
          <w:szCs w:val="24"/>
        </w:rPr>
        <w:footnoteReference w:id="267"/>
      </w:r>
      <w:r w:rsidRPr="00200909">
        <w:rPr>
          <w:rFonts w:ascii="Times New Roman" w:hAnsi="Times New Roman" w:cs="Times New Roman"/>
          <w:sz w:val="24"/>
          <w:szCs w:val="24"/>
        </w:rPr>
        <w:t xml:space="preserve">  This seems applicable to Reynolds, for whom struggle in whatever form must be virtuous.  The un-enfranchised must ‘put their shoulders to the wheel, and by all moral and peaceful means, but still in a bold and determined manner, demand their emancipation from the bonds of serfdom and of slavery.’</w:t>
      </w:r>
      <w:r w:rsidRPr="00200909">
        <w:rPr>
          <w:rStyle w:val="FootnoteReference"/>
          <w:rFonts w:ascii="Times New Roman" w:hAnsi="Times New Roman" w:cs="Times New Roman"/>
          <w:sz w:val="24"/>
          <w:szCs w:val="24"/>
        </w:rPr>
        <w:footnoteReference w:id="268"/>
      </w:r>
      <w:r w:rsidRPr="00200909">
        <w:rPr>
          <w:rFonts w:ascii="Times New Roman" w:hAnsi="Times New Roman" w:cs="Times New Roman"/>
          <w:sz w:val="24"/>
          <w:szCs w:val="24"/>
        </w:rPr>
        <w:t xml:space="preserve">  Such protest would prepare them for the future.  Society was ruled by a privileged minority and they must not emulate its failings.  This caution based upon the need for virtue was reinforced by a belief in providence which argued that while individuals should actively struggle they must conduct themselves patiently and not </w:t>
      </w:r>
      <w:r w:rsidRPr="00F81E6F">
        <w:rPr>
          <w:rFonts w:ascii="Times New Roman" w:hAnsi="Times New Roman" w:cs="Times New Roman"/>
          <w:sz w:val="24"/>
          <w:szCs w:val="24"/>
        </w:rPr>
        <w:t>descend into precipitate behaviour.  Promoting this view was made easier because of his general separation of Britain from continental despotisms.  He could view the 1832 Reform Bill as a fraud while at the same time accepting it had made concessions to the middle classes, leaving open the possibility that future reform might do the same for the</w:t>
      </w:r>
      <w:r w:rsidR="00410BE5" w:rsidRPr="00F81E6F">
        <w:rPr>
          <w:rFonts w:ascii="Times New Roman" w:hAnsi="Times New Roman" w:cs="Times New Roman"/>
          <w:sz w:val="24"/>
          <w:szCs w:val="24"/>
        </w:rPr>
        <w:t xml:space="preserve"> broader population</w:t>
      </w:r>
      <w:r w:rsidRPr="00F81E6F">
        <w:rPr>
          <w:rFonts w:ascii="Times New Roman" w:hAnsi="Times New Roman" w:cs="Times New Roman"/>
          <w:sz w:val="24"/>
          <w:szCs w:val="24"/>
        </w:rPr>
        <w:t>.</w:t>
      </w:r>
      <w:r w:rsidRPr="00200909">
        <w:rPr>
          <w:rFonts w:ascii="Times New Roman" w:hAnsi="Times New Roman" w:cs="Times New Roman"/>
          <w:sz w:val="24"/>
          <w:szCs w:val="24"/>
        </w:rPr>
        <w:t xml:space="preserve">  </w:t>
      </w:r>
      <w:r w:rsidRPr="00DC4AF2">
        <w:rPr>
          <w:rFonts w:ascii="Times New Roman" w:hAnsi="Times New Roman" w:cs="Times New Roman"/>
          <w:sz w:val="24"/>
          <w:szCs w:val="24"/>
        </w:rPr>
        <w:t xml:space="preserve">He </w:t>
      </w:r>
      <w:r w:rsidR="00E73F50" w:rsidRPr="00DC4AF2">
        <w:rPr>
          <w:rFonts w:ascii="Times New Roman" w:hAnsi="Times New Roman" w:cs="Times New Roman"/>
          <w:sz w:val="24"/>
          <w:szCs w:val="24"/>
        </w:rPr>
        <w:t>accuses</w:t>
      </w:r>
      <w:r w:rsidRPr="00DC4AF2">
        <w:rPr>
          <w:rFonts w:ascii="Times New Roman" w:hAnsi="Times New Roman" w:cs="Times New Roman"/>
          <w:sz w:val="24"/>
          <w:szCs w:val="24"/>
        </w:rPr>
        <w:t xml:space="preserve"> the middle class </w:t>
      </w:r>
      <w:r w:rsidR="00E73F50" w:rsidRPr="00DC4AF2">
        <w:rPr>
          <w:rFonts w:ascii="Times New Roman" w:hAnsi="Times New Roman" w:cs="Times New Roman"/>
          <w:sz w:val="24"/>
          <w:szCs w:val="24"/>
        </w:rPr>
        <w:t>of</w:t>
      </w:r>
      <w:r w:rsidRPr="00DC4AF2">
        <w:rPr>
          <w:rFonts w:ascii="Times New Roman" w:hAnsi="Times New Roman" w:cs="Times New Roman"/>
          <w:sz w:val="24"/>
          <w:szCs w:val="24"/>
        </w:rPr>
        <w:t xml:space="preserve"> being a Moneyocracy and Miles Taylor cites articles from </w:t>
      </w:r>
      <w:r w:rsidRPr="00DC4AF2">
        <w:rPr>
          <w:rFonts w:ascii="Times New Roman" w:hAnsi="Times New Roman" w:cs="Times New Roman"/>
          <w:i/>
          <w:sz w:val="24"/>
          <w:szCs w:val="24"/>
        </w:rPr>
        <w:t>Reynolds’</w:t>
      </w:r>
      <w:r w:rsidRPr="00200909">
        <w:rPr>
          <w:rFonts w:ascii="Times New Roman" w:hAnsi="Times New Roman" w:cs="Times New Roman"/>
          <w:i/>
          <w:sz w:val="24"/>
          <w:szCs w:val="24"/>
        </w:rPr>
        <w:t>s Newspaper</w:t>
      </w:r>
      <w:r w:rsidRPr="00200909">
        <w:rPr>
          <w:rFonts w:ascii="Times New Roman" w:hAnsi="Times New Roman" w:cs="Times New Roman"/>
          <w:sz w:val="24"/>
          <w:szCs w:val="24"/>
        </w:rPr>
        <w:t xml:space="preserve"> claiming they could become as despotic as the aristocracy.</w:t>
      </w:r>
      <w:r w:rsidRPr="00200909">
        <w:rPr>
          <w:rStyle w:val="FootnoteReference"/>
          <w:rFonts w:ascii="Times New Roman" w:hAnsi="Times New Roman" w:cs="Times New Roman"/>
          <w:sz w:val="24"/>
          <w:szCs w:val="24"/>
        </w:rPr>
        <w:footnoteReference w:id="269"/>
      </w:r>
      <w:r w:rsidRPr="00200909">
        <w:rPr>
          <w:rFonts w:ascii="Times New Roman" w:hAnsi="Times New Roman" w:cs="Times New Roman"/>
          <w:sz w:val="24"/>
          <w:szCs w:val="24"/>
        </w:rPr>
        <w:t xml:space="preserve">  At the same time he encourages ideas in the value of their industriousness and that their more progressive representatives might facilitate political change.  On this latter point, however, he is more likely to argue that they would fail to do so, making it ‘incumbent on the industrious classes to enter upon this great moral work on their own account’.</w:t>
      </w:r>
      <w:r w:rsidRPr="00200909">
        <w:rPr>
          <w:rStyle w:val="FootnoteReference"/>
          <w:rFonts w:ascii="Times New Roman" w:hAnsi="Times New Roman" w:cs="Times New Roman"/>
          <w:sz w:val="24"/>
          <w:szCs w:val="24"/>
        </w:rPr>
        <w:footnoteReference w:id="270"/>
      </w:r>
      <w:r w:rsidRPr="00200909">
        <w:rPr>
          <w:rFonts w:ascii="Times New Roman" w:hAnsi="Times New Roman" w:cs="Times New Roman"/>
          <w:sz w:val="24"/>
          <w:szCs w:val="24"/>
        </w:rPr>
        <w:t xml:space="preserve">  Reform might see the peaceful end of aristocratic institutions but retain support </w:t>
      </w:r>
      <w:r w:rsidRPr="00F81E6F">
        <w:rPr>
          <w:rFonts w:ascii="Times New Roman" w:hAnsi="Times New Roman" w:cs="Times New Roman"/>
          <w:sz w:val="24"/>
          <w:szCs w:val="24"/>
        </w:rPr>
        <w:t xml:space="preserve">for free trade, while restricting its </w:t>
      </w:r>
      <w:r w:rsidR="00410BE5" w:rsidRPr="00F81E6F">
        <w:rPr>
          <w:rFonts w:ascii="Times New Roman" w:hAnsi="Times New Roman" w:cs="Times New Roman"/>
          <w:sz w:val="24"/>
          <w:szCs w:val="24"/>
        </w:rPr>
        <w:t>onerous and unfair</w:t>
      </w:r>
      <w:r w:rsidRPr="00F81E6F">
        <w:rPr>
          <w:rFonts w:ascii="Times New Roman" w:hAnsi="Times New Roman" w:cs="Times New Roman"/>
          <w:sz w:val="24"/>
          <w:szCs w:val="24"/>
        </w:rPr>
        <w:t xml:space="preserve"> practices.  This placed him at odds with labour theorists, Socialists and many Chartists who held beliefs that for Reynolds amount</w:t>
      </w:r>
      <w:r w:rsidR="00410BE5" w:rsidRPr="00F81E6F">
        <w:rPr>
          <w:rFonts w:ascii="Times New Roman" w:hAnsi="Times New Roman" w:cs="Times New Roman"/>
          <w:sz w:val="24"/>
          <w:szCs w:val="24"/>
        </w:rPr>
        <w:t>ed</w:t>
      </w:r>
      <w:r w:rsidRPr="00F81E6F">
        <w:rPr>
          <w:rFonts w:ascii="Times New Roman" w:hAnsi="Times New Roman" w:cs="Times New Roman"/>
          <w:sz w:val="24"/>
          <w:szCs w:val="24"/>
        </w:rPr>
        <w:t xml:space="preserve"> to little more than spoliation.  </w:t>
      </w:r>
      <w:r w:rsidR="00410BE5" w:rsidRPr="00F81E6F">
        <w:rPr>
          <w:rFonts w:ascii="Times New Roman" w:hAnsi="Times New Roman" w:cs="Times New Roman"/>
          <w:sz w:val="24"/>
          <w:szCs w:val="24"/>
        </w:rPr>
        <w:t>The following</w:t>
      </w:r>
      <w:r w:rsidRPr="00F81E6F">
        <w:rPr>
          <w:rFonts w:ascii="Times New Roman" w:hAnsi="Times New Roman" w:cs="Times New Roman"/>
          <w:sz w:val="24"/>
          <w:szCs w:val="24"/>
        </w:rPr>
        <w:t xml:space="preserve"> chapters will analyse </w:t>
      </w:r>
      <w:r w:rsidR="00410BE5" w:rsidRPr="00F81E6F">
        <w:rPr>
          <w:rFonts w:ascii="Times New Roman" w:hAnsi="Times New Roman" w:cs="Times New Roman"/>
          <w:sz w:val="24"/>
          <w:szCs w:val="24"/>
        </w:rPr>
        <w:t xml:space="preserve">his portrayals </w:t>
      </w:r>
      <w:r w:rsidRPr="00F81E6F">
        <w:rPr>
          <w:rFonts w:ascii="Times New Roman" w:hAnsi="Times New Roman" w:cs="Times New Roman"/>
          <w:sz w:val="24"/>
          <w:szCs w:val="24"/>
        </w:rPr>
        <w:t>of different forms of protest</w:t>
      </w:r>
      <w:r w:rsidRPr="00200909">
        <w:rPr>
          <w:rFonts w:ascii="Times New Roman" w:hAnsi="Times New Roman" w:cs="Times New Roman"/>
          <w:sz w:val="24"/>
          <w:szCs w:val="24"/>
        </w:rPr>
        <w:t xml:space="preserve"> and how they are influenced by these </w:t>
      </w:r>
      <w:r w:rsidRPr="00200909">
        <w:rPr>
          <w:rFonts w:ascii="Times New Roman" w:hAnsi="Times New Roman" w:cs="Times New Roman"/>
          <w:sz w:val="24"/>
          <w:szCs w:val="24"/>
        </w:rPr>
        <w:lastRenderedPageBreak/>
        <w:t xml:space="preserve">underlying values as his </w:t>
      </w:r>
      <w:r w:rsidRPr="00F81E6F">
        <w:rPr>
          <w:rFonts w:ascii="Times New Roman" w:hAnsi="Times New Roman" w:cs="Times New Roman"/>
          <w:sz w:val="24"/>
          <w:szCs w:val="24"/>
        </w:rPr>
        <w:t>outlook</w:t>
      </w:r>
      <w:r w:rsidR="00410BE5" w:rsidRPr="00F81E6F">
        <w:rPr>
          <w:rFonts w:ascii="Times New Roman" w:hAnsi="Times New Roman" w:cs="Times New Roman"/>
          <w:sz w:val="24"/>
          <w:szCs w:val="24"/>
        </w:rPr>
        <w:t xml:space="preserve"> developed and became more radical</w:t>
      </w:r>
      <w:r w:rsidRPr="00200909">
        <w:rPr>
          <w:rFonts w:ascii="Times New Roman" w:hAnsi="Times New Roman" w:cs="Times New Roman"/>
          <w:sz w:val="24"/>
          <w:szCs w:val="24"/>
        </w:rPr>
        <w:t xml:space="preserve"> over the period under discussion.</w:t>
      </w:r>
    </w:p>
    <w:p w:rsidR="006D1C67" w:rsidRDefault="006D1C67" w:rsidP="006D1C67">
      <w:r>
        <w:br w:type="page"/>
      </w:r>
    </w:p>
    <w:p w:rsidR="001151C3" w:rsidRPr="00200909" w:rsidRDefault="001151C3" w:rsidP="001151C3">
      <w:pPr>
        <w:spacing w:after="120" w:line="360" w:lineRule="auto"/>
        <w:rPr>
          <w:rFonts w:ascii="Times New Roman" w:hAnsi="Times New Roman" w:cs="Times New Roman"/>
          <w:sz w:val="24"/>
          <w:szCs w:val="24"/>
        </w:rPr>
      </w:pPr>
    </w:p>
    <w:p w:rsidR="001151C3" w:rsidRPr="00200909" w:rsidRDefault="001151C3" w:rsidP="001151C3">
      <w:pPr>
        <w:spacing w:after="160" w:line="259" w:lineRule="auto"/>
        <w:rPr>
          <w:rFonts w:ascii="Times New Roman" w:hAnsi="Times New Roman" w:cs="Times New Roman"/>
          <w:sz w:val="24"/>
          <w:szCs w:val="24"/>
        </w:rPr>
      </w:pPr>
    </w:p>
    <w:p w:rsidR="001151C3" w:rsidRDefault="001151C3" w:rsidP="00690DF3">
      <w:pPr>
        <w:spacing w:after="120" w:line="360" w:lineRule="auto"/>
        <w:ind w:firstLine="720"/>
        <w:rPr>
          <w:rFonts w:ascii="Times New Roman" w:hAnsi="Times New Roman" w:cs="Times New Roman"/>
          <w:sz w:val="24"/>
          <w:szCs w:val="24"/>
        </w:rPr>
        <w:sectPr w:rsidR="001151C3" w:rsidSect="00A2202B">
          <w:footnotePr>
            <w:numRestart w:val="eachSect"/>
          </w:footnotePr>
          <w:pgSz w:w="11906" w:h="16838"/>
          <w:pgMar w:top="1440" w:right="1440" w:bottom="1440" w:left="1440" w:header="708" w:footer="708" w:gutter="0"/>
          <w:cols w:space="708"/>
          <w:docGrid w:linePitch="360"/>
        </w:sectPr>
      </w:pPr>
    </w:p>
    <w:p w:rsidR="00C73A2E" w:rsidRPr="00D7340C" w:rsidRDefault="00C73A2E" w:rsidP="00C73A2E">
      <w:pPr>
        <w:spacing w:after="0" w:line="360" w:lineRule="auto"/>
        <w:jc w:val="center"/>
        <w:rPr>
          <w:rFonts w:ascii="Times New Roman" w:hAnsi="Times New Roman" w:cs="Times New Roman"/>
          <w:b/>
          <w:bCs/>
          <w:sz w:val="24"/>
          <w:szCs w:val="24"/>
          <w:u w:val="single"/>
        </w:rPr>
      </w:pPr>
      <w:r w:rsidRPr="00D7340C">
        <w:rPr>
          <w:rFonts w:ascii="Times New Roman" w:hAnsi="Times New Roman" w:cs="Times New Roman"/>
          <w:b/>
          <w:bCs/>
          <w:sz w:val="24"/>
          <w:szCs w:val="24"/>
          <w:u w:val="single"/>
        </w:rPr>
        <w:lastRenderedPageBreak/>
        <w:t>Chapter 2:</w:t>
      </w:r>
      <w:r w:rsidRPr="00D7340C">
        <w:rPr>
          <w:rFonts w:ascii="Times New Roman" w:hAnsi="Times New Roman" w:cs="Times New Roman"/>
          <w:b/>
          <w:bCs/>
          <w:sz w:val="24"/>
          <w:szCs w:val="24"/>
          <w:u w:val="single"/>
        </w:rPr>
        <w:tab/>
        <w:t xml:space="preserve">Wellerisms, Republicanism and Conservative Radicalism:  </w:t>
      </w:r>
    </w:p>
    <w:p w:rsidR="00C73A2E" w:rsidRPr="00D7340C" w:rsidRDefault="00C73A2E" w:rsidP="00C73A2E">
      <w:pPr>
        <w:spacing w:after="0" w:line="360" w:lineRule="auto"/>
        <w:jc w:val="center"/>
        <w:rPr>
          <w:rFonts w:ascii="Times New Roman" w:hAnsi="Times New Roman" w:cs="Times New Roman"/>
          <w:b/>
          <w:bCs/>
          <w:sz w:val="24"/>
          <w:szCs w:val="24"/>
          <w:u w:val="single"/>
        </w:rPr>
      </w:pPr>
      <w:r w:rsidRPr="00D7340C">
        <w:rPr>
          <w:rFonts w:ascii="Times New Roman" w:hAnsi="Times New Roman" w:cs="Times New Roman"/>
          <w:b/>
          <w:bCs/>
          <w:sz w:val="24"/>
          <w:szCs w:val="24"/>
          <w:u w:val="single"/>
        </w:rPr>
        <w:t>An early depiction of Protest by the English Industrious Classes</w:t>
      </w:r>
    </w:p>
    <w:p w:rsidR="00C73A2E" w:rsidRPr="00D7340C" w:rsidRDefault="00C73A2E" w:rsidP="00C73A2E">
      <w:pPr>
        <w:spacing w:after="0" w:line="360" w:lineRule="auto"/>
        <w:jc w:val="center"/>
        <w:rPr>
          <w:rFonts w:ascii="Times New Roman" w:hAnsi="Times New Roman" w:cs="Times New Roman"/>
          <w:b/>
          <w:bCs/>
          <w:sz w:val="24"/>
          <w:szCs w:val="24"/>
          <w:u w:val="single"/>
        </w:rPr>
      </w:pP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 xml:space="preserve">The previous chapter argued that in the years immediately after his return from France, Reynolds’s republicanism did not lead him to approve progressive developments, such as Chartism or Robert Owen’s Co-operative movement, which had gained support among the industrious classes.  Nevertheless, he was committed to the view that politically inspired protest was necessary for obtaining social advancement.  With regard to his fiction, it is unsurprising that Dickens’s Sam Weller proved important for Reynolds as a figure that could be used to serve both commercial and radical ambitions.  Louis James writes that Sam’s witty resourcefulness made him popular with the lower-class reader while devotion to his master, Pickwick, made </w:t>
      </w:r>
      <w:r w:rsidRPr="00DC4AF2">
        <w:rPr>
          <w:rFonts w:ascii="Times New Roman" w:hAnsi="Times New Roman" w:cs="Times New Roman"/>
          <w:sz w:val="24"/>
          <w:szCs w:val="24"/>
        </w:rPr>
        <w:t xml:space="preserve">him </w:t>
      </w:r>
      <w:r w:rsidR="00D20400" w:rsidRPr="00DC4AF2">
        <w:rPr>
          <w:rFonts w:ascii="Times New Roman" w:hAnsi="Times New Roman" w:cs="Times New Roman"/>
          <w:sz w:val="24"/>
          <w:szCs w:val="24"/>
        </w:rPr>
        <w:t>well-received by</w:t>
      </w:r>
      <w:r w:rsidRPr="00DC4AF2">
        <w:rPr>
          <w:rFonts w:ascii="Times New Roman" w:hAnsi="Times New Roman" w:cs="Times New Roman"/>
          <w:sz w:val="24"/>
          <w:szCs w:val="24"/>
        </w:rPr>
        <w:t xml:space="preserve"> those</w:t>
      </w:r>
      <w:r w:rsidRPr="00D7340C">
        <w:rPr>
          <w:rFonts w:ascii="Times New Roman" w:hAnsi="Times New Roman" w:cs="Times New Roman"/>
          <w:sz w:val="24"/>
          <w:szCs w:val="24"/>
        </w:rPr>
        <w:t xml:space="preserve"> who had servants.</w:t>
      </w:r>
      <w:r w:rsidRPr="00D7340C">
        <w:rPr>
          <w:rStyle w:val="FootnoteReference"/>
          <w:rFonts w:ascii="Times New Roman" w:hAnsi="Times New Roman"/>
          <w:sz w:val="24"/>
          <w:szCs w:val="24"/>
        </w:rPr>
        <w:footnoteReference w:id="271"/>
      </w:r>
      <w:r w:rsidRPr="00D7340C">
        <w:rPr>
          <w:rFonts w:ascii="Times New Roman" w:hAnsi="Times New Roman" w:cs="Times New Roman"/>
          <w:sz w:val="24"/>
          <w:szCs w:val="24"/>
        </w:rPr>
        <w:t xml:space="preserve">  His rebelliousness provided an ideal template for expressing oppositional views, making it inevitable he would be given a central role in Reynolds’s derivative novel </w:t>
      </w:r>
      <w:r w:rsidRPr="00D7340C">
        <w:rPr>
          <w:rFonts w:ascii="Times New Roman" w:hAnsi="Times New Roman" w:cs="Times New Roman"/>
          <w:i/>
          <w:iCs/>
          <w:sz w:val="24"/>
          <w:szCs w:val="24"/>
        </w:rPr>
        <w:t>Pickwick Abroad</w:t>
      </w:r>
      <w:r w:rsidRPr="00D7340C">
        <w:rPr>
          <w:rFonts w:ascii="Times New Roman" w:hAnsi="Times New Roman" w:cs="Times New Roman"/>
          <w:sz w:val="24"/>
          <w:szCs w:val="24"/>
        </w:rPr>
        <w:t xml:space="preserve"> (1838–39), published well before the author’s embrace of Chartism.</w:t>
      </w:r>
      <w:r w:rsidRPr="00D7340C">
        <w:rPr>
          <w:rStyle w:val="FootnoteReference"/>
          <w:rFonts w:ascii="Times New Roman" w:hAnsi="Times New Roman"/>
          <w:sz w:val="24"/>
          <w:szCs w:val="24"/>
        </w:rPr>
        <w:footnoteReference w:id="272"/>
      </w:r>
      <w:r w:rsidRPr="00D7340C">
        <w:rPr>
          <w:rFonts w:ascii="Times New Roman" w:hAnsi="Times New Roman" w:cs="Times New Roman"/>
          <w:sz w:val="24"/>
          <w:szCs w:val="24"/>
        </w:rPr>
        <w:t xml:space="preserve">  Dickens portrayed Sam in continual battle with authority, from incessant social commentaries to fighting with constabulary at Ipswich, while at the same time having him fundamentally accept the prevailing class structures.  Reynolds’s version retains these attributes, particularly the unswerving loyalty to his master, confirmed by the novel’s concluding sentence: ‘Sam Weller is still the faithful domestic and adherent of Mr. Pickwick, from whose service he is determined that death alone shall part him.’</w:t>
      </w:r>
      <w:r w:rsidRPr="00D7340C">
        <w:rPr>
          <w:rStyle w:val="FootnoteReference"/>
          <w:rFonts w:ascii="Times New Roman" w:hAnsi="Times New Roman"/>
          <w:sz w:val="24"/>
          <w:szCs w:val="24"/>
        </w:rPr>
        <w:footnoteReference w:id="273"/>
      </w:r>
      <w:r w:rsidRPr="00D7340C">
        <w:rPr>
          <w:rFonts w:ascii="Times New Roman" w:hAnsi="Times New Roman" w:cs="Times New Roman"/>
          <w:sz w:val="24"/>
          <w:szCs w:val="24"/>
        </w:rPr>
        <w:t xml:space="preserve">  This chapter will analyse how Reynolds’s cautious radicalism influences the depiction of Weller.  Although affable and good-natured, he displays both positive and negative traits as he moves between humorous verbal jousting and vulgar boisterousness to physical violence and occasional criminality.  Actions frequently emerge as symptoms of an excitable temperament, rather than displaying the calm disposition that Reynolds believed necessary for productive political engagement.  Sam’s behaviour is predicated upon a sense of possessing greater awareness of life than those he serves.  However, given his allegiance to Pickwick, and the Pickwickians, Tracy Tupman, Nathaniel Winkle and Augustus Snodgrass, he must strive for </w:t>
      </w:r>
      <w:r w:rsidRPr="00D7340C">
        <w:rPr>
          <w:rFonts w:ascii="Times New Roman" w:hAnsi="Times New Roman" w:cs="Times New Roman"/>
          <w:sz w:val="24"/>
          <w:szCs w:val="24"/>
        </w:rPr>
        <w:lastRenderedPageBreak/>
        <w:t xml:space="preserve">freedom in ways that do not </w:t>
      </w:r>
      <w:r w:rsidRPr="00E7336B">
        <w:rPr>
          <w:rFonts w:ascii="Times New Roman" w:hAnsi="Times New Roman" w:cs="Times New Roman"/>
          <w:sz w:val="24"/>
          <w:szCs w:val="24"/>
        </w:rPr>
        <w:t>break th</w:t>
      </w:r>
      <w:r w:rsidR="00735BBD" w:rsidRPr="00E7336B">
        <w:rPr>
          <w:rFonts w:ascii="Times New Roman" w:hAnsi="Times New Roman" w:cs="Times New Roman"/>
          <w:sz w:val="24"/>
          <w:szCs w:val="24"/>
        </w:rPr>
        <w:t>eir</w:t>
      </w:r>
      <w:r w:rsidRPr="00E7336B">
        <w:rPr>
          <w:rFonts w:ascii="Times New Roman" w:hAnsi="Times New Roman" w:cs="Times New Roman"/>
          <w:sz w:val="24"/>
          <w:szCs w:val="24"/>
        </w:rPr>
        <w:t xml:space="preserve"> unique</w:t>
      </w:r>
      <w:r w:rsidRPr="00D7340C">
        <w:rPr>
          <w:rFonts w:ascii="Times New Roman" w:hAnsi="Times New Roman" w:cs="Times New Roman"/>
          <w:sz w:val="24"/>
          <w:szCs w:val="24"/>
        </w:rPr>
        <w:t xml:space="preserve"> relationship.  He is helped in this by the many conservative aspects of his outlook.  Yet in a seemingly contradictory fashion he also proves open to the republican ideas they encounter when travelling through France and which give added depth to his dissent.  It will be argued that through Sam’s volatile combination of qualities, Reynolds presents what he sees as the strengths and weaknesses of the multi-faceted protest of the industrious classes.</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Doreen Massey writes that the space people inhabit is constructed from ‘the relations between social phenomena’, which make a geography ‘of power relations, of dominance and subordination, of enablement and influence, and of symbols and significance’.</w:t>
      </w:r>
      <w:r w:rsidRPr="00D7340C">
        <w:rPr>
          <w:rStyle w:val="FootnoteReference"/>
          <w:rFonts w:ascii="Times New Roman" w:hAnsi="Times New Roman"/>
          <w:sz w:val="24"/>
          <w:szCs w:val="24"/>
        </w:rPr>
        <w:footnoteReference w:id="274"/>
      </w:r>
      <w:r w:rsidRPr="00D7340C">
        <w:rPr>
          <w:rFonts w:ascii="Times New Roman" w:hAnsi="Times New Roman" w:cs="Times New Roman"/>
          <w:sz w:val="24"/>
          <w:szCs w:val="24"/>
        </w:rPr>
        <w:t xml:space="preserve">  It is a comment especially relevant to Sam’s work environment, a contested area that repeatedly brings him in contact with those of higher social status against whom he determinedly promotes his culture and values.  Central to this is opposition to the foolish pretensions of superiors, including his benevolent but rather hidebound tory master.</w:t>
      </w:r>
      <w:r w:rsidRPr="00D7340C">
        <w:rPr>
          <w:rStyle w:val="FootnoteReference"/>
          <w:rFonts w:ascii="Times New Roman" w:hAnsi="Times New Roman"/>
          <w:sz w:val="24"/>
          <w:szCs w:val="24"/>
        </w:rPr>
        <w:footnoteReference w:id="275"/>
      </w:r>
      <w:r w:rsidRPr="00D7340C">
        <w:rPr>
          <w:rFonts w:ascii="Times New Roman" w:hAnsi="Times New Roman" w:cs="Times New Roman"/>
          <w:sz w:val="24"/>
          <w:szCs w:val="24"/>
        </w:rPr>
        <w:t xml:space="preserve">  An example of Pickwick’s regard for social distinctions occurs during the encounter at the hotel in the Faubourg St. Honor</w:t>
      </w:r>
      <w:r w:rsidRPr="00D7340C">
        <w:rPr>
          <w:rFonts w:ascii="Times New Roman" w:hAnsi="Times New Roman" w:cs="Times New Roman"/>
          <w:sz w:val="24"/>
          <w:szCs w:val="24"/>
          <w:shd w:val="clear" w:color="auto" w:fill="FFFFFF"/>
        </w:rPr>
        <w:t>é</w:t>
      </w:r>
      <w:r w:rsidRPr="00D7340C">
        <w:rPr>
          <w:rFonts w:ascii="Times New Roman" w:hAnsi="Times New Roman" w:cs="Times New Roman"/>
          <w:sz w:val="24"/>
          <w:szCs w:val="24"/>
        </w:rPr>
        <w:t xml:space="preserve"> with ‘his Britannic Majesty’s Ambassador’, Lord Pompus, who condescendingly acknowledges the Pickwickians as they bow effusively before him:</w:t>
      </w:r>
    </w:p>
    <w:p w:rsidR="00C73A2E" w:rsidRPr="00D7340C" w:rsidRDefault="00C73A2E" w:rsidP="00C73A2E">
      <w:pPr>
        <w:spacing w:after="240" w:line="240" w:lineRule="auto"/>
        <w:ind w:left="720"/>
        <w:rPr>
          <w:rFonts w:ascii="Times New Roman" w:hAnsi="Times New Roman" w:cs="Times New Roman"/>
          <w:sz w:val="24"/>
          <w:szCs w:val="24"/>
        </w:rPr>
      </w:pPr>
      <w:r w:rsidRPr="00D7340C">
        <w:rPr>
          <w:rFonts w:ascii="Times New Roman" w:hAnsi="Times New Roman" w:cs="Times New Roman"/>
          <w:sz w:val="24"/>
          <w:szCs w:val="24"/>
        </w:rPr>
        <w:t>Mr. Pickwick was quite overcome by this remarkable instance of humility on the part of Lord Pompus; and, with the meritorious intention of displaying his full consciousness of it, he seized his lordship’s hand and wrung it with all the friendly warmth usually displayed by Englishmen on such occasions.</w:t>
      </w:r>
      <w:r w:rsidRPr="00D7340C">
        <w:rPr>
          <w:rStyle w:val="FootnoteReference"/>
          <w:rFonts w:ascii="Times New Roman" w:hAnsi="Times New Roman"/>
          <w:sz w:val="24"/>
          <w:szCs w:val="24"/>
        </w:rPr>
        <w:footnoteReference w:id="276"/>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Pickwick’s response suggests how powerfully he is influenced by a sense of rank.  Under its spell, he transforms his own act of servility into one of humility on the part of Pompus, a case of self-delusion that denotes obedience to traditional authority.</w:t>
      </w:r>
      <w:r w:rsidRPr="00D7340C">
        <w:rPr>
          <w:rStyle w:val="FootnoteReference"/>
          <w:rFonts w:ascii="Times New Roman" w:hAnsi="Times New Roman"/>
          <w:sz w:val="24"/>
          <w:szCs w:val="24"/>
        </w:rPr>
        <w:footnoteReference w:id="277"/>
      </w:r>
      <w:r w:rsidRPr="00D7340C">
        <w:rPr>
          <w:rFonts w:ascii="Times New Roman" w:hAnsi="Times New Roman" w:cs="Times New Roman"/>
          <w:sz w:val="24"/>
          <w:szCs w:val="24"/>
        </w:rPr>
        <w:t xml:space="preserve">  Sam’s dismissal of such folly underpins much of his activity and makes conflict between master and servant inevitable.</w:t>
      </w:r>
    </w:p>
    <w:p w:rsidR="00C73A2E" w:rsidRPr="00D7340C" w:rsidRDefault="00C73A2E" w:rsidP="00C73A2E">
      <w:pPr>
        <w:spacing w:after="120" w:line="360" w:lineRule="auto"/>
        <w:ind w:firstLine="720"/>
        <w:rPr>
          <w:rFonts w:ascii="Times New Roman" w:hAnsi="Times New Roman" w:cs="Times New Roman"/>
          <w:sz w:val="24"/>
          <w:szCs w:val="24"/>
          <w:lang w:val="en"/>
        </w:rPr>
      </w:pPr>
      <w:r w:rsidRPr="00D7340C">
        <w:rPr>
          <w:rFonts w:ascii="Times New Roman" w:hAnsi="Times New Roman" w:cs="Times New Roman"/>
          <w:sz w:val="24"/>
          <w:szCs w:val="24"/>
        </w:rPr>
        <w:t xml:space="preserve">Given a disinclination for directly political methods of protest, Sam expresses rebelliousness through other avenues that appear in daily life, so that dress, attitude and displays of verbal dexterity all become means of demonstrating he will not be intimidated.  </w:t>
      </w:r>
      <w:r w:rsidRPr="00D7340C">
        <w:rPr>
          <w:rFonts w:ascii="Times New Roman" w:hAnsi="Times New Roman" w:cs="Times New Roman"/>
          <w:sz w:val="24"/>
          <w:szCs w:val="24"/>
        </w:rPr>
        <w:lastRenderedPageBreak/>
        <w:t xml:space="preserve">This is </w:t>
      </w:r>
      <w:r w:rsidRPr="00D7340C">
        <w:rPr>
          <w:rFonts w:ascii="Times New Roman" w:hAnsi="Times New Roman" w:cs="Times New Roman"/>
          <w:sz w:val="24"/>
          <w:szCs w:val="24"/>
          <w:lang w:val="en"/>
        </w:rPr>
        <w:t xml:space="preserve">typified by the manner in which he carries Snodgrass’s luggage when they leave Lawson’s hotel: </w:t>
      </w:r>
    </w:p>
    <w:p w:rsidR="00C73A2E" w:rsidRPr="00D7340C" w:rsidRDefault="00C73A2E" w:rsidP="00C73A2E">
      <w:pPr>
        <w:pStyle w:val="NormalWeb"/>
        <w:spacing w:after="240" w:afterAutospacing="0"/>
        <w:ind w:left="720"/>
        <w:rPr>
          <w:lang w:val="en"/>
        </w:rPr>
      </w:pPr>
      <w:r w:rsidRPr="00D7340C">
        <w:rPr>
          <w:lang w:val="en"/>
        </w:rPr>
        <w:t>[H]e threw the portmanteau […] lightly on his left shoulder, stuck his hat just above his right ear, and sauntered out of the hotel in a manner which could not fail to edify all who saw him, in the same way as the whistle in which he indulged himself as he passed down the street, must have materially pleased those lovers of vocal music whose ears its volume reached.</w:t>
      </w:r>
      <w:r w:rsidRPr="00D7340C">
        <w:rPr>
          <w:rStyle w:val="FootnoteReference"/>
          <w:rFonts w:eastAsia="Calibri"/>
        </w:rPr>
        <w:footnoteReference w:id="278"/>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 xml:space="preserve">Sam’s hat becomes part of his artillery that he manipulates into rakish angles while gait and whistle announce his visual and aural presence, their element of vulgarity a testimony to his </w:t>
      </w:r>
      <w:r w:rsidRPr="00B27ECB">
        <w:rPr>
          <w:rFonts w:ascii="Times New Roman" w:hAnsi="Times New Roman" w:cs="Times New Roman"/>
          <w:sz w:val="24"/>
          <w:szCs w:val="24"/>
        </w:rPr>
        <w:t>rejection of genteel habits.</w:t>
      </w:r>
      <w:r w:rsidRPr="00B27ECB">
        <w:rPr>
          <w:rStyle w:val="FootnoteReference"/>
          <w:rFonts w:ascii="Times New Roman" w:hAnsi="Times New Roman"/>
          <w:sz w:val="24"/>
          <w:szCs w:val="24"/>
        </w:rPr>
        <w:footnoteReference w:id="279"/>
      </w:r>
      <w:r w:rsidRPr="00B27ECB">
        <w:rPr>
          <w:rFonts w:ascii="Times New Roman" w:hAnsi="Times New Roman" w:cs="Times New Roman"/>
          <w:sz w:val="24"/>
          <w:szCs w:val="24"/>
        </w:rPr>
        <w:t xml:space="preserve">  Even when performing a task that confirms his subservience, </w:t>
      </w:r>
      <w:r w:rsidR="00D20400" w:rsidRPr="00B27ECB">
        <w:rPr>
          <w:rFonts w:ascii="Times New Roman" w:hAnsi="Times New Roman" w:cs="Times New Roman"/>
          <w:sz w:val="24"/>
          <w:szCs w:val="24"/>
        </w:rPr>
        <w:t>there is determination</w:t>
      </w:r>
      <w:r w:rsidRPr="00B27ECB">
        <w:rPr>
          <w:rFonts w:ascii="Times New Roman" w:hAnsi="Times New Roman" w:cs="Times New Roman"/>
          <w:sz w:val="24"/>
          <w:szCs w:val="24"/>
        </w:rPr>
        <w:t xml:space="preserve"> not to be</w:t>
      </w:r>
      <w:r w:rsidRPr="00D7340C">
        <w:rPr>
          <w:rFonts w:ascii="Times New Roman" w:hAnsi="Times New Roman" w:cs="Times New Roman"/>
          <w:sz w:val="24"/>
          <w:szCs w:val="24"/>
        </w:rPr>
        <w:t xml:space="preserve"> bowed down, blurring the line between work and pleasure with his sauntering manner suggesting he is not at labour but enjoying a favoured pursuit.  He entertains himself by whistling loudly, and there is undoubted irony in the claim that he pleases ‘lovers of vocal music’</w:t>
      </w:r>
      <w:r w:rsidRPr="00D20400">
        <w:rPr>
          <w:rFonts w:ascii="Times New Roman" w:hAnsi="Times New Roman" w:cs="Times New Roman"/>
          <w:sz w:val="24"/>
          <w:szCs w:val="24"/>
        </w:rPr>
        <w:t xml:space="preserve">. </w:t>
      </w:r>
      <w:r w:rsidR="00E7336B" w:rsidRPr="00D20400">
        <w:rPr>
          <w:rFonts w:ascii="Times New Roman" w:hAnsi="Times New Roman" w:cs="Times New Roman"/>
          <w:sz w:val="24"/>
          <w:szCs w:val="24"/>
        </w:rPr>
        <w:t>T</w:t>
      </w:r>
      <w:r w:rsidRPr="00D20400">
        <w:rPr>
          <w:rFonts w:ascii="Times New Roman" w:hAnsi="Times New Roman" w:cs="Times New Roman"/>
          <w:sz w:val="24"/>
          <w:szCs w:val="24"/>
        </w:rPr>
        <w:t>he most</w:t>
      </w:r>
      <w:r w:rsidRPr="00D7340C">
        <w:rPr>
          <w:rFonts w:ascii="Times New Roman" w:hAnsi="Times New Roman" w:cs="Times New Roman"/>
          <w:sz w:val="24"/>
          <w:szCs w:val="24"/>
        </w:rPr>
        <w:t xml:space="preserve"> important aspect of these actions is that they signal his assertiveness and the reaction of others from the industrious classes is a marker of their</w:t>
      </w:r>
      <w:r w:rsidR="00D20400">
        <w:rPr>
          <w:rFonts w:ascii="Times New Roman" w:hAnsi="Times New Roman" w:cs="Times New Roman"/>
          <w:sz w:val="24"/>
          <w:szCs w:val="24"/>
        </w:rPr>
        <w:t xml:space="preserve"> </w:t>
      </w:r>
      <w:r w:rsidR="00D20400" w:rsidRPr="00B27ECB">
        <w:rPr>
          <w:rFonts w:ascii="Times New Roman" w:hAnsi="Times New Roman" w:cs="Times New Roman"/>
          <w:sz w:val="24"/>
          <w:szCs w:val="24"/>
        </w:rPr>
        <w:t>own</w:t>
      </w:r>
      <w:r w:rsidRPr="00D7340C">
        <w:rPr>
          <w:rFonts w:ascii="Times New Roman" w:hAnsi="Times New Roman" w:cs="Times New Roman"/>
          <w:sz w:val="24"/>
          <w:szCs w:val="24"/>
        </w:rPr>
        <w:t xml:space="preserve"> rebelliousness.  Those who agree with the restrictive rules of conduct defined by superiors will dislike Sam, those who obey them abjectly will feel envy, but the more defiant will admire him as a skilled and fearless exponent in the art of behavioural subversion. </w:t>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ab/>
        <w:t>Sam’s protest is most evident in the idiosyncratic style and class-oriented content of his discourse.  T. H. Pear points out that the language used by each class reflects their likes and interests.</w:t>
      </w:r>
      <w:r w:rsidRPr="00D7340C">
        <w:rPr>
          <w:rStyle w:val="FootnoteReference"/>
          <w:rFonts w:ascii="Times New Roman" w:hAnsi="Times New Roman"/>
          <w:bCs/>
          <w:sz w:val="24"/>
          <w:szCs w:val="24"/>
        </w:rPr>
        <w:footnoteReference w:id="280"/>
      </w:r>
      <w:r w:rsidRPr="00D7340C">
        <w:rPr>
          <w:rFonts w:ascii="Times New Roman" w:hAnsi="Times New Roman" w:cs="Times New Roman"/>
          <w:sz w:val="24"/>
          <w:szCs w:val="24"/>
        </w:rPr>
        <w:t xml:space="preserve">  Sam promotes working-class culture by continually introducing subjects such as horseracing, boxing and society scandals into conversations.  He believes such topics deserve to exist alongside those preferred by the upper classes and constantly referring to them signals his refusal to defer to established forms of etiquette.  Reynolds closely follows Dickens’s original, with Sam displaying remarkable fluency, Cockney inflections and quick-</w:t>
      </w:r>
      <w:r w:rsidRPr="00D7340C">
        <w:rPr>
          <w:rFonts w:ascii="Times New Roman" w:hAnsi="Times New Roman" w:cs="Times New Roman"/>
          <w:sz w:val="24"/>
          <w:szCs w:val="24"/>
        </w:rPr>
        <w:lastRenderedPageBreak/>
        <w:t>fire slang, innuendo and double-meaning.</w:t>
      </w:r>
      <w:r w:rsidRPr="00D7340C">
        <w:rPr>
          <w:rStyle w:val="FootnoteReference"/>
          <w:rFonts w:ascii="Times New Roman" w:hAnsi="Times New Roman"/>
          <w:sz w:val="24"/>
          <w:szCs w:val="24"/>
        </w:rPr>
        <w:footnoteReference w:id="281"/>
      </w:r>
      <w:r w:rsidRPr="00D7340C">
        <w:rPr>
          <w:rFonts w:ascii="Times New Roman" w:hAnsi="Times New Roman" w:cs="Times New Roman"/>
          <w:sz w:val="24"/>
          <w:szCs w:val="24"/>
        </w:rPr>
        <w:t xml:space="preserve">  Far from trying to imitate polite society, Sam is determined to disrupt it with these forms of speech.  His most potent weapon is the Wellerism: ‘The most common type […] begins with a familiar phrase and then suggests some imaginary occasion when that phrase might have been used.  The occasion is generally gruesome or humorous.’</w:t>
      </w:r>
      <w:r w:rsidRPr="00D7340C">
        <w:rPr>
          <w:rStyle w:val="FootnoteReference"/>
          <w:rFonts w:ascii="Times New Roman" w:hAnsi="Times New Roman"/>
          <w:sz w:val="24"/>
          <w:szCs w:val="24"/>
        </w:rPr>
        <w:footnoteReference w:id="282"/>
      </w:r>
      <w:r w:rsidRPr="00D7340C">
        <w:rPr>
          <w:rFonts w:ascii="Times New Roman" w:hAnsi="Times New Roman" w:cs="Times New Roman"/>
          <w:sz w:val="24"/>
          <w:szCs w:val="24"/>
        </w:rPr>
        <w:t xml:space="preserve">  Into the middle is inserted an appropriate speaker.  Of particular importance is the concluding ‘imaginary occasion’ which forms a facetious sequel, effectively freed from the initial phrase and allowing a social or political point to be made</w:t>
      </w:r>
      <w:r w:rsidRPr="00B27ECB">
        <w:rPr>
          <w:rFonts w:ascii="Times New Roman" w:hAnsi="Times New Roman" w:cs="Times New Roman"/>
          <w:sz w:val="24"/>
          <w:szCs w:val="24"/>
        </w:rPr>
        <w:t xml:space="preserve">.  </w:t>
      </w:r>
      <w:r w:rsidR="00D20400" w:rsidRPr="00B27ECB">
        <w:rPr>
          <w:rFonts w:ascii="Times New Roman" w:hAnsi="Times New Roman" w:cs="Times New Roman"/>
          <w:sz w:val="24"/>
          <w:szCs w:val="24"/>
        </w:rPr>
        <w:t>With Sam</w:t>
      </w:r>
      <w:r w:rsidR="00D20400">
        <w:rPr>
          <w:rFonts w:ascii="Times New Roman" w:hAnsi="Times New Roman" w:cs="Times New Roman"/>
          <w:sz w:val="24"/>
          <w:szCs w:val="24"/>
        </w:rPr>
        <w:t xml:space="preserve"> </w:t>
      </w:r>
      <w:r w:rsidRPr="00D7340C">
        <w:rPr>
          <w:rFonts w:ascii="Times New Roman" w:hAnsi="Times New Roman" w:cs="Times New Roman"/>
          <w:sz w:val="24"/>
          <w:szCs w:val="24"/>
        </w:rPr>
        <w:t>this is nearly always comical and frequently suggests the existence of social injustice.</w:t>
      </w:r>
      <w:r w:rsidRPr="00D7340C">
        <w:rPr>
          <w:rStyle w:val="FootnoteReference"/>
          <w:rFonts w:ascii="Times New Roman" w:hAnsi="Times New Roman"/>
          <w:sz w:val="24"/>
          <w:szCs w:val="24"/>
        </w:rPr>
        <w:footnoteReference w:id="283"/>
      </w:r>
      <w:r w:rsidRPr="00D7340C">
        <w:rPr>
          <w:rFonts w:ascii="Times New Roman" w:hAnsi="Times New Roman" w:cs="Times New Roman"/>
          <w:sz w:val="24"/>
          <w:szCs w:val="24"/>
        </w:rPr>
        <w:t xml:space="preserve">  His style </w:t>
      </w:r>
      <w:r w:rsidRPr="00D7340C">
        <w:rPr>
          <w:rFonts w:ascii="Times New Roman" w:hAnsi="Times New Roman" w:cs="Times New Roman"/>
          <w:sz w:val="24"/>
          <w:szCs w:val="24"/>
          <w:lang w:val="en"/>
        </w:rPr>
        <w:t xml:space="preserve">points to a linguistic destabilization that challenges middle-class values as to what is behaviorally acceptable and culturally valuable.  </w:t>
      </w:r>
      <w:r w:rsidRPr="00D7340C">
        <w:rPr>
          <w:rFonts w:ascii="Times New Roman" w:hAnsi="Times New Roman" w:cs="Times New Roman"/>
          <w:sz w:val="24"/>
          <w:szCs w:val="24"/>
        </w:rPr>
        <w:t>This is the case one morning when he meets Pickwick and feels it necessary to defend having fought a pugilist the previous night:</w:t>
      </w:r>
    </w:p>
    <w:p w:rsidR="00C73A2E" w:rsidRPr="00D7340C" w:rsidRDefault="00C73A2E" w:rsidP="00C73A2E">
      <w:pPr>
        <w:spacing w:after="120" w:line="240" w:lineRule="auto"/>
        <w:ind w:left="720"/>
        <w:rPr>
          <w:rFonts w:ascii="Times New Roman" w:hAnsi="Times New Roman" w:cs="Times New Roman"/>
          <w:sz w:val="24"/>
          <w:szCs w:val="24"/>
        </w:rPr>
      </w:pPr>
      <w:r w:rsidRPr="00D7340C">
        <w:rPr>
          <w:rFonts w:ascii="Times New Roman" w:hAnsi="Times New Roman" w:cs="Times New Roman"/>
          <w:sz w:val="24"/>
          <w:szCs w:val="24"/>
        </w:rPr>
        <w:t>‘Vy, Sir,’ returned Mr. Weller, whose right optic presented an interesting combination of colours, amongst which blue was the most predominant, ‘there’s a party o’ milling coves jist come over from England on a little private spekilation o’ their own.’</w:t>
      </w:r>
    </w:p>
    <w:p w:rsidR="00C73A2E" w:rsidRPr="00D7340C" w:rsidRDefault="00C73A2E" w:rsidP="00C73A2E">
      <w:pPr>
        <w:spacing w:after="12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‘Ah! I see</w:t>
      </w:r>
      <w:r w:rsidRPr="00D7340C">
        <w:rPr>
          <w:rFonts w:ascii="Times New Roman" w:hAnsi="Times New Roman" w:cs="Times New Roman"/>
          <w:sz w:val="24"/>
          <w:szCs w:val="24"/>
          <w:vertAlign w:val="superscript"/>
        </w:rPr>
        <w:t xml:space="preserve">___ </w:t>
      </w:r>
      <w:r w:rsidRPr="00D7340C">
        <w:rPr>
          <w:rFonts w:ascii="Times New Roman" w:hAnsi="Times New Roman" w:cs="Times New Roman"/>
          <w:sz w:val="24"/>
          <w:szCs w:val="24"/>
        </w:rPr>
        <w:t>mill-wrights engaged in the prosecution of their craft,’ exclaimed Mr. Pickwick.</w:t>
      </w:r>
    </w:p>
    <w:p w:rsidR="00C73A2E" w:rsidRPr="00D7340C" w:rsidRDefault="00C73A2E" w:rsidP="00C73A2E">
      <w:pPr>
        <w:spacing w:after="12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‘No sich thing, Sir,’ cried Sam: ‘they ain’t no more mill-wrights than you or me is.  They’re chaps as belongs to the fancy.’</w:t>
      </w:r>
    </w:p>
    <w:p w:rsidR="00C73A2E" w:rsidRPr="00D7340C" w:rsidRDefault="00C73A2E" w:rsidP="00C73A2E">
      <w:pPr>
        <w:spacing w:after="120" w:line="240" w:lineRule="auto"/>
        <w:ind w:left="170" w:firstLine="720"/>
        <w:rPr>
          <w:rFonts w:ascii="Times New Roman" w:hAnsi="Times New Roman" w:cs="Times New Roman"/>
          <w:sz w:val="24"/>
          <w:szCs w:val="24"/>
        </w:rPr>
      </w:pPr>
      <w:r w:rsidRPr="00D7340C">
        <w:rPr>
          <w:rFonts w:ascii="Times New Roman" w:hAnsi="Times New Roman" w:cs="Times New Roman"/>
          <w:sz w:val="24"/>
          <w:szCs w:val="24"/>
        </w:rPr>
        <w:t>‘Traders in little articles for the female toilet, I dare say,’ observed Mr. Pickwick.</w:t>
      </w:r>
    </w:p>
    <w:p w:rsidR="00C73A2E" w:rsidRPr="00D7340C" w:rsidRDefault="00C73A2E" w:rsidP="00C73A2E">
      <w:pPr>
        <w:spacing w:after="12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‘L—d, Sir, how wery innocent you air, to be sure,’ cried Mr. Weller.  ‘The fellers as I speaks of is spereted boys vich knows how to handle their fives.’</w:t>
      </w:r>
    </w:p>
    <w:p w:rsidR="00C73A2E" w:rsidRPr="00D7340C" w:rsidRDefault="00C73A2E" w:rsidP="00C73A2E">
      <w:pPr>
        <w:spacing w:after="12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‘Now I understand you, Sam,’ said Mr. Pickwick.  ‘They are people who have come over to establish a tennis-court, and you have doubtless received a blow from a ball in your eye.  Well, Sam, there is no harm in a little innocent recreation.’</w:t>
      </w:r>
    </w:p>
    <w:p w:rsidR="00C73A2E" w:rsidRPr="00D7340C" w:rsidRDefault="00C73A2E" w:rsidP="00C73A2E">
      <w:pPr>
        <w:spacing w:after="24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‘Vy, Sir, von must actiwally spell things next,’ exclaimed Mr. Weller, with a little more impatience of manner than he usually exhibited towards his master.  ‘The milling covies as I alludes to, and von of vich gived me this here poult in the eye, is men dewoted to the wery amiable science of fighting.  Prize-fighters they calls ’em in England.’</w:t>
      </w:r>
      <w:r w:rsidRPr="00D7340C">
        <w:rPr>
          <w:rStyle w:val="FootnoteReference"/>
          <w:rFonts w:ascii="Times New Roman" w:hAnsi="Times New Roman"/>
          <w:sz w:val="24"/>
          <w:szCs w:val="24"/>
        </w:rPr>
        <w:footnoteReference w:id="284"/>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 xml:space="preserve">Sam fully exploits his verbal weaponry, making the conversation adversarial as he moves the terms of engagement onto his own ground.  The linguistic difference between the pair </w:t>
      </w:r>
      <w:r w:rsidRPr="00D7340C">
        <w:rPr>
          <w:rFonts w:ascii="Times New Roman" w:hAnsi="Times New Roman" w:cs="Times New Roman"/>
          <w:sz w:val="24"/>
          <w:szCs w:val="24"/>
        </w:rPr>
        <w:lastRenderedPageBreak/>
        <w:t>highlights the social gulf that exists as Pickwick repeatedly relies upon middle-class norms to make sense of the encounter.  His understanding of ‘spekilation’, ‘fancy’ and ‘milling’ falls back upon commercial interpretations while the reference to ‘fives’ makes him think about the healthy pursuit of tennis.  Such constructions see him attempt to draw the discussion back into the respectable world and maintain his distance from the seedier one frequented by his servant.  Sam firmly rebuffs these efforts.  In doing so, he adopts a position of authority, irritated at Pickwick’s innocence and complaining how he needs to spell things out, as the hierarchy is subverted with master not servant needing to be educated.  The social division becomes clear in their views towards the boxing match.  What Sam sees as an ‘amiable science’ performed by men of spirit and courage who are devoted to a cause is condemned with middle-class snobbery by Pickwick as ‘a disgraceful fight—with a common boxer’.</w:t>
      </w:r>
      <w:r w:rsidRPr="00D7340C">
        <w:rPr>
          <w:rStyle w:val="FootnoteReference"/>
          <w:rFonts w:ascii="Times New Roman" w:hAnsi="Times New Roman"/>
          <w:sz w:val="24"/>
          <w:szCs w:val="24"/>
        </w:rPr>
        <w:footnoteReference w:id="285"/>
      </w:r>
      <w:r w:rsidRPr="00D7340C">
        <w:rPr>
          <w:rFonts w:ascii="Times New Roman" w:hAnsi="Times New Roman" w:cs="Times New Roman"/>
          <w:sz w:val="24"/>
          <w:szCs w:val="24"/>
        </w:rPr>
        <w:t xml:space="preserve">  Sam maintains his freedom with a forthright defence of the cultural aspects of his lifestyle:</w:t>
      </w:r>
    </w:p>
    <w:p w:rsidR="00C73A2E" w:rsidRPr="00D7340C" w:rsidRDefault="00C73A2E" w:rsidP="00C73A2E">
      <w:pPr>
        <w:spacing w:after="120" w:line="240" w:lineRule="auto"/>
        <w:ind w:left="720"/>
        <w:rPr>
          <w:rFonts w:ascii="Times New Roman" w:hAnsi="Times New Roman" w:cs="Times New Roman"/>
          <w:sz w:val="24"/>
          <w:szCs w:val="24"/>
        </w:rPr>
      </w:pPr>
      <w:r w:rsidRPr="00D7340C">
        <w:rPr>
          <w:rFonts w:ascii="Times New Roman" w:hAnsi="Times New Roman" w:cs="Times New Roman"/>
          <w:sz w:val="24"/>
          <w:szCs w:val="24"/>
        </w:rPr>
        <w:t>‘Disgraceful, Sir!’ cried Mr. Weller: ‘nothin’ worn’t more fairer in the whole vorld.  Ve had two seconds, and a umpire—and the claret flowed wery freely on both sides.’</w:t>
      </w:r>
    </w:p>
    <w:p w:rsidR="00C73A2E" w:rsidRPr="00D7340C" w:rsidRDefault="00C73A2E" w:rsidP="00C73A2E">
      <w:pPr>
        <w:spacing w:after="12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‘Then you were tipsy, I suppose,’ exclaimed Mr. Pickwick, casting a terrible glance at his delinquent valet, who only nodded and smiled significantly, without expressing the slightest contrition or regret.</w:t>
      </w:r>
    </w:p>
    <w:p w:rsidR="00C73A2E" w:rsidRPr="00D7340C" w:rsidRDefault="00C73A2E" w:rsidP="00C73A2E">
      <w:pPr>
        <w:spacing w:after="12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‘Ve scarcely touched a drop o’ anything the whole blessed evenin’, Sir,’ answered Mr. Weller.  ‘But raly von don’t dare use figgers o’ speech vith you, Sir, ’cos you doesn’t understand the langvidge o’ the fancy.  Claret means blood, Sir.’</w:t>
      </w:r>
    </w:p>
    <w:p w:rsidR="00C73A2E" w:rsidRPr="00D7340C" w:rsidRDefault="00C73A2E" w:rsidP="00C73A2E">
      <w:pPr>
        <w:spacing w:after="24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‘It is distressing to think that the words commonly in vogue amongst genteel people cannot suffice for the lower orders,’ ejaculated Mr. Pickwick: ‘But the truth is, that the young gentlemen themselves about London, delight now-a-days to ape the vulgarity and manners of common prize-fighters, and thus is the English language gradually becoming a mixture of the most improper synonyms.’</w:t>
      </w:r>
      <w:r w:rsidRPr="00D7340C">
        <w:rPr>
          <w:rStyle w:val="FootnoteReference"/>
          <w:rFonts w:ascii="Times New Roman" w:hAnsi="Times New Roman"/>
          <w:sz w:val="24"/>
          <w:szCs w:val="24"/>
        </w:rPr>
        <w:footnoteReference w:id="286"/>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Where Pickwick sees only delinquency, Sam recognizes a procedure following established rules, boasting of its organisation, safety and fairness.  He is unrepentant before his master’s ‘terrible glance’ and will accept no wrongdoing.  Pickwick’s reliance upon ‘polite’ interpretations again sees him floundering over the term ‘claret’.  Sam takes the moral high ground when chiding him for inability to understand imaginative conversation, an argument that sees working-class slang elevated to figures of speech that might be employed in the</w:t>
      </w:r>
      <w:r w:rsidR="00D20400">
        <w:rPr>
          <w:rFonts w:ascii="Times New Roman" w:hAnsi="Times New Roman" w:cs="Times New Roman"/>
          <w:sz w:val="24"/>
          <w:szCs w:val="24"/>
        </w:rPr>
        <w:t xml:space="preserve"> </w:t>
      </w:r>
      <w:r w:rsidR="00D20400" w:rsidRPr="00B27ECB">
        <w:rPr>
          <w:rFonts w:ascii="Times New Roman" w:hAnsi="Times New Roman" w:cs="Times New Roman"/>
          <w:sz w:val="24"/>
          <w:szCs w:val="24"/>
        </w:rPr>
        <w:t>most refined</w:t>
      </w:r>
      <w:r w:rsidRPr="00D7340C">
        <w:rPr>
          <w:rFonts w:ascii="Times New Roman" w:hAnsi="Times New Roman" w:cs="Times New Roman"/>
          <w:sz w:val="24"/>
          <w:szCs w:val="24"/>
        </w:rPr>
        <w:t xml:space="preserve"> forms of poetry.  In this perspective cultural norms are inverted, as low becomes high and high becomes low.  Language in its genteel strait-jacket is inadequate for the lower orders, so they have it take on new meanings to express their hopes and desires often </w:t>
      </w:r>
      <w:r w:rsidRPr="00D7340C">
        <w:rPr>
          <w:rFonts w:ascii="Times New Roman" w:hAnsi="Times New Roman" w:cs="Times New Roman"/>
          <w:sz w:val="24"/>
          <w:szCs w:val="24"/>
        </w:rPr>
        <w:lastRenderedPageBreak/>
        <w:t>associated with activities condemned by respectable mores.  Pickwick’s final words suggest fear that this language and behaviour is infecting polite layers of society.  He refuses to accept their cultural validity but the dispute reveals his opposition is based largely upon ignorance and it is noticeable that as the argument progresses he becomes increasingly antagonistic.  In the scene, conflict is over boxing but has implications that could extend over a wide range of working-class activity.  For Sam, it is a matter of escaping the strictures imposed upon him and preserving the right to do as he pleases in his leisure time.</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This points to why the theme of separation plays a considerable part in Sam’s outlook.  Before becoming open to French republicanism and the aspects of egalitarianism associated with it, protest is directed towards creating his own space within the hierarchical structure of Pickwickian society.  This he does often, since a short respite is usually enough for escape into his cultural world.  When left to attend the coach while Pickwick visits the poet and dramatist Septimus Chitty, Sam immediately pursues his own interests by watching two boys fighting in the street.</w:t>
      </w:r>
      <w:r w:rsidRPr="00D7340C">
        <w:rPr>
          <w:rStyle w:val="FootnoteReference"/>
          <w:rFonts w:ascii="Times New Roman" w:hAnsi="Times New Roman"/>
          <w:sz w:val="24"/>
          <w:szCs w:val="24"/>
        </w:rPr>
        <w:footnoteReference w:id="287"/>
      </w:r>
      <w:r w:rsidRPr="00D7340C">
        <w:rPr>
          <w:rFonts w:ascii="Times New Roman" w:hAnsi="Times New Roman" w:cs="Times New Roman"/>
          <w:sz w:val="24"/>
          <w:szCs w:val="24"/>
        </w:rPr>
        <w:t xml:space="preserve">  Even standing alone for a few minutes allows rebellious thoughts to emerge, as when Pickwick and his companions discuss wine at the picnic in Romainville Wood.  The text offers a blunt reminder of the social ladder when Sam partakes ‘of the sustenance which had been left by those gentlemen’.</w:t>
      </w:r>
      <w:r w:rsidRPr="00D7340C">
        <w:rPr>
          <w:rStyle w:val="FootnoteReference"/>
          <w:rFonts w:ascii="Times New Roman" w:hAnsi="Times New Roman"/>
          <w:sz w:val="24"/>
          <w:szCs w:val="24"/>
        </w:rPr>
        <w:footnoteReference w:id="288"/>
      </w:r>
      <w:r w:rsidRPr="00D7340C">
        <w:rPr>
          <w:rFonts w:ascii="Times New Roman" w:hAnsi="Times New Roman" w:cs="Times New Roman"/>
          <w:sz w:val="24"/>
          <w:szCs w:val="24"/>
        </w:rPr>
        <w:t xml:space="preserve">  Nevertheless, he can enjoy singing doggerel verse and making unflattering comments: ‘Blowed if the guv’ner aint got up now to make a speech; an’ Mr. Vinkle’s begun smokin’ cigars.’</w:t>
      </w:r>
      <w:r w:rsidRPr="00D7340C">
        <w:rPr>
          <w:rStyle w:val="FootnoteReference"/>
          <w:rFonts w:ascii="Times New Roman" w:hAnsi="Times New Roman"/>
          <w:sz w:val="24"/>
          <w:szCs w:val="24"/>
        </w:rPr>
        <w:footnoteReference w:id="289"/>
      </w:r>
      <w:r w:rsidRPr="00D7340C">
        <w:rPr>
          <w:rFonts w:ascii="Times New Roman" w:hAnsi="Times New Roman" w:cs="Times New Roman"/>
          <w:sz w:val="24"/>
          <w:szCs w:val="24"/>
        </w:rPr>
        <w:t xml:space="preserve">  As Pickwick decides to dance a quadrille he observes: ‘Wot qveer things ve does in our old hage, as my gran’mother observed ven she played vith a rattle.’</w:t>
      </w:r>
      <w:r w:rsidRPr="00D7340C">
        <w:rPr>
          <w:rStyle w:val="FootnoteReference"/>
          <w:rFonts w:ascii="Times New Roman" w:hAnsi="Times New Roman"/>
          <w:sz w:val="24"/>
          <w:szCs w:val="24"/>
        </w:rPr>
        <w:footnoteReference w:id="290"/>
      </w:r>
      <w:r w:rsidRPr="00D7340C">
        <w:rPr>
          <w:rFonts w:ascii="Times New Roman" w:hAnsi="Times New Roman" w:cs="Times New Roman"/>
          <w:sz w:val="24"/>
          <w:szCs w:val="24"/>
        </w:rPr>
        <w:t xml:space="preserve">  In this interval, Sam ridicules Winkle’s sporting affectations and Pickwick’s speech making without fear of censure, even suggesting the latter’s dancing has implications of mental weakness.  Although t</w:t>
      </w:r>
      <w:r w:rsidRPr="00D7340C">
        <w:rPr>
          <w:rFonts w:ascii="Times New Roman" w:hAnsi="Times New Roman" w:cs="Times New Roman"/>
          <w:sz w:val="24"/>
          <w:szCs w:val="24"/>
          <w:lang w:val="en"/>
        </w:rPr>
        <w:t xml:space="preserve">here are frequent references to Sam dining separately or travelling in the dickey on the coach </w:t>
      </w:r>
      <w:r w:rsidRPr="00D7340C">
        <w:rPr>
          <w:rFonts w:ascii="Times New Roman" w:hAnsi="Times New Roman" w:cs="Times New Roman"/>
          <w:sz w:val="24"/>
          <w:szCs w:val="24"/>
        </w:rPr>
        <w:t>during hours of work,</w:t>
      </w:r>
      <w:r w:rsidRPr="00D7340C">
        <w:rPr>
          <w:rFonts w:ascii="Times New Roman" w:hAnsi="Times New Roman" w:cs="Times New Roman"/>
          <w:sz w:val="24"/>
          <w:szCs w:val="24"/>
          <w:lang w:val="en"/>
        </w:rPr>
        <w:t xml:space="preserve"> there is little sign he objects.  </w:t>
      </w:r>
      <w:r w:rsidRPr="00D7340C">
        <w:rPr>
          <w:rFonts w:ascii="Times New Roman" w:hAnsi="Times New Roman" w:cs="Times New Roman"/>
          <w:sz w:val="24"/>
          <w:szCs w:val="24"/>
        </w:rPr>
        <w:t>The reason becomes apparent in the scene at Montreuil when he voices displeasure to Tupman about the waiter who insists that he dine with his masters: ‘this chap is a-tryin’ to persuade me to grub vith my superiors, as if they vos my eq-vals’.</w:t>
      </w:r>
      <w:r w:rsidRPr="00D7340C">
        <w:rPr>
          <w:rStyle w:val="FootnoteReference"/>
          <w:rFonts w:ascii="Times New Roman" w:hAnsi="Times New Roman"/>
          <w:sz w:val="24"/>
          <w:szCs w:val="24"/>
        </w:rPr>
        <w:footnoteReference w:id="291"/>
      </w:r>
      <w:r w:rsidRPr="00D7340C">
        <w:rPr>
          <w:rFonts w:ascii="Times New Roman" w:hAnsi="Times New Roman" w:cs="Times New Roman"/>
          <w:sz w:val="24"/>
          <w:szCs w:val="24"/>
        </w:rPr>
        <w:t xml:space="preserve">  Sam’s ambiguous use of ‘as if’ suggests his desire for separation does not necessarily entail feelings of inferiority but recognition of difference.  Dining with the Pickwickians makes him uncomfortable and unable to exhibit his usual garrulity. In this respect, the waiter’s proposal </w:t>
      </w:r>
      <w:r w:rsidRPr="00D7340C">
        <w:rPr>
          <w:rFonts w:ascii="Times New Roman" w:hAnsi="Times New Roman" w:cs="Times New Roman"/>
          <w:sz w:val="24"/>
          <w:szCs w:val="24"/>
        </w:rPr>
        <w:lastRenderedPageBreak/>
        <w:t>deprives Sam of his liberty and so there are firm grounds to call the attendant a ‘perwokin’ French thief’’.</w:t>
      </w:r>
      <w:r w:rsidRPr="00D7340C">
        <w:rPr>
          <w:rStyle w:val="FootnoteReference"/>
          <w:rFonts w:ascii="Times New Roman" w:hAnsi="Times New Roman"/>
          <w:sz w:val="24"/>
          <w:szCs w:val="24"/>
        </w:rPr>
        <w:footnoteReference w:id="292"/>
      </w:r>
      <w:r w:rsidRPr="00D7340C">
        <w:rPr>
          <w:rFonts w:ascii="Times New Roman" w:hAnsi="Times New Roman" w:cs="Times New Roman"/>
          <w:sz w:val="24"/>
          <w:szCs w:val="24"/>
        </w:rPr>
        <w:t xml:space="preserve">  Sam can justifiably regard this more liberal attitude as an assault upon his position within the working class where verbal ingenuity and physical prowess gain him prestige.  Among servants he can express himself as he wishes, typified when Pickwick dines with the </w:t>
      </w:r>
      <w:r w:rsidRPr="00D20400">
        <w:rPr>
          <w:rFonts w:ascii="Times New Roman" w:hAnsi="Times New Roman" w:cs="Times New Roman"/>
          <w:sz w:val="24"/>
          <w:szCs w:val="24"/>
        </w:rPr>
        <w:t>Gendarme, Dumont</w:t>
      </w:r>
      <w:r w:rsidR="005F75D2" w:rsidRPr="00D20400">
        <w:rPr>
          <w:rFonts w:ascii="Times New Roman" w:hAnsi="Times New Roman" w:cs="Times New Roman"/>
          <w:sz w:val="24"/>
          <w:szCs w:val="24"/>
        </w:rPr>
        <w:t>,</w:t>
      </w:r>
      <w:r w:rsidRPr="00D20400">
        <w:rPr>
          <w:rFonts w:ascii="Times New Roman" w:hAnsi="Times New Roman" w:cs="Times New Roman"/>
          <w:sz w:val="24"/>
          <w:szCs w:val="24"/>
        </w:rPr>
        <w:t xml:space="preserve"> at</w:t>
      </w:r>
      <w:r w:rsidRPr="00D7340C">
        <w:rPr>
          <w:rFonts w:ascii="Times New Roman" w:hAnsi="Times New Roman" w:cs="Times New Roman"/>
          <w:sz w:val="24"/>
          <w:szCs w:val="24"/>
        </w:rPr>
        <w:t xml:space="preserve"> Meurice’s Hotel and he retires ‘to narrate his adventures to those inmates of the kitchen who could speak or understand his own vernacular tongue’.</w:t>
      </w:r>
      <w:r w:rsidRPr="00D7340C">
        <w:rPr>
          <w:rStyle w:val="FootnoteReference"/>
          <w:rFonts w:ascii="Times New Roman" w:hAnsi="Times New Roman"/>
          <w:sz w:val="24"/>
          <w:szCs w:val="24"/>
        </w:rPr>
        <w:footnoteReference w:id="293"/>
      </w:r>
      <w:r w:rsidRPr="00D7340C">
        <w:rPr>
          <w:rFonts w:ascii="Times New Roman" w:hAnsi="Times New Roman" w:cs="Times New Roman"/>
          <w:sz w:val="24"/>
          <w:szCs w:val="24"/>
        </w:rPr>
        <w:t xml:space="preserve">  Such pre-eminence is frequently demonstrated:</w:t>
      </w:r>
    </w:p>
    <w:p w:rsidR="00C73A2E" w:rsidRPr="00D7340C" w:rsidRDefault="00C73A2E" w:rsidP="00C73A2E">
      <w:pPr>
        <w:spacing w:after="240" w:line="240" w:lineRule="auto"/>
        <w:ind w:left="720"/>
        <w:rPr>
          <w:rFonts w:ascii="Times New Roman" w:hAnsi="Times New Roman" w:cs="Times New Roman"/>
          <w:sz w:val="24"/>
          <w:szCs w:val="24"/>
        </w:rPr>
      </w:pPr>
      <w:r w:rsidRPr="00D7340C">
        <w:rPr>
          <w:rFonts w:ascii="Times New Roman" w:hAnsi="Times New Roman" w:cs="Times New Roman"/>
          <w:sz w:val="24"/>
          <w:szCs w:val="24"/>
        </w:rPr>
        <w:t>He had presided at a Pork-chop Club, over an exclusive and fashionable party of English gentlemen, who, for the most part, were embellished with ten days’ shirts, and stockings of a like antiquity; and as the meeting was held at a select tavern, the domestic economy and glorious uncleanliness of which were subjected to the dominion of a drunken Irish landlord, there had been no want of license in the use of the “creature.”</w:t>
      </w:r>
      <w:r w:rsidRPr="00D7340C">
        <w:rPr>
          <w:rStyle w:val="FootnoteReference"/>
          <w:rFonts w:ascii="Times New Roman" w:hAnsi="Times New Roman"/>
          <w:sz w:val="24"/>
          <w:szCs w:val="24"/>
        </w:rPr>
        <w:footnoteReference w:id="294"/>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 xml:space="preserve">Separation gives autonomy regarding use of language and behaviour which earns respect, particularly from less decorous members of the industrious classes.  It also leaves him free to drink to the extent that he can appear worse for wear the following morning.  Pickwick usually treats such misdemeanours with leniency but Sam is aware that although his master will accept the aftermath of ‘distant’ excesses he would not tolerate them among polite society.  If Sam joins it, he will need to concede ground, a confirmation of subservience and implicit admission of the inferiority of his alternate lifestyle.  In turn, he does not want outsiders to enter his cultural arena.  This is signalled when disdain for Winkle’s sporting pretensions sees him permit the Pickwickian to be dragged into sparring with the pugilist Ben Porrett and then enjoy his discomfort alongside the watching mechanics.  Encouragement of the combat may allow Winkle to share these surroundings but only so he will be driven out ignominiously.  </w:t>
      </w:r>
      <w:r w:rsidR="00D20400" w:rsidRPr="00B27ECB">
        <w:rPr>
          <w:rFonts w:ascii="Times New Roman" w:hAnsi="Times New Roman" w:cs="Times New Roman"/>
          <w:sz w:val="24"/>
          <w:szCs w:val="24"/>
        </w:rPr>
        <w:t xml:space="preserve">The themes of separation and integration constantly overshadow and complicate Sam’s relationship with superiors.  While constantly wishing </w:t>
      </w:r>
      <w:r w:rsidRPr="00B27ECB">
        <w:rPr>
          <w:rFonts w:ascii="Times New Roman" w:hAnsi="Times New Roman" w:cs="Times New Roman"/>
          <w:sz w:val="24"/>
          <w:szCs w:val="24"/>
        </w:rPr>
        <w:t>to introduce working-class interests into middle-class conversation, he rejects any</w:t>
      </w:r>
      <w:r w:rsidRPr="00D7340C">
        <w:rPr>
          <w:rFonts w:ascii="Times New Roman" w:hAnsi="Times New Roman" w:cs="Times New Roman"/>
          <w:sz w:val="24"/>
          <w:szCs w:val="24"/>
        </w:rPr>
        <w:t xml:space="preserve"> intrusion upon his own world of boxing and revelry, and in this respect appears to operate a double-standard.</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 xml:space="preserve">Sam’s sense of self-worth leads to the belief he has the right to participate in any occasion regardless of his lower social rank.  This is despite continual attempts made to exclude him, seen in the orders he receives to withdraw if business personal to the Pickwickians is at hand.  When Pickwick reads a communication about the discovery of </w:t>
      </w:r>
      <w:r w:rsidRPr="00D7340C">
        <w:rPr>
          <w:rFonts w:ascii="Times New Roman" w:hAnsi="Times New Roman" w:cs="Times New Roman"/>
          <w:sz w:val="24"/>
          <w:szCs w:val="24"/>
        </w:rPr>
        <w:lastRenderedPageBreak/>
        <w:t>Tupman’s gold watch, Sam obeys ‘the imperial ukase that dismissed him from the presence’.</w:t>
      </w:r>
      <w:r w:rsidRPr="00D7340C">
        <w:rPr>
          <w:rStyle w:val="FootnoteReference"/>
          <w:rFonts w:ascii="Times New Roman" w:hAnsi="Times New Roman"/>
          <w:sz w:val="24"/>
          <w:szCs w:val="24"/>
        </w:rPr>
        <w:footnoteReference w:id="295"/>
      </w:r>
      <w:r w:rsidRPr="00D7340C">
        <w:rPr>
          <w:rFonts w:ascii="Times New Roman" w:hAnsi="Times New Roman" w:cs="Times New Roman"/>
          <w:sz w:val="24"/>
          <w:szCs w:val="24"/>
        </w:rPr>
        <w:t xml:space="preserve">  The tone of the phrase points to an autocratic element in the master-servant relationship at odds with the friendliness that usually prevails.</w:t>
      </w:r>
      <w:r w:rsidRPr="00D7340C">
        <w:rPr>
          <w:rStyle w:val="FootnoteReference"/>
          <w:rFonts w:ascii="Times New Roman" w:hAnsi="Times New Roman"/>
          <w:sz w:val="24"/>
          <w:szCs w:val="24"/>
        </w:rPr>
        <w:footnoteReference w:id="296"/>
      </w:r>
      <w:r w:rsidRPr="00D7340C">
        <w:rPr>
          <w:rFonts w:ascii="Times New Roman" w:hAnsi="Times New Roman" w:cs="Times New Roman"/>
          <w:sz w:val="24"/>
          <w:szCs w:val="24"/>
        </w:rPr>
        <w:t xml:space="preserve">  However, this obedience is often a façade, with commands obeyed only formally.  When Pickwick wishes to read letters to Winkle and Mr Boozie in private, he requests his servant leave the room but Sam simply listens at the keyhole.</w:t>
      </w:r>
      <w:r w:rsidRPr="00D7340C">
        <w:rPr>
          <w:rStyle w:val="FootnoteReference"/>
          <w:rFonts w:ascii="Times New Roman" w:hAnsi="Times New Roman"/>
          <w:sz w:val="24"/>
          <w:szCs w:val="24"/>
        </w:rPr>
        <w:footnoteReference w:id="297"/>
      </w:r>
      <w:r w:rsidRPr="00D7340C">
        <w:rPr>
          <w:rFonts w:ascii="Times New Roman" w:hAnsi="Times New Roman" w:cs="Times New Roman"/>
          <w:sz w:val="24"/>
          <w:szCs w:val="24"/>
        </w:rPr>
        <w:t xml:space="preserve">  On another occasion he slowly retreats to the door ‘through which he did not, however, think it worth while to evaporate’.</w:t>
      </w:r>
      <w:r w:rsidRPr="00D7340C">
        <w:rPr>
          <w:rStyle w:val="FootnoteReference"/>
          <w:rFonts w:ascii="Times New Roman" w:hAnsi="Times New Roman"/>
          <w:sz w:val="24"/>
          <w:szCs w:val="24"/>
        </w:rPr>
        <w:footnoteReference w:id="298"/>
      </w:r>
      <w:r w:rsidRPr="00D7340C">
        <w:rPr>
          <w:rFonts w:ascii="Times New Roman" w:hAnsi="Times New Roman" w:cs="Times New Roman"/>
          <w:sz w:val="24"/>
          <w:szCs w:val="24"/>
        </w:rPr>
        <w:t xml:space="preserve">  When the Pickwickians hire a coach to visit the famous detective Vidocq concerning Tupman’s stolen watch, </w:t>
      </w:r>
      <w:r w:rsidRPr="00B27ECB">
        <w:rPr>
          <w:rFonts w:ascii="Times New Roman" w:hAnsi="Times New Roman" w:cs="Times New Roman"/>
          <w:sz w:val="24"/>
          <w:szCs w:val="24"/>
        </w:rPr>
        <w:t>Sam thinking ‘he might as well be a spectator of what was going on, brought up the rear’.</w:t>
      </w:r>
      <w:r w:rsidRPr="00B27ECB">
        <w:rPr>
          <w:rStyle w:val="FootnoteReference"/>
          <w:rFonts w:ascii="Times New Roman" w:hAnsi="Times New Roman"/>
          <w:sz w:val="24"/>
          <w:szCs w:val="24"/>
        </w:rPr>
        <w:footnoteReference w:id="299"/>
      </w:r>
      <w:r w:rsidRPr="00B27ECB">
        <w:rPr>
          <w:rFonts w:ascii="Times New Roman" w:hAnsi="Times New Roman" w:cs="Times New Roman"/>
          <w:sz w:val="24"/>
          <w:szCs w:val="24"/>
        </w:rPr>
        <w:t xml:space="preserve">  </w:t>
      </w:r>
      <w:r w:rsidR="00D20400" w:rsidRPr="00B27ECB">
        <w:rPr>
          <w:rFonts w:ascii="Times New Roman" w:hAnsi="Times New Roman" w:cs="Times New Roman"/>
          <w:sz w:val="24"/>
          <w:szCs w:val="24"/>
        </w:rPr>
        <w:t>In these</w:t>
      </w:r>
      <w:r w:rsidR="00684BD1">
        <w:rPr>
          <w:rFonts w:ascii="Times New Roman" w:hAnsi="Times New Roman" w:cs="Times New Roman"/>
          <w:sz w:val="24"/>
          <w:szCs w:val="24"/>
        </w:rPr>
        <w:t xml:space="preserve"> cas</w:t>
      </w:r>
      <w:r w:rsidR="0021687F" w:rsidRPr="00B27ECB">
        <w:rPr>
          <w:rFonts w:ascii="Times New Roman" w:hAnsi="Times New Roman" w:cs="Times New Roman"/>
          <w:sz w:val="24"/>
          <w:szCs w:val="24"/>
        </w:rPr>
        <w:t>es</w:t>
      </w:r>
      <w:r w:rsidR="00D20400" w:rsidRPr="00B27ECB">
        <w:rPr>
          <w:rFonts w:ascii="Times New Roman" w:hAnsi="Times New Roman" w:cs="Times New Roman"/>
          <w:sz w:val="24"/>
          <w:szCs w:val="24"/>
        </w:rPr>
        <w:t>, t</w:t>
      </w:r>
      <w:r w:rsidRPr="00B27ECB">
        <w:rPr>
          <w:rFonts w:ascii="Times New Roman" w:hAnsi="Times New Roman" w:cs="Times New Roman"/>
          <w:sz w:val="24"/>
          <w:szCs w:val="24"/>
        </w:rPr>
        <w:t>he terms ‘think it worth while’ and ‘might as well’ suggest he may</w:t>
      </w:r>
      <w:r w:rsidR="00D20400" w:rsidRPr="00B27ECB">
        <w:rPr>
          <w:rFonts w:ascii="Times New Roman" w:hAnsi="Times New Roman" w:cs="Times New Roman"/>
          <w:sz w:val="24"/>
          <w:szCs w:val="24"/>
        </w:rPr>
        <w:t xml:space="preserve"> listen to or</w:t>
      </w:r>
      <w:r w:rsidRPr="00B27ECB">
        <w:rPr>
          <w:rFonts w:ascii="Times New Roman" w:hAnsi="Times New Roman" w:cs="Times New Roman"/>
          <w:sz w:val="24"/>
          <w:szCs w:val="24"/>
        </w:rPr>
        <w:t xml:space="preserve"> accompany</w:t>
      </w:r>
      <w:r w:rsidRPr="00D7340C">
        <w:rPr>
          <w:rFonts w:ascii="Times New Roman" w:hAnsi="Times New Roman" w:cs="Times New Roman"/>
          <w:sz w:val="24"/>
          <w:szCs w:val="24"/>
        </w:rPr>
        <w:t xml:space="preserve"> the others for information or amusement but nothing will prevent him from exercising his choice to be present.</w:t>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ab/>
      </w:r>
      <w:r w:rsidRPr="00D20400">
        <w:rPr>
          <w:rFonts w:ascii="Times New Roman" w:hAnsi="Times New Roman" w:cs="Times New Roman"/>
          <w:sz w:val="24"/>
          <w:szCs w:val="24"/>
        </w:rPr>
        <w:t xml:space="preserve">Chapter </w:t>
      </w:r>
      <w:r w:rsidR="00467168" w:rsidRPr="00D20400">
        <w:rPr>
          <w:rFonts w:ascii="Times New Roman" w:hAnsi="Times New Roman" w:cs="Times New Roman"/>
          <w:sz w:val="24"/>
          <w:szCs w:val="24"/>
        </w:rPr>
        <w:t>o</w:t>
      </w:r>
      <w:r w:rsidRPr="00D20400">
        <w:rPr>
          <w:rFonts w:ascii="Times New Roman" w:hAnsi="Times New Roman" w:cs="Times New Roman"/>
          <w:sz w:val="24"/>
          <w:szCs w:val="24"/>
        </w:rPr>
        <w:t>ne</w:t>
      </w:r>
      <w:r w:rsidRPr="00D7340C">
        <w:rPr>
          <w:rFonts w:ascii="Times New Roman" w:hAnsi="Times New Roman" w:cs="Times New Roman"/>
          <w:sz w:val="24"/>
          <w:szCs w:val="24"/>
        </w:rPr>
        <w:t xml:space="preserve"> suggested that Reynolds maintained a fairly strict view regarding individual conduct.  Yet in the comic world of </w:t>
      </w:r>
      <w:r w:rsidRPr="00D7340C">
        <w:rPr>
          <w:rFonts w:ascii="Times New Roman" w:hAnsi="Times New Roman" w:cs="Times New Roman"/>
          <w:i/>
          <w:iCs/>
          <w:sz w:val="24"/>
          <w:szCs w:val="24"/>
        </w:rPr>
        <w:t>Pickwick Abroad</w:t>
      </w:r>
      <w:r w:rsidRPr="00D7340C">
        <w:rPr>
          <w:rFonts w:ascii="Times New Roman" w:hAnsi="Times New Roman" w:cs="Times New Roman"/>
          <w:sz w:val="24"/>
          <w:szCs w:val="24"/>
        </w:rPr>
        <w:t>, he frequently blurs the line as to what is deemed acceptable behaviour, with the rules governing master-servant relationships being frequently relaxed and complicating judgment over the validity of Sam’s protest. When Pickwick attends the opera wearing an inappropriate beaver hat he has borrowed, it causes laughter among his companions but ‘particularly on the part of Mr. Weller, who, in the height of facetiousness, was pleased to liken his illustrious master to a “moveable stack of chimbleys, vith von chimbly-pot on the top”’.</w:t>
      </w:r>
      <w:r w:rsidRPr="00D7340C">
        <w:rPr>
          <w:rStyle w:val="FootnoteReference"/>
          <w:rFonts w:ascii="Times New Roman" w:hAnsi="Times New Roman"/>
          <w:sz w:val="24"/>
          <w:szCs w:val="24"/>
        </w:rPr>
        <w:footnoteReference w:id="300"/>
      </w:r>
      <w:r w:rsidRPr="00D7340C">
        <w:rPr>
          <w:rFonts w:ascii="Times New Roman" w:hAnsi="Times New Roman" w:cs="Times New Roman"/>
          <w:sz w:val="24"/>
          <w:szCs w:val="24"/>
        </w:rPr>
        <w:t xml:space="preserve">  Pickwick, although peevish, realizes his own absurdity and Sam is free to remark upon the matter.  Similarly, when a letter from Snodgrass arrives containing no poetry Pickwick responds only ‘mildly’ to Sam’s disrespectful comment: ‘Vell, that’s a blessin’’.</w:t>
      </w:r>
      <w:r w:rsidRPr="00D7340C">
        <w:rPr>
          <w:rStyle w:val="FootnoteReference"/>
          <w:rFonts w:ascii="Times New Roman" w:hAnsi="Times New Roman"/>
          <w:sz w:val="24"/>
          <w:szCs w:val="24"/>
        </w:rPr>
        <w:footnoteReference w:id="301"/>
      </w:r>
      <w:r w:rsidRPr="00D7340C">
        <w:rPr>
          <w:rFonts w:ascii="Times New Roman" w:hAnsi="Times New Roman" w:cs="Times New Roman"/>
          <w:sz w:val="24"/>
          <w:szCs w:val="24"/>
        </w:rPr>
        <w:t xml:space="preserve">  In this instance, Pickwick’s position is made easier because the words express the feelings of all present and Winkle has just made a similar, if less pointed, observation.</w:t>
      </w:r>
      <w:r w:rsidRPr="00D7340C">
        <w:rPr>
          <w:rStyle w:val="FootnoteReference"/>
          <w:rFonts w:ascii="Times New Roman" w:hAnsi="Times New Roman"/>
          <w:sz w:val="24"/>
          <w:szCs w:val="24"/>
        </w:rPr>
        <w:footnoteReference w:id="302"/>
      </w:r>
      <w:r w:rsidRPr="00D7340C">
        <w:rPr>
          <w:rFonts w:ascii="Times New Roman" w:hAnsi="Times New Roman" w:cs="Times New Roman"/>
          <w:sz w:val="24"/>
          <w:szCs w:val="24"/>
        </w:rPr>
        <w:t xml:space="preserve">  However, Sam’s interventions frequently result in occasions when superiors feel he has overstepped the mark and put relationships under strain.  </w:t>
      </w:r>
      <w:r w:rsidRPr="00D7340C">
        <w:rPr>
          <w:rFonts w:ascii="Times New Roman" w:hAnsi="Times New Roman" w:cs="Times New Roman"/>
          <w:sz w:val="24"/>
          <w:szCs w:val="24"/>
        </w:rPr>
        <w:lastRenderedPageBreak/>
        <w:t>This occurs when Sam mocks Tupman’s disastrous liaison with the female adventurer Anastasie de Volage:</w:t>
      </w:r>
    </w:p>
    <w:p w:rsidR="00C73A2E" w:rsidRPr="00D7340C" w:rsidRDefault="00C73A2E" w:rsidP="00C73A2E">
      <w:pPr>
        <w:spacing w:after="240" w:line="240" w:lineRule="auto"/>
        <w:ind w:left="720"/>
        <w:rPr>
          <w:rFonts w:ascii="Times New Roman" w:hAnsi="Times New Roman" w:cs="Times New Roman"/>
          <w:sz w:val="24"/>
          <w:szCs w:val="24"/>
        </w:rPr>
      </w:pPr>
      <w:r w:rsidRPr="00D7340C">
        <w:rPr>
          <w:rFonts w:ascii="Times New Roman" w:hAnsi="Times New Roman" w:cs="Times New Roman"/>
          <w:sz w:val="24"/>
          <w:szCs w:val="24"/>
        </w:rPr>
        <w:t>There was no alternative left: he [Tupman] could not weep—so he gave vent to his emotions in a sigh of more than decent length, while Mr. Weller muttered somewhat audibly the expressive disyllable ‘Gammon!’ and then hummed the popular air of ‘A froggie would a wooing go,’ to pretend that the ejaculation had not emanated from his especial lips.  Mr. Pickwick looked a thunder-storm, and Mr. Winkle a flash of lightning: but no verbal reference was made to Mr. Weller’s unaccountable behaviour.</w:t>
      </w:r>
      <w:r w:rsidRPr="00D7340C">
        <w:rPr>
          <w:rStyle w:val="FootnoteReference"/>
          <w:rFonts w:ascii="Times New Roman" w:hAnsi="Times New Roman"/>
          <w:sz w:val="24"/>
          <w:szCs w:val="24"/>
        </w:rPr>
        <w:footnoteReference w:id="303"/>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The terse, colloquial phrase and popular verse aim to puncture the ludicrousness of middle-class sentimentality that aspires to tragedy.  Sam’s interjection confirms his belief in the falsity of Tupman’s overwrought response while the outburst of song ridicules the Pickwickian’s famed romantic sensibilities.</w:t>
      </w:r>
      <w:r w:rsidRPr="00D7340C">
        <w:rPr>
          <w:rStyle w:val="FootnoteReference"/>
          <w:rFonts w:ascii="Times New Roman" w:hAnsi="Times New Roman"/>
          <w:sz w:val="24"/>
          <w:szCs w:val="24"/>
        </w:rPr>
        <w:footnoteReference w:id="304"/>
      </w:r>
      <w:r w:rsidRPr="00D7340C">
        <w:rPr>
          <w:rFonts w:ascii="Times New Roman" w:hAnsi="Times New Roman" w:cs="Times New Roman"/>
          <w:sz w:val="24"/>
          <w:szCs w:val="24"/>
        </w:rPr>
        <w:t xml:space="preserve">  The silence of those present is perhaps an acknowledgement of Sam’s correctness but their anger indicates he has entered forbidden territory.  Pickwick’s sense of Tupman’s folly restrains him from voicing annoyance and if any contention arises from the ‘thunder-storm’ it is made privately and not referenced in the narrative.  However, what the scene achieves is to foreground the need for protest to be conducted in an appropriate manner and question whether Sam meets the required standards.</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 xml:space="preserve">Given Sam’s consciousness of being a standard bearer for the verbal dexterity of his class and that he uses his ability to try and establish the truth, it is inevitable he is aggrieved by those who use language for pretension or deceit, a trait present among several of Pickwick’s companions.  For Sam, as a proponent of vernacular speech, there are many issues at stake and his disputes frequently contain implications of class-based opposition.  This is highlighted by his altercations with Nassau Siffkin and Septimus Chitty who join the coach journey to Surene.  Sam responds sarcastically </w:t>
      </w:r>
      <w:r w:rsidRPr="00E7336B">
        <w:rPr>
          <w:rFonts w:ascii="Times New Roman" w:hAnsi="Times New Roman" w:cs="Times New Roman"/>
          <w:sz w:val="24"/>
          <w:szCs w:val="24"/>
        </w:rPr>
        <w:t>when the former replies to</w:t>
      </w:r>
      <w:r w:rsidRPr="00D7340C">
        <w:rPr>
          <w:rFonts w:ascii="Times New Roman" w:hAnsi="Times New Roman" w:cs="Times New Roman"/>
          <w:sz w:val="24"/>
          <w:szCs w:val="24"/>
        </w:rPr>
        <w:t xml:space="preserve"> Pickwick’s question of how long he has been in France:</w:t>
      </w:r>
    </w:p>
    <w:p w:rsidR="00C73A2E" w:rsidRPr="00D7340C" w:rsidRDefault="00C73A2E" w:rsidP="00C73A2E">
      <w:pPr>
        <w:spacing w:after="120" w:line="240" w:lineRule="auto"/>
        <w:ind w:left="720"/>
        <w:rPr>
          <w:rFonts w:ascii="Times New Roman" w:hAnsi="Times New Roman" w:cs="Times New Roman"/>
          <w:sz w:val="24"/>
          <w:szCs w:val="24"/>
        </w:rPr>
      </w:pPr>
      <w:r w:rsidRPr="00D7340C">
        <w:rPr>
          <w:rFonts w:ascii="Times New Roman" w:hAnsi="Times New Roman" w:cs="Times New Roman"/>
          <w:sz w:val="24"/>
          <w:szCs w:val="24"/>
        </w:rPr>
        <w:t>‘Only three days this time, Mr. Pickwick,’ returned the gentleman thus appealed to.  ‘But let the winds for ever efface all traces of my eyes—’</w:t>
      </w:r>
    </w:p>
    <w:p w:rsidR="00C73A2E" w:rsidRPr="00D7340C" w:rsidRDefault="00C73A2E" w:rsidP="00C73A2E">
      <w:pPr>
        <w:spacing w:after="24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‘Vy don’t ye say, “blast them!” then, Sir?’ interrupted a voice from behind.</w:t>
      </w:r>
      <w:r w:rsidRPr="00D7340C">
        <w:rPr>
          <w:rStyle w:val="FootnoteReference"/>
          <w:rFonts w:ascii="Times New Roman" w:hAnsi="Times New Roman"/>
          <w:sz w:val="24"/>
          <w:szCs w:val="24"/>
        </w:rPr>
        <w:footnoteReference w:id="305"/>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 xml:space="preserve">This is Sam’s first verbal exchange with Siffkin and he instantly goes on the offensive by claiming superiority for his more colloquial and concise expression.  Sam regards affected speech as tantamount to insincerity, the verbal equivalent of Siffkin’s dyed hair and false </w:t>
      </w:r>
      <w:r w:rsidRPr="006A5D9B">
        <w:rPr>
          <w:rFonts w:ascii="Times New Roman" w:hAnsi="Times New Roman" w:cs="Times New Roman"/>
          <w:sz w:val="24"/>
          <w:szCs w:val="24"/>
        </w:rPr>
        <w:lastRenderedPageBreak/>
        <w:t>teeth.</w:t>
      </w:r>
      <w:r w:rsidRPr="006A5D9B">
        <w:rPr>
          <w:rStyle w:val="FootnoteReference"/>
          <w:rFonts w:ascii="Times New Roman" w:hAnsi="Times New Roman"/>
          <w:sz w:val="24"/>
          <w:szCs w:val="24"/>
        </w:rPr>
        <w:footnoteReference w:id="306"/>
      </w:r>
      <w:r w:rsidRPr="006A5D9B">
        <w:rPr>
          <w:rFonts w:ascii="Times New Roman" w:hAnsi="Times New Roman" w:cs="Times New Roman"/>
          <w:sz w:val="24"/>
          <w:szCs w:val="24"/>
        </w:rPr>
        <w:t xml:space="preserve">  Another aspect of conversation </w:t>
      </w:r>
      <w:r w:rsidRPr="002D3657">
        <w:rPr>
          <w:rFonts w:ascii="Times New Roman" w:hAnsi="Times New Roman" w:cs="Times New Roman"/>
          <w:sz w:val="24"/>
          <w:szCs w:val="24"/>
        </w:rPr>
        <w:t>problematic for Sam is</w:t>
      </w:r>
      <w:r w:rsidR="006A5D9B" w:rsidRPr="002D3657">
        <w:rPr>
          <w:rFonts w:ascii="Times New Roman" w:hAnsi="Times New Roman" w:cs="Times New Roman"/>
          <w:sz w:val="24"/>
          <w:szCs w:val="24"/>
        </w:rPr>
        <w:t xml:space="preserve"> fear of losing ‘control’, whereby it might appear that he cedes ascendency to others, especially those of higher social standing.  </w:t>
      </w:r>
      <w:r w:rsidRPr="002D3657">
        <w:rPr>
          <w:rFonts w:ascii="Times New Roman" w:hAnsi="Times New Roman" w:cs="Times New Roman"/>
          <w:sz w:val="24"/>
          <w:szCs w:val="24"/>
        </w:rPr>
        <w:t>This is displayed when he abruptly attempts to</w:t>
      </w:r>
      <w:r w:rsidRPr="00D7340C">
        <w:rPr>
          <w:rFonts w:ascii="Times New Roman" w:hAnsi="Times New Roman" w:cs="Times New Roman"/>
          <w:sz w:val="24"/>
          <w:szCs w:val="24"/>
        </w:rPr>
        <w:t xml:space="preserve"> exclude Chitty from the inside of the coach at the start of the trip:</w:t>
      </w:r>
    </w:p>
    <w:p w:rsidR="00C73A2E" w:rsidRPr="00D7340C" w:rsidRDefault="00C73A2E" w:rsidP="00C73A2E">
      <w:pPr>
        <w:spacing w:after="240" w:line="240" w:lineRule="auto"/>
        <w:ind w:left="720"/>
        <w:rPr>
          <w:rFonts w:ascii="Times New Roman" w:hAnsi="Times New Roman" w:cs="Times New Roman"/>
          <w:sz w:val="24"/>
          <w:szCs w:val="24"/>
        </w:rPr>
      </w:pPr>
      <w:r w:rsidRPr="00D7340C">
        <w:rPr>
          <w:rFonts w:ascii="Times New Roman" w:hAnsi="Times New Roman" w:cs="Times New Roman"/>
          <w:sz w:val="24"/>
          <w:szCs w:val="24"/>
        </w:rPr>
        <w:t>‘Now, then, Chitty, you get out o’ the shay,’ exclaimed the faithful functionary: ‘your name ain’t down in the vay-bill for the inside; fust come, fust served, as the boatswain said ven the men vos brought up to be flogged.’</w:t>
      </w:r>
      <w:r w:rsidRPr="00D7340C">
        <w:rPr>
          <w:rStyle w:val="FootnoteReference"/>
          <w:rFonts w:ascii="Times New Roman" w:hAnsi="Times New Roman"/>
          <w:sz w:val="24"/>
          <w:szCs w:val="24"/>
        </w:rPr>
        <w:footnoteReference w:id="307"/>
      </w:r>
      <w:r w:rsidRPr="00D7340C">
        <w:rPr>
          <w:rFonts w:ascii="Times New Roman" w:hAnsi="Times New Roman" w:cs="Times New Roman"/>
          <w:sz w:val="24"/>
          <w:szCs w:val="24"/>
        </w:rPr>
        <w:t xml:space="preserve"> </w:t>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 xml:space="preserve">This behaviour is inappropriate since there is room for everyone.  It is </w:t>
      </w:r>
      <w:r w:rsidRPr="00D7340C">
        <w:rPr>
          <w:rFonts w:ascii="Times New Roman" w:hAnsi="Times New Roman" w:cs="Times New Roman"/>
          <w:iCs/>
          <w:sz w:val="24"/>
          <w:szCs w:val="24"/>
        </w:rPr>
        <w:t>particularly disrespectful in failing to afford Chitty a title and for giving an uncivil order.  Rather than being treated as one of Pickwick’s companions he is spoken to like a customer who has not paid his fare.</w:t>
      </w:r>
      <w:r w:rsidRPr="00D7340C">
        <w:rPr>
          <w:rFonts w:ascii="Times New Roman" w:hAnsi="Times New Roman" w:cs="Times New Roman"/>
          <w:sz w:val="24"/>
          <w:szCs w:val="24"/>
        </w:rPr>
        <w:t xml:space="preserve">  Pickwick overrides Sam, and Chitty after confirming he is comfortable ostentatiously gives permission for the vehicle to depart: ‘“</w:t>
      </w:r>
      <w:r w:rsidRPr="00D7340C">
        <w:rPr>
          <w:rFonts w:ascii="Times New Roman" w:hAnsi="Times New Roman" w:cs="Times New Roman"/>
          <w:i/>
          <w:iCs/>
          <w:sz w:val="24"/>
          <w:szCs w:val="24"/>
        </w:rPr>
        <w:t>Omnes rectus</w:t>
      </w:r>
      <w:r w:rsidRPr="00D7340C">
        <w:rPr>
          <w:rFonts w:ascii="Times New Roman" w:hAnsi="Times New Roman" w:cs="Times New Roman"/>
          <w:sz w:val="24"/>
          <w:szCs w:val="24"/>
        </w:rPr>
        <w:t xml:space="preserve">—all right,” returned that gentleman; “so, </w:t>
      </w:r>
      <w:r w:rsidRPr="00D7340C">
        <w:rPr>
          <w:rFonts w:ascii="Times New Roman" w:hAnsi="Times New Roman" w:cs="Times New Roman"/>
          <w:i/>
          <w:iCs/>
          <w:sz w:val="24"/>
          <w:szCs w:val="24"/>
        </w:rPr>
        <w:t>scinde vi</w:t>
      </w:r>
      <w:r w:rsidRPr="00D7340C">
        <w:rPr>
          <w:rFonts w:ascii="Times New Roman" w:hAnsi="Times New Roman" w:cs="Times New Roman"/>
          <w:sz w:val="24"/>
          <w:szCs w:val="24"/>
        </w:rPr>
        <w:t>a—cut away, as soon as you like.”’</w:t>
      </w:r>
      <w:r w:rsidRPr="00D7340C">
        <w:rPr>
          <w:rStyle w:val="FootnoteReference"/>
          <w:rFonts w:ascii="Times New Roman" w:hAnsi="Times New Roman"/>
          <w:sz w:val="24"/>
          <w:szCs w:val="24"/>
        </w:rPr>
        <w:footnoteReference w:id="308"/>
      </w:r>
      <w:r w:rsidRPr="00D7340C">
        <w:rPr>
          <w:rFonts w:ascii="Times New Roman" w:hAnsi="Times New Roman" w:cs="Times New Roman"/>
          <w:sz w:val="24"/>
          <w:szCs w:val="24"/>
        </w:rPr>
        <w:t xml:space="preserve">  T</w:t>
      </w:r>
      <w:r w:rsidRPr="00D7340C">
        <w:rPr>
          <w:rFonts w:ascii="Times New Roman" w:hAnsi="Times New Roman" w:cs="Times New Roman"/>
          <w:iCs/>
          <w:sz w:val="24"/>
          <w:szCs w:val="24"/>
        </w:rPr>
        <w:t>his affected use of corrupt Latin phrases appears to cause Sam’s resentment</w:t>
      </w:r>
      <w:r w:rsidRPr="00D7340C">
        <w:rPr>
          <w:rFonts w:ascii="Times New Roman" w:hAnsi="Times New Roman" w:cs="Times New Roman"/>
          <w:sz w:val="24"/>
          <w:szCs w:val="24"/>
        </w:rPr>
        <w:t xml:space="preserve">.  </w:t>
      </w:r>
      <w:r w:rsidRPr="00D7340C">
        <w:rPr>
          <w:rFonts w:ascii="Times New Roman" w:hAnsi="Times New Roman" w:cs="Times New Roman"/>
          <w:iCs/>
          <w:sz w:val="24"/>
          <w:szCs w:val="24"/>
        </w:rPr>
        <w:t>It is uncertain how familiar he is with the dramatist’s style, since he was not present when Chitty visited Pickwick at the Hotel Meurice to discuss his play ‘The Creation’.</w:t>
      </w:r>
      <w:r w:rsidRPr="00D7340C">
        <w:rPr>
          <w:rStyle w:val="FootnoteReference"/>
          <w:rFonts w:ascii="Times New Roman" w:hAnsi="Times New Roman"/>
          <w:iCs/>
          <w:sz w:val="24"/>
          <w:szCs w:val="24"/>
        </w:rPr>
        <w:footnoteReference w:id="309"/>
      </w:r>
      <w:r w:rsidRPr="00D7340C">
        <w:rPr>
          <w:rFonts w:ascii="Times New Roman" w:hAnsi="Times New Roman" w:cs="Times New Roman"/>
          <w:iCs/>
          <w:sz w:val="24"/>
          <w:szCs w:val="24"/>
        </w:rPr>
        <w:t xml:space="preserve">  However, Sam does know him to be a poet</w:t>
      </w:r>
      <w:r w:rsidRPr="00D7340C">
        <w:rPr>
          <w:rFonts w:ascii="Times New Roman" w:hAnsi="Times New Roman" w:cs="Times New Roman"/>
          <w:sz w:val="24"/>
          <w:szCs w:val="24"/>
        </w:rPr>
        <w:t xml:space="preserve"> whose verbal idiosyncrasy not only contests his claim to uniqueness, but its pseudo-intellectual tone introduces uncomfortable connotations of class domination.  These re-appear in a later scene when Sam entices Pickwick to enquire about a tale concerning an aging actress who attempts to maintain popularity by posting a gun to herself and spreading the rumour it is from an infatuated lover.  The story, with its references to horse-racing, hoaxes and the Poor Law, allows Sam to divert the conversation towards subjects close to his heart.  When he explains how the ruse is exposed it leads to the following exchange:</w:t>
      </w:r>
    </w:p>
    <w:p w:rsidR="00C73A2E" w:rsidRPr="00D7340C" w:rsidRDefault="00C73A2E" w:rsidP="00C73A2E">
      <w:pPr>
        <w:spacing w:after="120" w:line="240" w:lineRule="auto"/>
        <w:ind w:left="720"/>
        <w:rPr>
          <w:rFonts w:ascii="Times New Roman" w:hAnsi="Times New Roman" w:cs="Times New Roman"/>
          <w:sz w:val="24"/>
          <w:szCs w:val="24"/>
        </w:rPr>
      </w:pPr>
      <w:r w:rsidRPr="00D7340C">
        <w:rPr>
          <w:rFonts w:ascii="Times New Roman" w:hAnsi="Times New Roman" w:cs="Times New Roman"/>
          <w:sz w:val="24"/>
          <w:szCs w:val="24"/>
        </w:rPr>
        <w:t>‘</w:t>
      </w:r>
      <w:r w:rsidRPr="00D7340C">
        <w:rPr>
          <w:rFonts w:ascii="Times New Roman" w:hAnsi="Times New Roman" w:cs="Times New Roman"/>
          <w:i/>
          <w:iCs/>
          <w:sz w:val="24"/>
          <w:szCs w:val="24"/>
        </w:rPr>
        <w:t>Morsor morsus</w:t>
      </w:r>
      <w:r w:rsidRPr="00D7340C">
        <w:rPr>
          <w:rFonts w:ascii="Times New Roman" w:hAnsi="Times New Roman" w:cs="Times New Roman"/>
          <w:sz w:val="24"/>
          <w:szCs w:val="24"/>
        </w:rPr>
        <w:t>—the biter bit,’ observed Mr. Chitty, who had attentively listened to the narrative.</w:t>
      </w:r>
    </w:p>
    <w:p w:rsidR="00C73A2E" w:rsidRPr="00D7340C" w:rsidRDefault="00C73A2E" w:rsidP="00C73A2E">
      <w:pPr>
        <w:spacing w:after="24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‘Eh, I des say it is, Sir,’ remarked Mr. Weller; ‘but I doesn’t understand Greek, an’ so the beauties o’ them there obserwations o’ your’n is qvite lost on me, as the deaf man said ven the beggar-o’oman come singin’ underneath his vinder.’</w:t>
      </w:r>
      <w:r w:rsidRPr="00D7340C">
        <w:rPr>
          <w:rStyle w:val="FootnoteReference"/>
          <w:rFonts w:ascii="Times New Roman" w:hAnsi="Times New Roman"/>
          <w:sz w:val="24"/>
          <w:szCs w:val="24"/>
        </w:rPr>
        <w:footnoteReference w:id="310"/>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 xml:space="preserve">Sam is suspicious of anything he cannot understand, and Chitty’s Latin insertions challenge his ability to direct the situation, indicated by his mistakenly referring to them as Greek.  The </w:t>
      </w:r>
      <w:r w:rsidRPr="00D7340C">
        <w:rPr>
          <w:rFonts w:ascii="Times New Roman" w:hAnsi="Times New Roman" w:cs="Times New Roman"/>
          <w:sz w:val="24"/>
          <w:szCs w:val="24"/>
        </w:rPr>
        <w:lastRenderedPageBreak/>
        <w:t xml:space="preserve">manner in which the poet condescendingly includes the English translation further asserts his authority.  Instead of enjoying the prominence attained through telling his yarn, Sam finds the down-to-earth narrative displaced by the upper-class world of classical allusion and this is a </w:t>
      </w:r>
      <w:r w:rsidRPr="006A5D9B">
        <w:rPr>
          <w:rFonts w:ascii="Times New Roman" w:hAnsi="Times New Roman" w:cs="Times New Roman"/>
          <w:sz w:val="24"/>
          <w:szCs w:val="24"/>
        </w:rPr>
        <w:t xml:space="preserve">blow to his self-esteem.  In retaliation, he dismisses the comment with a Wellerism that </w:t>
      </w:r>
      <w:r w:rsidR="00DF1158" w:rsidRPr="006A5D9B">
        <w:rPr>
          <w:rFonts w:ascii="Times New Roman" w:hAnsi="Times New Roman" w:cs="Times New Roman"/>
          <w:sz w:val="24"/>
          <w:szCs w:val="24"/>
        </w:rPr>
        <w:t>suggests</w:t>
      </w:r>
      <w:r w:rsidRPr="006A5D9B">
        <w:rPr>
          <w:rFonts w:ascii="Times New Roman" w:hAnsi="Times New Roman" w:cs="Times New Roman"/>
          <w:sz w:val="24"/>
          <w:szCs w:val="24"/>
        </w:rPr>
        <w:t xml:space="preserve"> the man’s words may be above him but also that they are worthless.  It also implicitly warns Pickwick to ignore Chitty, the ‘beggar-o’oman’, should he come asking for money, a particularly barbed reference if it is assumed Sam has learnt the dramatist requested help to stage ‘The Creation’ at the previous meeting with the Pickwickians</w:t>
      </w:r>
      <w:r w:rsidRPr="00D7340C">
        <w:rPr>
          <w:rFonts w:ascii="Times New Roman" w:hAnsi="Times New Roman" w:cs="Times New Roman"/>
          <w:sz w:val="24"/>
          <w:szCs w:val="24"/>
        </w:rPr>
        <w:t>.  It is necessary for Sam that his working-class forms of speech are not overwhelmed by the loquacity of superiors and in this respect conversations quickly become a battleground for linguistic mastery symbolizing the broader cultural and social conflicts in which he is continually engaged.</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As said previously, Sam’s ire is often raised against ‘humbug’.  This is typified in the encounter with the acquisitive Wegsworth Muffley, who boasts that his travel writing is lucrative because its questionable anecdotes and spiteful comments about foreigners play to the vanity of English readers.  The determination to challenge such deceit emerges as Muffley is about to describe the bravery of his great-grandfather:</w:t>
      </w:r>
    </w:p>
    <w:p w:rsidR="00C73A2E" w:rsidRPr="00D7340C" w:rsidRDefault="00C73A2E" w:rsidP="00C73A2E">
      <w:pPr>
        <w:spacing w:after="120" w:line="240" w:lineRule="auto"/>
        <w:ind w:left="720"/>
        <w:rPr>
          <w:rFonts w:ascii="Times New Roman" w:hAnsi="Times New Roman" w:cs="Times New Roman"/>
          <w:sz w:val="24"/>
          <w:szCs w:val="24"/>
        </w:rPr>
      </w:pPr>
      <w:r w:rsidRPr="00D7340C">
        <w:rPr>
          <w:rFonts w:ascii="Times New Roman" w:hAnsi="Times New Roman" w:cs="Times New Roman"/>
          <w:sz w:val="24"/>
          <w:szCs w:val="24"/>
        </w:rPr>
        <w:t>‘He must ha’ been a wery great man, he must,’ observed Mr. Weller: ‘a out-an’-outer, an’ no mistake, I dessay.’</w:t>
      </w:r>
    </w:p>
    <w:p w:rsidR="00C73A2E" w:rsidRPr="00D7340C" w:rsidRDefault="00C73A2E" w:rsidP="00C73A2E">
      <w:pPr>
        <w:spacing w:after="120" w:line="240" w:lineRule="auto"/>
        <w:ind w:left="510" w:firstLine="380"/>
        <w:rPr>
          <w:rFonts w:ascii="Times New Roman" w:hAnsi="Times New Roman" w:cs="Times New Roman"/>
          <w:sz w:val="24"/>
          <w:szCs w:val="24"/>
        </w:rPr>
      </w:pPr>
      <w:r w:rsidRPr="00D7340C">
        <w:rPr>
          <w:rFonts w:ascii="Times New Roman" w:hAnsi="Times New Roman" w:cs="Times New Roman"/>
          <w:sz w:val="24"/>
          <w:szCs w:val="24"/>
        </w:rPr>
        <w:t>‘Sam,’ said Mr. Pickwick.</w:t>
      </w:r>
    </w:p>
    <w:p w:rsidR="00C73A2E" w:rsidRPr="00D7340C" w:rsidRDefault="00C73A2E" w:rsidP="00C73A2E">
      <w:pPr>
        <w:spacing w:after="120" w:line="240" w:lineRule="auto"/>
        <w:ind w:left="510" w:firstLine="380"/>
        <w:rPr>
          <w:rFonts w:ascii="Times New Roman" w:hAnsi="Times New Roman" w:cs="Times New Roman"/>
          <w:sz w:val="24"/>
          <w:szCs w:val="24"/>
        </w:rPr>
      </w:pPr>
      <w:r w:rsidRPr="00D7340C">
        <w:rPr>
          <w:rFonts w:ascii="Times New Roman" w:hAnsi="Times New Roman" w:cs="Times New Roman"/>
          <w:sz w:val="24"/>
          <w:szCs w:val="24"/>
        </w:rPr>
        <w:t>‘Sir?’ cried Mr. Weller.</w:t>
      </w:r>
    </w:p>
    <w:p w:rsidR="00C73A2E" w:rsidRPr="00D7340C" w:rsidRDefault="00C73A2E" w:rsidP="00C73A2E">
      <w:pPr>
        <w:spacing w:after="120" w:line="240" w:lineRule="auto"/>
        <w:ind w:left="510" w:firstLine="380"/>
        <w:rPr>
          <w:rFonts w:ascii="Times New Roman" w:hAnsi="Times New Roman" w:cs="Times New Roman"/>
          <w:sz w:val="24"/>
          <w:szCs w:val="24"/>
        </w:rPr>
      </w:pPr>
      <w:r w:rsidRPr="00D7340C">
        <w:rPr>
          <w:rFonts w:ascii="Times New Roman" w:hAnsi="Times New Roman" w:cs="Times New Roman"/>
          <w:sz w:val="24"/>
          <w:szCs w:val="24"/>
        </w:rPr>
        <w:t>‘You may do as little boys are desired to do,’ rejoined his master.</w:t>
      </w:r>
    </w:p>
    <w:p w:rsidR="00C73A2E" w:rsidRPr="00D7340C" w:rsidRDefault="00C73A2E" w:rsidP="00C73A2E">
      <w:pPr>
        <w:spacing w:after="120" w:line="240" w:lineRule="auto"/>
        <w:ind w:left="510" w:firstLine="380"/>
        <w:rPr>
          <w:rFonts w:ascii="Times New Roman" w:hAnsi="Times New Roman" w:cs="Times New Roman"/>
          <w:sz w:val="24"/>
          <w:szCs w:val="24"/>
        </w:rPr>
      </w:pPr>
      <w:r w:rsidRPr="00D7340C">
        <w:rPr>
          <w:rFonts w:ascii="Times New Roman" w:hAnsi="Times New Roman" w:cs="Times New Roman"/>
          <w:sz w:val="24"/>
          <w:szCs w:val="24"/>
        </w:rPr>
        <w:t>‘Wot’s that, Sir?  Come in at dessert?’ said Sam.</w:t>
      </w:r>
    </w:p>
    <w:p w:rsidR="00C73A2E" w:rsidRPr="00D7340C" w:rsidRDefault="00C73A2E" w:rsidP="00C73A2E">
      <w:pPr>
        <w:spacing w:after="240" w:line="240" w:lineRule="auto"/>
        <w:ind w:left="510" w:firstLine="380"/>
        <w:rPr>
          <w:rFonts w:ascii="Times New Roman" w:hAnsi="Times New Roman" w:cs="Times New Roman"/>
          <w:sz w:val="24"/>
          <w:szCs w:val="24"/>
        </w:rPr>
      </w:pPr>
      <w:r w:rsidRPr="00D7340C">
        <w:rPr>
          <w:rFonts w:ascii="Times New Roman" w:hAnsi="Times New Roman" w:cs="Times New Roman"/>
          <w:sz w:val="24"/>
          <w:szCs w:val="24"/>
        </w:rPr>
        <w:t>‘No,’ answered his master: ‘hear, see, and say nothing.’</w:t>
      </w:r>
      <w:r w:rsidRPr="00D7340C">
        <w:rPr>
          <w:rStyle w:val="FootnoteReference"/>
          <w:rFonts w:ascii="Times New Roman" w:hAnsi="Times New Roman"/>
          <w:sz w:val="24"/>
          <w:szCs w:val="24"/>
        </w:rPr>
        <w:footnoteReference w:id="311"/>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Sam’s scepticism, expressed in a direct manner, ignores the rules of polite conversation, even though he knows it will lead to reprimand for insulting a dinner guest.  The conflict is between working-class honesty and middle-class decorum.  Sam’s annoyance also arises because Pickwick must be able to see through Muffley, as does Chitty who is present.</w:t>
      </w:r>
      <w:r w:rsidRPr="00D7340C">
        <w:rPr>
          <w:rStyle w:val="FootnoteReference"/>
          <w:rFonts w:ascii="Times New Roman" w:hAnsi="Times New Roman"/>
          <w:sz w:val="24"/>
          <w:szCs w:val="24"/>
        </w:rPr>
        <w:footnoteReference w:id="312"/>
      </w:r>
      <w:r w:rsidRPr="00D7340C">
        <w:rPr>
          <w:rFonts w:ascii="Times New Roman" w:hAnsi="Times New Roman" w:cs="Times New Roman"/>
          <w:sz w:val="24"/>
          <w:szCs w:val="24"/>
        </w:rPr>
        <w:t xml:space="preserve">  He would be especially piqued with the reproof, which in Sam’s view sees his master misusing social etiquette to suppress the truth.  The reply he makes may be outwardly impertinent, but </w:t>
      </w:r>
      <w:r w:rsidRPr="00D7340C">
        <w:rPr>
          <w:rFonts w:ascii="Times New Roman" w:hAnsi="Times New Roman" w:cs="Times New Roman"/>
          <w:sz w:val="24"/>
          <w:szCs w:val="24"/>
        </w:rPr>
        <w:lastRenderedPageBreak/>
        <w:t xml:space="preserve">its reference to ‘dessert’ simultaneously indicates the belief he is performing a service that should bring reward rather </w:t>
      </w:r>
      <w:r w:rsidRPr="006A5D9B">
        <w:rPr>
          <w:rFonts w:ascii="Times New Roman" w:hAnsi="Times New Roman" w:cs="Times New Roman"/>
          <w:sz w:val="24"/>
          <w:szCs w:val="24"/>
        </w:rPr>
        <w:t xml:space="preserve">than </w:t>
      </w:r>
      <w:r w:rsidR="00F70B09" w:rsidRPr="006A5D9B">
        <w:rPr>
          <w:rFonts w:ascii="Times New Roman" w:hAnsi="Times New Roman" w:cs="Times New Roman"/>
          <w:sz w:val="24"/>
          <w:szCs w:val="24"/>
        </w:rPr>
        <w:t>be admonished</w:t>
      </w:r>
      <w:r w:rsidRPr="006A5D9B">
        <w:rPr>
          <w:rFonts w:ascii="Times New Roman" w:hAnsi="Times New Roman" w:cs="Times New Roman"/>
          <w:sz w:val="24"/>
          <w:szCs w:val="24"/>
        </w:rPr>
        <w:t>.</w:t>
      </w:r>
    </w:p>
    <w:p w:rsidR="00C73A2E" w:rsidRPr="00D7340C" w:rsidRDefault="00C73A2E" w:rsidP="00C73A2E">
      <w:pPr>
        <w:spacing w:after="120" w:line="360" w:lineRule="auto"/>
        <w:ind w:firstLine="720"/>
        <w:rPr>
          <w:rFonts w:ascii="Times New Roman" w:hAnsi="Times New Roman" w:cs="Times New Roman"/>
          <w:sz w:val="24"/>
          <w:szCs w:val="24"/>
        </w:rPr>
      </w:pPr>
      <w:r w:rsidRPr="00655D88">
        <w:rPr>
          <w:rFonts w:ascii="Times New Roman" w:hAnsi="Times New Roman" w:cs="Times New Roman"/>
          <w:sz w:val="24"/>
          <w:szCs w:val="24"/>
        </w:rPr>
        <w:t>Sam’s protest is also based upon the need to establish his respectable status and reject anything that might question it, even</w:t>
      </w:r>
      <w:r w:rsidRPr="00D7340C">
        <w:rPr>
          <w:rFonts w:ascii="Times New Roman" w:hAnsi="Times New Roman" w:cs="Times New Roman"/>
          <w:sz w:val="24"/>
          <w:szCs w:val="24"/>
        </w:rPr>
        <w:t xml:space="preserve"> to the extent of challenging the Pickwickians as happens when he meets Winkle at the fancy-dress ball in the Salle St. Jean:</w:t>
      </w:r>
    </w:p>
    <w:p w:rsidR="00C73A2E" w:rsidRPr="00D7340C" w:rsidRDefault="00C73A2E" w:rsidP="00C73A2E">
      <w:pPr>
        <w:spacing w:after="120" w:line="240" w:lineRule="auto"/>
        <w:ind w:left="720"/>
        <w:rPr>
          <w:rFonts w:ascii="Times New Roman" w:hAnsi="Times New Roman" w:cs="Times New Roman"/>
          <w:sz w:val="24"/>
          <w:szCs w:val="24"/>
        </w:rPr>
      </w:pPr>
      <w:r w:rsidRPr="00D7340C">
        <w:rPr>
          <w:rFonts w:ascii="Times New Roman" w:hAnsi="Times New Roman" w:cs="Times New Roman"/>
          <w:sz w:val="24"/>
          <w:szCs w:val="24"/>
        </w:rPr>
        <w:t>‘What, Sam, is that you?’ enquired Mr. Winkle sternly.  ‘How did you get here?’</w:t>
      </w:r>
    </w:p>
    <w:p w:rsidR="00C73A2E" w:rsidRPr="00D7340C" w:rsidRDefault="00C73A2E" w:rsidP="00C73A2E">
      <w:pPr>
        <w:spacing w:after="12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‘Through the wery common means of a hackney coach and a pair o’ osses, Sir,’ was the immediate answer.</w:t>
      </w:r>
    </w:p>
    <w:p w:rsidR="00C73A2E" w:rsidRPr="00D7340C" w:rsidRDefault="00C73A2E" w:rsidP="00C73A2E">
      <w:pPr>
        <w:spacing w:after="12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‘But for what purpose, Sam, do you intrude into a room where gentlemen and ladies only are admitted?’ continued Mr. Winkle.</w:t>
      </w:r>
    </w:p>
    <w:p w:rsidR="00C73A2E" w:rsidRPr="00D7340C" w:rsidRDefault="00C73A2E" w:rsidP="00C73A2E">
      <w:pPr>
        <w:spacing w:after="24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‘I rayther think that any von as has got a ticket can go to the balls in France,’ answered Mr. Weller: ‘at all events I’m here; an’ a self evident propysition it therefore is.’</w:t>
      </w:r>
      <w:r w:rsidRPr="00D7340C">
        <w:rPr>
          <w:rStyle w:val="FootnoteReference"/>
          <w:rFonts w:ascii="Times New Roman" w:hAnsi="Times New Roman"/>
          <w:sz w:val="24"/>
          <w:szCs w:val="24"/>
        </w:rPr>
        <w:footnoteReference w:id="313"/>
      </w:r>
    </w:p>
    <w:p w:rsidR="00C73A2E" w:rsidRPr="00D7340C" w:rsidRDefault="00C73A2E" w:rsidP="00C73A2E">
      <w:pPr>
        <w:spacing w:after="120" w:line="360" w:lineRule="auto"/>
        <w:rPr>
          <w:rFonts w:ascii="Times New Roman" w:hAnsi="Times New Roman" w:cs="Times New Roman"/>
          <w:bCs/>
          <w:sz w:val="24"/>
          <w:szCs w:val="24"/>
        </w:rPr>
      </w:pPr>
      <w:r w:rsidRPr="00D7340C">
        <w:rPr>
          <w:rFonts w:ascii="Times New Roman" w:hAnsi="Times New Roman" w:cs="Times New Roman"/>
          <w:sz w:val="24"/>
          <w:szCs w:val="24"/>
        </w:rPr>
        <w:t xml:space="preserve">Although the opening question could express surprise or genuine desire to know how he has got to the ball, Winkle’s stern manner indicates displeasure and suggests the inappropriateness of a servant being present.  Sam counters this snobbish exclusiveness in various ways.  The greeting is deliberately misinterpreted </w:t>
      </w:r>
      <w:r w:rsidRPr="005A6E54">
        <w:rPr>
          <w:rFonts w:ascii="Times New Roman" w:hAnsi="Times New Roman" w:cs="Times New Roman"/>
          <w:sz w:val="24"/>
          <w:szCs w:val="24"/>
        </w:rPr>
        <w:t>with an imp</w:t>
      </w:r>
      <w:r w:rsidR="006A5D9B" w:rsidRPr="005A6E54">
        <w:rPr>
          <w:rFonts w:ascii="Times New Roman" w:hAnsi="Times New Roman" w:cs="Times New Roman"/>
          <w:sz w:val="24"/>
          <w:szCs w:val="24"/>
        </w:rPr>
        <w:t>udent</w:t>
      </w:r>
      <w:r w:rsidRPr="005A6E54">
        <w:rPr>
          <w:rFonts w:ascii="Times New Roman" w:hAnsi="Times New Roman" w:cs="Times New Roman"/>
          <w:sz w:val="24"/>
          <w:szCs w:val="24"/>
        </w:rPr>
        <w:t xml:space="preserve"> response</w:t>
      </w:r>
      <w:r w:rsidRPr="00D7340C">
        <w:rPr>
          <w:rFonts w:ascii="Times New Roman" w:hAnsi="Times New Roman" w:cs="Times New Roman"/>
          <w:sz w:val="24"/>
          <w:szCs w:val="24"/>
        </w:rPr>
        <w:t>, something that draws Winkle to express his feelings more directly, charging Sam with being an outsider, trespassing where only ‘gentlemen and ladies’ should attend.  In response, Sam appeals to the republican spirit of the country arguing in a democratic manner that his ticket is as good as anyone’s.  The final rejoinder ‘at all events, I’m here’ asserts his rights with a show of unconcern for such prejudice and implicitly points to Winkle’s inability to do anything about it.  At times, Sam displays deeper shades of class resentment, especially towards non-Pickwickians for whom he feels little loyalty.  This is apparent during the lengthy stroll as they go to picnic in Romainville Wood and Mr Hook Walker warns him not to shake the provisions.  Sam, struggling with two enormous baskets, replies sharply: ‘P’rhaps you’d like to carry the baskits yourself, Sir, […] cos if you does, I von’t deprive you of the pleasure.  Change and change about is a wery good rule, as the chaps says at the treadmill.’</w:t>
      </w:r>
      <w:r w:rsidRPr="00D7340C">
        <w:rPr>
          <w:rStyle w:val="FootnoteReference"/>
          <w:rFonts w:ascii="Times New Roman" w:hAnsi="Times New Roman"/>
          <w:sz w:val="24"/>
          <w:szCs w:val="24"/>
        </w:rPr>
        <w:footnoteReference w:id="314"/>
      </w:r>
      <w:r w:rsidRPr="00D7340C">
        <w:rPr>
          <w:rFonts w:ascii="Times New Roman" w:hAnsi="Times New Roman" w:cs="Times New Roman"/>
          <w:sz w:val="24"/>
          <w:szCs w:val="24"/>
        </w:rPr>
        <w:t xml:space="preserve">  </w:t>
      </w:r>
      <w:r w:rsidRPr="00D7340C">
        <w:rPr>
          <w:rFonts w:ascii="Times New Roman" w:hAnsi="Times New Roman" w:cs="Times New Roman"/>
          <w:bCs/>
          <w:sz w:val="24"/>
          <w:szCs w:val="24"/>
        </w:rPr>
        <w:t xml:space="preserve">Sam’s annoyance is that of one who toils while those who rely upon his labour occupy themselves in idle chatter and leisurely pursuits.  His offer to exchange places as do prisoners on the treadmill, with the ironic suggestion it will lead to Walker’s increased enjoyment, is one that would overturn their social positions and is quickly refused.  The </w:t>
      </w:r>
      <w:r w:rsidRPr="00D7340C">
        <w:rPr>
          <w:rFonts w:ascii="Times New Roman" w:hAnsi="Times New Roman" w:cs="Times New Roman"/>
          <w:bCs/>
          <w:sz w:val="24"/>
          <w:szCs w:val="24"/>
        </w:rPr>
        <w:lastRenderedPageBreak/>
        <w:t xml:space="preserve">concluding words associate the drudgery of the honest worker with the daily grind of those suffering in the workhouse or prison.  In this </w:t>
      </w:r>
      <w:r w:rsidRPr="006A5D9B">
        <w:rPr>
          <w:rFonts w:ascii="Times New Roman" w:hAnsi="Times New Roman" w:cs="Times New Roman"/>
          <w:bCs/>
          <w:sz w:val="24"/>
          <w:szCs w:val="24"/>
        </w:rPr>
        <w:t>instance Pickwick does not rebuke Sam</w:t>
      </w:r>
      <w:r w:rsidR="00E8578A" w:rsidRPr="006A5D9B">
        <w:rPr>
          <w:rFonts w:ascii="Times New Roman" w:hAnsi="Times New Roman" w:cs="Times New Roman"/>
          <w:bCs/>
          <w:sz w:val="24"/>
          <w:szCs w:val="24"/>
        </w:rPr>
        <w:t>,</w:t>
      </w:r>
      <w:r w:rsidRPr="006A5D9B">
        <w:rPr>
          <w:rFonts w:ascii="Times New Roman" w:hAnsi="Times New Roman" w:cs="Times New Roman"/>
          <w:bCs/>
          <w:sz w:val="24"/>
          <w:szCs w:val="24"/>
        </w:rPr>
        <w:t xml:space="preserve"> indicating a realization that despite Walker being a guest his comments </w:t>
      </w:r>
      <w:r w:rsidR="00E8578A" w:rsidRPr="006A5D9B">
        <w:rPr>
          <w:rFonts w:ascii="Times New Roman" w:hAnsi="Times New Roman" w:cs="Times New Roman"/>
          <w:bCs/>
          <w:sz w:val="24"/>
          <w:szCs w:val="24"/>
        </w:rPr>
        <w:t>are</w:t>
      </w:r>
      <w:r w:rsidRPr="006A5D9B">
        <w:rPr>
          <w:rFonts w:ascii="Times New Roman" w:hAnsi="Times New Roman" w:cs="Times New Roman"/>
          <w:bCs/>
          <w:sz w:val="24"/>
          <w:szCs w:val="24"/>
        </w:rPr>
        <w:t xml:space="preserve"> inappropriate</w:t>
      </w:r>
      <w:r w:rsidRPr="00D7340C">
        <w:rPr>
          <w:rFonts w:ascii="Times New Roman" w:hAnsi="Times New Roman" w:cs="Times New Roman"/>
          <w:bCs/>
          <w:sz w:val="24"/>
          <w:szCs w:val="24"/>
        </w:rPr>
        <w:t xml:space="preserve"> and justifiably confronted.</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 xml:space="preserve">Throughout all these events, while Sam’s protest may disrupt it also accepts the master-servant relationship.  Ultimately, he aims not to undermine Pickwick but defend him against those who would take advantage of his naivety.  However, </w:t>
      </w:r>
      <w:r w:rsidRPr="005A6E54">
        <w:rPr>
          <w:rFonts w:ascii="Times New Roman" w:hAnsi="Times New Roman" w:cs="Times New Roman"/>
          <w:sz w:val="24"/>
          <w:szCs w:val="24"/>
        </w:rPr>
        <w:t xml:space="preserve">protestations </w:t>
      </w:r>
      <w:r w:rsidR="006A5D9B" w:rsidRPr="005A6E54">
        <w:rPr>
          <w:rFonts w:ascii="Times New Roman" w:hAnsi="Times New Roman" w:cs="Times New Roman"/>
          <w:sz w:val="24"/>
          <w:szCs w:val="24"/>
        </w:rPr>
        <w:t>often</w:t>
      </w:r>
      <w:r w:rsidRPr="00D7340C">
        <w:rPr>
          <w:rFonts w:ascii="Times New Roman" w:hAnsi="Times New Roman" w:cs="Times New Roman"/>
          <w:sz w:val="24"/>
          <w:szCs w:val="24"/>
        </w:rPr>
        <w:t xml:space="preserve"> fail to run smoothly due to obstinacy by those in authority or the ill-disciplined nature of the dissent.  After Pickwick announces his intention to visit Adolphus Crashem in gaol, Sam correctly accuses the man of being a con-artist with references to Bill Sykes, costermongers and vagabonds, all hinting at the darker side of life he wishes to protect his master from.</w:t>
      </w:r>
      <w:r w:rsidRPr="00D7340C">
        <w:rPr>
          <w:rStyle w:val="FootnoteReference"/>
          <w:rFonts w:ascii="Times New Roman" w:hAnsi="Times New Roman"/>
          <w:sz w:val="24"/>
          <w:szCs w:val="24"/>
        </w:rPr>
        <w:footnoteReference w:id="315"/>
      </w:r>
      <w:r w:rsidRPr="00D7340C">
        <w:rPr>
          <w:rFonts w:ascii="Times New Roman" w:hAnsi="Times New Roman" w:cs="Times New Roman"/>
          <w:sz w:val="24"/>
          <w:szCs w:val="24"/>
        </w:rPr>
        <w:t xml:space="preserve">  As is frequently the case, Pickwick feels unable to accept Sam’s judgment and orders him to get breakfast, an ill-concealed ploy to end his discomfiture: ‘Mr. Pickwick was very desirous of putting a stop to a conversation in which his valet had the better side of the argument’.</w:t>
      </w:r>
      <w:r w:rsidRPr="00D7340C">
        <w:rPr>
          <w:rStyle w:val="FootnoteReference"/>
          <w:rFonts w:ascii="Times New Roman" w:hAnsi="Times New Roman"/>
          <w:sz w:val="24"/>
          <w:szCs w:val="24"/>
        </w:rPr>
        <w:footnoteReference w:id="316"/>
      </w:r>
      <w:r w:rsidRPr="00D7340C">
        <w:rPr>
          <w:rFonts w:ascii="Times New Roman" w:hAnsi="Times New Roman" w:cs="Times New Roman"/>
          <w:sz w:val="24"/>
          <w:szCs w:val="24"/>
        </w:rPr>
        <w:t xml:space="preserve">  However, there are instances when Sam is at fault.  This occurs when he warns Pickwick not to gamble with the card-sharps Peacock and Brandenburgh: ‘cos you’re rather fresh as it is—and them new-comers is precious jokers anyhow.  You’d only make a old scare-crow o’ yourself.’</w:t>
      </w:r>
      <w:r w:rsidRPr="00D7340C">
        <w:rPr>
          <w:rStyle w:val="FootnoteReference"/>
          <w:rFonts w:ascii="Times New Roman" w:hAnsi="Times New Roman"/>
          <w:sz w:val="24"/>
          <w:szCs w:val="24"/>
        </w:rPr>
        <w:footnoteReference w:id="317"/>
      </w:r>
      <w:r w:rsidRPr="00D7340C">
        <w:rPr>
          <w:rFonts w:ascii="Times New Roman" w:hAnsi="Times New Roman" w:cs="Times New Roman"/>
          <w:sz w:val="24"/>
          <w:szCs w:val="24"/>
        </w:rPr>
        <w:t xml:space="preserve">  Although spoken in a low voice, the term ‘fresh’ and the rudeness concerning the affect upon Pickwick of his drinking show lack of respect.  Sam is formally correct because he knows Tupman and his master are being cheated but the manner of intervention makes it less a warning and more an insult: ‘Mr. Pickwick dealt a look of the deepest contempt, mingled with indignation, at the head of his faithful domestic, and without deigning a reply to the aforesaid advice, requested his friends to walk into the supper-room.’</w:t>
      </w:r>
      <w:r w:rsidRPr="00D7340C">
        <w:rPr>
          <w:rStyle w:val="FootnoteReference"/>
          <w:rFonts w:ascii="Times New Roman" w:hAnsi="Times New Roman"/>
          <w:sz w:val="24"/>
          <w:szCs w:val="24"/>
        </w:rPr>
        <w:footnoteReference w:id="318"/>
      </w:r>
      <w:r w:rsidRPr="00D7340C">
        <w:rPr>
          <w:rFonts w:ascii="Times New Roman" w:hAnsi="Times New Roman" w:cs="Times New Roman"/>
          <w:sz w:val="24"/>
          <w:szCs w:val="24"/>
        </w:rPr>
        <w:t xml:space="preserve">  The advice is well meant but poorly executed and places Pickwick in an awkward position.  Although leaving the table, he treats Sam’s words with ‘contempt’ and ‘indignation’ suggesting his departure is to avoid the necessity of chastising his valet.  Instead of bringing them closer, Sam’s inappropriate conduct temporarily drives them apart.</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 xml:space="preserve">A common form of protest among Reynolds’s servants is seeking information to acquire power over their employer.  As seen above, Sam acts in line with this to the extent of believing he is entitled to know </w:t>
      </w:r>
      <w:r w:rsidRPr="005A6E54">
        <w:rPr>
          <w:rFonts w:ascii="Times New Roman" w:hAnsi="Times New Roman" w:cs="Times New Roman"/>
          <w:sz w:val="24"/>
          <w:szCs w:val="24"/>
        </w:rPr>
        <w:t xml:space="preserve">about </w:t>
      </w:r>
      <w:r w:rsidR="006A5D9B" w:rsidRPr="005A6E54">
        <w:rPr>
          <w:rFonts w:ascii="Times New Roman" w:hAnsi="Times New Roman" w:cs="Times New Roman"/>
          <w:sz w:val="24"/>
          <w:szCs w:val="24"/>
        </w:rPr>
        <w:t>all</w:t>
      </w:r>
      <w:r w:rsidRPr="005A6E54">
        <w:rPr>
          <w:rFonts w:ascii="Times New Roman" w:hAnsi="Times New Roman" w:cs="Times New Roman"/>
          <w:sz w:val="24"/>
          <w:szCs w:val="24"/>
        </w:rPr>
        <w:t xml:space="preserve"> area</w:t>
      </w:r>
      <w:r w:rsidR="006A5D9B" w:rsidRPr="005A6E54">
        <w:rPr>
          <w:rFonts w:ascii="Times New Roman" w:hAnsi="Times New Roman" w:cs="Times New Roman"/>
          <w:sz w:val="24"/>
          <w:szCs w:val="24"/>
        </w:rPr>
        <w:t>s</w:t>
      </w:r>
      <w:r w:rsidRPr="005A6E54">
        <w:rPr>
          <w:rFonts w:ascii="Times New Roman" w:hAnsi="Times New Roman" w:cs="Times New Roman"/>
          <w:sz w:val="24"/>
          <w:szCs w:val="24"/>
        </w:rPr>
        <w:t xml:space="preserve"> of</w:t>
      </w:r>
      <w:r w:rsidRPr="00D7340C">
        <w:rPr>
          <w:rFonts w:ascii="Times New Roman" w:hAnsi="Times New Roman" w:cs="Times New Roman"/>
          <w:sz w:val="24"/>
          <w:szCs w:val="24"/>
        </w:rPr>
        <w:t xml:space="preserve"> life he encounters.  However, he then </w:t>
      </w:r>
      <w:r w:rsidRPr="00D7340C">
        <w:rPr>
          <w:rFonts w:ascii="Times New Roman" w:hAnsi="Times New Roman" w:cs="Times New Roman"/>
          <w:sz w:val="24"/>
          <w:szCs w:val="24"/>
        </w:rPr>
        <w:lastRenderedPageBreak/>
        <w:t>diverges from his disreputable peers due to a deep sense of loyalty, so that anything discovered serves as ammunition to protect rather than injure his master.  This is the case when he intercepts a letter from the unscrupulous William Sugden, which attempts to lure Pickwick into buying shares in the bogus Universal Stone-Expelling and Asphaltum-Substituting Equitable Company.</w:t>
      </w:r>
      <w:r w:rsidRPr="00D7340C">
        <w:rPr>
          <w:rStyle w:val="FootnoteReference"/>
          <w:rFonts w:ascii="Times New Roman" w:hAnsi="Times New Roman"/>
          <w:bCs/>
          <w:sz w:val="24"/>
          <w:szCs w:val="24"/>
        </w:rPr>
        <w:footnoteReference w:id="319"/>
      </w:r>
      <w:r w:rsidRPr="00D7340C">
        <w:rPr>
          <w:rFonts w:ascii="Times New Roman" w:hAnsi="Times New Roman" w:cs="Times New Roman"/>
          <w:sz w:val="24"/>
          <w:szCs w:val="24"/>
        </w:rPr>
        <w:t xml:space="preserve">  Keeping the matter to himself, Sam sends a written reply that transcribes his customary speech, driven by </w:t>
      </w:r>
      <w:r w:rsidRPr="00D7340C">
        <w:rPr>
          <w:rFonts w:ascii="Times New Roman" w:hAnsi="Times New Roman" w:cs="Times New Roman"/>
          <w:bCs/>
          <w:sz w:val="24"/>
          <w:szCs w:val="24"/>
        </w:rPr>
        <w:t>anger that Sugden would hoodwink the amiable Pickwick ‘as vos like a farthur to you ven you vos in trubble in saint pellagee’.</w:t>
      </w:r>
      <w:r w:rsidRPr="00D7340C">
        <w:rPr>
          <w:rStyle w:val="FootnoteReference"/>
          <w:rFonts w:ascii="Times New Roman" w:hAnsi="Times New Roman"/>
          <w:bCs/>
          <w:sz w:val="24"/>
          <w:szCs w:val="24"/>
        </w:rPr>
        <w:footnoteReference w:id="320"/>
      </w:r>
      <w:r w:rsidRPr="00D7340C">
        <w:rPr>
          <w:rFonts w:ascii="Times New Roman" w:hAnsi="Times New Roman" w:cs="Times New Roman"/>
          <w:bCs/>
          <w:sz w:val="24"/>
          <w:szCs w:val="24"/>
        </w:rPr>
        <w:t xml:space="preserve">  These words have a degree of poignancy unusual for Sam, the memory of Pickwick offering to pay the fraudster’s debts seemingly bringing to his mind the kindly paternalism the elder man displays towards himself.  The personal tone persists as he argues for</w:t>
      </w:r>
      <w:r w:rsidRPr="00D7340C">
        <w:rPr>
          <w:rFonts w:ascii="Times New Roman" w:hAnsi="Times New Roman" w:cs="Times New Roman"/>
          <w:sz w:val="24"/>
          <w:szCs w:val="24"/>
        </w:rPr>
        <w:t xml:space="preserve"> his master’s wellbeing:</w:t>
      </w:r>
    </w:p>
    <w:p w:rsidR="00C73A2E" w:rsidRPr="00D7340C" w:rsidRDefault="00C73A2E" w:rsidP="00C73A2E">
      <w:pPr>
        <w:spacing w:after="240" w:line="240" w:lineRule="auto"/>
        <w:ind w:left="720"/>
        <w:rPr>
          <w:rFonts w:ascii="Times New Roman" w:hAnsi="Times New Roman" w:cs="Times New Roman"/>
          <w:sz w:val="24"/>
          <w:szCs w:val="24"/>
        </w:rPr>
      </w:pPr>
      <w:r w:rsidRPr="00D7340C">
        <w:rPr>
          <w:rFonts w:ascii="Times New Roman" w:hAnsi="Times New Roman" w:cs="Times New Roman"/>
          <w:sz w:val="24"/>
          <w:szCs w:val="24"/>
        </w:rPr>
        <w:t>i takes the guvners intrist wery much to art […] vi you must think as how that trees isn’t greener than pickvick.  god Bless your hignorents.  if pickvick’s grene sam veller’s not.  like mas’er like man don’t inwariably stand good.</w:t>
      </w:r>
      <w:r w:rsidRPr="00D7340C">
        <w:rPr>
          <w:rStyle w:val="FootnoteReference"/>
          <w:rFonts w:ascii="Times New Roman" w:hAnsi="Times New Roman"/>
          <w:bCs/>
          <w:sz w:val="24"/>
          <w:szCs w:val="24"/>
        </w:rPr>
        <w:footnoteReference w:id="321"/>
      </w:r>
    </w:p>
    <w:p w:rsidR="00C73A2E" w:rsidRPr="00D7340C" w:rsidRDefault="00C73A2E" w:rsidP="00C73A2E">
      <w:pPr>
        <w:spacing w:after="120" w:line="360" w:lineRule="auto"/>
        <w:rPr>
          <w:rFonts w:ascii="Times New Roman" w:hAnsi="Times New Roman" w:cs="Times New Roman"/>
          <w:bCs/>
          <w:sz w:val="24"/>
          <w:szCs w:val="24"/>
        </w:rPr>
      </w:pPr>
      <w:r w:rsidRPr="00D7340C">
        <w:rPr>
          <w:rFonts w:ascii="Times New Roman" w:hAnsi="Times New Roman" w:cs="Times New Roman"/>
          <w:bCs/>
          <w:sz w:val="24"/>
          <w:szCs w:val="24"/>
        </w:rPr>
        <w:t xml:space="preserve">Sam’s realization of the difference between their characters fuels his determination that Pickwick will come to no harm.  He asserts a worldly ability to see through scoundrels who would abuse the </w:t>
      </w:r>
      <w:r w:rsidRPr="00D7340C">
        <w:rPr>
          <w:rFonts w:ascii="Times New Roman" w:hAnsi="Times New Roman" w:cs="Times New Roman"/>
          <w:sz w:val="24"/>
          <w:szCs w:val="24"/>
        </w:rPr>
        <w:t xml:space="preserve">naivety of others, </w:t>
      </w:r>
      <w:r w:rsidRPr="00D7340C">
        <w:rPr>
          <w:rFonts w:ascii="Times New Roman" w:hAnsi="Times New Roman" w:cs="Times New Roman"/>
          <w:bCs/>
          <w:sz w:val="24"/>
          <w:szCs w:val="24"/>
        </w:rPr>
        <w:t>emphasizing his disdain with demeaning insults: ‘pon my vord you’re a wery nice little boy, air you not now?’.</w:t>
      </w:r>
      <w:r w:rsidRPr="00D7340C">
        <w:rPr>
          <w:rStyle w:val="FootnoteReference"/>
          <w:rFonts w:ascii="Times New Roman" w:hAnsi="Times New Roman"/>
          <w:bCs/>
          <w:sz w:val="24"/>
          <w:szCs w:val="24"/>
        </w:rPr>
        <w:footnoteReference w:id="322"/>
      </w:r>
      <w:r w:rsidRPr="00D7340C">
        <w:rPr>
          <w:rFonts w:ascii="Times New Roman" w:hAnsi="Times New Roman" w:cs="Times New Roman"/>
          <w:bCs/>
          <w:sz w:val="24"/>
          <w:szCs w:val="24"/>
        </w:rPr>
        <w:t xml:space="preserve">  Such scorn if used in a face-to-face meeting with an adversary would amount to the demand for complete self-abasement or physical combat.  Since this situation is unlikely to arise, the letter’s postscript warns Sugden his cover is blown and that ‘dumong, the jonny darmy, ud like to shake ans vith you very much’.</w:t>
      </w:r>
      <w:r w:rsidRPr="00D7340C">
        <w:rPr>
          <w:rStyle w:val="FootnoteReference"/>
          <w:rFonts w:ascii="Times New Roman" w:hAnsi="Times New Roman"/>
          <w:bCs/>
          <w:sz w:val="24"/>
          <w:szCs w:val="24"/>
        </w:rPr>
        <w:footnoteReference w:id="323"/>
      </w:r>
      <w:r w:rsidRPr="00D7340C">
        <w:rPr>
          <w:rFonts w:ascii="Times New Roman" w:hAnsi="Times New Roman" w:cs="Times New Roman"/>
          <w:bCs/>
          <w:sz w:val="24"/>
          <w:szCs w:val="24"/>
        </w:rPr>
        <w:t xml:space="preserve">  If Sam is denied the opportunity to resolve the matter, he is happy to see officialdom ensure justice is done.  Through subversive methods or established authority, the servant again acts independently to defend his master.</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 xml:space="preserve">Resort to physical violence is one of Sam’s favoured methods, with the working-class pastime of boxing which Pickwick criticizes so severely being the means used to shield him in times of need.  This occurs when he and his companions are assaulted by a group of English pranksters during the fancy-dress ball at the Salle St. Jean in Paris: ‘there suddenly appeared amongst them an individual, habited as a Gipsy, who began knocking two or three </w:t>
      </w:r>
      <w:r w:rsidRPr="00D7340C">
        <w:rPr>
          <w:rFonts w:ascii="Times New Roman" w:hAnsi="Times New Roman" w:cs="Times New Roman"/>
          <w:sz w:val="24"/>
          <w:szCs w:val="24"/>
        </w:rPr>
        <w:lastRenderedPageBreak/>
        <w:t>of them down without the slightest reference to any modern ceremony, and in the most masculine manner in the world’.</w:t>
      </w:r>
      <w:r w:rsidRPr="00D7340C">
        <w:rPr>
          <w:rStyle w:val="FootnoteReference"/>
          <w:rFonts w:ascii="Times New Roman" w:hAnsi="Times New Roman"/>
          <w:sz w:val="24"/>
          <w:szCs w:val="24"/>
        </w:rPr>
        <w:footnoteReference w:id="324"/>
      </w:r>
      <w:r w:rsidRPr="00D7340C">
        <w:rPr>
          <w:rFonts w:ascii="Times New Roman" w:hAnsi="Times New Roman" w:cs="Times New Roman"/>
          <w:sz w:val="24"/>
          <w:szCs w:val="24"/>
        </w:rPr>
        <w:t xml:space="preserve">  Sam’s intervention comes just after Winkle’s frosty </w:t>
      </w:r>
      <w:r w:rsidRPr="005A6E54">
        <w:rPr>
          <w:rFonts w:ascii="Times New Roman" w:hAnsi="Times New Roman" w:cs="Times New Roman"/>
          <w:sz w:val="24"/>
          <w:szCs w:val="24"/>
        </w:rPr>
        <w:t>welcome</w:t>
      </w:r>
      <w:r w:rsidR="006A5D9B" w:rsidRPr="005A6E54">
        <w:rPr>
          <w:rFonts w:ascii="Times New Roman" w:hAnsi="Times New Roman" w:cs="Times New Roman"/>
          <w:sz w:val="24"/>
          <w:szCs w:val="24"/>
        </w:rPr>
        <w:t xml:space="preserve"> with</w:t>
      </w:r>
      <w:r w:rsidRPr="005A6E54">
        <w:rPr>
          <w:rFonts w:ascii="Times New Roman" w:hAnsi="Times New Roman" w:cs="Times New Roman"/>
          <w:sz w:val="24"/>
          <w:szCs w:val="24"/>
        </w:rPr>
        <w:t xml:space="preserve"> such </w:t>
      </w:r>
      <w:r w:rsidR="006A5D9B" w:rsidRPr="005A6E54">
        <w:rPr>
          <w:rFonts w:ascii="Times New Roman" w:hAnsi="Times New Roman" w:cs="Times New Roman"/>
          <w:sz w:val="24"/>
          <w:szCs w:val="24"/>
        </w:rPr>
        <w:t>supercilious conduct failing to</w:t>
      </w:r>
      <w:r w:rsidRPr="005A6E54">
        <w:rPr>
          <w:rFonts w:ascii="Times New Roman" w:hAnsi="Times New Roman" w:cs="Times New Roman"/>
          <w:sz w:val="24"/>
          <w:szCs w:val="24"/>
        </w:rPr>
        <w:t xml:space="preserve"> weaken</w:t>
      </w:r>
      <w:r w:rsidRPr="00D7340C">
        <w:rPr>
          <w:rFonts w:ascii="Times New Roman" w:hAnsi="Times New Roman" w:cs="Times New Roman"/>
          <w:sz w:val="24"/>
          <w:szCs w:val="24"/>
        </w:rPr>
        <w:t xml:space="preserve"> his allegiance. </w:t>
      </w:r>
      <w:r w:rsidR="006A5D9B">
        <w:rPr>
          <w:rFonts w:ascii="Times New Roman" w:hAnsi="Times New Roman" w:cs="Times New Roman"/>
          <w:sz w:val="24"/>
          <w:szCs w:val="24"/>
        </w:rPr>
        <w:t xml:space="preserve"> </w:t>
      </w:r>
      <w:r w:rsidRPr="00D7340C">
        <w:rPr>
          <w:rFonts w:ascii="Times New Roman" w:hAnsi="Times New Roman" w:cs="Times New Roman"/>
          <w:sz w:val="24"/>
          <w:szCs w:val="24"/>
        </w:rPr>
        <w:t>Realizing the Pickwickians’ ridiculous costumes are likely to cause a disturbance he decides to keep a protective eye over them.</w:t>
      </w:r>
      <w:r w:rsidRPr="00D7340C">
        <w:rPr>
          <w:rStyle w:val="FootnoteReference"/>
          <w:rFonts w:ascii="Times New Roman" w:hAnsi="Times New Roman"/>
          <w:sz w:val="24"/>
          <w:szCs w:val="24"/>
        </w:rPr>
        <w:footnoteReference w:id="325"/>
      </w:r>
      <w:r w:rsidRPr="00D7340C">
        <w:rPr>
          <w:rFonts w:ascii="Times New Roman" w:hAnsi="Times New Roman" w:cs="Times New Roman"/>
          <w:sz w:val="24"/>
          <w:szCs w:val="24"/>
        </w:rPr>
        <w:t xml:space="preserve">  When the fracas duly starts, Reynolds writes: ‘Mr. Weller fought for himself and his masters too’.</w:t>
      </w:r>
      <w:r w:rsidRPr="00D7340C">
        <w:rPr>
          <w:rStyle w:val="FootnoteReference"/>
          <w:rFonts w:ascii="Times New Roman" w:hAnsi="Times New Roman"/>
          <w:sz w:val="24"/>
          <w:szCs w:val="24"/>
        </w:rPr>
        <w:footnoteReference w:id="326"/>
      </w:r>
      <w:r w:rsidRPr="00D7340C">
        <w:rPr>
          <w:rFonts w:ascii="Times New Roman" w:hAnsi="Times New Roman" w:cs="Times New Roman"/>
          <w:sz w:val="24"/>
          <w:szCs w:val="24"/>
        </w:rPr>
        <w:t xml:space="preserve">  Inevitably his prowess stands in sharp contrast to the feeble efforts of the others which see Pickwick flailing the lion’s tail he is carrying while his friends take evasive action.  Given Winkle’s earlier words, it is likely the youthful trouble-makers have some social standing, but Sam does not stand idly by observing the squabbles of the middle classes.  Furthermore, he will use force for the same purpose against all sections of society.  </w:t>
      </w:r>
      <w:r w:rsidRPr="00D7340C">
        <w:rPr>
          <w:rFonts w:ascii="Times New Roman" w:hAnsi="Times New Roman" w:cs="Times New Roman"/>
          <w:bCs/>
          <w:sz w:val="24"/>
          <w:szCs w:val="24"/>
        </w:rPr>
        <w:t>Although Sam promotes working-class manners, he does not use them to gain unfair advantage and disagrees with those that do.  C</w:t>
      </w:r>
      <w:r w:rsidRPr="00D7340C">
        <w:rPr>
          <w:rFonts w:ascii="Times New Roman" w:hAnsi="Times New Roman" w:cs="Times New Roman"/>
          <w:sz w:val="24"/>
          <w:szCs w:val="24"/>
        </w:rPr>
        <w:t>entral to his protest is a refusal to accept that ideas of class unity should supersede feelings of personal loyalty, leading to resentment at any behaviour perceived as insulting to his employer.  This is apparent when he rescues the Pickwickians from a gang of rogues at the New Prison, who try to overwhelm the innocent visitors with flash phrases:</w:t>
      </w:r>
    </w:p>
    <w:p w:rsidR="00C73A2E" w:rsidRPr="00D7340C" w:rsidRDefault="00C73A2E" w:rsidP="00C73A2E">
      <w:pPr>
        <w:ind w:left="720"/>
        <w:rPr>
          <w:rFonts w:ascii="Times New Roman" w:hAnsi="Times New Roman" w:cs="Times New Roman"/>
          <w:sz w:val="24"/>
          <w:szCs w:val="24"/>
        </w:rPr>
      </w:pPr>
      <w:r w:rsidRPr="00D7340C">
        <w:rPr>
          <w:rFonts w:ascii="Times New Roman" w:hAnsi="Times New Roman" w:cs="Times New Roman"/>
          <w:b/>
          <w:sz w:val="24"/>
          <w:szCs w:val="24"/>
        </w:rPr>
        <w:t>‘</w:t>
      </w:r>
      <w:r w:rsidRPr="00D7340C">
        <w:rPr>
          <w:rFonts w:ascii="Times New Roman" w:hAnsi="Times New Roman" w:cs="Times New Roman"/>
          <w:sz w:val="24"/>
          <w:szCs w:val="24"/>
        </w:rPr>
        <w:t>Come—come, none o’ that ’ere, gen’lemen,’ cried Mr. Weller, elbowing his way between the persons of Messieurs Tupman and Winkle, […]  ‘Don’t you see, Sir, that them chaps is humbugging you vith their wery polite offers to drink, and all other sorts o’ gammon?  For tuppense I’d pitch into ‘em, as the little boy said ven he saw the mince-pies in his mother’s larder.</w:t>
      </w:r>
      <w:r w:rsidRPr="00D7340C">
        <w:rPr>
          <w:rFonts w:ascii="Times New Roman" w:hAnsi="Times New Roman" w:cs="Times New Roman"/>
          <w:b/>
          <w:sz w:val="24"/>
          <w:szCs w:val="24"/>
        </w:rPr>
        <w:t>’</w:t>
      </w:r>
      <w:r w:rsidRPr="00D7340C">
        <w:rPr>
          <w:rStyle w:val="FootnoteReference"/>
          <w:rFonts w:ascii="Times New Roman" w:hAnsi="Times New Roman"/>
          <w:sz w:val="24"/>
          <w:szCs w:val="24"/>
        </w:rPr>
        <w:footnoteReference w:id="327"/>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 xml:space="preserve">In such circumstances, there is no time for niceties and Sam </w:t>
      </w:r>
      <w:r w:rsidR="003C1D43">
        <w:rPr>
          <w:rFonts w:ascii="Times New Roman" w:hAnsi="Times New Roman" w:cs="Times New Roman"/>
          <w:sz w:val="24"/>
          <w:szCs w:val="24"/>
        </w:rPr>
        <w:t>charges</w:t>
      </w:r>
      <w:r w:rsidRPr="00D7340C">
        <w:rPr>
          <w:rFonts w:ascii="Times New Roman" w:hAnsi="Times New Roman" w:cs="Times New Roman"/>
          <w:sz w:val="24"/>
          <w:szCs w:val="24"/>
        </w:rPr>
        <w:t xml:space="preserve"> to the fore, unceremoniously barging his way past others to impose himself upon the situation.  After warning his master, he concludes with a Wellerism whose comparison to the boy and the mince-pies suggests not only will he fulfil his duty in seeing off the scoundrels but greatly enjoy doing so.</w:t>
      </w:r>
    </w:p>
    <w:p w:rsidR="00C73A2E" w:rsidRPr="00D7340C" w:rsidRDefault="00C73A2E" w:rsidP="00C73A2E">
      <w:pPr>
        <w:spacing w:after="120" w:line="360" w:lineRule="auto"/>
        <w:ind w:firstLine="720"/>
        <w:rPr>
          <w:rFonts w:ascii="Times New Roman" w:hAnsi="Times New Roman" w:cs="Times New Roman"/>
          <w:bCs/>
          <w:sz w:val="24"/>
          <w:szCs w:val="24"/>
        </w:rPr>
      </w:pPr>
      <w:r w:rsidRPr="00D7340C">
        <w:rPr>
          <w:rFonts w:ascii="Times New Roman" w:hAnsi="Times New Roman" w:cs="Times New Roman"/>
          <w:bCs/>
          <w:sz w:val="24"/>
          <w:szCs w:val="24"/>
        </w:rPr>
        <w:t xml:space="preserve">Sam rejects what he sees as the pretentiousness of middle-class etiquette but does not support an anarchic free for all.  When interaction between social classes takes place, there must be rules of engagement and mutual respect.  This explains his anger with the pugilists Ben Porrett and Tom Knackers who bewilder Pickwick when he insists on accompanying </w:t>
      </w:r>
      <w:r w:rsidRPr="00D7340C">
        <w:rPr>
          <w:rFonts w:ascii="Times New Roman" w:hAnsi="Times New Roman" w:cs="Times New Roman"/>
          <w:bCs/>
          <w:sz w:val="24"/>
          <w:szCs w:val="24"/>
        </w:rPr>
        <w:lastRenderedPageBreak/>
        <w:t>Sam to a tavern innocently hoping to reform their disreputable behaviour.  Despite knowing the pair, Sam will not permit them to abuse the Pickwickians.  His sense of the need for social division results in distaste for Porrett’s ‘excess of familiarity’ in sitting close to Pickwick and Winkle, while he in customary fashion takes ‘a seat at a respectful distance’.</w:t>
      </w:r>
      <w:r w:rsidRPr="00D7340C">
        <w:rPr>
          <w:rStyle w:val="FootnoteReference"/>
          <w:rFonts w:ascii="Times New Roman" w:hAnsi="Times New Roman"/>
          <w:bCs/>
          <w:sz w:val="24"/>
          <w:szCs w:val="24"/>
        </w:rPr>
        <w:footnoteReference w:id="328"/>
      </w:r>
      <w:r w:rsidRPr="00D7340C">
        <w:rPr>
          <w:rFonts w:ascii="Times New Roman" w:hAnsi="Times New Roman" w:cs="Times New Roman"/>
          <w:bCs/>
          <w:sz w:val="24"/>
          <w:szCs w:val="24"/>
        </w:rPr>
        <w:t xml:space="preserve">  While Sam invariably attempts to enlighten Pickwick about this murky world, they wish to create confusion and mockingly try to draw him and Winkle </w:t>
      </w:r>
      <w:r w:rsidRPr="002C4B03">
        <w:rPr>
          <w:rFonts w:ascii="Times New Roman" w:hAnsi="Times New Roman" w:cs="Times New Roman"/>
          <w:bCs/>
          <w:sz w:val="24"/>
          <w:szCs w:val="24"/>
        </w:rPr>
        <w:t>into</w:t>
      </w:r>
      <w:r w:rsidR="00B55B85" w:rsidRPr="002C4B03">
        <w:rPr>
          <w:rFonts w:ascii="Times New Roman" w:hAnsi="Times New Roman" w:cs="Times New Roman"/>
          <w:bCs/>
          <w:sz w:val="24"/>
          <w:szCs w:val="24"/>
        </w:rPr>
        <w:t xml:space="preserve"> a </w:t>
      </w:r>
      <w:r w:rsidRPr="002C4B03">
        <w:rPr>
          <w:rFonts w:ascii="Times New Roman" w:hAnsi="Times New Roman" w:cs="Times New Roman"/>
          <w:bCs/>
          <w:sz w:val="24"/>
          <w:szCs w:val="24"/>
        </w:rPr>
        <w:t xml:space="preserve">sparring </w:t>
      </w:r>
      <w:r w:rsidR="00B55B85" w:rsidRPr="002C4B03">
        <w:rPr>
          <w:rFonts w:ascii="Times New Roman" w:hAnsi="Times New Roman" w:cs="Times New Roman"/>
          <w:bCs/>
          <w:sz w:val="24"/>
          <w:szCs w:val="24"/>
        </w:rPr>
        <w:t>match</w:t>
      </w:r>
      <w:r w:rsidRPr="002C4B03">
        <w:rPr>
          <w:rFonts w:ascii="Times New Roman" w:hAnsi="Times New Roman" w:cs="Times New Roman"/>
          <w:bCs/>
          <w:sz w:val="24"/>
          <w:szCs w:val="24"/>
        </w:rPr>
        <w:t>,</w:t>
      </w:r>
      <w:r w:rsidRPr="00D7340C">
        <w:rPr>
          <w:rFonts w:ascii="Times New Roman" w:hAnsi="Times New Roman" w:cs="Times New Roman"/>
          <w:bCs/>
          <w:sz w:val="24"/>
          <w:szCs w:val="24"/>
        </w:rPr>
        <w:t xml:space="preserve"> at which point Sam intervenes:</w:t>
      </w:r>
    </w:p>
    <w:p w:rsidR="00C73A2E" w:rsidRPr="00D7340C" w:rsidRDefault="00C73A2E" w:rsidP="00C73A2E">
      <w:pPr>
        <w:spacing w:after="240" w:line="240" w:lineRule="auto"/>
        <w:ind w:left="720"/>
        <w:rPr>
          <w:rFonts w:ascii="Times New Roman" w:hAnsi="Times New Roman" w:cs="Times New Roman"/>
          <w:bCs/>
          <w:sz w:val="24"/>
          <w:szCs w:val="24"/>
        </w:rPr>
      </w:pPr>
      <w:r w:rsidRPr="00D7340C">
        <w:rPr>
          <w:rFonts w:ascii="Times New Roman" w:hAnsi="Times New Roman" w:cs="Times New Roman"/>
          <w:bCs/>
          <w:sz w:val="24"/>
          <w:szCs w:val="24"/>
        </w:rPr>
        <w:t>My mas’ers is gen’lemen as has had wery little experience in them things, […] but if so be you’re wery anxious at this per-cise moment to discover any thing to prac-tise upon, vy I’m your man, as the bear said ven he hugged the old lady to death.</w:t>
      </w:r>
      <w:r w:rsidRPr="00D7340C">
        <w:rPr>
          <w:rStyle w:val="FootnoteReference"/>
          <w:rFonts w:ascii="Times New Roman" w:hAnsi="Times New Roman"/>
          <w:bCs/>
          <w:sz w:val="24"/>
          <w:szCs w:val="24"/>
        </w:rPr>
        <w:footnoteReference w:id="329"/>
      </w:r>
    </w:p>
    <w:p w:rsidR="00C73A2E" w:rsidRPr="00D7340C" w:rsidRDefault="00C73A2E" w:rsidP="00C73A2E">
      <w:pPr>
        <w:spacing w:after="120" w:line="360" w:lineRule="auto"/>
        <w:rPr>
          <w:rFonts w:ascii="Times New Roman" w:hAnsi="Times New Roman" w:cs="Times New Roman"/>
          <w:bCs/>
          <w:sz w:val="24"/>
          <w:szCs w:val="24"/>
        </w:rPr>
      </w:pPr>
      <w:r w:rsidRPr="00D7340C">
        <w:rPr>
          <w:rFonts w:ascii="Times New Roman" w:hAnsi="Times New Roman" w:cs="Times New Roman"/>
          <w:bCs/>
          <w:sz w:val="24"/>
          <w:szCs w:val="24"/>
        </w:rPr>
        <w:t xml:space="preserve">As a respectable servant, Sam is determined to defend his employers against </w:t>
      </w:r>
      <w:r w:rsidRPr="006922CE">
        <w:rPr>
          <w:rFonts w:ascii="Times New Roman" w:hAnsi="Times New Roman" w:cs="Times New Roman"/>
          <w:bCs/>
          <w:sz w:val="24"/>
          <w:szCs w:val="24"/>
        </w:rPr>
        <w:t>those who</w:t>
      </w:r>
      <w:r w:rsidR="002C4B03" w:rsidRPr="006922CE">
        <w:rPr>
          <w:rFonts w:ascii="Times New Roman" w:hAnsi="Times New Roman" w:cs="Times New Roman"/>
          <w:bCs/>
          <w:sz w:val="24"/>
          <w:szCs w:val="24"/>
        </w:rPr>
        <w:t xml:space="preserve"> live</w:t>
      </w:r>
      <w:r w:rsidR="002C4B03">
        <w:rPr>
          <w:rFonts w:ascii="Times New Roman" w:hAnsi="Times New Roman" w:cs="Times New Roman"/>
          <w:bCs/>
          <w:sz w:val="24"/>
          <w:szCs w:val="24"/>
        </w:rPr>
        <w:t xml:space="preserve"> </w:t>
      </w:r>
      <w:r w:rsidRPr="00D7340C">
        <w:rPr>
          <w:rFonts w:ascii="Times New Roman" w:hAnsi="Times New Roman" w:cs="Times New Roman"/>
          <w:bCs/>
          <w:sz w:val="24"/>
          <w:szCs w:val="24"/>
        </w:rPr>
        <w:t xml:space="preserve">on the fringes of the dangerous classes.  He may associate with the pugilists through a shared liking for boxing but stands apart from them and as his parting Wellerism indicates is prepared to threaten serious consequences for any trouble they cause.  His stance is based upon an appropriate sense of social etiquette combined with an understanding of the Pickwickians’ naivety and the pugilists’ shortcomings.  The scene does, however, </w:t>
      </w:r>
      <w:r w:rsidRPr="002C4B03">
        <w:rPr>
          <w:rFonts w:ascii="Times New Roman" w:hAnsi="Times New Roman" w:cs="Times New Roman"/>
          <w:bCs/>
          <w:sz w:val="24"/>
          <w:szCs w:val="24"/>
        </w:rPr>
        <w:t>lead to Winkle being snatched unwillingly into the sparring contest mentioned above.  Sam</w:t>
      </w:r>
      <w:r w:rsidR="00A505BE" w:rsidRPr="002C4B03">
        <w:rPr>
          <w:rFonts w:ascii="Times New Roman" w:hAnsi="Times New Roman" w:cs="Times New Roman"/>
          <w:bCs/>
          <w:sz w:val="24"/>
          <w:szCs w:val="24"/>
        </w:rPr>
        <w:t>, ever</w:t>
      </w:r>
      <w:r w:rsidRPr="002C4B03">
        <w:rPr>
          <w:rFonts w:ascii="Times New Roman" w:hAnsi="Times New Roman" w:cs="Times New Roman"/>
          <w:bCs/>
          <w:sz w:val="24"/>
          <w:szCs w:val="24"/>
        </w:rPr>
        <w:t xml:space="preserve"> mindful of Winkle’s irritating sporting pretensions</w:t>
      </w:r>
      <w:r w:rsidR="00A505BE" w:rsidRPr="002C4B03">
        <w:rPr>
          <w:rFonts w:ascii="Times New Roman" w:hAnsi="Times New Roman" w:cs="Times New Roman"/>
          <w:bCs/>
          <w:sz w:val="24"/>
          <w:szCs w:val="24"/>
        </w:rPr>
        <w:t>,</w:t>
      </w:r>
      <w:r w:rsidRPr="002C4B03">
        <w:rPr>
          <w:rFonts w:ascii="Times New Roman" w:hAnsi="Times New Roman" w:cs="Times New Roman"/>
          <w:bCs/>
          <w:sz w:val="24"/>
          <w:szCs w:val="24"/>
        </w:rPr>
        <w:t xml:space="preserve"> allows the combat to take place</w:t>
      </w:r>
      <w:r w:rsidR="00A505BE" w:rsidRPr="002C4B03">
        <w:rPr>
          <w:rFonts w:ascii="Times New Roman" w:hAnsi="Times New Roman" w:cs="Times New Roman"/>
          <w:bCs/>
          <w:sz w:val="24"/>
          <w:szCs w:val="24"/>
        </w:rPr>
        <w:t>, with</w:t>
      </w:r>
      <w:r w:rsidRPr="002C4B03">
        <w:rPr>
          <w:rFonts w:ascii="Times New Roman" w:hAnsi="Times New Roman" w:cs="Times New Roman"/>
          <w:bCs/>
          <w:sz w:val="24"/>
          <w:szCs w:val="24"/>
        </w:rPr>
        <w:t xml:space="preserve"> Reynolds writ</w:t>
      </w:r>
      <w:r w:rsidR="00A505BE" w:rsidRPr="002C4B03">
        <w:rPr>
          <w:rFonts w:ascii="Times New Roman" w:hAnsi="Times New Roman" w:cs="Times New Roman"/>
          <w:bCs/>
          <w:sz w:val="24"/>
          <w:szCs w:val="24"/>
        </w:rPr>
        <w:t>ing</w:t>
      </w:r>
      <w:r w:rsidRPr="002C4B03">
        <w:rPr>
          <w:rFonts w:ascii="Times New Roman" w:hAnsi="Times New Roman" w:cs="Times New Roman"/>
          <w:bCs/>
          <w:sz w:val="24"/>
          <w:szCs w:val="24"/>
        </w:rPr>
        <w:t xml:space="preserve"> that a ‘malicious commentator’ observed ‘Sam gladly availed himself of his master’s injunction</w:t>
      </w:r>
      <w:r w:rsidR="00A505BE" w:rsidRPr="002C4B03">
        <w:rPr>
          <w:rFonts w:ascii="Times New Roman" w:hAnsi="Times New Roman" w:cs="Times New Roman"/>
          <w:bCs/>
          <w:sz w:val="24"/>
          <w:szCs w:val="24"/>
        </w:rPr>
        <w:t xml:space="preserve"> [not to interfere]</w:t>
      </w:r>
      <w:r w:rsidRPr="002C4B03">
        <w:rPr>
          <w:rFonts w:ascii="Times New Roman" w:hAnsi="Times New Roman" w:cs="Times New Roman"/>
          <w:bCs/>
          <w:sz w:val="24"/>
          <w:szCs w:val="24"/>
        </w:rPr>
        <w:t xml:space="preserve"> as</w:t>
      </w:r>
      <w:r w:rsidRPr="00D7340C">
        <w:rPr>
          <w:rFonts w:ascii="Times New Roman" w:hAnsi="Times New Roman" w:cs="Times New Roman"/>
          <w:bCs/>
          <w:sz w:val="24"/>
          <w:szCs w:val="24"/>
        </w:rPr>
        <w:t xml:space="preserve"> an excuse for not putting an immediate termination to the amusement’.</w:t>
      </w:r>
      <w:r w:rsidRPr="00D7340C">
        <w:rPr>
          <w:rStyle w:val="FootnoteReference"/>
          <w:rFonts w:ascii="Times New Roman" w:hAnsi="Times New Roman"/>
          <w:bCs/>
          <w:sz w:val="24"/>
          <w:szCs w:val="24"/>
        </w:rPr>
        <w:footnoteReference w:id="330"/>
      </w:r>
      <w:r w:rsidRPr="00D7340C">
        <w:rPr>
          <w:rFonts w:ascii="Times New Roman" w:hAnsi="Times New Roman" w:cs="Times New Roman"/>
          <w:bCs/>
          <w:sz w:val="24"/>
          <w:szCs w:val="24"/>
        </w:rPr>
        <w:t xml:space="preserve">  At the same time, the insertion of ‘immediate’ implies he would not permit any real damage to take place.  Overall, the scene is important for revealing a blurring of motivation in Sam’s </w:t>
      </w:r>
      <w:r w:rsidRPr="00D7340C">
        <w:rPr>
          <w:rFonts w:ascii="Times New Roman" w:hAnsi="Times New Roman" w:cs="Times New Roman"/>
          <w:sz w:val="24"/>
          <w:szCs w:val="24"/>
        </w:rPr>
        <w:t>actions, demonstrating some uncertainty regarding his position in society whereby rival loyalties pull him in opposite directions.</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 xml:space="preserve">Despite its individualistic traits, Sam’s protest continually displays concern for the plight of the industrious classes, voicing resentment towards issues that impinged upon their lives, including taxation of everyday </w:t>
      </w:r>
      <w:r w:rsidRPr="006922CE">
        <w:rPr>
          <w:rFonts w:ascii="Times New Roman" w:hAnsi="Times New Roman" w:cs="Times New Roman"/>
          <w:sz w:val="24"/>
          <w:szCs w:val="24"/>
        </w:rPr>
        <w:t>goods, aristocratic privilege</w:t>
      </w:r>
      <w:r w:rsidR="002C4B03" w:rsidRPr="006922CE">
        <w:rPr>
          <w:rFonts w:ascii="Times New Roman" w:hAnsi="Times New Roman" w:cs="Times New Roman"/>
          <w:sz w:val="24"/>
          <w:szCs w:val="24"/>
        </w:rPr>
        <w:t xml:space="preserve"> and the New Poor Law</w:t>
      </w:r>
      <w:r w:rsidRPr="006922CE">
        <w:rPr>
          <w:rFonts w:ascii="Times New Roman" w:hAnsi="Times New Roman" w:cs="Times New Roman"/>
          <w:sz w:val="24"/>
          <w:szCs w:val="24"/>
        </w:rPr>
        <w:t>.</w:t>
      </w:r>
      <w:r w:rsidRPr="00D7340C">
        <w:rPr>
          <w:rFonts w:ascii="Times New Roman" w:hAnsi="Times New Roman" w:cs="Times New Roman"/>
          <w:sz w:val="24"/>
          <w:szCs w:val="24"/>
        </w:rPr>
        <w:t xml:space="preserve">  It is feasible to see Sam as an amalgam of such dissent, confronting problems with methods that range from reasoned argument to unruly boisterousness.  Although he may not wish to change the social hierarchy his conversation forms a running commentary upon the condition of the poor, as when serving breakfast to Septimus Chitty:</w:t>
      </w:r>
    </w:p>
    <w:p w:rsidR="00C73A2E" w:rsidRPr="00D7340C" w:rsidRDefault="00C73A2E" w:rsidP="00C73A2E">
      <w:pPr>
        <w:spacing w:after="120" w:line="240" w:lineRule="auto"/>
        <w:ind w:left="720"/>
        <w:rPr>
          <w:rFonts w:ascii="Times New Roman" w:hAnsi="Times New Roman" w:cs="Times New Roman"/>
          <w:sz w:val="24"/>
          <w:szCs w:val="24"/>
        </w:rPr>
      </w:pPr>
      <w:r w:rsidRPr="00D7340C">
        <w:rPr>
          <w:rFonts w:ascii="Times New Roman" w:hAnsi="Times New Roman" w:cs="Times New Roman"/>
          <w:sz w:val="24"/>
          <w:szCs w:val="24"/>
        </w:rPr>
        <w:lastRenderedPageBreak/>
        <w:t>‘Here is von, and a regular trump he is too,’ observed Mr. Weller, as he placed the edible in question on the poet’s plate.  ‘Eggs raly is eggs now, Sir, as the American said.’</w:t>
      </w:r>
    </w:p>
    <w:p w:rsidR="00C73A2E" w:rsidRPr="00D7340C" w:rsidRDefault="00C73A2E" w:rsidP="00C73A2E">
      <w:pPr>
        <w:spacing w:after="12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‘On what occasion did he make that remark, Sam?’ demanded Mr. Pickwick.</w:t>
      </w:r>
    </w:p>
    <w:p w:rsidR="00C73A2E" w:rsidRPr="00D7340C" w:rsidRDefault="00C73A2E" w:rsidP="00C73A2E">
      <w:pPr>
        <w:spacing w:after="24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‘I’ll jist tax my memory,’ said Mr. Weller, rubbing his head; ‘an’ if I on’y does it as vell as the Government does to the poor vich can’t afford to pay, and is starved in prison in consekvence, or dies in the vorkus, I shall do it vith rayther a good effect.’</w:t>
      </w:r>
      <w:r w:rsidRPr="00D7340C">
        <w:rPr>
          <w:rStyle w:val="FootnoteReference"/>
          <w:rFonts w:ascii="Times New Roman" w:hAnsi="Times New Roman"/>
          <w:sz w:val="24"/>
          <w:szCs w:val="24"/>
        </w:rPr>
        <w:footnoteReference w:id="331"/>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Sam adapts his fluid use of language to highlight social injustice</w:t>
      </w:r>
      <w:r w:rsidRPr="006922CE">
        <w:rPr>
          <w:rFonts w:ascii="Times New Roman" w:hAnsi="Times New Roman" w:cs="Times New Roman"/>
          <w:sz w:val="24"/>
          <w:szCs w:val="24"/>
        </w:rPr>
        <w:t>, manipulating the</w:t>
      </w:r>
      <w:r w:rsidRPr="00D7340C">
        <w:rPr>
          <w:rFonts w:ascii="Times New Roman" w:hAnsi="Times New Roman" w:cs="Times New Roman"/>
          <w:sz w:val="24"/>
          <w:szCs w:val="24"/>
        </w:rPr>
        <w:t xml:space="preserve"> situation with a statement in the form of an unfinished Wellerism.  When Pickwick prompts for the missing ‘facetious sequel’ he grasps the opportunity to express anti-government sentiment about the taxation of the poor.  Exploiting the double-meaning of ‘tax’, he introduces an unrelated subject that incorporates observations upon the dire consequences of the debtor’s prison and the New Poor Law.  Through it he notes the discrepancy of those holding positions of power being ineffective when resolving difficulties faced by the poor but extremely efficient in handing out punishment to them.  Similar linguistic manipulation happens when Pickwick declares surprise on pulling a sovereign from his pocket that he had thought was a Napoleon.  Sam instantly intervenes: ‘At all events, it ain’t an affliction, Sir, […] although they does call ‘em sufferins.  But wouldn’t it be a good thing for the poor if it rained such afflictions as them there?’.</w:t>
      </w:r>
      <w:r w:rsidRPr="00D7340C">
        <w:rPr>
          <w:rStyle w:val="FootnoteReference"/>
          <w:rFonts w:ascii="Times New Roman" w:hAnsi="Times New Roman"/>
          <w:sz w:val="24"/>
          <w:szCs w:val="24"/>
        </w:rPr>
        <w:footnoteReference w:id="332"/>
      </w:r>
      <w:r w:rsidRPr="00D7340C">
        <w:rPr>
          <w:rFonts w:ascii="Times New Roman" w:hAnsi="Times New Roman" w:cs="Times New Roman"/>
          <w:sz w:val="24"/>
          <w:szCs w:val="24"/>
        </w:rPr>
        <w:t xml:space="preserve">  His pun suggests how wealth of the upper classes, and implicitly crowned heads of nations, is associated with the suffering of the needy, while the final sentence presents a vision of the future in which such ‘afflictions’ are transformed into sovereigns and the masses share in a general prosperity.  Sam launches another attack upon the New Poor Law when inserting the following comment into a tale about an unlikely marriage: ‘It wosn’t nat’ral, Sir, as the owerseer observed ven the pauper told him he could eat two meals a-day.’</w:t>
      </w:r>
      <w:r w:rsidRPr="00D7340C">
        <w:rPr>
          <w:rStyle w:val="FootnoteReference"/>
          <w:rFonts w:ascii="Times New Roman" w:hAnsi="Times New Roman"/>
          <w:sz w:val="24"/>
          <w:szCs w:val="24"/>
        </w:rPr>
        <w:footnoteReference w:id="333"/>
      </w:r>
      <w:r w:rsidRPr="00D7340C">
        <w:rPr>
          <w:rFonts w:ascii="Times New Roman" w:hAnsi="Times New Roman" w:cs="Times New Roman"/>
          <w:sz w:val="24"/>
          <w:szCs w:val="24"/>
        </w:rPr>
        <w:t xml:space="preserve">  He implies how the economic outlook of the government denies basic human needs claiming they are unnatural, thereby charging the poor with greed and deceiving the nation.  Sam’s later request that there be sufficient horses for the coach to Beauvais in preparation for the return to England contains even severer allegations:</w:t>
      </w:r>
    </w:p>
    <w:p w:rsidR="00C73A2E" w:rsidRPr="00D7340C" w:rsidRDefault="00C73A2E" w:rsidP="00C73A2E">
      <w:pPr>
        <w:spacing w:after="240" w:line="240" w:lineRule="auto"/>
        <w:ind w:left="720"/>
        <w:rPr>
          <w:rFonts w:ascii="Times New Roman" w:hAnsi="Times New Roman" w:cs="Times New Roman"/>
          <w:sz w:val="24"/>
          <w:szCs w:val="24"/>
        </w:rPr>
      </w:pPr>
      <w:r w:rsidRPr="00D7340C">
        <w:rPr>
          <w:rFonts w:ascii="Times New Roman" w:hAnsi="Times New Roman" w:cs="Times New Roman"/>
          <w:sz w:val="24"/>
          <w:szCs w:val="24"/>
        </w:rPr>
        <w:t>[A]ll I knows is, that there’s six on us, so jist you send up as many hosses as you can, an’ on the most ek-vi-nomical scale; for economy’s the order o’ the day, as the New Poor Law Commissioners said ven they starved the paupers in the vorkus.</w:t>
      </w:r>
      <w:r w:rsidRPr="00D7340C">
        <w:rPr>
          <w:rStyle w:val="FootnoteReference"/>
          <w:rFonts w:ascii="Times New Roman" w:hAnsi="Times New Roman"/>
          <w:sz w:val="24"/>
          <w:szCs w:val="24"/>
        </w:rPr>
        <w:footnoteReference w:id="334"/>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lastRenderedPageBreak/>
        <w:t xml:space="preserve">In this case, the plight of the workhouse inmates is combined with criticism of the rigid classical economics of the Manchester School, not only associating </w:t>
      </w:r>
      <w:r w:rsidRPr="006922CE">
        <w:rPr>
          <w:rFonts w:ascii="Times New Roman" w:hAnsi="Times New Roman" w:cs="Times New Roman"/>
          <w:sz w:val="24"/>
          <w:szCs w:val="24"/>
        </w:rPr>
        <w:t xml:space="preserve">starvation with </w:t>
      </w:r>
      <w:r w:rsidRPr="006922CE">
        <w:rPr>
          <w:rFonts w:ascii="Times New Roman" w:hAnsi="Times New Roman" w:cs="Times New Roman"/>
          <w:i/>
          <w:sz w:val="24"/>
          <w:szCs w:val="24"/>
        </w:rPr>
        <w:t>laissez-faire</w:t>
      </w:r>
      <w:r w:rsidRPr="006922CE">
        <w:rPr>
          <w:rFonts w:ascii="Times New Roman" w:hAnsi="Times New Roman" w:cs="Times New Roman"/>
          <w:sz w:val="24"/>
          <w:szCs w:val="24"/>
        </w:rPr>
        <w:t xml:space="preserve"> policies but suggesting its proponents deliberately aim to punish the poor f</w:t>
      </w:r>
      <w:r w:rsidRPr="00D7340C">
        <w:rPr>
          <w:rFonts w:ascii="Times New Roman" w:hAnsi="Times New Roman" w:cs="Times New Roman"/>
          <w:sz w:val="24"/>
          <w:szCs w:val="24"/>
        </w:rPr>
        <w:t>or failure to survive without state aid.</w:t>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ab/>
        <w:t xml:space="preserve">While Sam protests </w:t>
      </w:r>
      <w:r w:rsidRPr="006922CE">
        <w:rPr>
          <w:rFonts w:ascii="Times New Roman" w:hAnsi="Times New Roman" w:cs="Times New Roman"/>
          <w:sz w:val="24"/>
          <w:szCs w:val="24"/>
        </w:rPr>
        <w:t>against cold-hearte</w:t>
      </w:r>
      <w:r w:rsidR="002C4B03" w:rsidRPr="006922CE">
        <w:rPr>
          <w:rFonts w:ascii="Times New Roman" w:hAnsi="Times New Roman" w:cs="Times New Roman"/>
          <w:sz w:val="24"/>
          <w:szCs w:val="24"/>
        </w:rPr>
        <w:t>d</w:t>
      </w:r>
      <w:r w:rsidRPr="006922CE">
        <w:rPr>
          <w:rFonts w:ascii="Times New Roman" w:hAnsi="Times New Roman" w:cs="Times New Roman"/>
          <w:sz w:val="24"/>
          <w:szCs w:val="24"/>
        </w:rPr>
        <w:t xml:space="preserve"> authorities</w:t>
      </w:r>
      <w:r w:rsidRPr="00D7340C">
        <w:rPr>
          <w:rFonts w:ascii="Times New Roman" w:hAnsi="Times New Roman" w:cs="Times New Roman"/>
          <w:sz w:val="24"/>
          <w:szCs w:val="24"/>
        </w:rPr>
        <w:t>, it is important to note his refusal to idealize all among the poorer layers of society.  This is confirmed when he answers Tupman’s complacent remark upon the importance of charity with the tale of a man who misguidedly gives money to a professional beggar.  The anecdote ends with the recipient deriding his benefactor who asks what he would have done without the payment: ‘‘Vy, Sir,’ replies the beggar-man vith a arch smile, ‘I must ha’ gone for to vork!’’.</w:t>
      </w:r>
      <w:r w:rsidRPr="00D7340C">
        <w:rPr>
          <w:rStyle w:val="FootnoteReference"/>
          <w:rFonts w:ascii="Times New Roman" w:hAnsi="Times New Roman"/>
          <w:sz w:val="24"/>
          <w:szCs w:val="24"/>
        </w:rPr>
        <w:footnoteReference w:id="335"/>
      </w:r>
      <w:r w:rsidRPr="00D7340C">
        <w:rPr>
          <w:rFonts w:ascii="Times New Roman" w:hAnsi="Times New Roman" w:cs="Times New Roman"/>
          <w:sz w:val="24"/>
          <w:szCs w:val="24"/>
        </w:rPr>
        <w:t xml:space="preserve">  Sam discriminates between the deserving and undeserving poor.  The former he defends against taxation and being driven to the workhouse but the latter he regards as exploiting assistance to live in idleness, ungrateful for what they receive and </w:t>
      </w:r>
      <w:r w:rsidRPr="006922CE">
        <w:rPr>
          <w:rFonts w:ascii="Times New Roman" w:hAnsi="Times New Roman" w:cs="Times New Roman"/>
          <w:sz w:val="24"/>
          <w:szCs w:val="24"/>
        </w:rPr>
        <w:t>sneering at donors.</w:t>
      </w:r>
      <w:r w:rsidRPr="00D7340C">
        <w:rPr>
          <w:rFonts w:ascii="Times New Roman" w:hAnsi="Times New Roman" w:cs="Times New Roman"/>
          <w:sz w:val="24"/>
          <w:szCs w:val="24"/>
        </w:rPr>
        <w:t xml:space="preserve">  The tale rebukes naïve tory paternalism and allows Sam to separate himself from those who refuse to work.  His </w:t>
      </w:r>
      <w:r w:rsidRPr="006922CE">
        <w:rPr>
          <w:rFonts w:ascii="Times New Roman" w:hAnsi="Times New Roman" w:cs="Times New Roman"/>
          <w:sz w:val="24"/>
          <w:szCs w:val="24"/>
        </w:rPr>
        <w:t>complaint recogni</w:t>
      </w:r>
      <w:r w:rsidR="002C4B03" w:rsidRPr="006922CE">
        <w:rPr>
          <w:rFonts w:ascii="Times New Roman" w:hAnsi="Times New Roman" w:cs="Times New Roman"/>
          <w:sz w:val="24"/>
          <w:szCs w:val="24"/>
        </w:rPr>
        <w:t>z</w:t>
      </w:r>
      <w:r w:rsidRPr="006922CE">
        <w:rPr>
          <w:rFonts w:ascii="Times New Roman" w:hAnsi="Times New Roman" w:cs="Times New Roman"/>
          <w:sz w:val="24"/>
          <w:szCs w:val="24"/>
        </w:rPr>
        <w:t>es the</w:t>
      </w:r>
      <w:r w:rsidRPr="00D7340C">
        <w:rPr>
          <w:rFonts w:ascii="Times New Roman" w:hAnsi="Times New Roman" w:cs="Times New Roman"/>
          <w:sz w:val="24"/>
          <w:szCs w:val="24"/>
        </w:rPr>
        <w:t xml:space="preserve"> existence of a shiftless minority and promotes the view that charity can be a harmful disincentive to honest toil.</w:t>
      </w:r>
      <w:r w:rsidRPr="00D7340C">
        <w:rPr>
          <w:rStyle w:val="FootnoteReference"/>
          <w:rFonts w:ascii="Times New Roman" w:hAnsi="Times New Roman"/>
          <w:sz w:val="24"/>
          <w:szCs w:val="24"/>
        </w:rPr>
        <w:footnoteReference w:id="336"/>
      </w:r>
      <w:r w:rsidRPr="00D7340C">
        <w:rPr>
          <w:rFonts w:ascii="Times New Roman" w:hAnsi="Times New Roman" w:cs="Times New Roman"/>
          <w:sz w:val="24"/>
          <w:szCs w:val="24"/>
        </w:rPr>
        <w:t xml:space="preserve">  Unemployment and poverty should not be punishable of themselves but there are those who display a culpable want of individual responsibility.  These attitudes suggest an important aspect of Sam’s protest is the need to defend his status in the social structure.  This is voiced on the occasion he tells Pickwick that Gendarme Dumont has left a letter:</w:t>
      </w:r>
    </w:p>
    <w:p w:rsidR="00C73A2E" w:rsidRPr="00D7340C" w:rsidRDefault="00C73A2E" w:rsidP="00C73A2E">
      <w:pPr>
        <w:spacing w:after="120" w:line="240" w:lineRule="auto"/>
        <w:ind w:left="720"/>
        <w:rPr>
          <w:rFonts w:ascii="Times New Roman" w:hAnsi="Times New Roman" w:cs="Times New Roman"/>
          <w:sz w:val="24"/>
          <w:szCs w:val="24"/>
        </w:rPr>
      </w:pPr>
      <w:r w:rsidRPr="00D7340C">
        <w:rPr>
          <w:rFonts w:ascii="Times New Roman" w:hAnsi="Times New Roman" w:cs="Times New Roman"/>
          <w:sz w:val="24"/>
          <w:szCs w:val="24"/>
        </w:rPr>
        <w:t>‘Left this ’ere note, Sir,’ answered Mr. Weller, ‘and said he vouldn’t take no refusal votsoever; vich vos precisely the obserwation made by the mass’er chimbley-sveep ven he pushed the little tiny boy up the chimbley.’</w:t>
      </w:r>
    </w:p>
    <w:p w:rsidR="00C73A2E" w:rsidRPr="00D7340C" w:rsidRDefault="00C73A2E" w:rsidP="00C73A2E">
      <w:pPr>
        <w:spacing w:after="12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‘Indeed!’ said Mr. Pickwick, with a shudder; ‘are chimney-sweepers so cruel as all that, Sam?’</w:t>
      </w:r>
    </w:p>
    <w:p w:rsidR="00C73A2E" w:rsidRPr="00D7340C" w:rsidRDefault="00C73A2E" w:rsidP="00C73A2E">
      <w:pPr>
        <w:spacing w:after="24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‘Them and costermongers, Sir,’ replied Mr. Weller, ‘is the most hard-hartedest brutes a-livin’, if ve ex-cept the chaps as drives the dog-carts.  None on ’em ever ends any-veres, save at the gallows.’</w:t>
      </w:r>
      <w:r w:rsidRPr="00D7340C">
        <w:rPr>
          <w:rStyle w:val="FootnoteReference"/>
          <w:rFonts w:ascii="Times New Roman" w:hAnsi="Times New Roman"/>
          <w:sz w:val="24"/>
          <w:szCs w:val="24"/>
        </w:rPr>
        <w:footnoteReference w:id="337"/>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lastRenderedPageBreak/>
        <w:t>Sam does not hesitate to distance himself from sections of the industrious classes that lack respectability.  Here, he brushes aside Pickwick’s uncertainty, charging rougher elements including sweeps and costermongers with habitual cruelty.  His opinion regarding their ultimate fate displays no sign of sympathy and suggests they are but one step removed from the criminal classes.</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So far, Sam’s ‘rough-and-ready’ protest has been considered mainly in a positive light, displaying a keen eye for folly and pretension while remaining good-natured and loyal.  However, there are also shortcomings, which have already been suggested by references to his unsteadiness and lack of judgment.  This excitability that frequently leads to unruliness is at odds with the desire to fit within the social hierarchy.  It results in the need for repeated compromises to prevent his relationship with Pickwick being irrevocably broken.  Many displays of opposition that have been described end in a tactical retreat.  When criticizing Tupman’s romance with Anastasie de Volage he falls into song, the indirectness of which allows him to challenge the Pickwickian’s folly while simultaneously offering a defence to hide behind.  When Pickwick turns to discover the source of the irreverent response to Siffkin’s longwinded reply concerning his stay in France, no action is taken because ‘Mr. Weller looked so very innocent and unmoved beneath his master’s searching glance’.</w:t>
      </w:r>
      <w:r w:rsidRPr="00D7340C">
        <w:rPr>
          <w:rStyle w:val="FootnoteReference"/>
          <w:rFonts w:ascii="Times New Roman" w:hAnsi="Times New Roman"/>
          <w:sz w:val="24"/>
          <w:szCs w:val="24"/>
        </w:rPr>
        <w:footnoteReference w:id="338"/>
      </w:r>
      <w:r w:rsidRPr="00D7340C">
        <w:rPr>
          <w:rFonts w:ascii="Times New Roman" w:hAnsi="Times New Roman" w:cs="Times New Roman"/>
          <w:sz w:val="24"/>
          <w:szCs w:val="24"/>
        </w:rPr>
        <w:t xml:space="preserve">  Sam repeatedly avoids censure by assuming a mask of virtue that effectively disowns his protest.  Pickwick knows who the culprit is but chooses to exercise a muted control which allows Sam to voice his feelings while at the same time accepting his master’s authority.  The forthright Weller who wishes for complete openness is frequently driven to evasive expressions and inaudible comments.  At Surene, when reprimanded for an indiscrete observation after Hook Walker questions the chastity of the village’s previous ‘rural queen’, he makes a final rejoinder but only under his </w:t>
      </w:r>
      <w:r w:rsidRPr="006922CE">
        <w:rPr>
          <w:rFonts w:ascii="Times New Roman" w:hAnsi="Times New Roman" w:cs="Times New Roman"/>
          <w:sz w:val="24"/>
          <w:szCs w:val="24"/>
        </w:rPr>
        <w:t>breath: ‘That’s vot I call a broad hint,</w:t>
      </w:r>
      <w:r w:rsidR="002C4B03" w:rsidRPr="006922CE">
        <w:rPr>
          <w:rFonts w:ascii="Times New Roman" w:hAnsi="Times New Roman" w:cs="Times New Roman"/>
          <w:sz w:val="24"/>
          <w:szCs w:val="24"/>
        </w:rPr>
        <w:t xml:space="preserve"> […] </w:t>
      </w:r>
      <w:r w:rsidRPr="006922CE">
        <w:rPr>
          <w:rFonts w:ascii="Times New Roman" w:hAnsi="Times New Roman" w:cs="Times New Roman"/>
          <w:sz w:val="24"/>
          <w:szCs w:val="24"/>
        </w:rPr>
        <w:t>as the gen’leman said ven they told him he’d stole the di’mond ring.’</w:t>
      </w:r>
      <w:r w:rsidRPr="006922CE">
        <w:rPr>
          <w:rStyle w:val="FootnoteReference"/>
          <w:rFonts w:ascii="Times New Roman" w:hAnsi="Times New Roman"/>
          <w:sz w:val="24"/>
          <w:szCs w:val="24"/>
        </w:rPr>
        <w:t xml:space="preserve"> </w:t>
      </w:r>
      <w:r w:rsidRPr="006922CE">
        <w:rPr>
          <w:rStyle w:val="FootnoteReference"/>
          <w:rFonts w:ascii="Times New Roman" w:hAnsi="Times New Roman"/>
          <w:sz w:val="24"/>
          <w:szCs w:val="24"/>
        </w:rPr>
        <w:footnoteReference w:id="339"/>
      </w:r>
      <w:r w:rsidRPr="00D7340C">
        <w:rPr>
          <w:rFonts w:ascii="Times New Roman" w:hAnsi="Times New Roman" w:cs="Times New Roman"/>
          <w:sz w:val="24"/>
          <w:szCs w:val="24"/>
        </w:rPr>
        <w:t xml:space="preserve">  This serves little purpose but to acknowledge a sense of discomfiture.  When Sam’s verbal cleverness fails he often struggles to maintain dignity.  This is apparent in the retort to Pickwick agreeing that Chitty must have a seat inside the coach: ‘Vell, it is agreeable to go in good company, as the boy remarked ven his mas’er said he’d send him off vith a flea in his ear’.</w:t>
      </w:r>
      <w:r w:rsidRPr="00D7340C">
        <w:rPr>
          <w:rStyle w:val="FootnoteReference"/>
          <w:rFonts w:ascii="Times New Roman" w:hAnsi="Times New Roman"/>
          <w:sz w:val="24"/>
          <w:szCs w:val="24"/>
        </w:rPr>
        <w:footnoteReference w:id="340"/>
      </w:r>
      <w:r w:rsidRPr="00D7340C">
        <w:rPr>
          <w:rFonts w:ascii="Times New Roman" w:hAnsi="Times New Roman" w:cs="Times New Roman"/>
          <w:sz w:val="24"/>
          <w:szCs w:val="24"/>
        </w:rPr>
        <w:t xml:space="preserve">  Again, having the last word does </w:t>
      </w:r>
      <w:r w:rsidRPr="00D7340C">
        <w:rPr>
          <w:rFonts w:ascii="Times New Roman" w:hAnsi="Times New Roman" w:cs="Times New Roman"/>
          <w:sz w:val="24"/>
          <w:szCs w:val="24"/>
        </w:rPr>
        <w:lastRenderedPageBreak/>
        <w:t>no more than confirm his subservience and when he closes the coach door with ‘a somewhat unnecessary degree of violence’ it suggests protest has descended into petulance.</w:t>
      </w:r>
      <w:r w:rsidRPr="00D7340C">
        <w:rPr>
          <w:rStyle w:val="FootnoteReference"/>
          <w:rFonts w:ascii="Times New Roman" w:hAnsi="Times New Roman"/>
          <w:sz w:val="24"/>
          <w:szCs w:val="24"/>
        </w:rPr>
        <w:footnoteReference w:id="341"/>
      </w:r>
    </w:p>
    <w:p w:rsidR="00C73A2E" w:rsidRPr="00D7340C" w:rsidRDefault="00C73A2E" w:rsidP="00C73A2E">
      <w:pPr>
        <w:spacing w:after="120" w:line="360" w:lineRule="auto"/>
        <w:ind w:firstLine="612"/>
        <w:rPr>
          <w:rFonts w:ascii="Times New Roman" w:hAnsi="Times New Roman" w:cs="Times New Roman"/>
          <w:sz w:val="24"/>
          <w:szCs w:val="24"/>
        </w:rPr>
      </w:pPr>
      <w:r w:rsidRPr="00D7340C">
        <w:rPr>
          <w:rFonts w:ascii="Times New Roman" w:hAnsi="Times New Roman" w:cs="Times New Roman"/>
          <w:sz w:val="24"/>
          <w:szCs w:val="24"/>
        </w:rPr>
        <w:t>Reynolds also highlights Sam’s unfortunate tendency to intervene impulsively.  Although a source of pithy comments upon the shortcomings of society, he makes numerous errors of judgment in their execution.  This was noted in his jests about Tupman’s romantic indiscretions and the attempt to dissuade Pickwick from playing cards with Peacock and Brandenburgh.  However, the content of his remarks is also frequently at fault.  This is the case with his cynicism towards detective Vidocq’s claim that Tupman’s stolen watch will be found: ‘“Vonders vill never cease,” cried Mr. Weller, “as the tailor said to the gen’leman ven he paid his bill.”’</w:t>
      </w:r>
      <w:r w:rsidRPr="00D7340C">
        <w:rPr>
          <w:rStyle w:val="FootnoteReference"/>
          <w:rFonts w:ascii="Times New Roman" w:hAnsi="Times New Roman"/>
          <w:sz w:val="24"/>
          <w:szCs w:val="24"/>
        </w:rPr>
        <w:footnoteReference w:id="342"/>
      </w:r>
      <w:r w:rsidRPr="00D7340C">
        <w:rPr>
          <w:rFonts w:ascii="Times New Roman" w:hAnsi="Times New Roman" w:cs="Times New Roman"/>
          <w:sz w:val="24"/>
          <w:szCs w:val="24"/>
        </w:rPr>
        <w:t xml:space="preserve">  His public profession of disbelief in Vidocq’s ability proves incorrect when the watch is later returned, but is made much worse because occurring just after Tupman agrees to give fifteen pounds to arrange the recovery, meaning it has insulting implications regarding the detective’s honesty.  Sam also falls wide of the mark when Tupman flees to St Omers and he argues that Pickwick should not trouble to follow his time-honoured companion:</w:t>
      </w:r>
    </w:p>
    <w:p w:rsidR="00C73A2E" w:rsidRPr="00D7340C" w:rsidRDefault="00C73A2E" w:rsidP="00C73A2E">
      <w:pPr>
        <w:spacing w:after="240" w:line="240" w:lineRule="auto"/>
        <w:ind w:left="612"/>
        <w:rPr>
          <w:rFonts w:ascii="Times New Roman" w:hAnsi="Times New Roman" w:cs="Times New Roman"/>
          <w:sz w:val="24"/>
          <w:szCs w:val="24"/>
        </w:rPr>
      </w:pPr>
      <w:r w:rsidRPr="00D7340C">
        <w:rPr>
          <w:rFonts w:ascii="Times New Roman" w:hAnsi="Times New Roman" w:cs="Times New Roman"/>
          <w:sz w:val="24"/>
          <w:szCs w:val="24"/>
        </w:rPr>
        <w:t>‘An vot’s the use o’ goin’ about the country, and makin’ vild beastesses on ourselves?’ remonstrated Mr. Weller, placing his arms a-kimbo, and confronting his master with as much respect as might be expected from a Cherokee Indian, were he brought to give evidence at the bar of the House of Commons.  ‘You’re past the age for galliwantin’, you air, Sir, as the gen’leman said to Mathusalem.’</w:t>
      </w:r>
      <w:r w:rsidRPr="00D7340C">
        <w:rPr>
          <w:rStyle w:val="FootnoteReference"/>
          <w:rFonts w:ascii="Times New Roman" w:hAnsi="Times New Roman"/>
          <w:sz w:val="24"/>
          <w:szCs w:val="24"/>
        </w:rPr>
        <w:footnoteReference w:id="343"/>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 xml:space="preserve">Sam’s arguments are rational but fail to consider the emotional ties that bind the Pickwickians together.  His view of the pursuit emulating the behaviour of beasts might be apt if it was merely a matter </w:t>
      </w:r>
      <w:r w:rsidRPr="002C4B03">
        <w:rPr>
          <w:rFonts w:ascii="Times New Roman" w:hAnsi="Times New Roman" w:cs="Times New Roman"/>
          <w:sz w:val="24"/>
          <w:szCs w:val="24"/>
        </w:rPr>
        <w:t>of geogr</w:t>
      </w:r>
      <w:r w:rsidR="008E1AA2" w:rsidRPr="002C4B03">
        <w:rPr>
          <w:rFonts w:ascii="Times New Roman" w:hAnsi="Times New Roman" w:cs="Times New Roman"/>
          <w:sz w:val="24"/>
          <w:szCs w:val="24"/>
        </w:rPr>
        <w:t>aphical distance</w:t>
      </w:r>
      <w:r w:rsidRPr="002C4B03">
        <w:rPr>
          <w:rFonts w:ascii="Times New Roman" w:hAnsi="Times New Roman" w:cs="Times New Roman"/>
          <w:sz w:val="24"/>
          <w:szCs w:val="24"/>
        </w:rPr>
        <w:t>, but</w:t>
      </w:r>
      <w:r w:rsidRPr="00D7340C">
        <w:rPr>
          <w:rFonts w:ascii="Times New Roman" w:hAnsi="Times New Roman" w:cs="Times New Roman"/>
          <w:sz w:val="24"/>
          <w:szCs w:val="24"/>
        </w:rPr>
        <w:t xml:space="preserve"> it is one that primarily concerns human relationships.  Reynolds’s reference to the Cherokee Indian at the House of Commons suggests that Sam’s want of respect is linked to lack of understanding.  In this case Pickwick’s loyalty sees him stand firm and despite Tupman’s foolishness, and perhaps even because of it, this attitude seems laudable.</w:t>
      </w:r>
      <w:r w:rsidRPr="00D7340C">
        <w:rPr>
          <w:rStyle w:val="FootnoteReference"/>
          <w:rFonts w:ascii="Times New Roman" w:hAnsi="Times New Roman"/>
          <w:sz w:val="24"/>
          <w:szCs w:val="24"/>
        </w:rPr>
        <w:footnoteReference w:id="344"/>
      </w:r>
      <w:r w:rsidRPr="00D7340C">
        <w:rPr>
          <w:rFonts w:ascii="Times New Roman" w:hAnsi="Times New Roman" w:cs="Times New Roman"/>
          <w:sz w:val="24"/>
          <w:szCs w:val="24"/>
        </w:rPr>
        <w:t xml:space="preserve">  Sam’s attempt to bolster his opposition by adopting a confrontational posture is of no avail since his protests to Pickwick are never ones of ‘physical force’ and consequently it can only be an empty gesture.  The weakness of his position is symbolized </w:t>
      </w:r>
      <w:r w:rsidRPr="0047240F">
        <w:rPr>
          <w:rFonts w:ascii="Times New Roman" w:hAnsi="Times New Roman" w:cs="Times New Roman"/>
          <w:sz w:val="24"/>
          <w:szCs w:val="24"/>
        </w:rPr>
        <w:t xml:space="preserve">by </w:t>
      </w:r>
      <w:r w:rsidR="002C4B03" w:rsidRPr="0047240F">
        <w:rPr>
          <w:rFonts w:ascii="Times New Roman" w:hAnsi="Times New Roman" w:cs="Times New Roman"/>
          <w:sz w:val="24"/>
          <w:szCs w:val="24"/>
        </w:rPr>
        <w:t>the</w:t>
      </w:r>
      <w:r w:rsidRPr="0047240F">
        <w:rPr>
          <w:rFonts w:ascii="Times New Roman" w:hAnsi="Times New Roman" w:cs="Times New Roman"/>
          <w:sz w:val="24"/>
          <w:szCs w:val="24"/>
        </w:rPr>
        <w:t xml:space="preserve"> mispronunciation of ‘Methuselah’, </w:t>
      </w:r>
      <w:r w:rsidR="002C4B03" w:rsidRPr="0047240F">
        <w:rPr>
          <w:rFonts w:ascii="Times New Roman" w:hAnsi="Times New Roman" w:cs="Times New Roman"/>
          <w:sz w:val="24"/>
          <w:szCs w:val="24"/>
        </w:rPr>
        <w:t xml:space="preserve">which will be </w:t>
      </w:r>
      <w:r w:rsidRPr="0047240F">
        <w:rPr>
          <w:rFonts w:ascii="Times New Roman" w:hAnsi="Times New Roman" w:cs="Times New Roman"/>
          <w:sz w:val="24"/>
          <w:szCs w:val="24"/>
        </w:rPr>
        <w:t>pointedly</w:t>
      </w:r>
      <w:r w:rsidRPr="00D7340C">
        <w:rPr>
          <w:rFonts w:ascii="Times New Roman" w:hAnsi="Times New Roman" w:cs="Times New Roman"/>
          <w:sz w:val="24"/>
          <w:szCs w:val="24"/>
        </w:rPr>
        <w:t xml:space="preserve"> corrected by Pickwick.  Sam’s verbal elasticity, usually his main strength, lets him down.  </w:t>
      </w:r>
      <w:r w:rsidRPr="00D7340C">
        <w:rPr>
          <w:rFonts w:ascii="Times New Roman" w:hAnsi="Times New Roman" w:cs="Times New Roman"/>
          <w:sz w:val="24"/>
          <w:szCs w:val="24"/>
        </w:rPr>
        <w:lastRenderedPageBreak/>
        <w:t>Inability to sway the debate leads to an unusual linguistic retreat when he confesses: ‘but, jokin’ apart—ain’t this a rum start o’ your’n all o’ a sudden, Sir?’.</w:t>
      </w:r>
      <w:r w:rsidRPr="00D7340C">
        <w:rPr>
          <w:rStyle w:val="FootnoteReference"/>
          <w:rFonts w:ascii="Times New Roman" w:hAnsi="Times New Roman"/>
          <w:sz w:val="24"/>
          <w:szCs w:val="24"/>
        </w:rPr>
        <w:footnoteReference w:id="345"/>
      </w:r>
      <w:r w:rsidRPr="00D7340C">
        <w:rPr>
          <w:rFonts w:ascii="Times New Roman" w:hAnsi="Times New Roman" w:cs="Times New Roman"/>
          <w:sz w:val="24"/>
          <w:szCs w:val="24"/>
        </w:rPr>
        <w:t xml:space="preserve">  Trying to adopt a conciliatory tone, Sam descends into impotent pleading.  More broadly, the term ‘jokin’ apart’ casts a general shadow over the standing of his verbal gymnastics, questioning how far they form valid commentary upon society and to what extent are they merely intended for humour.  Throughout the scene, Pickwick maintains an impressive manner in which command is combined with politeness, exemplified by his request that Sam ‘Pray be quick’.</w:t>
      </w:r>
      <w:r w:rsidRPr="00D7340C">
        <w:rPr>
          <w:rStyle w:val="FootnoteReference"/>
          <w:rFonts w:ascii="Times New Roman" w:hAnsi="Times New Roman"/>
          <w:sz w:val="24"/>
          <w:szCs w:val="24"/>
        </w:rPr>
        <w:footnoteReference w:id="346"/>
      </w:r>
      <w:r w:rsidRPr="00D7340C">
        <w:rPr>
          <w:rFonts w:ascii="Times New Roman" w:hAnsi="Times New Roman" w:cs="Times New Roman"/>
          <w:sz w:val="24"/>
          <w:szCs w:val="24"/>
        </w:rPr>
        <w:t xml:space="preserve">  Notably, Sam not only follows but hastens ‘to obey his master’s orders’.</w:t>
      </w:r>
      <w:r w:rsidRPr="00D7340C">
        <w:rPr>
          <w:rStyle w:val="FootnoteReference"/>
          <w:rFonts w:ascii="Times New Roman" w:hAnsi="Times New Roman"/>
          <w:sz w:val="24"/>
          <w:szCs w:val="24"/>
        </w:rPr>
        <w:footnoteReference w:id="347"/>
      </w:r>
      <w:r w:rsidRPr="00D7340C">
        <w:rPr>
          <w:rFonts w:ascii="Times New Roman" w:hAnsi="Times New Roman" w:cs="Times New Roman"/>
          <w:sz w:val="24"/>
          <w:szCs w:val="24"/>
        </w:rPr>
        <w:t xml:space="preserve">  When Pickwick is determined the master-servant relationship is maintained.</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 xml:space="preserve">Through Sam’s misreading of situations Reynolds suggests working-class protest while powerful is not always correct and that middle-class authority need not be unjust.  One problem was suggested in his </w:t>
      </w:r>
      <w:r w:rsidRPr="0047240F">
        <w:rPr>
          <w:rFonts w:ascii="Times New Roman" w:hAnsi="Times New Roman" w:cs="Times New Roman"/>
          <w:sz w:val="24"/>
          <w:szCs w:val="24"/>
        </w:rPr>
        <w:t>view of less respectable</w:t>
      </w:r>
      <w:r w:rsidRPr="00D7340C">
        <w:rPr>
          <w:rFonts w:ascii="Times New Roman" w:hAnsi="Times New Roman" w:cs="Times New Roman"/>
          <w:sz w:val="24"/>
          <w:szCs w:val="24"/>
        </w:rPr>
        <w:t xml:space="preserve"> members of the industrious classes.  Whereas Pickwick acknowledges unfamiliarity with the question, Sam makes a sweeping judgment, pointing to lack of discrimination and a tendency to follow fixed ideas.  This is apparent in the misogynistic views expressed after Pickwick’s loss of Sophia Weston to Nassau Siffkin.  The congratulatory message that his master has had a narrow escape arbitrarily targets women, which continues when he challenges Pickwick’s belief in his former fiancée’s agreeable qualities: ‘“A amiable ’ooman!” ejaculated Mr. Weller; “so they all is afore marriage.  Butter ain’t nothin’to the softness o’ their dis-positions, nor mild ale to their tempers.”’</w:t>
      </w:r>
      <w:r w:rsidRPr="00D7340C">
        <w:rPr>
          <w:rStyle w:val="FootnoteReference"/>
          <w:rFonts w:ascii="Times New Roman" w:hAnsi="Times New Roman"/>
          <w:sz w:val="24"/>
          <w:szCs w:val="24"/>
        </w:rPr>
        <w:footnoteReference w:id="348"/>
      </w:r>
      <w:r w:rsidRPr="00D7340C">
        <w:rPr>
          <w:rFonts w:ascii="Times New Roman" w:hAnsi="Times New Roman" w:cs="Times New Roman"/>
          <w:sz w:val="24"/>
          <w:szCs w:val="24"/>
        </w:rPr>
        <w:t xml:space="preserve">  Against Sam’s stereotypical picture of the angelic bride who turns into a nagging termagant, Pickwick is more impressive in recognizing his own folly and generously viewing Sophia as ‘a weak, though a well-meaning woman’.</w:t>
      </w:r>
      <w:r w:rsidRPr="00D7340C">
        <w:rPr>
          <w:rStyle w:val="FootnoteReference"/>
          <w:rFonts w:ascii="Times New Roman" w:hAnsi="Times New Roman"/>
          <w:sz w:val="24"/>
          <w:szCs w:val="24"/>
        </w:rPr>
        <w:footnoteReference w:id="349"/>
      </w:r>
      <w:r w:rsidRPr="00D7340C">
        <w:rPr>
          <w:rFonts w:ascii="Times New Roman" w:hAnsi="Times New Roman" w:cs="Times New Roman"/>
          <w:sz w:val="24"/>
          <w:szCs w:val="24"/>
        </w:rPr>
        <w:t xml:space="preserve">  Sam’s impulsiveness leads Irene Wiltshire to write that rather than being indispensable to Pickwick he is a liabilit</w:t>
      </w:r>
      <w:r w:rsidRPr="003A67FF">
        <w:rPr>
          <w:rFonts w:ascii="Times New Roman" w:hAnsi="Times New Roman" w:cs="Times New Roman"/>
          <w:sz w:val="24"/>
          <w:szCs w:val="24"/>
        </w:rPr>
        <w:t>y.</w:t>
      </w:r>
      <w:r w:rsidRPr="003A67FF">
        <w:rPr>
          <w:rStyle w:val="FootnoteReference"/>
          <w:rFonts w:ascii="Times New Roman" w:hAnsi="Times New Roman"/>
          <w:sz w:val="24"/>
          <w:szCs w:val="24"/>
        </w:rPr>
        <w:footnoteReference w:id="350"/>
      </w:r>
      <w:r w:rsidRPr="00D7340C">
        <w:rPr>
          <w:rFonts w:ascii="Times New Roman" w:hAnsi="Times New Roman" w:cs="Times New Roman"/>
          <w:sz w:val="24"/>
          <w:szCs w:val="24"/>
        </w:rPr>
        <w:t xml:space="preserve">  Among the examples of errant behaviour, Wiltshire refers to his overriding Pickwick’s wish to hold a supper party of French cuisine for friends, providing instead items typical </w:t>
      </w:r>
      <w:r w:rsidRPr="003A67FF">
        <w:rPr>
          <w:rFonts w:ascii="Times New Roman" w:hAnsi="Times New Roman" w:cs="Times New Roman"/>
          <w:sz w:val="24"/>
          <w:szCs w:val="24"/>
        </w:rPr>
        <w:t>of</w:t>
      </w:r>
      <w:r w:rsidRPr="00D7340C">
        <w:rPr>
          <w:rFonts w:ascii="Times New Roman" w:hAnsi="Times New Roman" w:cs="Times New Roman"/>
          <w:sz w:val="24"/>
          <w:szCs w:val="24"/>
        </w:rPr>
        <w:t xml:space="preserve"> English working-class fare.  Sam imposes his values upon others in a manner he would resent anyone doing to him.  At its worst, this impulsiveness sees descent into criminality when behind the back of his master he misuses the names of Winkle and Tupman to procure passports for the debt-ridden Brandenburgh and Peacock so that they can flee to London.  Such actions </w:t>
      </w:r>
      <w:r w:rsidRPr="00D7340C">
        <w:rPr>
          <w:rFonts w:ascii="Times New Roman" w:hAnsi="Times New Roman" w:cs="Times New Roman"/>
          <w:sz w:val="24"/>
          <w:szCs w:val="24"/>
        </w:rPr>
        <w:lastRenderedPageBreak/>
        <w:t>undermine his criticism of the seamier side of life and question his assertions of respectability.  They achieve material reward, but as a form of opposition to authorized regulations are morally bankrupt, and the bribe money received is gained at the expense of character.  On successfully concluding the task for the fraudsters, Reynolds refers to him as ‘their functionary’, a term with implications of Sam temporarily abandoning his free-spirited demeanour to become both bought tool and representative of this deceitfulness.</w:t>
      </w:r>
      <w:r w:rsidRPr="00D7340C">
        <w:rPr>
          <w:rStyle w:val="FootnoteReference"/>
          <w:rFonts w:ascii="Times New Roman" w:hAnsi="Times New Roman"/>
          <w:sz w:val="24"/>
          <w:szCs w:val="24"/>
        </w:rPr>
        <w:footnoteReference w:id="351"/>
      </w:r>
      <w:r w:rsidRPr="00D7340C">
        <w:rPr>
          <w:rFonts w:ascii="Times New Roman" w:hAnsi="Times New Roman" w:cs="Times New Roman"/>
          <w:sz w:val="24"/>
          <w:szCs w:val="24"/>
        </w:rPr>
        <w:t xml:space="preserve">  As always, however, there is ambiguity.  While emphasis is placed upon the wish to gain financially by the employment, there is the sense that his dislike of the pair means he wishes to participate in the scheme to ensure they no longer present a threat to Pickwick, and it is the case that their escape to England coincides with them disappearing from the narrative.</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It is the influence of French republicanism remarked upon in Sam’s encounter with Winkle at the fancy-dress ball that brings the most radical development in his protest.  Reynolds frequently praised France, typified in the novel’s Preface which lauds her freedoms while acknowledging limitations in the political arena.</w:t>
      </w:r>
      <w:r w:rsidRPr="00D7340C">
        <w:rPr>
          <w:rStyle w:val="FootnoteReference"/>
          <w:rFonts w:ascii="Times New Roman" w:hAnsi="Times New Roman"/>
          <w:sz w:val="24"/>
          <w:szCs w:val="24"/>
        </w:rPr>
        <w:footnoteReference w:id="352"/>
      </w:r>
      <w:r w:rsidRPr="00D7340C">
        <w:rPr>
          <w:rFonts w:ascii="Times New Roman" w:hAnsi="Times New Roman" w:cs="Times New Roman"/>
          <w:sz w:val="24"/>
          <w:szCs w:val="24"/>
        </w:rPr>
        <w:t xml:space="preserve">  The journey across the country may be seen as a moral and intellectual awakening which gives a firmer structure to Sam’s anarchic rebelliousness.  His initial relationship with the nation and its people depicts behavioural weaknesses, a tone set early in the novel when he strikes a servant, mistakenly believing he has abused Pickwick:</w:t>
      </w:r>
    </w:p>
    <w:p w:rsidR="00C73A2E" w:rsidRPr="00D7340C" w:rsidRDefault="00C73A2E" w:rsidP="00C73A2E">
      <w:pPr>
        <w:spacing w:after="240" w:line="240" w:lineRule="auto"/>
        <w:ind w:left="720"/>
        <w:rPr>
          <w:rFonts w:ascii="Times New Roman" w:hAnsi="Times New Roman" w:cs="Times New Roman"/>
          <w:sz w:val="24"/>
          <w:szCs w:val="24"/>
        </w:rPr>
      </w:pPr>
      <w:r w:rsidRPr="00D7340C">
        <w:rPr>
          <w:rFonts w:ascii="Times New Roman" w:hAnsi="Times New Roman" w:cs="Times New Roman"/>
          <w:sz w:val="24"/>
          <w:szCs w:val="24"/>
        </w:rPr>
        <w:t>[W</w:t>
      </w:r>
      <w:r w:rsidRPr="00D7340C">
        <w:rPr>
          <w:rFonts w:ascii="Times New Roman" w:hAnsi="Times New Roman" w:cs="Times New Roman"/>
          <w:sz w:val="24"/>
          <w:szCs w:val="24"/>
          <w:u w:val="single"/>
        </w:rPr>
        <w:t>]</w:t>
      </w:r>
      <w:r w:rsidRPr="00D7340C">
        <w:rPr>
          <w:rFonts w:ascii="Times New Roman" w:hAnsi="Times New Roman" w:cs="Times New Roman"/>
          <w:sz w:val="24"/>
          <w:szCs w:val="24"/>
        </w:rPr>
        <w:t>ithout any more ado, he communicated to the unoffending waiter’s nose so fierce a blow, and followed it up by another on the chest to such purpose, that the unfortunate waiter fell over the table, and scattered the remnants of the luncheon on the floor.</w:t>
      </w:r>
      <w:r w:rsidRPr="00D7340C">
        <w:rPr>
          <w:rStyle w:val="FootnoteReference"/>
          <w:rFonts w:ascii="Times New Roman" w:hAnsi="Times New Roman"/>
          <w:sz w:val="24"/>
          <w:szCs w:val="24"/>
        </w:rPr>
        <w:footnoteReference w:id="353"/>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 xml:space="preserve">The use of ‘unoffending’ and ‘unfortunate’ </w:t>
      </w:r>
      <w:r w:rsidRPr="0047240F">
        <w:rPr>
          <w:rFonts w:ascii="Times New Roman" w:hAnsi="Times New Roman" w:cs="Times New Roman"/>
          <w:sz w:val="24"/>
          <w:szCs w:val="24"/>
        </w:rPr>
        <w:t xml:space="preserve">points to </w:t>
      </w:r>
      <w:r w:rsidR="00B15DD0" w:rsidRPr="0047240F">
        <w:rPr>
          <w:rFonts w:ascii="Times New Roman" w:hAnsi="Times New Roman" w:cs="Times New Roman"/>
          <w:sz w:val="24"/>
          <w:szCs w:val="24"/>
        </w:rPr>
        <w:t xml:space="preserve">how </w:t>
      </w:r>
      <w:r w:rsidRPr="0047240F">
        <w:rPr>
          <w:rFonts w:ascii="Times New Roman" w:hAnsi="Times New Roman" w:cs="Times New Roman"/>
          <w:sz w:val="24"/>
          <w:szCs w:val="24"/>
        </w:rPr>
        <w:t xml:space="preserve">blind </w:t>
      </w:r>
      <w:r w:rsidR="00E7336B" w:rsidRPr="0047240F">
        <w:rPr>
          <w:rFonts w:ascii="Times New Roman" w:hAnsi="Times New Roman" w:cs="Times New Roman"/>
          <w:sz w:val="24"/>
          <w:szCs w:val="24"/>
        </w:rPr>
        <w:t>devotion</w:t>
      </w:r>
      <w:r w:rsidR="00E7336B" w:rsidRPr="00B15DD0">
        <w:rPr>
          <w:rFonts w:ascii="Times New Roman" w:hAnsi="Times New Roman" w:cs="Times New Roman"/>
          <w:sz w:val="24"/>
          <w:szCs w:val="24"/>
        </w:rPr>
        <w:t xml:space="preserve"> may </w:t>
      </w:r>
      <w:r w:rsidRPr="00B15DD0">
        <w:rPr>
          <w:rFonts w:ascii="Times New Roman" w:hAnsi="Times New Roman" w:cs="Times New Roman"/>
          <w:sz w:val="24"/>
          <w:szCs w:val="24"/>
        </w:rPr>
        <w:t xml:space="preserve">result in ignoring the </w:t>
      </w:r>
      <w:r w:rsidR="00E7336B" w:rsidRPr="00B15DD0">
        <w:rPr>
          <w:rFonts w:ascii="Times New Roman" w:hAnsi="Times New Roman" w:cs="Times New Roman"/>
          <w:sz w:val="24"/>
          <w:szCs w:val="24"/>
        </w:rPr>
        <w:t>reality</w:t>
      </w:r>
      <w:r w:rsidRPr="00B15DD0">
        <w:rPr>
          <w:rFonts w:ascii="Times New Roman" w:hAnsi="Times New Roman" w:cs="Times New Roman"/>
          <w:sz w:val="24"/>
          <w:szCs w:val="24"/>
        </w:rPr>
        <w:t xml:space="preserve"> of a situation, while the repeated blows and their severity</w:t>
      </w:r>
      <w:r w:rsidRPr="00D7340C">
        <w:rPr>
          <w:rFonts w:ascii="Times New Roman" w:hAnsi="Times New Roman" w:cs="Times New Roman"/>
          <w:sz w:val="24"/>
          <w:szCs w:val="24"/>
        </w:rPr>
        <w:t xml:space="preserve"> emphasise the use of unwarranted violence.  This close-mindedness is especially pronounced towards foreigners.  Sam’s later assault upon Mr Cailliez</w:t>
      </w:r>
      <w:r w:rsidR="004C1CC5">
        <w:rPr>
          <w:rFonts w:ascii="Times New Roman" w:hAnsi="Times New Roman" w:cs="Times New Roman"/>
          <w:sz w:val="24"/>
          <w:szCs w:val="24"/>
        </w:rPr>
        <w:t>,</w:t>
      </w:r>
      <w:r w:rsidRPr="00D7340C">
        <w:rPr>
          <w:rFonts w:ascii="Times New Roman" w:hAnsi="Times New Roman" w:cs="Times New Roman"/>
          <w:sz w:val="24"/>
          <w:szCs w:val="24"/>
        </w:rPr>
        <w:t xml:space="preserve"> when finding Pickwick attempting to explain a perceived insult he has received</w:t>
      </w:r>
      <w:r w:rsidR="004C1CC5">
        <w:rPr>
          <w:rFonts w:ascii="Times New Roman" w:hAnsi="Times New Roman" w:cs="Times New Roman"/>
          <w:sz w:val="24"/>
          <w:szCs w:val="24"/>
        </w:rPr>
        <w:t>,</w:t>
      </w:r>
      <w:r w:rsidRPr="00D7340C">
        <w:rPr>
          <w:rFonts w:ascii="Times New Roman" w:hAnsi="Times New Roman" w:cs="Times New Roman"/>
          <w:sz w:val="24"/>
          <w:szCs w:val="24"/>
        </w:rPr>
        <w:t xml:space="preserve"> suggests the same prejudice:</w:t>
      </w:r>
    </w:p>
    <w:p w:rsidR="00C73A2E" w:rsidRPr="00D7340C" w:rsidRDefault="00C73A2E" w:rsidP="00E7336B">
      <w:pPr>
        <w:spacing w:after="240" w:line="240" w:lineRule="auto"/>
        <w:ind w:left="720"/>
        <w:rPr>
          <w:rFonts w:ascii="Times New Roman" w:hAnsi="Times New Roman" w:cs="Times New Roman"/>
          <w:sz w:val="24"/>
          <w:szCs w:val="24"/>
        </w:rPr>
      </w:pPr>
      <w:r w:rsidRPr="00D7340C">
        <w:rPr>
          <w:rFonts w:ascii="Times New Roman" w:hAnsi="Times New Roman" w:cs="Times New Roman"/>
          <w:sz w:val="24"/>
          <w:szCs w:val="24"/>
        </w:rPr>
        <w:t xml:space="preserve">[I]t did not for one moment occur that any-body but Frenchmen could have been the authors of the offence.  Without listening to the merits or particulars of the case, Mr. </w:t>
      </w:r>
      <w:r w:rsidRPr="00D7340C">
        <w:rPr>
          <w:rFonts w:ascii="Times New Roman" w:hAnsi="Times New Roman" w:cs="Times New Roman"/>
          <w:sz w:val="24"/>
          <w:szCs w:val="24"/>
        </w:rPr>
        <w:lastRenderedPageBreak/>
        <w:t xml:space="preserve">Weller immediately communicated a violent </w:t>
      </w:r>
      <w:r w:rsidRPr="00D7340C">
        <w:rPr>
          <w:rFonts w:ascii="Times New Roman" w:hAnsi="Times New Roman" w:cs="Times New Roman"/>
          <w:i/>
          <w:sz w:val="24"/>
          <w:szCs w:val="24"/>
        </w:rPr>
        <w:t>impetus</w:t>
      </w:r>
      <w:r w:rsidRPr="00D7340C">
        <w:rPr>
          <w:rFonts w:ascii="Times New Roman" w:hAnsi="Times New Roman" w:cs="Times New Roman"/>
          <w:sz w:val="24"/>
          <w:szCs w:val="24"/>
        </w:rPr>
        <w:t>, in the shape of a hard blow, to the body of M. Cailliez.</w:t>
      </w:r>
      <w:r w:rsidRPr="00D7340C">
        <w:rPr>
          <w:rStyle w:val="FootnoteReference"/>
          <w:rFonts w:ascii="Times New Roman" w:hAnsi="Times New Roman"/>
          <w:sz w:val="24"/>
          <w:szCs w:val="24"/>
        </w:rPr>
        <w:footnoteReference w:id="354"/>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Loyalty is no longer a valuable attribute when based upon lack of thought and indifference to the truth.  Sam’s mind is closed to anything that does not fit into his preconceptions and the incident sees his John Bull attitude descend into violent Francophobia.  This raucous chauvinism is also displayed at the theatre in Calais when bored with the performance he begins singing and physically resists those who come to eject him: ‘you’re a d—d unconstitutshional force, you air—and I’m a free-born Englishman, vich von’t submit to none o’ your Johnny Darmies’.</w:t>
      </w:r>
      <w:r w:rsidRPr="00D7340C">
        <w:rPr>
          <w:rStyle w:val="FootnoteReference"/>
          <w:rFonts w:ascii="Times New Roman" w:hAnsi="Times New Roman"/>
          <w:sz w:val="24"/>
          <w:szCs w:val="24"/>
        </w:rPr>
        <w:footnoteReference w:id="355"/>
      </w:r>
      <w:r w:rsidRPr="00D7340C">
        <w:rPr>
          <w:rFonts w:ascii="Times New Roman" w:hAnsi="Times New Roman" w:cs="Times New Roman"/>
          <w:sz w:val="24"/>
          <w:szCs w:val="24"/>
        </w:rPr>
        <w:t xml:space="preserve">  Such words reveal obstinate intolerance, with the high-sounding claim to be ‘free-born’ and fighting for liberty proving no more than a jingoistic desire to create havoc that leads him to call for the English and Irish spectators in the gallery to come to his aid.</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At first Sam rejects the progressive views that prevail in France, apparent at the hotel in Montreuil when the attendant wishes him to dine with the Pickwickians, a scene considered above in relation to it disrupting Sam’s freedom to enjoy periods of separation.  However, there is another reason why he views such egalitarian ideas as unacceptable: ‘Vy, I should con-sider myself more wulgar than the beatesses in the field, if I vas to listen to your adwice, as the chimbley-sveep said ven they asked him to dine at a radical conwivial meetin’.’</w:t>
      </w:r>
      <w:r w:rsidRPr="00D7340C">
        <w:rPr>
          <w:rStyle w:val="FootnoteReference"/>
          <w:rFonts w:ascii="Times New Roman" w:hAnsi="Times New Roman"/>
          <w:sz w:val="24"/>
          <w:szCs w:val="24"/>
        </w:rPr>
        <w:footnoteReference w:id="356"/>
      </w:r>
      <w:r w:rsidRPr="00D7340C">
        <w:rPr>
          <w:rFonts w:ascii="Times New Roman" w:hAnsi="Times New Roman" w:cs="Times New Roman"/>
          <w:sz w:val="24"/>
          <w:szCs w:val="24"/>
        </w:rPr>
        <w:t xml:space="preserve">  Sam displays an entrenched conservatism that recognizes distinctions of rank as a sign of civilisation the loss of which would drive humanity to the level of beasts.  Associating himself with the view of his imagined chimney sweep expresses Sam’s opposition towards contemporary liberal thought.  This is symbolized by his irreverent attitude in the Chamber of Peers, which leads the Pickwickians to be ‘considerably amused by the behaviour of Mr. Weller, who ascended to the eminent seat usually filled by Baron Pasquier, the president of the Upper House, and there performed such wonderful antics’.</w:t>
      </w:r>
      <w:r w:rsidRPr="00D7340C">
        <w:rPr>
          <w:rStyle w:val="FootnoteReference"/>
          <w:rFonts w:ascii="Times New Roman" w:hAnsi="Times New Roman"/>
          <w:sz w:val="24"/>
          <w:szCs w:val="24"/>
        </w:rPr>
        <w:footnoteReference w:id="357"/>
      </w:r>
      <w:r w:rsidRPr="00D7340C">
        <w:rPr>
          <w:rFonts w:ascii="Times New Roman" w:hAnsi="Times New Roman" w:cs="Times New Roman"/>
          <w:sz w:val="24"/>
          <w:szCs w:val="24"/>
        </w:rPr>
        <w:t xml:space="preserve">  Bearing in mind the rather traditional political tendencies of the spectators, their amusement serves as an implicit censure by Reynolds of Sam’s behaviour.  His actions seem incongruous rather than humorous in this grand setting, particularly as they occur just after Reynolds pays tribute to France as the ‘first nation in the world’.</w:t>
      </w:r>
      <w:r w:rsidRPr="00D7340C">
        <w:rPr>
          <w:rStyle w:val="FootnoteReference"/>
          <w:rFonts w:ascii="Times New Roman" w:hAnsi="Times New Roman"/>
          <w:sz w:val="24"/>
          <w:szCs w:val="24"/>
        </w:rPr>
        <w:footnoteReference w:id="358"/>
      </w:r>
      <w:r w:rsidRPr="00D7340C">
        <w:rPr>
          <w:rFonts w:ascii="Times New Roman" w:hAnsi="Times New Roman" w:cs="Times New Roman"/>
          <w:sz w:val="24"/>
          <w:szCs w:val="24"/>
        </w:rPr>
        <w:t xml:space="preserve">  Additionally, the Chamber had shown positive </w:t>
      </w:r>
      <w:r w:rsidRPr="00D7340C">
        <w:rPr>
          <w:rFonts w:ascii="Times New Roman" w:hAnsi="Times New Roman" w:cs="Times New Roman"/>
          <w:sz w:val="24"/>
          <w:szCs w:val="24"/>
        </w:rPr>
        <w:lastRenderedPageBreak/>
        <w:t>signs of being integrated into the Orleanist political set up soon after the 1830 Revolution.</w:t>
      </w:r>
      <w:r w:rsidRPr="00D7340C">
        <w:rPr>
          <w:rStyle w:val="FootnoteReference"/>
          <w:rFonts w:ascii="Times New Roman" w:hAnsi="Times New Roman"/>
          <w:sz w:val="24"/>
          <w:szCs w:val="24"/>
        </w:rPr>
        <w:footnoteReference w:id="359"/>
      </w:r>
      <w:r w:rsidRPr="00D7340C">
        <w:rPr>
          <w:rFonts w:ascii="Times New Roman" w:hAnsi="Times New Roman" w:cs="Times New Roman"/>
          <w:sz w:val="24"/>
          <w:szCs w:val="24"/>
        </w:rPr>
        <w:t xml:space="preserve">  As such, the</w:t>
      </w:r>
      <w:r w:rsidR="004B6FAD">
        <w:rPr>
          <w:rFonts w:ascii="Times New Roman" w:hAnsi="Times New Roman" w:cs="Times New Roman"/>
          <w:sz w:val="24"/>
          <w:szCs w:val="24"/>
        </w:rPr>
        <w:t xml:space="preserve"> servant’s</w:t>
      </w:r>
      <w:r w:rsidRPr="00D7340C">
        <w:rPr>
          <w:rFonts w:ascii="Times New Roman" w:hAnsi="Times New Roman" w:cs="Times New Roman"/>
          <w:sz w:val="24"/>
          <w:szCs w:val="24"/>
        </w:rPr>
        <w:t xml:space="preserve"> performance</w:t>
      </w:r>
      <w:r w:rsidR="0047240F">
        <w:rPr>
          <w:rFonts w:ascii="Times New Roman" w:hAnsi="Times New Roman" w:cs="Times New Roman"/>
          <w:sz w:val="24"/>
          <w:szCs w:val="24"/>
        </w:rPr>
        <w:t xml:space="preserve"> </w:t>
      </w:r>
      <w:r w:rsidRPr="00D7340C">
        <w:rPr>
          <w:rFonts w:ascii="Times New Roman" w:hAnsi="Times New Roman" w:cs="Times New Roman"/>
          <w:sz w:val="24"/>
          <w:szCs w:val="24"/>
        </w:rPr>
        <w:t>mocks th</w:t>
      </w:r>
      <w:r w:rsidR="004B6FAD">
        <w:rPr>
          <w:rFonts w:ascii="Times New Roman" w:hAnsi="Times New Roman" w:cs="Times New Roman"/>
          <w:sz w:val="24"/>
          <w:szCs w:val="24"/>
        </w:rPr>
        <w:t>is</w:t>
      </w:r>
      <w:r w:rsidRPr="00D7340C">
        <w:rPr>
          <w:rFonts w:ascii="Times New Roman" w:hAnsi="Times New Roman" w:cs="Times New Roman"/>
          <w:sz w:val="24"/>
          <w:szCs w:val="24"/>
        </w:rPr>
        <w:t xml:space="preserve"> recent progress </w:t>
      </w:r>
      <w:r w:rsidR="0047240F">
        <w:rPr>
          <w:rFonts w:ascii="Times New Roman" w:hAnsi="Times New Roman" w:cs="Times New Roman"/>
          <w:sz w:val="24"/>
          <w:szCs w:val="24"/>
        </w:rPr>
        <w:t>of</w:t>
      </w:r>
      <w:r w:rsidR="00B15DD0" w:rsidRPr="0047240F">
        <w:rPr>
          <w:rFonts w:ascii="Times New Roman" w:hAnsi="Times New Roman" w:cs="Times New Roman"/>
          <w:sz w:val="24"/>
          <w:szCs w:val="24"/>
        </w:rPr>
        <w:t xml:space="preserve"> which the author</w:t>
      </w:r>
      <w:r w:rsidR="004B6FAD">
        <w:rPr>
          <w:rFonts w:ascii="Times New Roman" w:hAnsi="Times New Roman" w:cs="Times New Roman"/>
          <w:sz w:val="24"/>
          <w:szCs w:val="24"/>
        </w:rPr>
        <w:t xml:space="preserve"> strongly</w:t>
      </w:r>
      <w:r w:rsidR="007756F6">
        <w:rPr>
          <w:rFonts w:ascii="Times New Roman" w:hAnsi="Times New Roman" w:cs="Times New Roman"/>
          <w:sz w:val="24"/>
          <w:szCs w:val="24"/>
        </w:rPr>
        <w:t xml:space="preserve"> </w:t>
      </w:r>
      <w:r w:rsidR="00B15DD0" w:rsidRPr="0047240F">
        <w:rPr>
          <w:rFonts w:ascii="Times New Roman" w:hAnsi="Times New Roman" w:cs="Times New Roman"/>
          <w:sz w:val="24"/>
          <w:szCs w:val="24"/>
        </w:rPr>
        <w:t>approved</w:t>
      </w:r>
      <w:r w:rsidRPr="0047240F">
        <w:rPr>
          <w:rFonts w:ascii="Times New Roman" w:hAnsi="Times New Roman" w:cs="Times New Roman"/>
          <w:sz w:val="24"/>
          <w:szCs w:val="24"/>
        </w:rPr>
        <w:t>.</w:t>
      </w:r>
      <w:r w:rsidR="007756F6">
        <w:rPr>
          <w:rFonts w:ascii="Times New Roman" w:hAnsi="Times New Roman" w:cs="Times New Roman"/>
          <w:sz w:val="24"/>
          <w:szCs w:val="24"/>
        </w:rPr>
        <w:t xml:space="preserve"> </w:t>
      </w:r>
    </w:p>
    <w:p w:rsidR="00C73A2E" w:rsidRPr="00D7340C" w:rsidRDefault="00C73A2E" w:rsidP="00C73A2E">
      <w:pPr>
        <w:spacing w:after="120" w:line="360" w:lineRule="auto"/>
        <w:ind w:firstLine="720"/>
        <w:rPr>
          <w:rFonts w:ascii="Times New Roman" w:hAnsi="Times New Roman" w:cs="Times New Roman"/>
          <w:sz w:val="24"/>
          <w:szCs w:val="24"/>
          <w:lang w:val="en"/>
        </w:rPr>
      </w:pPr>
      <w:r w:rsidRPr="00D7340C">
        <w:rPr>
          <w:rFonts w:ascii="Times New Roman" w:hAnsi="Times New Roman" w:cs="Times New Roman"/>
          <w:sz w:val="24"/>
          <w:szCs w:val="24"/>
          <w:lang w:val="en"/>
        </w:rPr>
        <w:t>From these unpromising beginnings, Sam gradually becomes more favorably inclined towards France, a change that initially leaves him puzzled as he confides to Pickwick:</w:t>
      </w:r>
    </w:p>
    <w:p w:rsidR="00C73A2E" w:rsidRPr="00D7340C" w:rsidRDefault="00C73A2E" w:rsidP="004C1CC5">
      <w:pPr>
        <w:spacing w:after="240" w:line="240" w:lineRule="auto"/>
        <w:ind w:left="720"/>
        <w:rPr>
          <w:rFonts w:ascii="Times New Roman" w:hAnsi="Times New Roman" w:cs="Times New Roman"/>
          <w:sz w:val="24"/>
          <w:szCs w:val="24"/>
        </w:rPr>
      </w:pPr>
      <w:r w:rsidRPr="00D7340C">
        <w:rPr>
          <w:rFonts w:ascii="Times New Roman" w:hAnsi="Times New Roman" w:cs="Times New Roman"/>
          <w:sz w:val="24"/>
          <w:szCs w:val="24"/>
        </w:rPr>
        <w:t>‘I hates to speak ill o’ my own country,’ he added in a low tone of voice—‘it’s a thing I can’t a-bear to do, but I must, as the sassage-maker observed ven he cut up his fav’rite tom-cat; and all I can say is, that the French is much more politer and curtious than the English is.  Besides, the wery tradesmen and even the vaiters their-selves is as vell-behaved and gen-teel as our English gen’lemen.’</w:t>
      </w:r>
      <w:r w:rsidRPr="00D7340C">
        <w:rPr>
          <w:rStyle w:val="FootnoteReference"/>
          <w:rFonts w:ascii="Times New Roman" w:hAnsi="Times New Roman"/>
          <w:sz w:val="24"/>
          <w:szCs w:val="24"/>
        </w:rPr>
        <w:t xml:space="preserve"> </w:t>
      </w:r>
      <w:r w:rsidRPr="00D7340C">
        <w:rPr>
          <w:rStyle w:val="FootnoteReference"/>
          <w:rFonts w:ascii="Times New Roman" w:hAnsi="Times New Roman"/>
          <w:sz w:val="24"/>
          <w:szCs w:val="24"/>
        </w:rPr>
        <w:footnoteReference w:id="360"/>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This early pro-French sentiment is uttered rather apologetically, emphasised by the ‘low tone of voice’, embarrassed acknowledgement it is made at the expense of countrymen and causes pain because constituting an act of betrayal.  Noticeably, Sam’s</w:t>
      </w:r>
      <w:r w:rsidRPr="00D7340C">
        <w:rPr>
          <w:rFonts w:ascii="Times New Roman" w:hAnsi="Times New Roman" w:cs="Times New Roman"/>
          <w:sz w:val="24"/>
          <w:szCs w:val="24"/>
          <w:lang w:val="en"/>
        </w:rPr>
        <w:t xml:space="preserve"> change begins in the field of conduct, echoing Reynolds’s sense of the importance of etiquette and </w:t>
      </w:r>
      <w:r w:rsidRPr="00D7340C">
        <w:rPr>
          <w:rFonts w:ascii="Times New Roman" w:hAnsi="Times New Roman" w:cs="Times New Roman"/>
          <w:sz w:val="24"/>
          <w:szCs w:val="24"/>
        </w:rPr>
        <w:t>respectability.  From this basis he becomes more perceptive to the nation’s political radicalism that broadens the scope of his protest.  He later comments upon the ‘wery fair’ principles of an election with its employment of the secret ballot and refers favourably to the discipline of the French army: ‘the more I sees, the more I becomes conwicted that the English is a d——d sight too proud to borrow anything vich is good in another country’.</w:t>
      </w:r>
      <w:r w:rsidRPr="00D7340C">
        <w:rPr>
          <w:rStyle w:val="FootnoteReference"/>
          <w:rFonts w:ascii="Times New Roman" w:hAnsi="Times New Roman"/>
          <w:sz w:val="24"/>
          <w:szCs w:val="24"/>
        </w:rPr>
        <w:footnoteReference w:id="361"/>
      </w:r>
      <w:r w:rsidRPr="00D7340C">
        <w:rPr>
          <w:rFonts w:ascii="Times New Roman" w:hAnsi="Times New Roman" w:cs="Times New Roman"/>
          <w:sz w:val="24"/>
          <w:szCs w:val="24"/>
        </w:rPr>
        <w:t xml:space="preserve">  He now regrets the prejudices of his countrymen that he once gloried in.  His transgressive ideas display increased reasoning and a more defined challenge to the social system at home, reflected in comments about commercial life upon the Pont Neuf: ‘The po-lice don’t overturn the fruit-stalls here as they does in London.  Blowed if I don’t think von is more freer here than in England, Sir.’</w:t>
      </w:r>
      <w:r w:rsidRPr="00D7340C">
        <w:rPr>
          <w:rStyle w:val="FootnoteReference"/>
          <w:rFonts w:ascii="Times New Roman" w:hAnsi="Times New Roman"/>
          <w:sz w:val="24"/>
          <w:szCs w:val="24"/>
        </w:rPr>
        <w:footnoteReference w:id="362"/>
      </w:r>
      <w:r w:rsidRPr="00D7340C">
        <w:rPr>
          <w:rFonts w:ascii="Times New Roman" w:hAnsi="Times New Roman" w:cs="Times New Roman"/>
          <w:sz w:val="24"/>
          <w:szCs w:val="24"/>
        </w:rPr>
        <w:t xml:space="preserve">  Sharply contradicting his earlier boast of being ‘free-born’, the persecution of small traders in London by representatives of the state is compared unfavourably to the liberties enjoyed in Paris.  </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 xml:space="preserve">This development comes to a head when Sam intervenes at the meeting gathered to present a congratulatory address </w:t>
      </w:r>
      <w:r w:rsidRPr="00E7336B">
        <w:rPr>
          <w:rFonts w:ascii="Times New Roman" w:hAnsi="Times New Roman" w:cs="Times New Roman"/>
          <w:sz w:val="24"/>
          <w:szCs w:val="24"/>
        </w:rPr>
        <w:t>to Louis</w:t>
      </w:r>
      <w:r w:rsidR="00AC3D6C" w:rsidRPr="00E7336B">
        <w:rPr>
          <w:rFonts w:ascii="Times New Roman" w:hAnsi="Times New Roman" w:cs="Times New Roman"/>
          <w:sz w:val="24"/>
          <w:szCs w:val="24"/>
        </w:rPr>
        <w:t>-</w:t>
      </w:r>
      <w:r w:rsidRPr="00E7336B">
        <w:rPr>
          <w:rFonts w:ascii="Times New Roman" w:hAnsi="Times New Roman" w:cs="Times New Roman"/>
          <w:sz w:val="24"/>
          <w:szCs w:val="24"/>
        </w:rPr>
        <w:t>Philip</w:t>
      </w:r>
      <w:r w:rsidR="00AC3D6C" w:rsidRPr="00E7336B">
        <w:rPr>
          <w:rFonts w:ascii="Times New Roman" w:hAnsi="Times New Roman" w:cs="Times New Roman"/>
          <w:sz w:val="24"/>
          <w:szCs w:val="24"/>
        </w:rPr>
        <w:t>p</w:t>
      </w:r>
      <w:r w:rsidRPr="00E7336B">
        <w:rPr>
          <w:rFonts w:ascii="Times New Roman" w:hAnsi="Times New Roman" w:cs="Times New Roman"/>
          <w:sz w:val="24"/>
          <w:szCs w:val="24"/>
        </w:rPr>
        <w:t>e concerning</w:t>
      </w:r>
      <w:r w:rsidRPr="00D7340C">
        <w:rPr>
          <w:rFonts w:ascii="Times New Roman" w:hAnsi="Times New Roman" w:cs="Times New Roman"/>
          <w:sz w:val="24"/>
          <w:szCs w:val="24"/>
        </w:rPr>
        <w:t xml:space="preserve"> the failure of the Fieschi </w:t>
      </w:r>
      <w:r w:rsidRPr="00D7340C">
        <w:rPr>
          <w:rFonts w:ascii="Times New Roman" w:hAnsi="Times New Roman" w:cs="Times New Roman"/>
          <w:sz w:val="24"/>
          <w:szCs w:val="24"/>
        </w:rPr>
        <w:lastRenderedPageBreak/>
        <w:t>assassination plot.</w:t>
      </w:r>
      <w:r w:rsidRPr="00D7340C">
        <w:rPr>
          <w:rStyle w:val="FootnoteReference"/>
          <w:rFonts w:ascii="Times New Roman" w:hAnsi="Times New Roman"/>
          <w:sz w:val="24"/>
          <w:szCs w:val="24"/>
        </w:rPr>
        <w:footnoteReference w:id="363"/>
      </w:r>
      <w:r w:rsidRPr="00D7340C">
        <w:rPr>
          <w:rFonts w:ascii="Times New Roman" w:hAnsi="Times New Roman" w:cs="Times New Roman"/>
          <w:sz w:val="24"/>
          <w:szCs w:val="24"/>
        </w:rPr>
        <w:t xml:space="preserve">  It is significant for how he employs French republican ideas to challenge social barriers in a manner that conflicts with the Toryism of the Pickwickians.  Again protest arises through frustration at misuse of language witnessed in the meaningless resolutions that have been brought forth.  Sam’s annoyance sends his radicalism to new heights when he abruptly intercedes:</w:t>
      </w:r>
    </w:p>
    <w:p w:rsidR="00C73A2E" w:rsidRPr="00D7340C" w:rsidRDefault="00C73A2E" w:rsidP="00C73A2E">
      <w:pPr>
        <w:spacing w:after="240" w:line="240" w:lineRule="auto"/>
        <w:ind w:left="720"/>
        <w:rPr>
          <w:rFonts w:ascii="Times New Roman" w:hAnsi="Times New Roman" w:cs="Times New Roman"/>
          <w:sz w:val="24"/>
          <w:szCs w:val="24"/>
        </w:rPr>
      </w:pPr>
      <w:r w:rsidRPr="00D7340C">
        <w:rPr>
          <w:rFonts w:ascii="Times New Roman" w:hAnsi="Times New Roman" w:cs="Times New Roman"/>
          <w:sz w:val="24"/>
          <w:szCs w:val="24"/>
        </w:rPr>
        <w:t>Gen’lemen, in perposing the fifth ressylootion, allow me to make a few wery simple obserwations to this amiable company.  I ain’t no great talker; but them as talks little does much; vich vos the remark made by the sogers ven they bagginetted the chaps as met at Brummagem to take their grievances into consideration.</w:t>
      </w:r>
      <w:r w:rsidRPr="00D7340C">
        <w:rPr>
          <w:rStyle w:val="FootnoteReference"/>
          <w:rFonts w:ascii="Times New Roman" w:hAnsi="Times New Roman"/>
          <w:sz w:val="24"/>
          <w:szCs w:val="24"/>
        </w:rPr>
        <w:footnoteReference w:id="364"/>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Sam’s modest statement that he is ‘no great talker’ strikes an ironic tone given the confidence he has in his verbal agility.  What it really suggests is that unlike the middle-class contributions that have confused proceedings, his more direct approach will clarify the situation.  He pointedly refers to popular demonstrations in Birmingham.</w:t>
      </w:r>
      <w:r w:rsidRPr="00D7340C">
        <w:rPr>
          <w:rStyle w:val="FootnoteReference"/>
          <w:rFonts w:ascii="Times New Roman" w:hAnsi="Times New Roman"/>
          <w:sz w:val="24"/>
          <w:szCs w:val="24"/>
        </w:rPr>
        <w:footnoteReference w:id="365"/>
      </w:r>
      <w:r w:rsidRPr="00D7340C">
        <w:rPr>
          <w:rFonts w:ascii="Times New Roman" w:hAnsi="Times New Roman" w:cs="Times New Roman"/>
          <w:sz w:val="24"/>
          <w:szCs w:val="24"/>
        </w:rPr>
        <w:t xml:space="preserve">  His words reflect sympathy for the industrious classes by referring to the protestors as ‘chaps’ who have assembled to consider their grievances implying they sought reasoned discussion.  In contrast, the picture of soldiers using bayonets rather than words to resolve matters suggests England is becoming a military despotism.  The scene sees Sam move decisively from the cultural to the political arena, supporting opinions that might have been voiced in what he previously referred to sarcastically as ‘radical conwivial’ meetings.  The illustration symbolizes the </w:t>
      </w:r>
      <w:r w:rsidRPr="004C1CC5">
        <w:rPr>
          <w:rFonts w:ascii="Times New Roman" w:hAnsi="Times New Roman" w:cs="Times New Roman"/>
          <w:sz w:val="24"/>
          <w:szCs w:val="24"/>
        </w:rPr>
        <w:t>subversiv</w:t>
      </w:r>
      <w:r w:rsidR="00543E16" w:rsidRPr="004C1CC5">
        <w:rPr>
          <w:rFonts w:ascii="Times New Roman" w:hAnsi="Times New Roman" w:cs="Times New Roman"/>
          <w:sz w:val="24"/>
          <w:szCs w:val="24"/>
        </w:rPr>
        <w:t>e element</w:t>
      </w:r>
      <w:r w:rsidRPr="004C1CC5">
        <w:rPr>
          <w:rFonts w:ascii="Times New Roman" w:hAnsi="Times New Roman" w:cs="Times New Roman"/>
          <w:sz w:val="24"/>
          <w:szCs w:val="24"/>
        </w:rPr>
        <w:t xml:space="preserve"> of</w:t>
      </w:r>
      <w:r w:rsidRPr="00D7340C">
        <w:rPr>
          <w:rFonts w:ascii="Times New Roman" w:hAnsi="Times New Roman" w:cs="Times New Roman"/>
          <w:sz w:val="24"/>
          <w:szCs w:val="24"/>
        </w:rPr>
        <w:t xml:space="preserve"> his performance, as he stands on a chair, neatly attired, with arms folded looking down calmly upon those assembled, while his master angrily gesticulates from below as others wave their hats (see Appendix D).  His resolution is listened to with interest and he refuses to withdraw until persuaded by Tupman who has been sent by Pickwick.  The paradoxical nature of Sam’s new position is clear in his response to the accusation that he is merely a servant: ‘Vell, I vears the Pickwick livery’.</w:t>
      </w:r>
      <w:r w:rsidRPr="00D7340C">
        <w:rPr>
          <w:rStyle w:val="FootnoteReference"/>
          <w:rFonts w:ascii="Times New Roman" w:hAnsi="Times New Roman"/>
          <w:sz w:val="24"/>
          <w:szCs w:val="24"/>
        </w:rPr>
        <w:footnoteReference w:id="366"/>
      </w:r>
      <w:r w:rsidRPr="00D7340C">
        <w:rPr>
          <w:rFonts w:ascii="Times New Roman" w:hAnsi="Times New Roman" w:cs="Times New Roman"/>
          <w:sz w:val="24"/>
          <w:szCs w:val="24"/>
        </w:rPr>
        <w:t xml:space="preserve">  Rather than arguing for independence, he proudly proclaims his subordinate position through using the term ‘livery’ and mentioning his master’s name.  However, even seemingly clear statements signal ambiguity.  The concept of ‘livery’, usually depicting servitude, is compromised because of Sam’s </w:t>
      </w:r>
      <w:r w:rsidRPr="00D7340C">
        <w:rPr>
          <w:rFonts w:ascii="Times New Roman" w:hAnsi="Times New Roman" w:cs="Times New Roman"/>
          <w:sz w:val="24"/>
          <w:szCs w:val="24"/>
        </w:rPr>
        <w:lastRenderedPageBreak/>
        <w:t>idiosyncratic dress</w:t>
      </w:r>
      <w:r w:rsidRPr="004C1CC5">
        <w:rPr>
          <w:rFonts w:ascii="Times New Roman" w:hAnsi="Times New Roman" w:cs="Times New Roman"/>
          <w:sz w:val="24"/>
          <w:szCs w:val="24"/>
        </w:rPr>
        <w:t>-code, well known to readers from Dickens’s original.</w:t>
      </w:r>
      <w:r w:rsidRPr="004C1CC5">
        <w:rPr>
          <w:rStyle w:val="FootnoteReference"/>
          <w:rFonts w:ascii="Times New Roman" w:hAnsi="Times New Roman"/>
          <w:sz w:val="24"/>
          <w:szCs w:val="24"/>
        </w:rPr>
        <w:footnoteReference w:id="367"/>
      </w:r>
      <w:r w:rsidRPr="004C1CC5">
        <w:rPr>
          <w:rFonts w:ascii="Times New Roman" w:hAnsi="Times New Roman" w:cs="Times New Roman"/>
          <w:sz w:val="24"/>
          <w:szCs w:val="24"/>
        </w:rPr>
        <w:t xml:space="preserve">  Excepting language, clothes, and his cavalier manner of wearing them, are arguably the field in which Sam finds most freedom to express individuality.  The words are those of</w:t>
      </w:r>
      <w:r w:rsidR="004046AE" w:rsidRPr="004C1CC5">
        <w:rPr>
          <w:rFonts w:ascii="Times New Roman" w:hAnsi="Times New Roman" w:cs="Times New Roman"/>
          <w:sz w:val="24"/>
          <w:szCs w:val="24"/>
        </w:rPr>
        <w:t xml:space="preserve"> one</w:t>
      </w:r>
      <w:r w:rsidRPr="004C1CC5">
        <w:rPr>
          <w:rFonts w:ascii="Times New Roman" w:hAnsi="Times New Roman" w:cs="Times New Roman"/>
          <w:sz w:val="24"/>
          <w:szCs w:val="24"/>
        </w:rPr>
        <w:t xml:space="preserve"> who might welcome change but is contented with his present status.  However, Sam by making protest</w:t>
      </w:r>
      <w:r w:rsidR="004046AE" w:rsidRPr="004C1CC5">
        <w:rPr>
          <w:rFonts w:ascii="Times New Roman" w:hAnsi="Times New Roman" w:cs="Times New Roman"/>
          <w:sz w:val="24"/>
          <w:szCs w:val="24"/>
        </w:rPr>
        <w:t xml:space="preserve"> so</w:t>
      </w:r>
      <w:r w:rsidRPr="004C1CC5">
        <w:rPr>
          <w:rFonts w:ascii="Times New Roman" w:hAnsi="Times New Roman" w:cs="Times New Roman"/>
          <w:sz w:val="24"/>
          <w:szCs w:val="24"/>
        </w:rPr>
        <w:t xml:space="preserve"> public</w:t>
      </w:r>
      <w:r w:rsidR="004046AE" w:rsidRPr="004C1CC5">
        <w:rPr>
          <w:rFonts w:ascii="Times New Roman" w:hAnsi="Times New Roman" w:cs="Times New Roman"/>
          <w:sz w:val="24"/>
          <w:szCs w:val="24"/>
        </w:rPr>
        <w:t>ly</w:t>
      </w:r>
      <w:r w:rsidRPr="004C1CC5">
        <w:rPr>
          <w:rFonts w:ascii="Times New Roman" w:hAnsi="Times New Roman" w:cs="Times New Roman"/>
          <w:sz w:val="24"/>
          <w:szCs w:val="24"/>
        </w:rPr>
        <w:t xml:space="preserve"> has crossed a boundary, something he is aware of when Pickwick confronts him at their lodgings and hopes ‘it ain’t a blowin’</w:t>
      </w:r>
      <w:r w:rsidRPr="00D7340C">
        <w:rPr>
          <w:rFonts w:ascii="Times New Roman" w:hAnsi="Times New Roman" w:cs="Times New Roman"/>
          <w:sz w:val="24"/>
          <w:szCs w:val="24"/>
        </w:rPr>
        <w:t xml:space="preserve"> up’ he has to face:</w:t>
      </w:r>
    </w:p>
    <w:p w:rsidR="00C73A2E" w:rsidRPr="00D7340C" w:rsidRDefault="00C73A2E" w:rsidP="00C73A2E">
      <w:pPr>
        <w:spacing w:after="120" w:line="240" w:lineRule="auto"/>
        <w:ind w:left="720"/>
        <w:rPr>
          <w:rFonts w:ascii="Times New Roman" w:hAnsi="Times New Roman" w:cs="Times New Roman"/>
          <w:sz w:val="24"/>
          <w:szCs w:val="24"/>
        </w:rPr>
      </w:pPr>
      <w:r w:rsidRPr="00D7340C">
        <w:rPr>
          <w:rFonts w:ascii="Times New Roman" w:hAnsi="Times New Roman" w:cs="Times New Roman"/>
          <w:sz w:val="24"/>
          <w:szCs w:val="24"/>
        </w:rPr>
        <w:t>‘Sam,’ said Mr. Pickwick, solemnly, ‘I must request that you do not interfere at public meetings in future—particularly where I may be: it is neither becoming nor decent.’</w:t>
      </w:r>
    </w:p>
    <w:p w:rsidR="00C73A2E" w:rsidRPr="00D7340C" w:rsidRDefault="00C73A2E" w:rsidP="00C73A2E">
      <w:pPr>
        <w:spacing w:after="12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‘Beg pardon, Sir,’ exclaimed Mr. Weller; ‘but I thought as how ve vos all ekal in this here country.’</w:t>
      </w:r>
    </w:p>
    <w:p w:rsidR="00C73A2E" w:rsidRPr="00D7340C" w:rsidRDefault="00C73A2E" w:rsidP="00C73A2E">
      <w:pPr>
        <w:spacing w:after="12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‘Not in that respect, Sam,’ returned Mr. Pickwick.  ‘There is a proper spirit of democracy, but it has not yet arrived to the extent you mention.’</w:t>
      </w:r>
    </w:p>
    <w:p w:rsidR="00C73A2E" w:rsidRPr="00D7340C" w:rsidRDefault="00C73A2E" w:rsidP="00C73A2E">
      <w:pPr>
        <w:spacing w:after="12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‘Your adwice is done, Sir?’ enquired Mr. Weller.</w:t>
      </w:r>
    </w:p>
    <w:p w:rsidR="00C73A2E" w:rsidRPr="00D7340C" w:rsidRDefault="00C73A2E" w:rsidP="00C73A2E">
      <w:pPr>
        <w:spacing w:after="24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‘Quite, Sam,’ was the answer; ‘and I hope you will profit by it.’</w:t>
      </w:r>
      <w:r w:rsidRPr="00D7340C">
        <w:rPr>
          <w:rStyle w:val="FootnoteReference"/>
          <w:rFonts w:ascii="Times New Roman" w:hAnsi="Times New Roman"/>
          <w:sz w:val="24"/>
          <w:szCs w:val="24"/>
        </w:rPr>
        <w:footnoteReference w:id="368"/>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 xml:space="preserve">Pickwick’s rebuke falls back on his sense of what constitutes good conduct, viewing Sam’s behaviour as unbecoming and a cause of embarrassment.  The issue of democracy appears secondary, only arising after Sam’s challenge concerning social equality as it exists in France.  Pickwick acknowledges it is a time of change but not how Sam would wish, his words revealing the limitations of Pickwickian paternalism.  Tupman’s teasing of Sam about not sitting at the table with his employers at Montreuil may be an amiable gesture but has little democratic substance.  So it is unsurprising that Pickwick would curtail his valet’s free speech, denying him the right to voice radical opinions.  This adds credibility to Sam’s perspective that separation offers greater freedom by allowing spheres of life in which he can thrive and suggests the purported egalitarianism offered to him is merely a sham.  The Fieschi meeting marks Sam entertaining a more forward looking radicalism and as a volatile representative of the industrious classes when wishing for democracy he does so in a comprehensive fashion that clashes with the constrained notions of the middle class.  At the same time, Pickwick’s words have a gravity that suggests his position is not one of conscious duplicity.  In line with Reynolds’s restricted position on the franchise at this time, the concessionary words for gradual advancement appear reasonable.  His conciliatory advice is given in the manner of an elderly mentor, and it is notable that there is no repeat of this </w:t>
      </w:r>
      <w:r w:rsidRPr="00D7340C">
        <w:rPr>
          <w:rFonts w:ascii="Times New Roman" w:hAnsi="Times New Roman" w:cs="Times New Roman"/>
          <w:sz w:val="24"/>
          <w:szCs w:val="24"/>
        </w:rPr>
        <w:lastRenderedPageBreak/>
        <w:t>‘democratic performance’.  Sam does, however, have the last word in the encounter when he deflects Pickwick’s annoyance by relating a tale about a landlord fooled into giving free board to a guest who in return offers what proves to be an empty promise.  Sam effectively continues his protest with an anecdote that simultaneously conceals and supports his previous argument.  When it is concluded, Pickwick admits to being confused:</w:t>
      </w:r>
    </w:p>
    <w:p w:rsidR="00C73A2E" w:rsidRPr="00D7340C" w:rsidRDefault="00C73A2E" w:rsidP="00C73A2E">
      <w:pPr>
        <w:spacing w:after="120" w:line="240" w:lineRule="auto"/>
        <w:ind w:left="720"/>
        <w:rPr>
          <w:rFonts w:ascii="Times New Roman" w:hAnsi="Times New Roman" w:cs="Times New Roman"/>
          <w:sz w:val="24"/>
          <w:szCs w:val="24"/>
        </w:rPr>
      </w:pPr>
      <w:r w:rsidRPr="00D7340C">
        <w:rPr>
          <w:rFonts w:ascii="Times New Roman" w:hAnsi="Times New Roman" w:cs="Times New Roman"/>
          <w:sz w:val="24"/>
          <w:szCs w:val="24"/>
        </w:rPr>
        <w:t xml:space="preserve">‘Very extraordinary, Sam,’ said Mr. Pickwick: ‘but it strikes me that the gentleman was nothing more than a swindler, and that </w:t>
      </w:r>
      <w:r w:rsidRPr="00D7340C">
        <w:rPr>
          <w:rFonts w:ascii="Times New Roman" w:hAnsi="Times New Roman" w:cs="Times New Roman"/>
          <w:i/>
          <w:sz w:val="24"/>
          <w:szCs w:val="24"/>
        </w:rPr>
        <w:t>that</w:t>
      </w:r>
      <w:r w:rsidRPr="00D7340C">
        <w:rPr>
          <w:rFonts w:ascii="Times New Roman" w:hAnsi="Times New Roman" w:cs="Times New Roman"/>
          <w:sz w:val="24"/>
          <w:szCs w:val="24"/>
        </w:rPr>
        <w:t xml:space="preserve"> was the reason he was never heard of again.’</w:t>
      </w:r>
    </w:p>
    <w:p w:rsidR="00C73A2E" w:rsidRPr="00D7340C" w:rsidRDefault="00C73A2E" w:rsidP="00C73A2E">
      <w:pPr>
        <w:spacing w:after="240" w:line="240" w:lineRule="auto"/>
        <w:ind w:left="720" w:firstLine="170"/>
        <w:rPr>
          <w:rFonts w:ascii="Times New Roman" w:hAnsi="Times New Roman" w:cs="Times New Roman"/>
          <w:sz w:val="24"/>
          <w:szCs w:val="24"/>
        </w:rPr>
      </w:pPr>
      <w:r w:rsidRPr="00D7340C">
        <w:rPr>
          <w:rFonts w:ascii="Times New Roman" w:hAnsi="Times New Roman" w:cs="Times New Roman"/>
          <w:sz w:val="24"/>
          <w:szCs w:val="24"/>
        </w:rPr>
        <w:t>‘Ah! I shouldn’t vonder, Sir, returned Mr. Weller, with a most mysterious shake of the head.’</w:t>
      </w:r>
      <w:r w:rsidRPr="00D7340C">
        <w:rPr>
          <w:rStyle w:val="FootnoteReference"/>
          <w:rFonts w:ascii="Times New Roman" w:hAnsi="Times New Roman"/>
          <w:sz w:val="24"/>
          <w:szCs w:val="24"/>
        </w:rPr>
        <w:footnoteReference w:id="369"/>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 xml:space="preserve">Pickwick’s puzzled remark unwittingly undermines his position.  By agreeing with the moral of the tale he acknowledges, symbolically at least, that the disenfranchised are being hoodwinked.  Sam with his ‘mysterious shake of the head’ is undoubtedly satisfied that he has once more gained a point at his master’s expense. </w:t>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 xml:space="preserve">In Sam Weller, Reynolds created an explosive combination of anti-authoritarian forms of protest, a view of the industrious classes that he largely replayed with Tom Gibbins, the loyal livery servant to Captain Pentonville in </w:t>
      </w:r>
      <w:r w:rsidRPr="00D7340C">
        <w:rPr>
          <w:rFonts w:ascii="Times New Roman" w:hAnsi="Times New Roman" w:cs="Times New Roman"/>
          <w:i/>
          <w:sz w:val="24"/>
          <w:szCs w:val="24"/>
        </w:rPr>
        <w:t>The Steam Packet</w:t>
      </w:r>
      <w:r w:rsidRPr="00D7340C">
        <w:rPr>
          <w:rFonts w:ascii="Times New Roman" w:hAnsi="Times New Roman" w:cs="Times New Roman"/>
          <w:sz w:val="24"/>
          <w:szCs w:val="24"/>
        </w:rPr>
        <w:t xml:space="preserve"> (1840).  Tom possesses less verbal skill than his predecessor and lacks openness to radical ideas, but their dissent has much in common.  On the negative side, he repeats Sam’s early Francophobia and chauvinistic defence of English life.</w:t>
      </w:r>
      <w:r w:rsidRPr="00D7340C">
        <w:rPr>
          <w:rStyle w:val="FootnoteReference"/>
          <w:rFonts w:ascii="Times New Roman" w:hAnsi="Times New Roman"/>
          <w:sz w:val="24"/>
          <w:szCs w:val="24"/>
        </w:rPr>
        <w:footnoteReference w:id="370"/>
      </w:r>
      <w:r w:rsidRPr="00D7340C">
        <w:rPr>
          <w:rFonts w:ascii="Times New Roman" w:hAnsi="Times New Roman" w:cs="Times New Roman"/>
          <w:sz w:val="24"/>
          <w:szCs w:val="24"/>
        </w:rPr>
        <w:t xml:space="preserve">  More positively, he objects to being drawn into dishonest practices, so that when Pentonville asks him to turn away a hatter who has come to collect a debt by lying that no-one is at home, he gives the following spirited reply:</w:t>
      </w:r>
    </w:p>
    <w:p w:rsidR="00C73A2E" w:rsidRPr="00D7340C" w:rsidRDefault="00C73A2E" w:rsidP="004C1CC5">
      <w:pPr>
        <w:spacing w:after="240" w:line="240" w:lineRule="auto"/>
        <w:ind w:left="720"/>
        <w:rPr>
          <w:rFonts w:ascii="Times New Roman" w:hAnsi="Times New Roman" w:cs="Times New Roman"/>
          <w:sz w:val="24"/>
          <w:szCs w:val="24"/>
        </w:rPr>
      </w:pPr>
      <w:r w:rsidRPr="00D7340C">
        <w:rPr>
          <w:rFonts w:ascii="Times New Roman" w:hAnsi="Times New Roman" w:cs="Times New Roman"/>
          <w:sz w:val="24"/>
          <w:szCs w:val="24"/>
        </w:rPr>
        <w:t>‘That’s rather too unsaytisfactory, sir,’ returned the young man, not offering to move.  ‘Think o’ summat that won’t look so much like gammon, if you can, sir.  My grandfather was choked vith bacon von day, and I’ve been afeard of it ever since.’</w:t>
      </w:r>
      <w:r w:rsidRPr="00D7340C">
        <w:rPr>
          <w:rStyle w:val="FootnoteReference"/>
          <w:rFonts w:ascii="Times New Roman" w:hAnsi="Times New Roman"/>
          <w:sz w:val="24"/>
          <w:szCs w:val="24"/>
        </w:rPr>
        <w:footnoteReference w:id="371"/>
      </w:r>
    </w:p>
    <w:p w:rsidR="00C73A2E" w:rsidRPr="00D7340C" w:rsidRDefault="00C73A2E" w:rsidP="00C73A2E">
      <w:pPr>
        <w:spacing w:after="120" w:line="360" w:lineRule="auto"/>
        <w:rPr>
          <w:rFonts w:ascii="Times New Roman" w:hAnsi="Times New Roman" w:cs="Times New Roman"/>
          <w:sz w:val="24"/>
          <w:szCs w:val="24"/>
        </w:rPr>
      </w:pPr>
      <w:r w:rsidRPr="00D7340C">
        <w:rPr>
          <w:rFonts w:ascii="Times New Roman" w:hAnsi="Times New Roman" w:cs="Times New Roman"/>
          <w:sz w:val="24"/>
          <w:szCs w:val="24"/>
        </w:rPr>
        <w:t xml:space="preserve">Tom’s rebuttal and attempt to assert his honesty echoes Sam’s working-class vernacular and anecdotal style.  However, under pressure from Pentonville he performs the deed suggesting </w:t>
      </w:r>
      <w:r w:rsidRPr="00D7340C">
        <w:rPr>
          <w:rFonts w:ascii="Times New Roman" w:hAnsi="Times New Roman" w:cs="Times New Roman"/>
          <w:sz w:val="24"/>
          <w:szCs w:val="24"/>
        </w:rPr>
        <w:lastRenderedPageBreak/>
        <w:t xml:space="preserve">he shares Sam’s lack of moral steadiness.  He is also determined not to be taken in by pretension, displayed </w:t>
      </w:r>
      <w:r w:rsidRPr="00D7340C">
        <w:rPr>
          <w:rFonts w:ascii="Times New Roman" w:hAnsi="Times New Roman" w:cs="Times New Roman"/>
          <w:iCs/>
          <w:sz w:val="24"/>
          <w:szCs w:val="24"/>
        </w:rPr>
        <w:t>at</w:t>
      </w:r>
      <w:r w:rsidRPr="00D7340C">
        <w:rPr>
          <w:rFonts w:ascii="Times New Roman" w:hAnsi="Times New Roman" w:cs="Times New Roman"/>
          <w:sz w:val="24"/>
          <w:szCs w:val="24"/>
        </w:rPr>
        <w:t xml:space="preserve"> the ‘museum’ of </w:t>
      </w:r>
      <w:r w:rsidRPr="00D073FF">
        <w:rPr>
          <w:rFonts w:ascii="Times New Roman" w:hAnsi="Times New Roman" w:cs="Times New Roman"/>
          <w:sz w:val="24"/>
          <w:szCs w:val="24"/>
        </w:rPr>
        <w:t>Terence Smiggs when told</w:t>
      </w:r>
      <w:r w:rsidRPr="00D7340C">
        <w:rPr>
          <w:rFonts w:ascii="Times New Roman" w:hAnsi="Times New Roman" w:cs="Times New Roman"/>
          <w:sz w:val="24"/>
          <w:szCs w:val="24"/>
        </w:rPr>
        <w:t xml:space="preserve"> he has broken a statue of Hercules from Pompeii that cost fifteen francs: ‘“Fifteen gammons!” bawled Mr. Gibbins; “vy, I could get jist as good a von in London at the Italian statty manufakturs for two bob and a bender.”’</w:t>
      </w:r>
      <w:r w:rsidRPr="00D7340C">
        <w:rPr>
          <w:rStyle w:val="FootnoteReference"/>
          <w:rFonts w:ascii="Times New Roman" w:hAnsi="Times New Roman"/>
          <w:sz w:val="24"/>
          <w:szCs w:val="24"/>
        </w:rPr>
        <w:footnoteReference w:id="372"/>
      </w:r>
      <w:r w:rsidRPr="00D7340C">
        <w:rPr>
          <w:rFonts w:ascii="Times New Roman" w:hAnsi="Times New Roman" w:cs="Times New Roman"/>
          <w:sz w:val="24"/>
          <w:szCs w:val="24"/>
        </w:rPr>
        <w:t xml:space="preserve">  Tom revels in working-class company as shown by the scene in the ‘White Hart Inn’ at Margate.  The ‘downstairs’ conversation is replete with sentimentality, good-humour and faux-romance in which Tom kisses the plump widow, Mrs Liggins, a joviality that would be considered vulgar and impermissible by their social </w:t>
      </w:r>
      <w:r w:rsidRPr="007D44FB">
        <w:rPr>
          <w:rFonts w:ascii="Times New Roman" w:hAnsi="Times New Roman" w:cs="Times New Roman"/>
          <w:sz w:val="24"/>
          <w:szCs w:val="24"/>
        </w:rPr>
        <w:t>superiors.  For</w:t>
      </w:r>
      <w:r w:rsidR="00B15DD0" w:rsidRPr="007D44FB">
        <w:rPr>
          <w:rFonts w:ascii="Times New Roman" w:hAnsi="Times New Roman" w:cs="Times New Roman"/>
          <w:sz w:val="24"/>
          <w:szCs w:val="24"/>
        </w:rPr>
        <w:t xml:space="preserve"> Gibbins</w:t>
      </w:r>
      <w:r w:rsidRPr="007D44FB">
        <w:rPr>
          <w:rFonts w:ascii="Times New Roman" w:hAnsi="Times New Roman" w:cs="Times New Roman"/>
          <w:sz w:val="24"/>
          <w:szCs w:val="24"/>
        </w:rPr>
        <w:t>, as with Weller, separation offers freedom.</w:t>
      </w:r>
      <w:r w:rsidRPr="007D44FB">
        <w:rPr>
          <w:rStyle w:val="FootnoteReference"/>
          <w:rFonts w:ascii="Times New Roman" w:hAnsi="Times New Roman"/>
          <w:sz w:val="24"/>
          <w:szCs w:val="24"/>
        </w:rPr>
        <w:footnoteReference w:id="373"/>
      </w:r>
    </w:p>
    <w:p w:rsidR="00C73A2E" w:rsidRPr="00D7340C" w:rsidRDefault="00C73A2E" w:rsidP="00C73A2E">
      <w:pPr>
        <w:spacing w:after="120" w:line="360" w:lineRule="auto"/>
        <w:ind w:firstLine="720"/>
        <w:rPr>
          <w:rFonts w:ascii="Times New Roman" w:hAnsi="Times New Roman" w:cs="Times New Roman"/>
          <w:sz w:val="24"/>
          <w:szCs w:val="24"/>
        </w:rPr>
      </w:pPr>
      <w:r w:rsidRPr="00D7340C">
        <w:rPr>
          <w:rFonts w:ascii="Times New Roman" w:hAnsi="Times New Roman" w:cs="Times New Roman"/>
          <w:sz w:val="24"/>
          <w:szCs w:val="24"/>
        </w:rPr>
        <w:t>Doreen Massey comments that in the lived world there is ‘a simultaneous multiplicity of spaces: cross-cutting, intersecting, aligning with one another, or existing in relations of paradox or antagonism.’</w:t>
      </w:r>
      <w:r w:rsidRPr="00D7340C">
        <w:rPr>
          <w:rStyle w:val="FootnoteReference"/>
          <w:rFonts w:ascii="Times New Roman" w:hAnsi="Times New Roman"/>
          <w:sz w:val="24"/>
          <w:szCs w:val="24"/>
        </w:rPr>
        <w:footnoteReference w:id="374"/>
      </w:r>
      <w:r w:rsidRPr="00D7340C">
        <w:rPr>
          <w:rFonts w:ascii="Times New Roman" w:hAnsi="Times New Roman" w:cs="Times New Roman"/>
          <w:sz w:val="24"/>
          <w:szCs w:val="24"/>
        </w:rPr>
        <w:t xml:space="preserve">  Sam enjoys considerable success amid such ‘multiplicity’.  His protest allows for the co-existence of a plurality of value systems, skilfully manoeuvring between middle and working-class conversation, so that in promoting his own culture he does not deny others from following theirs.  He reflects Reynolds’s view of the industrious classes, at the time of writing the novel, as a hardworking, exploited section of society, one that was progressing intellectually but liable to volatility.  Sam’s acceptance of traditional structures makes his </w:t>
      </w:r>
      <w:r w:rsidRPr="00D7340C">
        <w:rPr>
          <w:rFonts w:ascii="Times New Roman" w:hAnsi="Times New Roman" w:cs="Times New Roman"/>
          <w:bCs/>
          <w:sz w:val="24"/>
          <w:szCs w:val="24"/>
        </w:rPr>
        <w:t xml:space="preserve">outlook fundamentally conservative but not deferential, with the ability to undermine </w:t>
      </w:r>
      <w:r w:rsidRPr="00D7340C">
        <w:rPr>
          <w:rFonts w:ascii="Times New Roman" w:hAnsi="Times New Roman" w:cs="Times New Roman"/>
          <w:sz w:val="24"/>
          <w:szCs w:val="24"/>
        </w:rPr>
        <w:t xml:space="preserve">the follies and pretension of his superiors being one of its main strengths.  He </w:t>
      </w:r>
      <w:r w:rsidRPr="00D7340C">
        <w:rPr>
          <w:rFonts w:ascii="Times New Roman" w:hAnsi="Times New Roman" w:cs="Times New Roman"/>
          <w:bCs/>
          <w:sz w:val="24"/>
          <w:szCs w:val="24"/>
        </w:rPr>
        <w:t>highlights the injustices endured by the honest poor, but inhibits any call for social equality, seen in the disownment of what he regards as the idle and criminal classes, since it is central to his outlook that he establishes respectability through honest labour.  Sam’s individualism constantly strives to create space for freedom of expression in a manner that is at odds with this conservatism so that it appears he</w:t>
      </w:r>
      <w:r w:rsidRPr="00D7340C">
        <w:rPr>
          <w:rFonts w:ascii="Times New Roman" w:hAnsi="Times New Roman" w:cs="Times New Roman"/>
          <w:sz w:val="24"/>
          <w:szCs w:val="24"/>
        </w:rPr>
        <w:t xml:space="preserve"> simultaneously does and does not ‘know his place’ in the social structure.  During his French travels in the environment that followed the July Days, </w:t>
      </w:r>
      <w:r w:rsidRPr="004C1CC5">
        <w:rPr>
          <w:rFonts w:ascii="Times New Roman" w:hAnsi="Times New Roman" w:cs="Times New Roman"/>
          <w:sz w:val="24"/>
          <w:szCs w:val="24"/>
        </w:rPr>
        <w:t>aspirations for democracy expand his perspectives with alternative ideas that challenge the s</w:t>
      </w:r>
      <w:r w:rsidR="004046AE" w:rsidRPr="004C1CC5">
        <w:rPr>
          <w:rFonts w:ascii="Times New Roman" w:hAnsi="Times New Roman" w:cs="Times New Roman"/>
          <w:sz w:val="24"/>
          <w:szCs w:val="24"/>
        </w:rPr>
        <w:t>tatus quo</w:t>
      </w:r>
      <w:r w:rsidRPr="004C1CC5">
        <w:rPr>
          <w:rFonts w:ascii="Times New Roman" w:hAnsi="Times New Roman" w:cs="Times New Roman"/>
          <w:sz w:val="24"/>
          <w:szCs w:val="24"/>
        </w:rPr>
        <w:t>.  However</w:t>
      </w:r>
      <w:r w:rsidRPr="00D7340C">
        <w:rPr>
          <w:rFonts w:ascii="Times New Roman" w:hAnsi="Times New Roman" w:cs="Times New Roman"/>
          <w:sz w:val="24"/>
          <w:szCs w:val="24"/>
        </w:rPr>
        <w:t>, he never drops his sense of the different methods adopted by the two nations as he explains to his father, Tony:</w:t>
      </w:r>
    </w:p>
    <w:p w:rsidR="00C73A2E" w:rsidRPr="00D7340C" w:rsidRDefault="00C73A2E" w:rsidP="004C1CC5">
      <w:pPr>
        <w:spacing w:after="240" w:line="240" w:lineRule="auto"/>
        <w:ind w:left="720"/>
        <w:rPr>
          <w:rFonts w:ascii="Times New Roman" w:hAnsi="Times New Roman" w:cs="Times New Roman"/>
          <w:sz w:val="24"/>
          <w:szCs w:val="24"/>
        </w:rPr>
      </w:pPr>
      <w:r w:rsidRPr="00D7340C">
        <w:rPr>
          <w:rFonts w:ascii="Times New Roman" w:hAnsi="Times New Roman" w:cs="Times New Roman"/>
          <w:sz w:val="24"/>
          <w:szCs w:val="24"/>
        </w:rPr>
        <w:t xml:space="preserve">‘Cos ven there’s a revylootion in this here country,’ replied Mr. Weller, junior, ‘the people as hasn’t got no guns or bagginets, fights vith pavin’-stones; and as them kinds o’ popylar ebullitions is of wery frequent ok-kurrence in these parts, the pavin’-stones </w:t>
      </w:r>
      <w:r w:rsidRPr="00D7340C">
        <w:rPr>
          <w:rFonts w:ascii="Times New Roman" w:hAnsi="Times New Roman" w:cs="Times New Roman"/>
          <w:sz w:val="24"/>
          <w:szCs w:val="24"/>
        </w:rPr>
        <w:lastRenderedPageBreak/>
        <w:t>isn’t laid down exceedin’ tight, cos they doesn’t know how soon they may be rekvired.’</w:t>
      </w:r>
      <w:r w:rsidRPr="00D7340C">
        <w:rPr>
          <w:rStyle w:val="FootnoteReference"/>
          <w:rFonts w:ascii="Times New Roman" w:hAnsi="Times New Roman"/>
          <w:sz w:val="24"/>
          <w:szCs w:val="24"/>
        </w:rPr>
        <w:footnoteReference w:id="375"/>
      </w:r>
    </w:p>
    <w:p w:rsidR="00C73A2E" w:rsidRPr="007526DC" w:rsidRDefault="00C73A2E" w:rsidP="00C73A2E">
      <w:pPr>
        <w:spacing w:after="120" w:line="360" w:lineRule="auto"/>
        <w:rPr>
          <w:rFonts w:ascii="Times New Roman" w:hAnsi="Times New Roman" w:cs="Times New Roman"/>
          <w:bCs/>
          <w:sz w:val="24"/>
          <w:szCs w:val="24"/>
        </w:rPr>
      </w:pPr>
      <w:r w:rsidRPr="00D7340C">
        <w:rPr>
          <w:rFonts w:ascii="Times New Roman" w:hAnsi="Times New Roman" w:cs="Times New Roman"/>
          <w:bCs/>
          <w:sz w:val="24"/>
          <w:szCs w:val="24"/>
        </w:rPr>
        <w:t xml:space="preserve">Sam does not voice antagonism towards violent protest but regards it as unsuited to the situation in England.  The reference to paving stones points to the parlous state of contemporary France and implicitly suggests the relative caution of the English industrious classes.  </w:t>
      </w:r>
      <w:r w:rsidRPr="00D7340C">
        <w:rPr>
          <w:rFonts w:ascii="Times New Roman" w:hAnsi="Times New Roman" w:cs="Times New Roman"/>
          <w:sz w:val="24"/>
          <w:szCs w:val="24"/>
        </w:rPr>
        <w:t xml:space="preserve">Nevertheless, Reynolds still questions this rebellious individualism.  </w:t>
      </w:r>
      <w:r w:rsidRPr="00D7340C">
        <w:rPr>
          <w:rFonts w:ascii="Times New Roman" w:hAnsi="Times New Roman" w:cs="Times New Roman"/>
          <w:bCs/>
          <w:sz w:val="24"/>
          <w:szCs w:val="24"/>
        </w:rPr>
        <w:t xml:space="preserve">When Sam becomes enthusiastic for </w:t>
      </w:r>
      <w:r w:rsidRPr="004C1CC5">
        <w:rPr>
          <w:rFonts w:ascii="Times New Roman" w:hAnsi="Times New Roman" w:cs="Times New Roman"/>
          <w:bCs/>
          <w:sz w:val="24"/>
          <w:szCs w:val="24"/>
        </w:rPr>
        <w:t>democracy, it is in a manner that Reynolds would have regarded as precipitate, given the anti-Chartist nature o</w:t>
      </w:r>
      <w:r w:rsidR="004046AE" w:rsidRPr="004C1CC5">
        <w:rPr>
          <w:rFonts w:ascii="Times New Roman" w:hAnsi="Times New Roman" w:cs="Times New Roman"/>
          <w:bCs/>
          <w:sz w:val="24"/>
          <w:szCs w:val="24"/>
        </w:rPr>
        <w:t>f</w:t>
      </w:r>
      <w:r w:rsidRPr="004C1CC5">
        <w:rPr>
          <w:rFonts w:ascii="Times New Roman" w:hAnsi="Times New Roman" w:cs="Times New Roman"/>
          <w:bCs/>
          <w:sz w:val="24"/>
          <w:szCs w:val="24"/>
        </w:rPr>
        <w:t xml:space="preserve"> articles that</w:t>
      </w:r>
      <w:r w:rsidRPr="00D7340C">
        <w:rPr>
          <w:rFonts w:ascii="Times New Roman" w:hAnsi="Times New Roman" w:cs="Times New Roman"/>
          <w:bCs/>
          <w:sz w:val="24"/>
          <w:szCs w:val="24"/>
        </w:rPr>
        <w:t xml:space="preserve"> appeared in </w:t>
      </w:r>
      <w:r w:rsidRPr="00D7340C">
        <w:rPr>
          <w:rFonts w:ascii="Times New Roman" w:hAnsi="Times New Roman" w:cs="Times New Roman"/>
          <w:bCs/>
          <w:i/>
          <w:sz w:val="24"/>
          <w:szCs w:val="24"/>
        </w:rPr>
        <w:t>The Teetotaler</w:t>
      </w:r>
      <w:r w:rsidRPr="00D7340C">
        <w:rPr>
          <w:rFonts w:ascii="Times New Roman" w:hAnsi="Times New Roman" w:cs="Times New Roman"/>
          <w:bCs/>
          <w:sz w:val="24"/>
          <w:szCs w:val="24"/>
        </w:rPr>
        <w:t xml:space="preserve"> the following year.  Furthermore, French radicalism seems to exist alongside Sam’s conservatism rather than displace it, marked by the persistence of his earlier behaviour.  Only rarely does he suggest Reynolds’s anti-monarchism and late in the novel he happily saunters through the streets singing patriotic songs.</w:t>
      </w:r>
      <w:r w:rsidRPr="00D7340C">
        <w:rPr>
          <w:rStyle w:val="FootnoteReference"/>
          <w:rFonts w:ascii="Times New Roman" w:hAnsi="Times New Roman"/>
          <w:bCs/>
          <w:sz w:val="24"/>
          <w:szCs w:val="24"/>
        </w:rPr>
        <w:footnoteReference w:id="376"/>
      </w:r>
      <w:r w:rsidRPr="00D7340C">
        <w:rPr>
          <w:rFonts w:ascii="Times New Roman" w:hAnsi="Times New Roman" w:cs="Times New Roman"/>
          <w:bCs/>
          <w:sz w:val="24"/>
          <w:szCs w:val="24"/>
        </w:rPr>
        <w:t xml:space="preserve">  </w:t>
      </w:r>
      <w:r w:rsidRPr="00D7340C">
        <w:rPr>
          <w:rFonts w:ascii="Times New Roman" w:hAnsi="Times New Roman" w:cs="Times New Roman"/>
          <w:sz w:val="24"/>
          <w:szCs w:val="24"/>
        </w:rPr>
        <w:t xml:space="preserve">Sam’s volatility sees him consort with undesirables, drink heavily and even descend into criminality.  At times, his use of violence echoes what Reynolds would have seen as the psychology of contemporary Tory Radicalism.  Ultimately, the varied palette of attitudes and behaviours that Sam represents is not what Reynolds wants from the industrious classes.  Rather he employs it later </w:t>
      </w:r>
      <w:r w:rsidRPr="007D44FB">
        <w:rPr>
          <w:rFonts w:ascii="Times New Roman" w:hAnsi="Times New Roman" w:cs="Times New Roman"/>
          <w:sz w:val="24"/>
          <w:szCs w:val="24"/>
        </w:rPr>
        <w:t xml:space="preserve">to suggest </w:t>
      </w:r>
      <w:r w:rsidR="00B15DD0" w:rsidRPr="007D44FB">
        <w:rPr>
          <w:rFonts w:ascii="Times New Roman" w:hAnsi="Times New Roman" w:cs="Times New Roman"/>
          <w:sz w:val="24"/>
          <w:szCs w:val="24"/>
        </w:rPr>
        <w:t>both</w:t>
      </w:r>
      <w:r w:rsidRPr="007D44FB">
        <w:rPr>
          <w:rFonts w:ascii="Times New Roman" w:hAnsi="Times New Roman" w:cs="Times New Roman"/>
          <w:sz w:val="24"/>
          <w:szCs w:val="24"/>
        </w:rPr>
        <w:t xml:space="preserve"> strengths and weaknesses of their broader protest, with the </w:t>
      </w:r>
      <w:r w:rsidR="00B15DD0" w:rsidRPr="007D44FB">
        <w:rPr>
          <w:rFonts w:ascii="Times New Roman" w:hAnsi="Times New Roman" w:cs="Times New Roman"/>
          <w:sz w:val="24"/>
          <w:szCs w:val="24"/>
        </w:rPr>
        <w:t>many</w:t>
      </w:r>
      <w:r w:rsidRPr="007D44FB">
        <w:rPr>
          <w:rFonts w:ascii="Times New Roman" w:hAnsi="Times New Roman" w:cs="Times New Roman"/>
          <w:sz w:val="24"/>
          <w:szCs w:val="24"/>
        </w:rPr>
        <w:t xml:space="preserve"> disreputable</w:t>
      </w:r>
      <w:r w:rsidRPr="00D7340C">
        <w:rPr>
          <w:rFonts w:ascii="Times New Roman" w:hAnsi="Times New Roman" w:cs="Times New Roman"/>
          <w:sz w:val="24"/>
          <w:szCs w:val="24"/>
        </w:rPr>
        <w:t xml:space="preserve">, dangerous and respectable attributes that </w:t>
      </w:r>
      <w:r w:rsidRPr="00D7340C">
        <w:rPr>
          <w:rFonts w:ascii="Times New Roman" w:hAnsi="Times New Roman" w:cs="Times New Roman"/>
          <w:bCs/>
          <w:sz w:val="24"/>
          <w:szCs w:val="24"/>
        </w:rPr>
        <w:t xml:space="preserve">Sam displays increasingly </w:t>
      </w:r>
      <w:r w:rsidRPr="00B15DD0">
        <w:rPr>
          <w:rFonts w:ascii="Times New Roman" w:hAnsi="Times New Roman" w:cs="Times New Roman"/>
          <w:bCs/>
          <w:sz w:val="24"/>
          <w:szCs w:val="24"/>
        </w:rPr>
        <w:t>divided</w:t>
      </w:r>
      <w:r w:rsidR="004C1CC5" w:rsidRPr="00B15DD0">
        <w:rPr>
          <w:rFonts w:ascii="Times New Roman" w:hAnsi="Times New Roman" w:cs="Times New Roman"/>
          <w:bCs/>
          <w:sz w:val="24"/>
          <w:szCs w:val="24"/>
        </w:rPr>
        <w:t xml:space="preserve"> across a wide array</w:t>
      </w:r>
      <w:r w:rsidR="004C1CC5">
        <w:rPr>
          <w:rFonts w:ascii="Times New Roman" w:hAnsi="Times New Roman" w:cs="Times New Roman"/>
          <w:bCs/>
          <w:sz w:val="24"/>
          <w:szCs w:val="24"/>
        </w:rPr>
        <w:t xml:space="preserve"> of</w:t>
      </w:r>
      <w:r w:rsidRPr="00D7340C">
        <w:rPr>
          <w:rFonts w:ascii="Times New Roman" w:hAnsi="Times New Roman" w:cs="Times New Roman"/>
          <w:bCs/>
          <w:sz w:val="24"/>
          <w:szCs w:val="24"/>
        </w:rPr>
        <w:t xml:space="preserve"> figures.  The following chapters will analyse how this occurs and which aspects of protest Reynolds with his changing views would privilege most.</w:t>
      </w:r>
    </w:p>
    <w:p w:rsidR="00C73A2E" w:rsidRPr="007526DC" w:rsidRDefault="00C73A2E" w:rsidP="00C73A2E">
      <w:pPr>
        <w:spacing w:after="160" w:line="259" w:lineRule="auto"/>
        <w:rPr>
          <w:rFonts w:ascii="Times New Roman" w:hAnsi="Times New Roman" w:cs="Times New Roman"/>
          <w:bCs/>
          <w:sz w:val="24"/>
          <w:szCs w:val="24"/>
        </w:rPr>
      </w:pPr>
    </w:p>
    <w:p w:rsidR="00690DF3" w:rsidRDefault="00690DF3" w:rsidP="00690DF3">
      <w:pPr>
        <w:rPr>
          <w:rFonts w:asciiTheme="majorBidi" w:hAnsiTheme="majorBidi" w:cstheme="majorBidi"/>
          <w:bCs/>
          <w:sz w:val="24"/>
          <w:szCs w:val="24"/>
        </w:rPr>
      </w:pPr>
      <w:r>
        <w:rPr>
          <w:rFonts w:asciiTheme="majorBidi" w:hAnsiTheme="majorBidi" w:cstheme="majorBidi"/>
          <w:bCs/>
          <w:sz w:val="24"/>
          <w:szCs w:val="24"/>
        </w:rPr>
        <w:br w:type="page"/>
      </w:r>
    </w:p>
    <w:p w:rsidR="00690DF3" w:rsidRDefault="00690DF3" w:rsidP="00690DF3">
      <w:pPr>
        <w:spacing w:after="120" w:line="480" w:lineRule="auto"/>
        <w:jc w:val="center"/>
        <w:rPr>
          <w:rFonts w:asciiTheme="majorBidi" w:hAnsiTheme="majorBidi" w:cstheme="majorBidi"/>
          <w:b/>
          <w:bCs/>
          <w:sz w:val="24"/>
          <w:szCs w:val="24"/>
          <w:u w:val="single"/>
        </w:rPr>
      </w:pPr>
    </w:p>
    <w:p w:rsidR="00690DF3" w:rsidRDefault="00690DF3" w:rsidP="00690DF3">
      <w:pPr>
        <w:spacing w:after="120" w:line="480" w:lineRule="auto"/>
        <w:jc w:val="center"/>
        <w:rPr>
          <w:rFonts w:asciiTheme="majorBidi" w:hAnsiTheme="majorBidi" w:cstheme="majorBidi"/>
          <w:b/>
          <w:bCs/>
          <w:sz w:val="24"/>
          <w:szCs w:val="24"/>
          <w:u w:val="single"/>
        </w:rPr>
        <w:sectPr w:rsidR="00690DF3">
          <w:footnotePr>
            <w:numRestart w:val="eachSect"/>
          </w:footnotePr>
          <w:pgSz w:w="11906" w:h="16838"/>
          <w:pgMar w:top="1440" w:right="1440" w:bottom="1440" w:left="1440" w:header="708" w:footer="708" w:gutter="0"/>
          <w:cols w:space="708"/>
          <w:docGrid w:linePitch="360"/>
        </w:sectPr>
      </w:pPr>
    </w:p>
    <w:p w:rsidR="00C76704" w:rsidRPr="00CD6967" w:rsidRDefault="00C76704" w:rsidP="00C76704">
      <w:pPr>
        <w:spacing w:after="240" w:line="360" w:lineRule="auto"/>
        <w:jc w:val="center"/>
        <w:rPr>
          <w:rFonts w:ascii="Times New Roman" w:hAnsi="Times New Roman" w:cs="Times New Roman"/>
          <w:b/>
          <w:bCs/>
          <w:sz w:val="24"/>
          <w:szCs w:val="24"/>
          <w:u w:val="single"/>
        </w:rPr>
      </w:pPr>
      <w:r w:rsidRPr="00CD6967">
        <w:rPr>
          <w:rFonts w:ascii="Times New Roman" w:hAnsi="Times New Roman" w:cs="Times New Roman"/>
          <w:b/>
          <w:bCs/>
          <w:sz w:val="24"/>
          <w:szCs w:val="24"/>
          <w:u w:val="single"/>
        </w:rPr>
        <w:lastRenderedPageBreak/>
        <w:t>Chapter 3:</w:t>
      </w:r>
      <w:r w:rsidRPr="00CD6967">
        <w:rPr>
          <w:rFonts w:ascii="Times New Roman" w:hAnsi="Times New Roman" w:cs="Times New Roman"/>
          <w:b/>
          <w:bCs/>
          <w:sz w:val="24"/>
          <w:szCs w:val="24"/>
          <w:u w:val="single"/>
        </w:rPr>
        <w:tab/>
        <w:t>The Industrious Classes and Disreputable Protest: Status Concerns, Delusions and Overt Postures</w:t>
      </w:r>
    </w:p>
    <w:p w:rsidR="00C76704" w:rsidRPr="00010EC3"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The previous chapter described the dissent displayed by the figure of Sam Weller.  While including questionable elements, Sam’s generous outlook on life usually lent a beneficial and constructive aspect to his adversarial behaviour.  As suggested in the Introduction, however, Reynolds’s aim to depict the opposition of the industrious classes also meant recognizing its negative characteristics, many of which were grouped under the term ‘disreputable protest’.  Only by doing so could he claim to be educating his readership regarding the conduct of their struggle against injustice.  In approaching this section of his portrayal, the expressions ‘status concerns’ ‘delusions’ and ‘overt postures’ have been employed, which together point at activities involving self-interest, fantasizing and boastfulness.  For Reynolds, these </w:t>
      </w:r>
      <w:r w:rsidRPr="00010EC3">
        <w:rPr>
          <w:rFonts w:ascii="Times New Roman" w:hAnsi="Times New Roman" w:cs="Times New Roman"/>
          <w:sz w:val="24"/>
          <w:szCs w:val="24"/>
        </w:rPr>
        <w:t>may be the result of difficult conditions people experienced but they were equally likely to emanate from individuals whose personal qualities were inferior to those of the good-natured Weller.  This chapter will analyse the ways in which such protest conflicted with Reynolds’s perspective of what constituted valid dissent, highlighting its deleterious effects and how it diverted the industrious classes from the path of true reform into avenues that reinforced the social and economic structures that exploited them.</w:t>
      </w:r>
    </w:p>
    <w:p w:rsidR="00C76704" w:rsidRPr="00010EC3" w:rsidRDefault="00C76704" w:rsidP="00C76704">
      <w:pPr>
        <w:spacing w:after="120" w:line="360" w:lineRule="auto"/>
        <w:ind w:firstLine="720"/>
        <w:rPr>
          <w:rFonts w:ascii="Times New Roman" w:hAnsi="Times New Roman" w:cs="Times New Roman"/>
          <w:sz w:val="24"/>
          <w:szCs w:val="24"/>
        </w:rPr>
      </w:pPr>
      <w:r w:rsidRPr="00010EC3">
        <w:rPr>
          <w:rFonts w:ascii="Times New Roman" w:hAnsi="Times New Roman" w:cs="Times New Roman"/>
          <w:sz w:val="24"/>
          <w:szCs w:val="24"/>
        </w:rPr>
        <w:t xml:space="preserve">When considering the role played by moral, psychological and intellectual weakness in disreputable protest, a </w:t>
      </w:r>
      <w:r w:rsidR="00350AB9" w:rsidRPr="00010EC3">
        <w:rPr>
          <w:rFonts w:ascii="Times New Roman" w:hAnsi="Times New Roman" w:cs="Times New Roman"/>
          <w:sz w:val="24"/>
          <w:szCs w:val="24"/>
        </w:rPr>
        <w:t>valuable</w:t>
      </w:r>
      <w:r w:rsidRPr="00010EC3">
        <w:rPr>
          <w:rFonts w:ascii="Times New Roman" w:hAnsi="Times New Roman" w:cs="Times New Roman"/>
          <w:sz w:val="24"/>
          <w:szCs w:val="24"/>
        </w:rPr>
        <w:t xml:space="preserve"> starting point is provided by Reynolds’s use of comic characters.  These often encapsulate key features of such dissent, albeit in a manner that sees the gravity of the issue diminished by their haplessness in facing problems of daily life, something especially prevalent in </w:t>
      </w:r>
      <w:r w:rsidRPr="00010EC3">
        <w:rPr>
          <w:rFonts w:ascii="Times New Roman" w:hAnsi="Times New Roman" w:cs="Times New Roman"/>
          <w:i/>
          <w:sz w:val="24"/>
          <w:szCs w:val="24"/>
        </w:rPr>
        <w:t>Pickwick Abroad</w:t>
      </w:r>
      <w:r w:rsidRPr="00010EC3">
        <w:rPr>
          <w:rFonts w:ascii="Times New Roman" w:hAnsi="Times New Roman" w:cs="Times New Roman"/>
          <w:sz w:val="24"/>
          <w:szCs w:val="24"/>
        </w:rPr>
        <w:t xml:space="preserve"> (1838–39).  Septimus Chitty’s servant girl, Betsy, endures drudgery and hunger, something that clouds her vision so completely that she immediately complains of it to an astonished Pickwick who has just arrived at the door.</w:t>
      </w:r>
      <w:r w:rsidR="00350AB9" w:rsidRPr="00010EC3">
        <w:rPr>
          <w:rFonts w:ascii="Times New Roman" w:hAnsi="Times New Roman" w:cs="Times New Roman"/>
          <w:sz w:val="24"/>
          <w:szCs w:val="24"/>
        </w:rPr>
        <w:t xml:space="preserve"> </w:t>
      </w:r>
      <w:r w:rsidRPr="00010EC3">
        <w:rPr>
          <w:rFonts w:ascii="Times New Roman" w:hAnsi="Times New Roman" w:cs="Times New Roman"/>
          <w:sz w:val="24"/>
          <w:szCs w:val="24"/>
        </w:rPr>
        <w:t xml:space="preserve"> </w:t>
      </w:r>
      <w:r w:rsidR="00350AB9" w:rsidRPr="00010EC3">
        <w:rPr>
          <w:rFonts w:ascii="Times New Roman" w:hAnsi="Times New Roman" w:cs="Times New Roman"/>
          <w:sz w:val="24"/>
          <w:szCs w:val="24"/>
        </w:rPr>
        <w:t>F</w:t>
      </w:r>
      <w:r w:rsidRPr="00010EC3">
        <w:rPr>
          <w:rFonts w:ascii="Times New Roman" w:hAnsi="Times New Roman" w:cs="Times New Roman"/>
          <w:sz w:val="24"/>
          <w:szCs w:val="24"/>
        </w:rPr>
        <w:t xml:space="preserve">rustration </w:t>
      </w:r>
      <w:r w:rsidR="00BE74DC" w:rsidRPr="00010EC3">
        <w:rPr>
          <w:rFonts w:ascii="Times New Roman" w:hAnsi="Times New Roman" w:cs="Times New Roman"/>
          <w:sz w:val="24"/>
          <w:szCs w:val="24"/>
        </w:rPr>
        <w:t xml:space="preserve">finds </w:t>
      </w:r>
      <w:r w:rsidR="00BE74DC" w:rsidRPr="00D94D51">
        <w:rPr>
          <w:rFonts w:ascii="Times New Roman" w:hAnsi="Times New Roman" w:cs="Times New Roman"/>
          <w:sz w:val="24"/>
          <w:szCs w:val="24"/>
        </w:rPr>
        <w:t>an outlet in</w:t>
      </w:r>
      <w:r w:rsidRPr="00D94D51">
        <w:rPr>
          <w:rFonts w:ascii="Times New Roman" w:hAnsi="Times New Roman" w:cs="Times New Roman"/>
          <w:sz w:val="24"/>
          <w:szCs w:val="24"/>
        </w:rPr>
        <w:t xml:space="preserve"> suspicions about</w:t>
      </w:r>
      <w:r w:rsidRPr="00010EC3">
        <w:rPr>
          <w:rFonts w:ascii="Times New Roman" w:hAnsi="Times New Roman" w:cs="Times New Roman"/>
          <w:sz w:val="24"/>
          <w:szCs w:val="24"/>
        </w:rPr>
        <w:t xml:space="preserve"> her master’s high-flown language.  Poetry is seen as offering Chitty an escape from suffering by granting him entrance into a mystical world of ‘hambrosia and nectur’, one that that she seeks vainly in the cookery book.  Her inevitable failure makes it all ‘wanity and wexation o’ sperit’ that adds to her woes.  Consequently, she rejects Pickwick’s concerns about Chitty’s poor diet because ‘he can live </w:t>
      </w:r>
      <w:r w:rsidRPr="00010EC3">
        <w:rPr>
          <w:rFonts w:ascii="Times New Roman" w:hAnsi="Times New Roman" w:cs="Times New Roman"/>
          <w:sz w:val="24"/>
          <w:szCs w:val="24"/>
        </w:rPr>
        <w:lastRenderedPageBreak/>
        <w:t>by hinspiration […] but I must starve’.</w:t>
      </w:r>
      <w:r w:rsidRPr="00010EC3">
        <w:rPr>
          <w:rStyle w:val="FootnoteReference"/>
          <w:rFonts w:ascii="Times New Roman" w:hAnsi="Times New Roman" w:cs="Times New Roman"/>
          <w:sz w:val="24"/>
          <w:szCs w:val="24"/>
        </w:rPr>
        <w:footnoteReference w:id="377"/>
      </w:r>
      <w:r w:rsidRPr="00010EC3">
        <w:rPr>
          <w:rFonts w:ascii="Times New Roman" w:hAnsi="Times New Roman" w:cs="Times New Roman"/>
          <w:sz w:val="24"/>
          <w:szCs w:val="24"/>
        </w:rPr>
        <w:t xml:space="preserve">  </w:t>
      </w:r>
      <w:r w:rsidR="00350AB9" w:rsidRPr="00010EC3">
        <w:rPr>
          <w:rFonts w:ascii="Times New Roman" w:hAnsi="Times New Roman" w:cs="Times New Roman"/>
          <w:sz w:val="24"/>
          <w:szCs w:val="24"/>
        </w:rPr>
        <w:t>In contrast</w:t>
      </w:r>
      <w:r w:rsidRPr="00010EC3">
        <w:rPr>
          <w:rFonts w:ascii="Times New Roman" w:hAnsi="Times New Roman" w:cs="Times New Roman"/>
          <w:sz w:val="24"/>
          <w:szCs w:val="24"/>
        </w:rPr>
        <w:t>, she is aware that poetry</w:t>
      </w:r>
      <w:r w:rsidR="00350AB9" w:rsidRPr="00010EC3">
        <w:rPr>
          <w:rFonts w:ascii="Times New Roman" w:hAnsi="Times New Roman" w:cs="Times New Roman"/>
          <w:sz w:val="24"/>
          <w:szCs w:val="24"/>
        </w:rPr>
        <w:t xml:space="preserve"> for her</w:t>
      </w:r>
      <w:r w:rsidRPr="00010EC3">
        <w:rPr>
          <w:rFonts w:ascii="Times New Roman" w:hAnsi="Times New Roman" w:cs="Times New Roman"/>
          <w:sz w:val="24"/>
          <w:szCs w:val="24"/>
        </w:rPr>
        <w:t xml:space="preserve"> offers no relief </w:t>
      </w:r>
      <w:r w:rsidR="006233C7" w:rsidRPr="00010EC3">
        <w:rPr>
          <w:rFonts w:ascii="Times New Roman" w:hAnsi="Times New Roman" w:cs="Times New Roman"/>
          <w:sz w:val="24"/>
          <w:szCs w:val="24"/>
        </w:rPr>
        <w:t>with</w:t>
      </w:r>
      <w:r w:rsidRPr="00010EC3">
        <w:rPr>
          <w:rFonts w:ascii="Times New Roman" w:hAnsi="Times New Roman" w:cs="Times New Roman"/>
          <w:sz w:val="24"/>
          <w:szCs w:val="24"/>
        </w:rPr>
        <w:t xml:space="preserve"> language effectively becom</w:t>
      </w:r>
      <w:r w:rsidR="006233C7" w:rsidRPr="00010EC3">
        <w:rPr>
          <w:rFonts w:ascii="Times New Roman" w:hAnsi="Times New Roman" w:cs="Times New Roman"/>
          <w:sz w:val="24"/>
          <w:szCs w:val="24"/>
        </w:rPr>
        <w:t>ing</w:t>
      </w:r>
      <w:r w:rsidRPr="00010EC3">
        <w:rPr>
          <w:rFonts w:ascii="Times New Roman" w:hAnsi="Times New Roman" w:cs="Times New Roman"/>
          <w:sz w:val="24"/>
          <w:szCs w:val="24"/>
        </w:rPr>
        <w:t xml:space="preserve"> another form of subjugation:</w:t>
      </w:r>
    </w:p>
    <w:p w:rsidR="00C76704" w:rsidRPr="00010EC3" w:rsidRDefault="00C76704" w:rsidP="00C76704">
      <w:pPr>
        <w:spacing w:after="240" w:line="240" w:lineRule="auto"/>
        <w:ind w:left="720"/>
        <w:rPr>
          <w:rFonts w:ascii="Times New Roman" w:hAnsi="Times New Roman" w:cs="Times New Roman"/>
          <w:sz w:val="24"/>
          <w:szCs w:val="24"/>
        </w:rPr>
      </w:pPr>
      <w:r w:rsidRPr="00010EC3">
        <w:rPr>
          <w:rFonts w:ascii="Times New Roman" w:hAnsi="Times New Roman" w:cs="Times New Roman"/>
          <w:sz w:val="24"/>
          <w:szCs w:val="24"/>
        </w:rPr>
        <w:t xml:space="preserve">Sometimes he talks about the nightingale a-tunin’ her pipe; and then he says, says he, ‘Betsy, my dear—what’s a rhyme for </w:t>
      </w:r>
      <w:r w:rsidRPr="00010EC3">
        <w:rPr>
          <w:rFonts w:ascii="Times New Roman" w:hAnsi="Times New Roman" w:cs="Times New Roman"/>
          <w:i/>
          <w:iCs/>
          <w:sz w:val="24"/>
          <w:szCs w:val="24"/>
        </w:rPr>
        <w:t>pipe?</w:t>
      </w:r>
      <w:r w:rsidRPr="00010EC3">
        <w:rPr>
          <w:rFonts w:ascii="Times New Roman" w:hAnsi="Times New Roman" w:cs="Times New Roman"/>
          <w:sz w:val="24"/>
          <w:szCs w:val="24"/>
        </w:rPr>
        <w:t>’ says he.—‘</w:t>
      </w:r>
      <w:r w:rsidRPr="00010EC3">
        <w:rPr>
          <w:rFonts w:ascii="Times New Roman" w:hAnsi="Times New Roman" w:cs="Times New Roman"/>
          <w:i/>
          <w:iCs/>
          <w:sz w:val="24"/>
          <w:szCs w:val="24"/>
        </w:rPr>
        <w:t>Tripe</w:t>
      </w:r>
      <w:r w:rsidRPr="00010EC3">
        <w:rPr>
          <w:rFonts w:ascii="Times New Roman" w:hAnsi="Times New Roman" w:cs="Times New Roman"/>
          <w:sz w:val="24"/>
          <w:szCs w:val="24"/>
        </w:rPr>
        <w:t>,’ says I, ‘to be sure, Sir,’ says I; and then he swears that I’ve driven a host of hideas out of his head.</w:t>
      </w:r>
      <w:r w:rsidRPr="00010EC3">
        <w:rPr>
          <w:rStyle w:val="FootnoteReference"/>
          <w:rFonts w:ascii="Times New Roman" w:hAnsi="Times New Roman" w:cs="Times New Roman"/>
          <w:sz w:val="24"/>
          <w:szCs w:val="24"/>
        </w:rPr>
        <w:footnoteReference w:id="378"/>
      </w:r>
    </w:p>
    <w:p w:rsidR="00C76704" w:rsidRPr="00CD6967" w:rsidRDefault="00C76704" w:rsidP="00C76704">
      <w:pPr>
        <w:spacing w:after="120" w:line="360" w:lineRule="auto"/>
        <w:rPr>
          <w:rFonts w:ascii="Times New Roman" w:hAnsi="Times New Roman" w:cs="Times New Roman"/>
          <w:sz w:val="24"/>
          <w:szCs w:val="24"/>
        </w:rPr>
      </w:pPr>
      <w:r w:rsidRPr="00010EC3">
        <w:rPr>
          <w:rFonts w:ascii="Times New Roman" w:hAnsi="Times New Roman" w:cs="Times New Roman"/>
          <w:sz w:val="24"/>
          <w:szCs w:val="24"/>
        </w:rPr>
        <w:t xml:space="preserve">The conversation causes him </w:t>
      </w:r>
      <w:r w:rsidR="00350AB9" w:rsidRPr="00010EC3">
        <w:rPr>
          <w:rFonts w:ascii="Times New Roman" w:hAnsi="Times New Roman" w:cs="Times New Roman"/>
          <w:sz w:val="24"/>
          <w:szCs w:val="24"/>
        </w:rPr>
        <w:t>loss of</w:t>
      </w:r>
      <w:r w:rsidRPr="00010EC3">
        <w:rPr>
          <w:rFonts w:ascii="Times New Roman" w:hAnsi="Times New Roman" w:cs="Times New Roman"/>
          <w:sz w:val="24"/>
          <w:szCs w:val="24"/>
        </w:rPr>
        <w:t xml:space="preserve"> creativity and ends in her being reprimanded.  Linguistic problems also occur with Pickwick when he misunderstands the reference to Chitty ‘dinin’ with Duke Humphrey’ which causes further annoyance.  Lacking Sam’s quick wit, language rather than offering a pathway to freedom emphasises social division and reinforces her subordination.  The need to vent rage is shown </w:t>
      </w:r>
      <w:r w:rsidRPr="00D94D51">
        <w:rPr>
          <w:rFonts w:ascii="Times New Roman" w:hAnsi="Times New Roman" w:cs="Times New Roman"/>
          <w:sz w:val="24"/>
          <w:szCs w:val="24"/>
        </w:rPr>
        <w:t xml:space="preserve">by </w:t>
      </w:r>
      <w:r w:rsidR="00010EC3" w:rsidRPr="00D94D51">
        <w:rPr>
          <w:rFonts w:ascii="Times New Roman" w:hAnsi="Times New Roman" w:cs="Times New Roman"/>
          <w:sz w:val="24"/>
          <w:szCs w:val="24"/>
        </w:rPr>
        <w:t xml:space="preserve">unwarranted displays of </w:t>
      </w:r>
      <w:r w:rsidR="00D94D51" w:rsidRPr="00D94D51">
        <w:rPr>
          <w:rFonts w:ascii="Times New Roman" w:hAnsi="Times New Roman" w:cs="Times New Roman"/>
          <w:sz w:val="24"/>
          <w:szCs w:val="24"/>
        </w:rPr>
        <w:t>aggression</w:t>
      </w:r>
      <w:r w:rsidRPr="00010EC3">
        <w:rPr>
          <w:rFonts w:ascii="Times New Roman" w:hAnsi="Times New Roman" w:cs="Times New Roman"/>
          <w:sz w:val="24"/>
          <w:szCs w:val="24"/>
        </w:rPr>
        <w:t xml:space="preserve"> towards those who seem to hold little authority, as in the umbrage taken at Pickwick’s request that she confirm her statement that Chitty goes without dinner:</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‘Do I mean to say so?’ exclaimed the really incensed servant: ‘do I mean to say so, indeed?  Yes—I does;’—and the young lady flourished a mop, which she held in her hand, with such peculiar dexterity and skill, that Mr. Pickwick’s head fortunately stood no danger of being broken.</w:t>
      </w:r>
      <w:r w:rsidRPr="00CD6967">
        <w:rPr>
          <w:rStyle w:val="FootnoteReference"/>
          <w:rFonts w:ascii="Times New Roman" w:hAnsi="Times New Roman" w:cs="Times New Roman"/>
          <w:sz w:val="24"/>
          <w:szCs w:val="24"/>
        </w:rPr>
        <w:footnoteReference w:id="379"/>
      </w:r>
    </w:p>
    <w:p w:rsidR="00C76704" w:rsidRPr="00010EC3"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 xml:space="preserve">Although deliberately not </w:t>
      </w:r>
      <w:r w:rsidRPr="00010EC3">
        <w:rPr>
          <w:rFonts w:ascii="Times New Roman" w:hAnsi="Times New Roman" w:cs="Times New Roman"/>
          <w:sz w:val="24"/>
          <w:szCs w:val="24"/>
        </w:rPr>
        <w:t xml:space="preserve">striking Pickwick, </w:t>
      </w:r>
      <w:r w:rsidR="00350AB9" w:rsidRPr="00010EC3">
        <w:rPr>
          <w:rFonts w:ascii="Times New Roman" w:hAnsi="Times New Roman" w:cs="Times New Roman"/>
          <w:sz w:val="24"/>
          <w:szCs w:val="24"/>
        </w:rPr>
        <w:t>the</w:t>
      </w:r>
      <w:r w:rsidRPr="00010EC3">
        <w:rPr>
          <w:rFonts w:ascii="Times New Roman" w:hAnsi="Times New Roman" w:cs="Times New Roman"/>
          <w:sz w:val="24"/>
          <w:szCs w:val="24"/>
        </w:rPr>
        <w:t xml:space="preserve"> motions indicate a release of the </w:t>
      </w:r>
      <w:r w:rsidR="00350AB9" w:rsidRPr="00010EC3">
        <w:rPr>
          <w:rFonts w:ascii="Times New Roman" w:hAnsi="Times New Roman" w:cs="Times New Roman"/>
          <w:sz w:val="24"/>
          <w:szCs w:val="24"/>
        </w:rPr>
        <w:t>intolerable strain</w:t>
      </w:r>
      <w:r w:rsidRPr="00010EC3">
        <w:rPr>
          <w:rFonts w:ascii="Times New Roman" w:hAnsi="Times New Roman" w:cs="Times New Roman"/>
          <w:sz w:val="24"/>
          <w:szCs w:val="24"/>
        </w:rPr>
        <w:t xml:space="preserve"> felt at her misfortunes.  Ultimately, the scene signals dissent reduced to empty physical threats and derogatory comments about an unfeeling employer which </w:t>
      </w:r>
      <w:r w:rsidR="00350AB9" w:rsidRPr="00010EC3">
        <w:rPr>
          <w:rFonts w:ascii="Times New Roman" w:hAnsi="Times New Roman" w:cs="Times New Roman"/>
          <w:sz w:val="24"/>
          <w:szCs w:val="24"/>
        </w:rPr>
        <w:t>must be</w:t>
      </w:r>
      <w:r w:rsidRPr="00010EC3">
        <w:rPr>
          <w:rFonts w:ascii="Times New Roman" w:hAnsi="Times New Roman" w:cs="Times New Roman"/>
          <w:sz w:val="24"/>
          <w:szCs w:val="24"/>
        </w:rPr>
        <w:t xml:space="preserve"> abandoned when she hears his footsteps and abruptly changes the tone of the conversation by inviting Pickwick to enter in the ‘most bland and dulcet notes’.</w:t>
      </w:r>
      <w:r w:rsidRPr="00010EC3">
        <w:rPr>
          <w:rStyle w:val="FootnoteReference"/>
          <w:rFonts w:ascii="Times New Roman" w:hAnsi="Times New Roman" w:cs="Times New Roman"/>
          <w:sz w:val="24"/>
          <w:szCs w:val="24"/>
        </w:rPr>
        <w:footnoteReference w:id="380"/>
      </w:r>
    </w:p>
    <w:p w:rsidR="00C76704" w:rsidRPr="00CD6967" w:rsidRDefault="00C76704" w:rsidP="00C76704">
      <w:pPr>
        <w:spacing w:after="120" w:line="360" w:lineRule="auto"/>
        <w:ind w:firstLine="720"/>
        <w:rPr>
          <w:rFonts w:ascii="Times New Roman" w:hAnsi="Times New Roman" w:cs="Times New Roman"/>
          <w:sz w:val="24"/>
          <w:szCs w:val="24"/>
        </w:rPr>
      </w:pPr>
      <w:r w:rsidRPr="00010EC3">
        <w:rPr>
          <w:rFonts w:ascii="Times New Roman" w:hAnsi="Times New Roman" w:cs="Times New Roman"/>
          <w:sz w:val="24"/>
          <w:szCs w:val="24"/>
        </w:rPr>
        <w:t>Disreputable protest arising from a sense of impotence also defines the alienated discussion of the two shop boys at the Parisian pastry shop.  Their misery is voiced in economic terms, reflected in the dehumaniz</w:t>
      </w:r>
      <w:r w:rsidR="00211650" w:rsidRPr="00010EC3">
        <w:rPr>
          <w:rFonts w:ascii="Times New Roman" w:hAnsi="Times New Roman" w:cs="Times New Roman"/>
          <w:sz w:val="24"/>
          <w:szCs w:val="24"/>
        </w:rPr>
        <w:t>ing</w:t>
      </w:r>
      <w:r w:rsidRPr="00010EC3">
        <w:rPr>
          <w:rFonts w:ascii="Times New Roman" w:hAnsi="Times New Roman" w:cs="Times New Roman"/>
          <w:sz w:val="24"/>
          <w:szCs w:val="24"/>
        </w:rPr>
        <w:t xml:space="preserve"> way customers are identified with the products they purchase.  The youths rebel with petty misdemeanours, dipping fingers into preserves and tarts while one boasts of letting the cork from a ginger-beer bottle jump into the eye of ‘the spiced cake’.  However, the weight of exploitation</w:t>
      </w:r>
      <w:r w:rsidRPr="00CD6967">
        <w:rPr>
          <w:rFonts w:ascii="Times New Roman" w:hAnsi="Times New Roman" w:cs="Times New Roman"/>
          <w:sz w:val="24"/>
          <w:szCs w:val="24"/>
        </w:rPr>
        <w:t xml:space="preserve"> makes them realize the futility of such actions, exemplified when the younger complains how the shop mistress embezzles half their tips only to break off suddenly: ‘But here comes the raspberry-tart—so don’t talk to me no more; I can’t bear it.’</w:t>
      </w:r>
      <w:r w:rsidRPr="00CD6967">
        <w:rPr>
          <w:rStyle w:val="FootnoteReference"/>
          <w:rFonts w:ascii="Times New Roman" w:hAnsi="Times New Roman" w:cs="Times New Roman"/>
          <w:sz w:val="24"/>
          <w:szCs w:val="24"/>
        </w:rPr>
        <w:footnoteReference w:id="381"/>
      </w:r>
      <w:r w:rsidRPr="00CD6967">
        <w:rPr>
          <w:rFonts w:ascii="Times New Roman" w:hAnsi="Times New Roman" w:cs="Times New Roman"/>
          <w:sz w:val="24"/>
          <w:szCs w:val="24"/>
        </w:rPr>
        <w:t xml:space="preserve">  The demand that Bill, his companion, ends the conversation </w:t>
      </w:r>
      <w:r w:rsidRPr="00CD6967">
        <w:rPr>
          <w:rFonts w:ascii="Times New Roman" w:hAnsi="Times New Roman" w:cs="Times New Roman"/>
          <w:sz w:val="24"/>
          <w:szCs w:val="24"/>
        </w:rPr>
        <w:lastRenderedPageBreak/>
        <w:t xml:space="preserve">suggests how feelings of resentment have become too painful to think about.  The feebleness of their protest is </w:t>
      </w:r>
      <w:r w:rsidRPr="00CD6967">
        <w:rPr>
          <w:rFonts w:ascii="Times New Roman" w:hAnsi="Times New Roman" w:cs="Times New Roman"/>
          <w:bCs/>
          <w:sz w:val="24"/>
          <w:szCs w:val="24"/>
        </w:rPr>
        <w:t>h</w:t>
      </w:r>
      <w:r w:rsidRPr="00CD6967">
        <w:rPr>
          <w:rFonts w:ascii="Times New Roman" w:hAnsi="Times New Roman" w:cs="Times New Roman"/>
          <w:sz w:val="24"/>
          <w:szCs w:val="24"/>
        </w:rPr>
        <w:t>ighlighted further with the announcement that he has been paid to ‘wop’ a little boy who insulted the ‘gingy-bread-nut’, confirming their degraded state as hirelings to use against those among their peer group who have the boldness they lack to confront oppressors.</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Reynolds occasionally allows such activity some success, as with the theft of victuals by Mr Muggins’s cook, Mary.  She is </w:t>
      </w:r>
      <w:r w:rsidRPr="00431340">
        <w:rPr>
          <w:rFonts w:ascii="Times New Roman" w:hAnsi="Times New Roman" w:cs="Times New Roman"/>
          <w:sz w:val="24"/>
          <w:szCs w:val="24"/>
        </w:rPr>
        <w:t xml:space="preserve">openly </w:t>
      </w:r>
      <w:r w:rsidR="00010EC3" w:rsidRPr="00431340">
        <w:rPr>
          <w:rFonts w:ascii="Times New Roman" w:hAnsi="Times New Roman" w:cs="Times New Roman"/>
          <w:sz w:val="24"/>
          <w:szCs w:val="24"/>
        </w:rPr>
        <w:t>hostile</w:t>
      </w:r>
      <w:r w:rsidRPr="00CD6967">
        <w:rPr>
          <w:rFonts w:ascii="Times New Roman" w:hAnsi="Times New Roman" w:cs="Times New Roman"/>
          <w:sz w:val="24"/>
          <w:szCs w:val="24"/>
        </w:rPr>
        <w:t xml:space="preserve"> towards her master when conversation turns upon a missing pie: ‘“Weal-pie!  Wot weal-pie?” demanded the indignant servant. “For my part, I hates weal-pie like pison: it always gives me a hindigestion.”’</w:t>
      </w:r>
      <w:r w:rsidRPr="00CD6967">
        <w:rPr>
          <w:rStyle w:val="FootnoteReference"/>
          <w:rFonts w:ascii="Times New Roman" w:hAnsi="Times New Roman" w:cs="Times New Roman"/>
          <w:sz w:val="24"/>
          <w:szCs w:val="24"/>
        </w:rPr>
        <w:footnoteReference w:id="382"/>
      </w:r>
      <w:r w:rsidRPr="00CD6967">
        <w:rPr>
          <w:rFonts w:ascii="Times New Roman" w:hAnsi="Times New Roman" w:cs="Times New Roman"/>
          <w:sz w:val="24"/>
          <w:szCs w:val="24"/>
        </w:rPr>
        <w:t xml:space="preserve">  Logic is dispensed with as the claim to hate the item is followed by an assertion that it always gives he</w:t>
      </w:r>
      <w:r w:rsidR="006233C7">
        <w:rPr>
          <w:rFonts w:ascii="Times New Roman" w:hAnsi="Times New Roman" w:cs="Times New Roman"/>
          <w:sz w:val="24"/>
          <w:szCs w:val="24"/>
        </w:rPr>
        <w:t xml:space="preserve">r </w:t>
      </w:r>
      <w:r w:rsidR="006233C7" w:rsidRPr="00FA1A0E">
        <w:rPr>
          <w:rFonts w:ascii="Times New Roman" w:hAnsi="Times New Roman" w:cs="Times New Roman"/>
          <w:sz w:val="24"/>
          <w:szCs w:val="24"/>
        </w:rPr>
        <w:t>an upset stomach</w:t>
      </w:r>
      <w:r w:rsidRPr="00FA1A0E">
        <w:rPr>
          <w:rFonts w:ascii="Times New Roman" w:hAnsi="Times New Roman" w:cs="Times New Roman"/>
          <w:sz w:val="24"/>
          <w:szCs w:val="24"/>
        </w:rPr>
        <w:t>.</w:t>
      </w:r>
      <w:r w:rsidRPr="00CD6967">
        <w:rPr>
          <w:rFonts w:ascii="Times New Roman" w:hAnsi="Times New Roman" w:cs="Times New Roman"/>
          <w:sz w:val="24"/>
          <w:szCs w:val="24"/>
        </w:rPr>
        <w:t xml:space="preserve">  The brazen denial of wrongdoing over a missing apple-tart and sausages reveals further shortcomings:</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 xml:space="preserve">‘I never was accused of nothink afore this,’ began the domestic, now whimpering in order to avoid further interrogation; ‘and I’ve lived three year, come Lady’s day, Mr. Muggins, in your service.  And previous to that, I was seven year four months and a week with Captain Whistonbury and his lady; and they never missed—no, not the walley of a blessed farden—except the brandy as no one never </w:t>
      </w:r>
      <w:r w:rsidRPr="00CD6967">
        <w:rPr>
          <w:rFonts w:ascii="Times New Roman" w:hAnsi="Times New Roman" w:cs="Times New Roman"/>
          <w:i/>
          <w:sz w:val="24"/>
          <w:szCs w:val="24"/>
        </w:rPr>
        <w:t>could</w:t>
      </w:r>
      <w:r w:rsidRPr="00CD6967">
        <w:rPr>
          <w:rFonts w:ascii="Times New Roman" w:hAnsi="Times New Roman" w:cs="Times New Roman"/>
          <w:sz w:val="24"/>
          <w:szCs w:val="24"/>
        </w:rPr>
        <w:t xml:space="preserve"> account for, and them bottles o’ wine which I never could make out how they got away.  But as for the broken wittles—I’d scorn the haction!’</w:t>
      </w:r>
      <w:r w:rsidRPr="00CD6967">
        <w:rPr>
          <w:rStyle w:val="FootnoteReference"/>
          <w:rFonts w:ascii="Times New Roman" w:hAnsi="Times New Roman" w:cs="Times New Roman"/>
          <w:sz w:val="24"/>
          <w:szCs w:val="24"/>
        </w:rPr>
        <w:footnoteReference w:id="383"/>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 xml:space="preserve">Whimpering and unstoppable outbursts are methods of imposing herself by denying others the chance to voice an opinion.  Mary protests innocence with a show of righteous indignation, affecting tears to prevent being questioned, and claiming respectability through association with former titled employers.  Professing </w:t>
      </w:r>
      <w:r w:rsidR="00FA1A0E" w:rsidRPr="00010EC3">
        <w:rPr>
          <w:rFonts w:ascii="Times New Roman" w:hAnsi="Times New Roman" w:cs="Times New Roman"/>
          <w:sz w:val="24"/>
          <w:szCs w:val="24"/>
        </w:rPr>
        <w:t>disdain</w:t>
      </w:r>
      <w:r w:rsidRPr="00CD6967">
        <w:rPr>
          <w:rFonts w:ascii="Times New Roman" w:hAnsi="Times New Roman" w:cs="Times New Roman"/>
          <w:sz w:val="24"/>
          <w:szCs w:val="24"/>
        </w:rPr>
        <w:t xml:space="preserve"> for ‘broken wittles’ is another attempt to assert a gentility that argues the impossibility of her having stolen the comestibles.  However, the inserted references to the missing brandy and wine meant to defend her honesty unwittingly suggest a trail of wrongdoings.  The tirade serves to reaffirm her intellectual limitations and effrontery, expressing a belief that the bigger the lie the more likely she is to escape rebuke.  Such protest is successful to the extent that it has allowed Mary to create an area of power, signalled after another defiant performance when she retires to ‘her own subterranean regions’, a phrase suggesting that Muggins driven on the defensive in his domain ‘upstairs’ feels even more uneasy about encroaching upon the ‘downstairs’ quarter.</w:t>
      </w:r>
      <w:r w:rsidRPr="00CD6967">
        <w:rPr>
          <w:rStyle w:val="FootnoteReference"/>
          <w:rFonts w:ascii="Times New Roman" w:hAnsi="Times New Roman" w:cs="Times New Roman"/>
          <w:sz w:val="24"/>
          <w:szCs w:val="24"/>
        </w:rPr>
        <w:footnoteReference w:id="384"/>
      </w:r>
      <w:r w:rsidRPr="00CD6967">
        <w:rPr>
          <w:rFonts w:ascii="Times New Roman" w:hAnsi="Times New Roman" w:cs="Times New Roman"/>
          <w:sz w:val="24"/>
          <w:szCs w:val="24"/>
        </w:rPr>
        <w:t xml:space="preserve"> </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lastRenderedPageBreak/>
        <w:t xml:space="preserve">Reynolds shows sympathy but not admiration for this clumsy, self-serving protest, even when the product of an onerous workplace, as in </w:t>
      </w:r>
      <w:r w:rsidRPr="00CD6967">
        <w:rPr>
          <w:rFonts w:ascii="Times New Roman" w:hAnsi="Times New Roman" w:cs="Times New Roman"/>
          <w:i/>
          <w:iCs/>
          <w:sz w:val="24"/>
          <w:szCs w:val="24"/>
        </w:rPr>
        <w:t xml:space="preserve">The </w:t>
      </w:r>
      <w:r w:rsidRPr="00CD6967">
        <w:rPr>
          <w:rFonts w:ascii="Times New Roman" w:hAnsi="Times New Roman" w:cs="Times New Roman"/>
          <w:i/>
          <w:sz w:val="24"/>
          <w:szCs w:val="24"/>
        </w:rPr>
        <w:t>Mysteries of London</w:t>
      </w:r>
      <w:r w:rsidRPr="00CD6967">
        <w:rPr>
          <w:rFonts w:ascii="Times New Roman" w:hAnsi="Times New Roman" w:cs="Times New Roman"/>
          <w:sz w:val="24"/>
          <w:szCs w:val="24"/>
        </w:rPr>
        <w:t xml:space="preserve"> (1844–48) with the ‘slip-shod’ servant at Mrs Rudd’s lodging house, continually browbeaten by a domineering mistress and overbearing guests.  When bailiffs reconnoitre the property seeking information about Captain O’Blunderbuss who is staying there she spiritedly refuses to answer what she sees as impertinent questions.  However, this show of defiance does little but display intellectual shortcomings, revealed in her boastful report to the Captain:</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[A]s I went out of the street-door a man come up and asked me if so be as Mr. Smith lived here.  ‘</w:t>
      </w:r>
      <w:r w:rsidRPr="00CD6967">
        <w:rPr>
          <w:rFonts w:ascii="Times New Roman" w:hAnsi="Times New Roman" w:cs="Times New Roman"/>
          <w:i/>
          <w:sz w:val="24"/>
          <w:szCs w:val="24"/>
        </w:rPr>
        <w:t>No</w:t>
      </w:r>
      <w:r w:rsidRPr="00CD6967">
        <w:rPr>
          <w:rFonts w:ascii="Times New Roman" w:hAnsi="Times New Roman" w:cs="Times New Roman"/>
          <w:sz w:val="24"/>
          <w:szCs w:val="24"/>
        </w:rPr>
        <w:t>,’ says I: ‘</w:t>
      </w:r>
      <w:r w:rsidRPr="00CD6967">
        <w:rPr>
          <w:rFonts w:ascii="Times New Roman" w:hAnsi="Times New Roman" w:cs="Times New Roman"/>
          <w:i/>
          <w:sz w:val="24"/>
          <w:szCs w:val="24"/>
        </w:rPr>
        <w:t>he don’t</w:t>
      </w:r>
      <w:r w:rsidRPr="00CD6967">
        <w:rPr>
          <w:rFonts w:ascii="Times New Roman" w:hAnsi="Times New Roman" w:cs="Times New Roman"/>
          <w:sz w:val="24"/>
          <w:szCs w:val="24"/>
        </w:rPr>
        <w:t>.’—‘</w:t>
      </w:r>
      <w:r w:rsidRPr="00CD6967">
        <w:rPr>
          <w:rFonts w:ascii="Times New Roman" w:hAnsi="Times New Roman" w:cs="Times New Roman"/>
          <w:i/>
          <w:sz w:val="24"/>
          <w:szCs w:val="24"/>
        </w:rPr>
        <w:t>Well, then</w:t>
      </w:r>
      <w:r w:rsidRPr="00CD6967">
        <w:rPr>
          <w:rFonts w:ascii="Times New Roman" w:hAnsi="Times New Roman" w:cs="Times New Roman"/>
          <w:sz w:val="24"/>
          <w:szCs w:val="24"/>
        </w:rPr>
        <w:t>,’ says the man, ‘</w:t>
      </w:r>
      <w:r w:rsidRPr="00CD6967">
        <w:rPr>
          <w:rFonts w:ascii="Times New Roman" w:hAnsi="Times New Roman" w:cs="Times New Roman"/>
          <w:i/>
          <w:sz w:val="24"/>
          <w:szCs w:val="24"/>
        </w:rPr>
        <w:t>Mr. Brown does</w:t>
      </w:r>
      <w:r w:rsidRPr="00CD6967">
        <w:rPr>
          <w:rFonts w:ascii="Times New Roman" w:hAnsi="Times New Roman" w:cs="Times New Roman"/>
          <w:sz w:val="24"/>
          <w:szCs w:val="24"/>
        </w:rPr>
        <w:t>.’—‘</w:t>
      </w:r>
      <w:r w:rsidRPr="00CD6967">
        <w:rPr>
          <w:rFonts w:ascii="Times New Roman" w:hAnsi="Times New Roman" w:cs="Times New Roman"/>
          <w:i/>
          <w:sz w:val="24"/>
          <w:szCs w:val="24"/>
        </w:rPr>
        <w:t>No, he don’t, though</w:t>
      </w:r>
      <w:r w:rsidRPr="00CD6967">
        <w:rPr>
          <w:rFonts w:ascii="Times New Roman" w:hAnsi="Times New Roman" w:cs="Times New Roman"/>
          <w:sz w:val="24"/>
          <w:szCs w:val="24"/>
        </w:rPr>
        <w:t>,’ I says, says I; ‘</w:t>
      </w:r>
      <w:r w:rsidRPr="00CD6967">
        <w:rPr>
          <w:rFonts w:ascii="Times New Roman" w:hAnsi="Times New Roman" w:cs="Times New Roman"/>
          <w:i/>
          <w:sz w:val="24"/>
          <w:szCs w:val="24"/>
        </w:rPr>
        <w:t>not yet Mr. Jones, nor Mr. Noakes neether</w:t>
      </w:r>
      <w:r w:rsidRPr="00CD6967">
        <w:rPr>
          <w:rFonts w:ascii="Times New Roman" w:hAnsi="Times New Roman" w:cs="Times New Roman"/>
          <w:sz w:val="24"/>
          <w:szCs w:val="24"/>
        </w:rPr>
        <w:t>.’—‘</w:t>
      </w:r>
      <w:r w:rsidRPr="00CD6967">
        <w:rPr>
          <w:rFonts w:ascii="Times New Roman" w:hAnsi="Times New Roman" w:cs="Times New Roman"/>
          <w:i/>
          <w:sz w:val="24"/>
          <w:szCs w:val="24"/>
        </w:rPr>
        <w:t>Well</w:t>
      </w:r>
      <w:r w:rsidRPr="00CD6967">
        <w:rPr>
          <w:rFonts w:ascii="Times New Roman" w:hAnsi="Times New Roman" w:cs="Times New Roman"/>
          <w:sz w:val="24"/>
          <w:szCs w:val="24"/>
        </w:rPr>
        <w:t xml:space="preserve">, </w:t>
      </w:r>
      <w:r w:rsidRPr="00CD6967">
        <w:rPr>
          <w:rFonts w:ascii="Times New Roman" w:hAnsi="Times New Roman" w:cs="Times New Roman"/>
          <w:i/>
          <w:sz w:val="24"/>
          <w:szCs w:val="24"/>
        </w:rPr>
        <w:t>who does live here then</w:t>
      </w:r>
      <w:r w:rsidRPr="00CD6967">
        <w:rPr>
          <w:rFonts w:ascii="Times New Roman" w:hAnsi="Times New Roman" w:cs="Times New Roman"/>
          <w:sz w:val="24"/>
          <w:szCs w:val="24"/>
        </w:rPr>
        <w:t>?’ says the man; and as I thought it would teach him not to be so precious knowing another time, I out and told him slap as how two gentleman lived here as was named Blunderbuss—leastways, O’Blunderbuss, and Curtis.</w:t>
      </w:r>
      <w:r w:rsidRPr="00CD6967">
        <w:rPr>
          <w:rStyle w:val="FootnoteReference"/>
          <w:rFonts w:ascii="Times New Roman" w:hAnsi="Times New Roman" w:cs="Times New Roman"/>
          <w:sz w:val="24"/>
          <w:szCs w:val="24"/>
        </w:rPr>
        <w:footnoteReference w:id="385"/>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bCs/>
          <w:sz w:val="24"/>
          <w:szCs w:val="24"/>
        </w:rPr>
        <w:t>Her lowly status leads to resentment that sees opposition everywhere.  A psychological fillip is achieved at the thought of striking a blow against perceived oppressors and so she views the conversation in terms of teaching the man a lesson, reinforced by illusions of cleverness: ‘</w:t>
      </w:r>
      <w:r w:rsidRPr="00CD6967">
        <w:rPr>
          <w:rFonts w:ascii="Times New Roman" w:hAnsi="Times New Roman" w:cs="Times New Roman"/>
          <w:sz w:val="24"/>
          <w:szCs w:val="24"/>
        </w:rPr>
        <w:t>for I thinks to myself, thinks I, “</w:t>
      </w:r>
      <w:r w:rsidRPr="00CD6967">
        <w:rPr>
          <w:rFonts w:ascii="Times New Roman" w:hAnsi="Times New Roman" w:cs="Times New Roman"/>
          <w:i/>
          <w:sz w:val="24"/>
          <w:szCs w:val="24"/>
        </w:rPr>
        <w:t>Now, my fine feller, you’ll believe that there’s no Smiths or Browns here; and you won’t be quite so positive another time</w:t>
      </w:r>
      <w:r w:rsidRPr="00CD6967">
        <w:rPr>
          <w:rFonts w:ascii="Times New Roman" w:hAnsi="Times New Roman" w:cs="Times New Roman"/>
          <w:sz w:val="24"/>
          <w:szCs w:val="24"/>
        </w:rPr>
        <w:t>”’.</w:t>
      </w:r>
      <w:r w:rsidRPr="00CD6967">
        <w:rPr>
          <w:rStyle w:val="FootnoteReference"/>
          <w:rFonts w:ascii="Times New Roman" w:hAnsi="Times New Roman" w:cs="Times New Roman"/>
          <w:sz w:val="24"/>
          <w:szCs w:val="24"/>
        </w:rPr>
        <w:footnoteReference w:id="386"/>
      </w:r>
      <w:r w:rsidRPr="00CD6967">
        <w:rPr>
          <w:rFonts w:ascii="Times New Roman" w:hAnsi="Times New Roman" w:cs="Times New Roman"/>
          <w:bCs/>
          <w:sz w:val="24"/>
          <w:szCs w:val="24"/>
        </w:rPr>
        <w:t xml:space="preserve">  Her exposure of the Captain results not from spite but muddle-headedness.  </w:t>
      </w:r>
      <w:r w:rsidRPr="00CD6967">
        <w:rPr>
          <w:rFonts w:ascii="Times New Roman" w:hAnsi="Times New Roman" w:cs="Times New Roman"/>
          <w:sz w:val="24"/>
          <w:szCs w:val="24"/>
        </w:rPr>
        <w:t>When the bailiffs duly arrive to make their arrest and damage the lock to his door, she is fearful it will result in a scolding from Rudd.  Her bitterness takes the form of sarcastic comments at their fruitless searches: ‘Oh! ah! you may look under the bed!  Why don’t you search the drawers—or get up the chimley and look out on the tiles?’.</w:t>
      </w:r>
      <w:r w:rsidRPr="00CD6967">
        <w:rPr>
          <w:rStyle w:val="FootnoteReference"/>
          <w:rFonts w:ascii="Times New Roman" w:hAnsi="Times New Roman" w:cs="Times New Roman"/>
          <w:sz w:val="24"/>
          <w:szCs w:val="24"/>
        </w:rPr>
        <w:footnoteReference w:id="387"/>
      </w:r>
      <w:r w:rsidRPr="00CD6967">
        <w:rPr>
          <w:rFonts w:ascii="Times New Roman" w:hAnsi="Times New Roman" w:cs="Times New Roman"/>
          <w:sz w:val="24"/>
          <w:szCs w:val="24"/>
        </w:rPr>
        <w:t xml:space="preserve">  However, any sense that this derision signifies newfound independence is quickly undermined when she accepts a shilling bribe to betray the Captain’s </w:t>
      </w:r>
      <w:r w:rsidR="000C639F" w:rsidRPr="00431340">
        <w:rPr>
          <w:rFonts w:ascii="Times New Roman" w:hAnsi="Times New Roman" w:cs="Times New Roman"/>
          <w:sz w:val="24"/>
          <w:szCs w:val="24"/>
        </w:rPr>
        <w:t>whereabouts</w:t>
      </w:r>
      <w:r w:rsidRPr="00431340">
        <w:rPr>
          <w:rFonts w:ascii="Times New Roman" w:hAnsi="Times New Roman" w:cs="Times New Roman"/>
          <w:sz w:val="24"/>
          <w:szCs w:val="24"/>
        </w:rPr>
        <w:t>.</w:t>
      </w:r>
      <w:r w:rsidRPr="00CD6967">
        <w:rPr>
          <w:rFonts w:ascii="Times New Roman" w:hAnsi="Times New Roman" w:cs="Times New Roman"/>
          <w:sz w:val="24"/>
          <w:szCs w:val="24"/>
        </w:rPr>
        <w:t xml:space="preserve">  Such protest does little more than display an emotional</w:t>
      </w:r>
      <w:r w:rsidRPr="00CD6967">
        <w:rPr>
          <w:rFonts w:ascii="Times New Roman" w:hAnsi="Times New Roman" w:cs="Times New Roman"/>
          <w:b/>
          <w:sz w:val="24"/>
          <w:szCs w:val="24"/>
        </w:rPr>
        <w:t xml:space="preserve"> </w:t>
      </w:r>
      <w:r w:rsidRPr="00CD6967">
        <w:rPr>
          <w:rFonts w:ascii="Times New Roman" w:hAnsi="Times New Roman" w:cs="Times New Roman"/>
          <w:sz w:val="24"/>
          <w:szCs w:val="24"/>
        </w:rPr>
        <w:t>instability overshadowed by constant fear of retribution from her employer.</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Comical representations of disreputable protest continue to be judged negatively in later novels.  An example occurs in </w:t>
      </w:r>
      <w:r w:rsidRPr="00CD6967">
        <w:rPr>
          <w:rFonts w:ascii="Times New Roman" w:hAnsi="Times New Roman" w:cs="Times New Roman"/>
          <w:i/>
          <w:sz w:val="24"/>
          <w:szCs w:val="24"/>
        </w:rPr>
        <w:t>Joseph Wilmot</w:t>
      </w:r>
      <w:r w:rsidRPr="00CD6967">
        <w:rPr>
          <w:rFonts w:ascii="Times New Roman" w:hAnsi="Times New Roman" w:cs="Times New Roman"/>
          <w:sz w:val="24"/>
          <w:szCs w:val="24"/>
        </w:rPr>
        <w:t xml:space="preserve"> (1853–55) with Mrs Tibenham the cleaner at Reading who objects that her rude greeting to Joseph, when he applies for the post of valet to Sir Matthew Heseltine, is described as ‘nonsense’ by the housekeeper:</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 xml:space="preserve">I hope, Mrs. Hodgson mem, you will correct yourself and not imply such a hepithet to the like of me.  It isn’t bekase bad times and troubles compels me to do a little charing, </w:t>
      </w:r>
      <w:r w:rsidRPr="00CD6967">
        <w:rPr>
          <w:rFonts w:ascii="Times New Roman" w:hAnsi="Times New Roman" w:cs="Times New Roman"/>
          <w:sz w:val="24"/>
          <w:szCs w:val="24"/>
        </w:rPr>
        <w:lastRenderedPageBreak/>
        <w:t>and take in a little washing when I’m not engaged for the day—which is half-a-crown and my wittals, with a drop of gin and three pints of porter, besides any broken meat to take home—that you should consult a respectable woman.  There was poor Tibenham, which carried on a good business in the catsmeat and tripe-dressing line for forty year till he were called away to give a blessed account of his-self in another world——.</w:t>
      </w:r>
      <w:r w:rsidRPr="00CD6967">
        <w:rPr>
          <w:rStyle w:val="FootnoteReference"/>
          <w:rFonts w:ascii="Times New Roman" w:hAnsi="Times New Roman" w:cs="Times New Roman"/>
          <w:sz w:val="24"/>
          <w:szCs w:val="24"/>
        </w:rPr>
        <w:footnoteReference w:id="388"/>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 xml:space="preserve">Although Reynolds deals gently with Tibenham, a harmless character whose belligerence and colloquial speech add humour to </w:t>
      </w:r>
      <w:r w:rsidRPr="000C639F">
        <w:rPr>
          <w:rFonts w:ascii="Times New Roman" w:hAnsi="Times New Roman" w:cs="Times New Roman"/>
          <w:sz w:val="24"/>
          <w:szCs w:val="24"/>
        </w:rPr>
        <w:t>proceedings, the scene presses home the failings of her complaint.  Fondness for gossip merges with self-</w:t>
      </w:r>
      <w:r w:rsidR="00FA1A0E" w:rsidRPr="000C639F">
        <w:rPr>
          <w:rFonts w:ascii="Times New Roman" w:hAnsi="Times New Roman" w:cs="Times New Roman"/>
          <w:sz w:val="24"/>
          <w:szCs w:val="24"/>
        </w:rPr>
        <w:t>indulgence</w:t>
      </w:r>
      <w:r w:rsidRPr="000C639F">
        <w:rPr>
          <w:rFonts w:ascii="Times New Roman" w:hAnsi="Times New Roman" w:cs="Times New Roman"/>
          <w:sz w:val="24"/>
          <w:szCs w:val="24"/>
        </w:rPr>
        <w:t>, while lack of intellect is infused with an elevated sense of her position.  To some extent she reverses the customary unjust cash-nexus relationship imposed upon the industrious classes by insisting upon rights of employment, listed in detail, without fulfil</w:t>
      </w:r>
      <w:r w:rsidR="006233C7" w:rsidRPr="000C639F">
        <w:rPr>
          <w:rFonts w:ascii="Times New Roman" w:hAnsi="Times New Roman" w:cs="Times New Roman"/>
          <w:sz w:val="24"/>
          <w:szCs w:val="24"/>
        </w:rPr>
        <w:t>l</w:t>
      </w:r>
      <w:r w:rsidRPr="000C639F">
        <w:rPr>
          <w:rFonts w:ascii="Times New Roman" w:hAnsi="Times New Roman" w:cs="Times New Roman"/>
          <w:sz w:val="24"/>
          <w:szCs w:val="24"/>
        </w:rPr>
        <w:t>ing the duties for which she is paid.</w:t>
      </w:r>
      <w:r w:rsidRPr="000C639F">
        <w:rPr>
          <w:rStyle w:val="FootnoteReference"/>
          <w:rFonts w:ascii="Times New Roman" w:hAnsi="Times New Roman" w:cs="Times New Roman"/>
          <w:sz w:val="24"/>
          <w:szCs w:val="24"/>
        </w:rPr>
        <w:footnoteReference w:id="389"/>
      </w:r>
      <w:r w:rsidRPr="000C639F">
        <w:rPr>
          <w:rFonts w:ascii="Times New Roman" w:hAnsi="Times New Roman" w:cs="Times New Roman"/>
          <w:sz w:val="24"/>
          <w:szCs w:val="24"/>
        </w:rPr>
        <w:t xml:space="preserve">  Any claim to respectability is weakened due to the way alcohol plays a major part in her demands and by the reference to her </w:t>
      </w:r>
      <w:r w:rsidR="00FA1A0E" w:rsidRPr="000C639F">
        <w:rPr>
          <w:rFonts w:ascii="Times New Roman" w:hAnsi="Times New Roman" w:cs="Times New Roman"/>
          <w:sz w:val="24"/>
          <w:szCs w:val="24"/>
        </w:rPr>
        <w:t xml:space="preserve">deceased </w:t>
      </w:r>
      <w:r w:rsidRPr="000C639F">
        <w:rPr>
          <w:rFonts w:ascii="Times New Roman" w:hAnsi="Times New Roman" w:cs="Times New Roman"/>
          <w:sz w:val="24"/>
          <w:szCs w:val="24"/>
        </w:rPr>
        <w:t>husband’s questionable commercial pursuits.</w:t>
      </w:r>
      <w:r w:rsidRPr="000C639F">
        <w:rPr>
          <w:rStyle w:val="FootnoteReference"/>
          <w:rFonts w:ascii="Times New Roman" w:hAnsi="Times New Roman" w:cs="Times New Roman"/>
          <w:sz w:val="24"/>
          <w:szCs w:val="24"/>
        </w:rPr>
        <w:footnoteReference w:id="390"/>
      </w:r>
      <w:r w:rsidRPr="000C639F">
        <w:rPr>
          <w:rFonts w:ascii="Times New Roman" w:hAnsi="Times New Roman" w:cs="Times New Roman"/>
          <w:sz w:val="24"/>
          <w:szCs w:val="24"/>
        </w:rPr>
        <w:t xml:space="preserve">  </w:t>
      </w:r>
      <w:r w:rsidRPr="000C639F">
        <w:rPr>
          <w:rFonts w:ascii="Times New Roman" w:hAnsi="Times New Roman" w:cs="Times New Roman"/>
          <w:bCs/>
          <w:sz w:val="24"/>
          <w:szCs w:val="24"/>
        </w:rPr>
        <w:t>She is angry with Hodgson at not being informed about the vacant</w:t>
      </w:r>
      <w:r w:rsidRPr="00CD6967">
        <w:rPr>
          <w:rFonts w:ascii="Times New Roman" w:hAnsi="Times New Roman" w:cs="Times New Roman"/>
          <w:bCs/>
          <w:sz w:val="24"/>
          <w:szCs w:val="24"/>
        </w:rPr>
        <w:t xml:space="preserve"> position, feeling that ‘her prescriptive rights of char-woman had all been scandalously violated by that extreme want of confidence’.</w:t>
      </w:r>
      <w:r w:rsidRPr="00CD6967">
        <w:rPr>
          <w:rStyle w:val="FootnoteReference"/>
          <w:rFonts w:ascii="Times New Roman" w:hAnsi="Times New Roman" w:cs="Times New Roman"/>
          <w:sz w:val="24"/>
          <w:szCs w:val="24"/>
        </w:rPr>
        <w:footnoteReference w:id="391"/>
      </w:r>
      <w:r w:rsidRPr="00CD6967">
        <w:rPr>
          <w:rFonts w:ascii="Times New Roman" w:hAnsi="Times New Roman" w:cs="Times New Roman"/>
          <w:bCs/>
          <w:sz w:val="24"/>
          <w:szCs w:val="24"/>
        </w:rPr>
        <w:t xml:space="preserve">  Not only does she claim the right to know of matters that do not really concern her, but the umbrage shown is made worse because she only obtained the charring-work through the recommendation of Hodgson who has known her for twenty-five years.  Tibenham rejects the kindness of a long-time associate with a display of ingratitude and self-pity: ‘but there was no rale friendship, bekase you’ve kept me out of your confidence, which was undeserving by me, Mrs. Hodgson mem, and my feelin’s is hurted’.</w:t>
      </w:r>
      <w:r w:rsidRPr="00CD6967">
        <w:rPr>
          <w:rStyle w:val="FootnoteReference"/>
          <w:rFonts w:ascii="Times New Roman" w:hAnsi="Times New Roman" w:cs="Times New Roman"/>
          <w:sz w:val="24"/>
          <w:szCs w:val="24"/>
        </w:rPr>
        <w:footnoteReference w:id="392"/>
      </w:r>
      <w:r w:rsidRPr="00CD6967">
        <w:rPr>
          <w:rFonts w:ascii="Times New Roman" w:hAnsi="Times New Roman" w:cs="Times New Roman"/>
          <w:bCs/>
          <w:sz w:val="24"/>
          <w:szCs w:val="24"/>
        </w:rPr>
        <w:t xml:space="preserve">  S</w:t>
      </w:r>
      <w:r w:rsidRPr="00CD6967">
        <w:rPr>
          <w:rFonts w:ascii="Times New Roman" w:hAnsi="Times New Roman" w:cs="Times New Roman"/>
          <w:sz w:val="24"/>
          <w:szCs w:val="24"/>
        </w:rPr>
        <w:t xml:space="preserve">uch protest does not arouse sympathy for a downtrodden domestic but highlights the patience of the household in putting up with </w:t>
      </w:r>
      <w:r w:rsidRPr="00CD6967">
        <w:rPr>
          <w:rFonts w:ascii="Times New Roman" w:hAnsi="Times New Roman" w:cs="Times New Roman"/>
          <w:bCs/>
          <w:sz w:val="24"/>
          <w:szCs w:val="24"/>
        </w:rPr>
        <w:t>an interfering busybody</w:t>
      </w:r>
      <w:r w:rsidRPr="00CD6967">
        <w:rPr>
          <w:rFonts w:ascii="Times New Roman" w:hAnsi="Times New Roman" w:cs="Times New Roman"/>
          <w:sz w:val="24"/>
          <w:szCs w:val="24"/>
        </w:rPr>
        <w:t xml:space="preserve"> and the generosity of Sir Matthew in retaining her services.  This is emphasised later when Joseph believes she has been eavesdropping at the keyhole during his interview, putting her honesty under further question.</w:t>
      </w:r>
      <w:r w:rsidRPr="00CD6967">
        <w:rPr>
          <w:rStyle w:val="FootnoteReference"/>
          <w:rFonts w:ascii="Times New Roman" w:hAnsi="Times New Roman" w:cs="Times New Roman"/>
          <w:sz w:val="24"/>
          <w:szCs w:val="24"/>
        </w:rPr>
        <w:footnoteReference w:id="393"/>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ab/>
        <w:t xml:space="preserve">Another aspect of disreputable protest that Reynolds highlights in comic scenes is its lack of discrimination.  In </w:t>
      </w:r>
      <w:r w:rsidRPr="00CD6967">
        <w:rPr>
          <w:rFonts w:ascii="Times New Roman" w:hAnsi="Times New Roman" w:cs="Times New Roman"/>
          <w:i/>
          <w:sz w:val="24"/>
          <w:szCs w:val="24"/>
        </w:rPr>
        <w:t>Pickwick Abroad</w:t>
      </w:r>
      <w:r w:rsidRPr="00CD6967">
        <w:rPr>
          <w:rFonts w:ascii="Times New Roman" w:hAnsi="Times New Roman" w:cs="Times New Roman"/>
          <w:sz w:val="24"/>
          <w:szCs w:val="24"/>
        </w:rPr>
        <w:t xml:space="preserve">, Sam Weller’s often justified use of physical </w:t>
      </w:r>
      <w:r w:rsidRPr="00CD6967">
        <w:rPr>
          <w:rFonts w:ascii="Times New Roman" w:hAnsi="Times New Roman" w:cs="Times New Roman"/>
          <w:sz w:val="24"/>
          <w:szCs w:val="24"/>
        </w:rPr>
        <w:lastRenderedPageBreak/>
        <w:t xml:space="preserve">force to defend Pickwick is set against his unwarranted assaults upon French waiters.  The trait is portrayed more broadly when Chitty’s play, </w:t>
      </w:r>
      <w:r w:rsidRPr="00CD6967">
        <w:rPr>
          <w:rFonts w:ascii="Times New Roman" w:hAnsi="Times New Roman" w:cs="Times New Roman"/>
          <w:i/>
          <w:sz w:val="24"/>
          <w:szCs w:val="24"/>
        </w:rPr>
        <w:t>The Creation</w:t>
      </w:r>
      <w:r w:rsidRPr="00CD6967">
        <w:rPr>
          <w:rFonts w:ascii="Times New Roman" w:hAnsi="Times New Roman" w:cs="Times New Roman"/>
          <w:sz w:val="24"/>
          <w:szCs w:val="24"/>
        </w:rPr>
        <w:t>, is performed at the Odeon Theatre in Paris.  Reynolds emphasises the working-class nature of the audience by writing that one wears a smock-frock while another has been ‘occupied all day in unloading a large wagon of charcoal, and had not found time to cleanse himself’.</w:t>
      </w:r>
      <w:r w:rsidRPr="00CD6967">
        <w:rPr>
          <w:rStyle w:val="FootnoteReference"/>
          <w:rFonts w:ascii="Times New Roman" w:hAnsi="Times New Roman" w:cs="Times New Roman"/>
          <w:sz w:val="24"/>
          <w:szCs w:val="24"/>
        </w:rPr>
        <w:footnoteReference w:id="394"/>
      </w:r>
      <w:r w:rsidRPr="00CD6967">
        <w:rPr>
          <w:rFonts w:ascii="Times New Roman" w:hAnsi="Times New Roman" w:cs="Times New Roman"/>
          <w:sz w:val="24"/>
          <w:szCs w:val="24"/>
        </w:rPr>
        <w:t xml:space="preserve">  Sympathy for the man’s toil, suggested in the reference to the wagon’s size, is countered by his neglect of personal cleanliness, indicating failure to maintain an appropriate sense of values in the desire for entertainment.  Such moral unsteadiness is apparent throughout this section of the crowd when it abuses other spectators due to the late start of the performance:</w:t>
      </w:r>
    </w:p>
    <w:p w:rsidR="00C76704" w:rsidRPr="00CD6967" w:rsidRDefault="00C76704" w:rsidP="00FA1A0E">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A fourth begged to remind an inoffensive old gentleman in the boxes ‘that he had a precious bad hat;’ a fifth appeared curious to ascertain of a young dandy with moustachios, ‘whether his mother knew that he was out;’ and a sixth had just suggested the propriety of ‘flaring up,’ when the screen […] was raised.</w:t>
      </w:r>
      <w:r w:rsidRPr="00CD6967">
        <w:rPr>
          <w:rStyle w:val="FootnoteReference"/>
          <w:rFonts w:ascii="Times New Roman" w:hAnsi="Times New Roman" w:cs="Times New Roman"/>
          <w:sz w:val="24"/>
          <w:szCs w:val="24"/>
        </w:rPr>
        <w:footnoteReference w:id="395"/>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On one level, this is a stereotypical picture of the pit and gallery, where English artisans and mechanics express anti-authoritarian attitudes which Thackeray noted echoed the popular drama they had come to see: ‘I scarce remember a story or theatrical piece in which a wicked aristocrat is not bepummelled by a dashing young champion of the people’.</w:t>
      </w:r>
      <w:r w:rsidRPr="00CD6967">
        <w:rPr>
          <w:rStyle w:val="FootnoteReference"/>
          <w:rFonts w:ascii="Times New Roman" w:hAnsi="Times New Roman" w:cs="Times New Roman"/>
          <w:sz w:val="24"/>
          <w:szCs w:val="24"/>
        </w:rPr>
        <w:footnoteReference w:id="396"/>
      </w:r>
      <w:r w:rsidRPr="00CD6967">
        <w:rPr>
          <w:rFonts w:ascii="Times New Roman" w:hAnsi="Times New Roman" w:cs="Times New Roman"/>
          <w:sz w:val="24"/>
          <w:szCs w:val="24"/>
        </w:rPr>
        <w:t xml:space="preserve">  In this light, the scene can be taken as an expression of uproarious high spirits.  However, there is also a definite sense that such behaviour is misdirected and threatening.  The old gentleman is ‘inoffensive’ while the question to the ‘young dandy’ is an open invitation for a fight.  The ‘sixth’ contribution contains potential meanings that range from encouraging a riot to burning down the theatre.</w:t>
      </w:r>
      <w:r w:rsidRPr="00CD6967">
        <w:rPr>
          <w:rStyle w:val="FootnoteReference"/>
          <w:rFonts w:ascii="Times New Roman" w:hAnsi="Times New Roman" w:cs="Times New Roman"/>
          <w:sz w:val="24"/>
          <w:szCs w:val="24"/>
        </w:rPr>
        <w:footnoteReference w:id="397"/>
      </w:r>
    </w:p>
    <w:p w:rsidR="00C76704" w:rsidRPr="000C639F"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While humorous, these </w:t>
      </w:r>
      <w:r w:rsidRPr="000C639F">
        <w:rPr>
          <w:rFonts w:ascii="Times New Roman" w:hAnsi="Times New Roman" w:cs="Times New Roman"/>
          <w:sz w:val="24"/>
          <w:szCs w:val="24"/>
        </w:rPr>
        <w:t>scenes point to</w:t>
      </w:r>
      <w:r w:rsidRPr="00CD6967">
        <w:rPr>
          <w:rFonts w:ascii="Times New Roman" w:hAnsi="Times New Roman" w:cs="Times New Roman"/>
          <w:sz w:val="24"/>
          <w:szCs w:val="24"/>
        </w:rPr>
        <w:t xml:space="preserve"> what Reynolds saw as failings when characters were confined to the negative aspects of Sam Weller’s rebelliousness.  The unique relationship he has with Pickwick means he holds a privileged position generally denied to others, allowing him space for self-expression.  However, Sam is also able to create this space when necessary, particularly through exercising his verbal resources.  The openness he shows to French radicalism displays the capacity to enrich his outlook with ideas that amount to an alternative view of the world.  The minor characters discussed above lack such qualities, </w:t>
      </w:r>
      <w:r w:rsidRPr="00CD6967">
        <w:rPr>
          <w:rFonts w:ascii="Times New Roman" w:hAnsi="Times New Roman" w:cs="Times New Roman"/>
          <w:sz w:val="24"/>
          <w:szCs w:val="24"/>
        </w:rPr>
        <w:lastRenderedPageBreak/>
        <w:t xml:space="preserve">with their restricted use of language symbolizing an inability to see beyond immediate problems.  For Reynolds, there is little satisfaction to be had in the success of Muggins’s cook Mary, who is unconcerned by the immorality of her actions.  Her incessant arguing and answering </w:t>
      </w:r>
      <w:r w:rsidRPr="000C639F">
        <w:rPr>
          <w:rFonts w:ascii="Times New Roman" w:hAnsi="Times New Roman" w:cs="Times New Roman"/>
          <w:sz w:val="24"/>
          <w:szCs w:val="24"/>
        </w:rPr>
        <w:t>back bear only a superficial resemblance to Sam’s discourse, having none of its acute social commentary or concern for the plight of others.  Such protest is marked by greed, dishonesty and ingratitude.  In the case of the theatre audience, it entails unwarranted physical aggression.  Through the surface comicality, the protagonists are important because the traits they display are noticeable in more serious representations, as will be discussed later, giving added cohesion to the overall portrayal</w:t>
      </w:r>
      <w:r w:rsidR="00FA1A0E" w:rsidRPr="000C639F">
        <w:rPr>
          <w:rFonts w:ascii="Times New Roman" w:hAnsi="Times New Roman" w:cs="Times New Roman"/>
          <w:sz w:val="24"/>
          <w:szCs w:val="24"/>
        </w:rPr>
        <w:t xml:space="preserve"> of this form of opposition</w:t>
      </w:r>
      <w:r w:rsidRPr="000C639F">
        <w:rPr>
          <w:rFonts w:ascii="Times New Roman" w:hAnsi="Times New Roman" w:cs="Times New Roman"/>
          <w:sz w:val="24"/>
          <w:szCs w:val="24"/>
        </w:rPr>
        <w:t>.</w:t>
      </w:r>
    </w:p>
    <w:p w:rsidR="00C76704" w:rsidRPr="00CD6967" w:rsidRDefault="00C76704" w:rsidP="00C76704">
      <w:pPr>
        <w:spacing w:after="120" w:line="360" w:lineRule="auto"/>
        <w:ind w:firstLine="720"/>
        <w:rPr>
          <w:rFonts w:ascii="Times New Roman" w:hAnsi="Times New Roman" w:cs="Times New Roman"/>
          <w:sz w:val="24"/>
          <w:szCs w:val="24"/>
        </w:rPr>
      </w:pPr>
      <w:r w:rsidRPr="000C639F">
        <w:rPr>
          <w:rFonts w:ascii="Times New Roman" w:hAnsi="Times New Roman" w:cs="Times New Roman"/>
          <w:sz w:val="24"/>
          <w:szCs w:val="24"/>
        </w:rPr>
        <w:t>Occasionally, Reynolds shows disreputable protest resulting from a tendency</w:t>
      </w:r>
      <w:r w:rsidRPr="00CD6967">
        <w:rPr>
          <w:rFonts w:ascii="Times New Roman" w:hAnsi="Times New Roman" w:cs="Times New Roman"/>
          <w:sz w:val="24"/>
          <w:szCs w:val="24"/>
        </w:rPr>
        <w:t xml:space="preserve"> to see life in an overly melodramatic framework.  Ellen Bayuk Rosenman notes that melodrama ‘infused political writing with a keen, Manichaean sense of right and wrong, powerlessness and power, distributed along class lines’.</w:t>
      </w:r>
      <w:r w:rsidRPr="00CD6967">
        <w:rPr>
          <w:rStyle w:val="FootnoteReference"/>
          <w:rFonts w:ascii="Times New Roman" w:hAnsi="Times New Roman" w:cs="Times New Roman"/>
          <w:sz w:val="24"/>
          <w:szCs w:val="24"/>
        </w:rPr>
        <w:footnoteReference w:id="398"/>
      </w:r>
      <w:r w:rsidRPr="00CD6967">
        <w:rPr>
          <w:rFonts w:ascii="Times New Roman" w:hAnsi="Times New Roman" w:cs="Times New Roman"/>
          <w:sz w:val="24"/>
          <w:szCs w:val="24"/>
        </w:rPr>
        <w:t xml:space="preserve">  Michael Shirley writes that Reynolds structuring his political arguments in this way proved to be in harmony with the assumptions of ‘members of a radical reading public who could readily picture the day-to-day reality of their lives in a melodramatic manner’.</w:t>
      </w:r>
      <w:r w:rsidRPr="00CD6967">
        <w:rPr>
          <w:rStyle w:val="FootnoteReference"/>
          <w:rFonts w:ascii="Times New Roman" w:hAnsi="Times New Roman" w:cs="Times New Roman"/>
          <w:sz w:val="24"/>
          <w:szCs w:val="24"/>
        </w:rPr>
        <w:footnoteReference w:id="399"/>
      </w:r>
      <w:r w:rsidRPr="00CD6967">
        <w:rPr>
          <w:rFonts w:ascii="Times New Roman" w:hAnsi="Times New Roman" w:cs="Times New Roman"/>
          <w:sz w:val="24"/>
          <w:szCs w:val="24"/>
        </w:rPr>
        <w:t xml:space="preserve">  The emphasis upon stark social divisions allowed for utopian visions that might encourage people to develop progressive concepts.  However, despite much of Reynolds’s work falling into this category the underlying values of his cautious radicalism made him mindful of the potential shortcomings of dissent that relied upon what he saw as simplistic and far-fetched arguments.  Before his involvement with cheap sensation fiction, he had attacked it through the figure of Mr Bambross, described as a literary scrub ‘vamping up French anecdotes into tales to suit the fastidious English, and glorifying himself on account of their insertion in the London penny publications, at the rate of five shillings a column of very small type’.</w:t>
      </w:r>
      <w:r w:rsidRPr="00CD6967">
        <w:rPr>
          <w:rStyle w:val="FootnoteReference"/>
          <w:rFonts w:ascii="Times New Roman" w:hAnsi="Times New Roman" w:cs="Times New Roman"/>
          <w:sz w:val="24"/>
          <w:szCs w:val="24"/>
        </w:rPr>
        <w:footnoteReference w:id="400"/>
      </w:r>
      <w:r w:rsidRPr="00CD6967">
        <w:rPr>
          <w:rFonts w:ascii="Times New Roman" w:hAnsi="Times New Roman" w:cs="Times New Roman"/>
          <w:sz w:val="24"/>
          <w:szCs w:val="24"/>
        </w:rPr>
        <w:t xml:space="preserve">  The criticism continued by scorning such literature for its association with a criminal and semi-literate audience.  Reynolds remained wary even after embracing penny periodicals as his favoured format, reflected by John Wilson Ross’s article for the </w:t>
      </w:r>
      <w:r w:rsidRPr="00CD6967">
        <w:rPr>
          <w:rFonts w:ascii="Times New Roman" w:hAnsi="Times New Roman" w:cs="Times New Roman"/>
          <w:i/>
          <w:sz w:val="24"/>
          <w:szCs w:val="24"/>
        </w:rPr>
        <w:t>London Journal</w:t>
      </w:r>
      <w:r w:rsidRPr="00CD6967">
        <w:rPr>
          <w:rFonts w:ascii="Times New Roman" w:hAnsi="Times New Roman" w:cs="Times New Roman"/>
          <w:sz w:val="24"/>
          <w:szCs w:val="24"/>
        </w:rPr>
        <w:t xml:space="preserve"> which gave a balanced view of the sensationalist genre, praising </w:t>
      </w:r>
      <w:r w:rsidRPr="00CD6967">
        <w:rPr>
          <w:rFonts w:ascii="Times New Roman" w:hAnsi="Times New Roman" w:cs="Times New Roman"/>
          <w:i/>
          <w:sz w:val="24"/>
          <w:szCs w:val="24"/>
        </w:rPr>
        <w:t xml:space="preserve">Mysteries of </w:t>
      </w:r>
      <w:r w:rsidR="00130860">
        <w:rPr>
          <w:rFonts w:ascii="Times New Roman" w:hAnsi="Times New Roman" w:cs="Times New Roman"/>
          <w:i/>
          <w:sz w:val="24"/>
          <w:szCs w:val="24"/>
        </w:rPr>
        <w:t xml:space="preserve">London </w:t>
      </w:r>
      <w:r w:rsidRPr="00CD6967">
        <w:rPr>
          <w:rFonts w:ascii="Times New Roman" w:hAnsi="Times New Roman" w:cs="Times New Roman"/>
          <w:sz w:val="24"/>
          <w:szCs w:val="24"/>
        </w:rPr>
        <w:t>for its moral content and realism while spurning the overwrought fantasies promulgated elsewhere:</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bCs/>
          <w:sz w:val="24"/>
          <w:szCs w:val="24"/>
        </w:rPr>
        <w:lastRenderedPageBreak/>
        <w:t>The people thereby fall into every kind of irregularity and derangement.  They are left at the mercy of unhallowed passions and evil lusts of which they soon become the prey.  It was in consequence of this</w:t>
      </w:r>
      <w:r w:rsidRPr="00CD6967">
        <w:rPr>
          <w:rFonts w:ascii="Times New Roman" w:hAnsi="Times New Roman" w:cs="Times New Roman"/>
          <w:sz w:val="24"/>
          <w:szCs w:val="24"/>
        </w:rPr>
        <w:t>—</w:t>
      </w:r>
      <w:r w:rsidRPr="00CD6967">
        <w:rPr>
          <w:rFonts w:ascii="Times New Roman" w:hAnsi="Times New Roman" w:cs="Times New Roman"/>
          <w:bCs/>
          <w:sz w:val="24"/>
          <w:szCs w:val="24"/>
        </w:rPr>
        <w:t>of the romances, that we have condemned, flattering the passions, prejudices, and frailties of the multitude.</w:t>
      </w:r>
      <w:r w:rsidRPr="00CD6967">
        <w:rPr>
          <w:rStyle w:val="FootnoteReference"/>
          <w:rFonts w:ascii="Times New Roman" w:hAnsi="Times New Roman" w:cs="Times New Roman"/>
          <w:sz w:val="24"/>
          <w:szCs w:val="24"/>
        </w:rPr>
        <w:footnoteReference w:id="401"/>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 xml:space="preserve">Reynolds’s dismissal of such escapism is unsurprising since he attempts to ground his own ‘melodramatic utopias’ within an analysis of contemporary social conditions.  At the time Ross’s article appeared, ‘Etiquette for the Millions’ was promoting an agenda that argued the advancement of the industrious classes must come through development of intellect not exercise of passions that might lead to the deranged thoughts referred to by Ross.  Their effect was fraught with danger, as suggested in </w:t>
      </w:r>
      <w:r w:rsidRPr="00CD6967">
        <w:rPr>
          <w:rFonts w:ascii="Times New Roman" w:hAnsi="Times New Roman" w:cs="Times New Roman"/>
          <w:i/>
          <w:iCs/>
          <w:sz w:val="24"/>
          <w:szCs w:val="24"/>
        </w:rPr>
        <w:t>Mary Price</w:t>
      </w:r>
      <w:r w:rsidRPr="00CD6967">
        <w:rPr>
          <w:rFonts w:ascii="Times New Roman" w:hAnsi="Times New Roman" w:cs="Times New Roman"/>
          <w:sz w:val="24"/>
          <w:szCs w:val="24"/>
        </w:rPr>
        <w:t xml:space="preserve"> (1851–53) by the experiences of the good-natured Jemima, nursery maid to Lord and Lady Harlesdon, who comes under the influence of a pamphlet about fortune telling entitled the ‘Norwood Gipsy’.  Rather than Jemima’s fantasies resulting in rebellious ideas, she empties her purse into the hands of a ‘Gipsy Queen’ to be told she will marry ‘a great Prince from foreign parts’.</w:t>
      </w:r>
      <w:r w:rsidRPr="00CD6967">
        <w:rPr>
          <w:rStyle w:val="FootnoteReference"/>
          <w:rFonts w:ascii="Times New Roman" w:hAnsi="Times New Roman" w:cs="Times New Roman"/>
          <w:sz w:val="24"/>
          <w:szCs w:val="24"/>
        </w:rPr>
        <w:footnoteReference w:id="402"/>
      </w:r>
      <w:r w:rsidRPr="00CD6967">
        <w:rPr>
          <w:rFonts w:ascii="Times New Roman" w:hAnsi="Times New Roman" w:cs="Times New Roman"/>
          <w:sz w:val="24"/>
          <w:szCs w:val="24"/>
        </w:rPr>
        <w:t xml:space="preserve">  Lost in this dream world she fails to perform duties correctly and the young Isabella Harlesdon is kidnapped while in her charge</w:t>
      </w:r>
      <w:r w:rsidRPr="000C639F">
        <w:rPr>
          <w:rFonts w:ascii="Times New Roman" w:hAnsi="Times New Roman" w:cs="Times New Roman"/>
          <w:sz w:val="24"/>
          <w:szCs w:val="24"/>
        </w:rPr>
        <w:t>.  A</w:t>
      </w:r>
      <w:r w:rsidR="0078162B" w:rsidRPr="000C639F">
        <w:rPr>
          <w:rFonts w:ascii="Times New Roman" w:hAnsi="Times New Roman" w:cs="Times New Roman"/>
          <w:sz w:val="24"/>
          <w:szCs w:val="24"/>
        </w:rPr>
        <w:t>fter</w:t>
      </w:r>
      <w:r w:rsidRPr="000C639F">
        <w:rPr>
          <w:rFonts w:ascii="Times New Roman" w:hAnsi="Times New Roman" w:cs="Times New Roman"/>
          <w:sz w:val="24"/>
          <w:szCs w:val="24"/>
        </w:rPr>
        <w:t xml:space="preserve"> the</w:t>
      </w:r>
      <w:r w:rsidRPr="00CD6967">
        <w:rPr>
          <w:rFonts w:ascii="Times New Roman" w:hAnsi="Times New Roman" w:cs="Times New Roman"/>
          <w:sz w:val="24"/>
          <w:szCs w:val="24"/>
        </w:rPr>
        <w:t xml:space="preserve"> child is rescued, Jemima fails to learn lessons from the event.  Instead of dealing with life in a rational manner, she dwells in illusions driven by London plays and ‘novels of the Minerva Press’.</w:t>
      </w:r>
      <w:r w:rsidRPr="00CD6967">
        <w:rPr>
          <w:rStyle w:val="FootnoteReference"/>
          <w:rFonts w:ascii="Times New Roman" w:hAnsi="Times New Roman" w:cs="Times New Roman"/>
          <w:sz w:val="24"/>
          <w:szCs w:val="24"/>
        </w:rPr>
        <w:footnoteReference w:id="403"/>
      </w:r>
      <w:r w:rsidRPr="00CD6967">
        <w:rPr>
          <w:rFonts w:ascii="Times New Roman" w:hAnsi="Times New Roman" w:cs="Times New Roman"/>
          <w:sz w:val="24"/>
          <w:szCs w:val="24"/>
        </w:rPr>
        <w:t xml:space="preserve">  Later, when travelling on the continent, she is again tricked, this time by a ‘fine, tall, dashing-looking gentleman’ with a military-look and moustachios.</w:t>
      </w:r>
      <w:r w:rsidRPr="00CD6967">
        <w:rPr>
          <w:rStyle w:val="FootnoteReference"/>
          <w:rFonts w:ascii="Times New Roman" w:hAnsi="Times New Roman" w:cs="Times New Roman"/>
          <w:sz w:val="24"/>
          <w:szCs w:val="24"/>
        </w:rPr>
        <w:footnoteReference w:id="404"/>
      </w:r>
      <w:r w:rsidRPr="00CD6967">
        <w:rPr>
          <w:rFonts w:ascii="Times New Roman" w:hAnsi="Times New Roman" w:cs="Times New Roman"/>
          <w:sz w:val="24"/>
          <w:szCs w:val="24"/>
        </w:rPr>
        <w:t xml:space="preserve">  Remembering the Gipsy Queen’s prediction, she believes the claim of the fraudster Charles Leroux that he is the Prince de Chantilly as she confesses to Mary:</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 xml:space="preserve">Things as unlikely have happened in the world; and I have read in a book that a servant-girl became Empress of Russia.  Why should </w:t>
      </w:r>
      <w:r w:rsidRPr="00CD6967">
        <w:rPr>
          <w:rFonts w:ascii="Times New Roman" w:hAnsi="Times New Roman" w:cs="Times New Roman"/>
          <w:bCs/>
          <w:sz w:val="24"/>
          <w:szCs w:val="24"/>
        </w:rPr>
        <w:t>no[t]</w:t>
      </w:r>
      <w:r w:rsidRPr="00CD6967">
        <w:rPr>
          <w:rFonts w:ascii="Times New Roman" w:hAnsi="Times New Roman" w:cs="Times New Roman"/>
          <w:sz w:val="24"/>
          <w:szCs w:val="24"/>
        </w:rPr>
        <w:t xml:space="preserve"> I, then, become Princess of Chantilly?’—Such ideas as these went running on in my foolish head till I scarcely knew what I was doing.</w:t>
      </w:r>
      <w:r w:rsidRPr="00CD6967">
        <w:rPr>
          <w:rStyle w:val="FootnoteReference"/>
          <w:rFonts w:ascii="Times New Roman" w:hAnsi="Times New Roman" w:cs="Times New Roman"/>
          <w:sz w:val="24"/>
          <w:szCs w:val="24"/>
        </w:rPr>
        <w:footnoteReference w:id="405"/>
      </w:r>
    </w:p>
    <w:p w:rsidR="00C76704" w:rsidRPr="00CD6967" w:rsidRDefault="00C76704" w:rsidP="00C76704">
      <w:pPr>
        <w:spacing w:after="120" w:line="360" w:lineRule="auto"/>
        <w:rPr>
          <w:rFonts w:ascii="Times New Roman" w:hAnsi="Times New Roman" w:cs="Times New Roman"/>
          <w:sz w:val="24"/>
          <w:szCs w:val="24"/>
        </w:rPr>
      </w:pPr>
      <w:bookmarkStart w:id="0" w:name="_Hlk519700237"/>
      <w:r w:rsidRPr="00CD6967">
        <w:rPr>
          <w:rFonts w:ascii="Times New Roman" w:hAnsi="Times New Roman" w:cs="Times New Roman"/>
          <w:sz w:val="24"/>
          <w:szCs w:val="24"/>
        </w:rPr>
        <w:t xml:space="preserve">Unfortunately, protest against the tedium of life sees Jemima looking not for the ‘unlikely’ but the impossible.  In this flustered state she fails to adopt appropriate rules of conduct that would see her reject the man’s rather forward advances.  Consequently, a few snatched kisses along with a false promise of marriage lead to dreams of being a Princess, with thoughts of having higher rank than Lord and Lady Harlesdon and of the extravagant clothes she will </w:t>
      </w:r>
      <w:r w:rsidRPr="00CD6967">
        <w:rPr>
          <w:rFonts w:ascii="Times New Roman" w:hAnsi="Times New Roman" w:cs="Times New Roman"/>
          <w:sz w:val="24"/>
          <w:szCs w:val="24"/>
        </w:rPr>
        <w:lastRenderedPageBreak/>
        <w:t xml:space="preserve">wear when presented at the French Court ‘in white brocaded </w:t>
      </w:r>
      <w:r w:rsidRPr="000C639F">
        <w:rPr>
          <w:rFonts w:ascii="Times New Roman" w:hAnsi="Times New Roman" w:cs="Times New Roman"/>
          <w:sz w:val="24"/>
          <w:szCs w:val="24"/>
        </w:rPr>
        <w:t>satin and ostrich plumes’</w:t>
      </w:r>
      <w:r w:rsidR="0078162B" w:rsidRPr="000C639F">
        <w:rPr>
          <w:rFonts w:ascii="Times New Roman" w:hAnsi="Times New Roman" w:cs="Times New Roman"/>
          <w:sz w:val="24"/>
          <w:szCs w:val="24"/>
        </w:rPr>
        <w:t>.</w:t>
      </w:r>
      <w:r w:rsidRPr="000C639F">
        <w:rPr>
          <w:rStyle w:val="FootnoteReference"/>
          <w:rFonts w:ascii="Times New Roman" w:hAnsi="Times New Roman" w:cs="Times New Roman"/>
          <w:sz w:val="24"/>
          <w:szCs w:val="24"/>
        </w:rPr>
        <w:t xml:space="preserve"> </w:t>
      </w:r>
      <w:r w:rsidRPr="000C639F">
        <w:rPr>
          <w:rStyle w:val="FootnoteReference"/>
          <w:rFonts w:ascii="Times New Roman" w:hAnsi="Times New Roman" w:cs="Times New Roman"/>
          <w:sz w:val="24"/>
          <w:szCs w:val="24"/>
        </w:rPr>
        <w:footnoteReference w:id="406"/>
      </w:r>
      <w:r w:rsidRPr="000C639F">
        <w:rPr>
          <w:rFonts w:ascii="Times New Roman" w:hAnsi="Times New Roman" w:cs="Times New Roman"/>
          <w:sz w:val="24"/>
          <w:szCs w:val="24"/>
        </w:rPr>
        <w:t xml:space="preserve">  Inevitably such whimsical ideas result in the loss of all her savings to the unscrupulous</w:t>
      </w:r>
      <w:r w:rsidRPr="00CD6967">
        <w:rPr>
          <w:rFonts w:ascii="Times New Roman" w:hAnsi="Times New Roman" w:cs="Times New Roman"/>
          <w:sz w:val="24"/>
          <w:szCs w:val="24"/>
        </w:rPr>
        <w:t xml:space="preserve"> Leroux.  These experiences suggest the harm that might arise when individuals fail to let reason govern their conduct.  Reynolds’s judgment is quite lenient in this matter, since such ill-fated fantasizing in so far as it constitutes disreputable behaviour is committed with no intention of causing harm.  Additionally, Jemima’s acknowledgment of folly indicates the ability to abandon this unbalanced view of life and allow her better qualities to guide future actions.</w:t>
      </w:r>
    </w:p>
    <w:bookmarkEnd w:id="0"/>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ab/>
        <w:t xml:space="preserve">This even-handed approach points to Reynolds recognizing disreputable protest was frequently a justifiable if distorted response to injustice, and one that might elevate itself by incorporating elements commonly associated with respectable dissent.  </w:t>
      </w:r>
      <w:r w:rsidRPr="00CD6967">
        <w:rPr>
          <w:rFonts w:ascii="Times New Roman" w:hAnsi="Times New Roman" w:cs="Times New Roman"/>
          <w:bCs/>
          <w:sz w:val="24"/>
          <w:szCs w:val="24"/>
        </w:rPr>
        <w:t xml:space="preserve">An example occurs at the ‘Dark House’ pub in </w:t>
      </w:r>
      <w:r w:rsidRPr="00CD6967">
        <w:rPr>
          <w:rFonts w:ascii="Times New Roman" w:hAnsi="Times New Roman" w:cs="Times New Roman"/>
          <w:bCs/>
          <w:i/>
          <w:sz w:val="24"/>
          <w:szCs w:val="24"/>
        </w:rPr>
        <w:t>The Mysteries of London</w:t>
      </w:r>
      <w:r w:rsidRPr="00CD6967">
        <w:rPr>
          <w:rFonts w:ascii="Times New Roman" w:hAnsi="Times New Roman" w:cs="Times New Roman"/>
          <w:bCs/>
          <w:sz w:val="24"/>
          <w:szCs w:val="24"/>
        </w:rPr>
        <w:t xml:space="preserve"> as the former engraver William Pocock recounts being lured into crime,</w:t>
      </w:r>
      <w:r w:rsidRPr="00CD6967">
        <w:rPr>
          <w:rFonts w:ascii="Times New Roman" w:hAnsi="Times New Roman" w:cs="Times New Roman"/>
          <w:sz w:val="24"/>
          <w:szCs w:val="24"/>
        </w:rPr>
        <w:t xml:space="preserve"> when depressed after his wife’s </w:t>
      </w:r>
      <w:r w:rsidRPr="00CD6967">
        <w:rPr>
          <w:rFonts w:ascii="Times New Roman" w:hAnsi="Times New Roman" w:cs="Times New Roman"/>
          <w:bCs/>
          <w:sz w:val="24"/>
          <w:szCs w:val="24"/>
        </w:rPr>
        <w:t>death, by Sir Rupert Harborough and the fashionable Mr Chichester.  He expresses anger at how they later abandoned him to poverty and spurned him in the street after no longer requiring his services.</w:t>
      </w:r>
      <w:r w:rsidRPr="00CD6967">
        <w:rPr>
          <w:rStyle w:val="FootnoteReference"/>
          <w:rFonts w:ascii="Times New Roman" w:hAnsi="Times New Roman" w:cs="Times New Roman"/>
          <w:bCs/>
          <w:sz w:val="24"/>
          <w:szCs w:val="24"/>
        </w:rPr>
        <w:footnoteReference w:id="407"/>
      </w:r>
      <w:r w:rsidRPr="00CD6967">
        <w:rPr>
          <w:rFonts w:ascii="Times New Roman" w:hAnsi="Times New Roman" w:cs="Times New Roman"/>
          <w:bCs/>
          <w:sz w:val="24"/>
          <w:szCs w:val="24"/>
        </w:rPr>
        <w:t xml:space="preserve">  Their schemes resulted in the imprisonment of Richard Markham, for whom he expresses regret unaware the victim is listening nearby.  </w:t>
      </w:r>
      <w:r w:rsidRPr="00CD6967">
        <w:rPr>
          <w:rFonts w:ascii="Times New Roman" w:hAnsi="Times New Roman" w:cs="Times New Roman"/>
          <w:sz w:val="24"/>
          <w:szCs w:val="24"/>
        </w:rPr>
        <w:t>Despite his activities</w:t>
      </w:r>
      <w:r w:rsidRPr="00CD6967">
        <w:rPr>
          <w:rFonts w:ascii="Times New Roman" w:hAnsi="Times New Roman" w:cs="Times New Roman"/>
          <w:bCs/>
          <w:sz w:val="24"/>
          <w:szCs w:val="24"/>
        </w:rPr>
        <w:t xml:space="preserve">, Pocock </w:t>
      </w:r>
      <w:r w:rsidRPr="00CD6967">
        <w:rPr>
          <w:rFonts w:ascii="Times New Roman" w:hAnsi="Times New Roman" w:cs="Times New Roman"/>
          <w:sz w:val="24"/>
          <w:szCs w:val="24"/>
        </w:rPr>
        <w:t>has not sunken into the dangerous classes</w:t>
      </w:r>
      <w:r w:rsidRPr="00CD6967">
        <w:rPr>
          <w:rFonts w:ascii="Times New Roman" w:hAnsi="Times New Roman" w:cs="Times New Roman"/>
          <w:bCs/>
          <w:sz w:val="24"/>
          <w:szCs w:val="24"/>
        </w:rPr>
        <w:t xml:space="preserve"> and earnestly seeks an honest livelihood.  </w:t>
      </w:r>
      <w:r w:rsidRPr="00CD6967">
        <w:rPr>
          <w:rFonts w:ascii="Times New Roman" w:hAnsi="Times New Roman" w:cs="Times New Roman"/>
          <w:sz w:val="24"/>
          <w:szCs w:val="24"/>
        </w:rPr>
        <w:t xml:space="preserve">The tavern is a notorious haunt </w:t>
      </w:r>
      <w:r w:rsidRPr="00CD6967">
        <w:rPr>
          <w:rFonts w:ascii="Times New Roman" w:hAnsi="Times New Roman" w:cs="Times New Roman"/>
          <w:bCs/>
          <w:sz w:val="24"/>
          <w:szCs w:val="24"/>
        </w:rPr>
        <w:t>around Brick Lane</w:t>
      </w:r>
      <w:r w:rsidRPr="00CD6967">
        <w:rPr>
          <w:rFonts w:ascii="Times New Roman" w:hAnsi="Times New Roman" w:cs="Times New Roman"/>
          <w:sz w:val="24"/>
          <w:szCs w:val="24"/>
        </w:rPr>
        <w:t xml:space="preserve"> used by criminal gangs, but in this scene the main protagonists are less venal and </w:t>
      </w:r>
      <w:r w:rsidRPr="00CD6967">
        <w:rPr>
          <w:rFonts w:ascii="Times New Roman" w:hAnsi="Times New Roman" w:cs="Times New Roman"/>
          <w:bCs/>
          <w:sz w:val="24"/>
          <w:szCs w:val="24"/>
        </w:rPr>
        <w:t xml:space="preserve">Pocock meets with kindness when the rough and ready butcher Griskin </w:t>
      </w:r>
      <w:r w:rsidRPr="00CD6967">
        <w:rPr>
          <w:rFonts w:ascii="Times New Roman" w:hAnsi="Times New Roman" w:cs="Times New Roman"/>
          <w:sz w:val="24"/>
          <w:szCs w:val="24"/>
        </w:rPr>
        <w:t xml:space="preserve">commiserates and </w:t>
      </w:r>
      <w:r w:rsidRPr="00CD6967">
        <w:rPr>
          <w:rFonts w:ascii="Times New Roman" w:hAnsi="Times New Roman" w:cs="Times New Roman"/>
          <w:bCs/>
          <w:sz w:val="24"/>
          <w:szCs w:val="24"/>
        </w:rPr>
        <w:t xml:space="preserve">buys him a meal.  After his erstwhile associates enter, the place becomes a forum for their exposure and the truth that would be dismissed in the aristocratically influenced courts of law can be heard.  </w:t>
      </w:r>
      <w:r w:rsidRPr="00CD6967">
        <w:rPr>
          <w:rFonts w:ascii="Times New Roman" w:hAnsi="Times New Roman" w:cs="Times New Roman"/>
          <w:sz w:val="24"/>
          <w:szCs w:val="24"/>
        </w:rPr>
        <w:t xml:space="preserve">Reynolds lends respectability to the scene when </w:t>
      </w:r>
      <w:r w:rsidRPr="000C639F">
        <w:rPr>
          <w:rFonts w:ascii="Times New Roman" w:hAnsi="Times New Roman" w:cs="Times New Roman"/>
          <w:sz w:val="24"/>
          <w:szCs w:val="24"/>
        </w:rPr>
        <w:t xml:space="preserve">Markham </w:t>
      </w:r>
      <w:r w:rsidR="00C42D4C" w:rsidRPr="000C639F">
        <w:rPr>
          <w:rFonts w:ascii="Times New Roman" w:hAnsi="Times New Roman" w:cs="Times New Roman"/>
          <w:sz w:val="24"/>
          <w:szCs w:val="24"/>
        </w:rPr>
        <w:t>introduces</w:t>
      </w:r>
      <w:r w:rsidRPr="000C639F">
        <w:rPr>
          <w:rFonts w:ascii="Times New Roman" w:hAnsi="Times New Roman" w:cs="Times New Roman"/>
          <w:sz w:val="24"/>
          <w:szCs w:val="24"/>
        </w:rPr>
        <w:t xml:space="preserve"> himself</w:t>
      </w:r>
      <w:r w:rsidRPr="00CD6967">
        <w:rPr>
          <w:rFonts w:ascii="Times New Roman" w:hAnsi="Times New Roman" w:cs="Times New Roman"/>
          <w:sz w:val="24"/>
          <w:szCs w:val="24"/>
        </w:rPr>
        <w:t xml:space="preserve"> and the listeners are impressed by his pronouncement that the chance gathering is a sign of the Almighty’s Providence.  Justice is dispensed when Griskin and a barber’s boy deal the reprobates a severe thrashing.  There is merit in such retribution, since Richard’s confirmation of Pocock’s complaint proves their guilt and the onlookers have endured Harborough’s haughty reference to them as ‘Spitalfields’ riff-raff’.</w:t>
      </w:r>
      <w:r w:rsidRPr="00CD6967">
        <w:rPr>
          <w:rStyle w:val="FootnoteReference"/>
          <w:rFonts w:ascii="Times New Roman" w:hAnsi="Times New Roman" w:cs="Times New Roman"/>
          <w:sz w:val="24"/>
          <w:szCs w:val="24"/>
        </w:rPr>
        <w:footnoteReference w:id="408"/>
      </w:r>
      <w:r w:rsidRPr="00CD6967">
        <w:rPr>
          <w:rFonts w:ascii="Times New Roman" w:hAnsi="Times New Roman" w:cs="Times New Roman"/>
          <w:sz w:val="24"/>
          <w:szCs w:val="24"/>
        </w:rPr>
        <w:t xml:space="preserve">  However, Reynolds simultaneously questions what these actions express psychologically.  Griskin although said to be ‘good-natured in his way’ continually displays </w:t>
      </w:r>
      <w:r w:rsidRPr="00CD6967">
        <w:rPr>
          <w:rFonts w:ascii="Times New Roman" w:hAnsi="Times New Roman" w:cs="Times New Roman"/>
          <w:sz w:val="24"/>
          <w:szCs w:val="24"/>
        </w:rPr>
        <w:lastRenderedPageBreak/>
        <w:t>an unprincipled pragmatism.</w:t>
      </w:r>
      <w:r w:rsidRPr="00CD6967">
        <w:rPr>
          <w:rStyle w:val="FootnoteReference"/>
          <w:rFonts w:ascii="Times New Roman" w:hAnsi="Times New Roman" w:cs="Times New Roman"/>
          <w:sz w:val="24"/>
          <w:szCs w:val="24"/>
        </w:rPr>
        <w:footnoteReference w:id="409"/>
      </w:r>
      <w:r w:rsidRPr="00CD6967">
        <w:rPr>
          <w:rFonts w:ascii="Times New Roman" w:hAnsi="Times New Roman" w:cs="Times New Roman"/>
          <w:sz w:val="24"/>
          <w:szCs w:val="24"/>
        </w:rPr>
        <w:t xml:space="preserve">  It is seen by his boast of having cleared debts through manipulating the bankruptcy system and in the response to Pocock’s concern for Markham: ‘I raly don’t see that you need to take on so […] for after all, you’d better let another feller get into trouble than be locked up in lavender yourself.’</w:t>
      </w:r>
      <w:r w:rsidRPr="00CD6967">
        <w:rPr>
          <w:rStyle w:val="FootnoteReference"/>
          <w:rFonts w:ascii="Times New Roman" w:hAnsi="Times New Roman" w:cs="Times New Roman"/>
          <w:sz w:val="24"/>
          <w:szCs w:val="24"/>
        </w:rPr>
        <w:footnoteReference w:id="410"/>
      </w:r>
      <w:r w:rsidRPr="00CD6967">
        <w:rPr>
          <w:rFonts w:ascii="Times New Roman" w:hAnsi="Times New Roman" w:cs="Times New Roman"/>
          <w:sz w:val="24"/>
          <w:szCs w:val="24"/>
        </w:rPr>
        <w:t xml:space="preserve">  Such arguments that promote looking to one’s interests at the expense of others suggest the need for justice does not always weigh heavily upon his conscience.  While sympathizing with Pocock, he still jests at the insult received in the street, ‘for one wouldn’t think as how you was titivated off at present to go to the Queen’s le-</w:t>
      </w:r>
      <w:r w:rsidRPr="00CD6967">
        <w:rPr>
          <w:rFonts w:ascii="Times New Roman" w:hAnsi="Times New Roman" w:cs="Times New Roman"/>
          <w:i/>
          <w:sz w:val="24"/>
          <w:szCs w:val="24"/>
        </w:rPr>
        <w:t>vee</w:t>
      </w:r>
      <w:r w:rsidRPr="00CD6967">
        <w:rPr>
          <w:rFonts w:ascii="Times New Roman" w:hAnsi="Times New Roman" w:cs="Times New Roman"/>
          <w:sz w:val="24"/>
          <w:szCs w:val="24"/>
        </w:rPr>
        <w:t>’.</w:t>
      </w:r>
      <w:r w:rsidRPr="00CD6967">
        <w:rPr>
          <w:rStyle w:val="FootnoteReference"/>
          <w:rFonts w:ascii="Times New Roman" w:hAnsi="Times New Roman" w:cs="Times New Roman"/>
          <w:sz w:val="24"/>
          <w:szCs w:val="24"/>
        </w:rPr>
        <w:footnoteReference w:id="411"/>
      </w:r>
      <w:r w:rsidRPr="00CD6967">
        <w:rPr>
          <w:rFonts w:ascii="Times New Roman" w:hAnsi="Times New Roman" w:cs="Times New Roman"/>
          <w:sz w:val="24"/>
          <w:szCs w:val="24"/>
        </w:rPr>
        <w:t xml:space="preserve">  For him the man’s suffering remains to some extent a source of humour.  The portrayal of the combat is similarly equivocal:</w:t>
      </w:r>
    </w:p>
    <w:p w:rsidR="00C76704" w:rsidRPr="00CD6967" w:rsidRDefault="00C76704" w:rsidP="00C76704">
      <w:pPr>
        <w:spacing w:after="120" w:line="240" w:lineRule="auto"/>
        <w:ind w:left="720"/>
        <w:rPr>
          <w:rFonts w:ascii="Times New Roman" w:hAnsi="Times New Roman" w:cs="Times New Roman"/>
          <w:sz w:val="24"/>
          <w:szCs w:val="24"/>
        </w:rPr>
      </w:pPr>
      <w:r w:rsidRPr="00CD6967">
        <w:rPr>
          <w:rFonts w:ascii="Times New Roman" w:hAnsi="Times New Roman" w:cs="Times New Roman"/>
          <w:sz w:val="24"/>
          <w:szCs w:val="24"/>
        </w:rPr>
        <w:t>‘They shan’t go without a wolloping, however,’ said the butcher, very coolly taking off his apron, and turning up the sleeves of his blue stuff jacket.  ‘I’ll take one—who’ll tackle the other?’</w:t>
      </w:r>
    </w:p>
    <w:p w:rsidR="00C76704" w:rsidRPr="00CD6967" w:rsidRDefault="00C76704" w:rsidP="00C76704">
      <w:pPr>
        <w:spacing w:after="120" w:line="240" w:lineRule="auto"/>
        <w:ind w:left="720" w:firstLine="170"/>
        <w:rPr>
          <w:rFonts w:ascii="Times New Roman" w:hAnsi="Times New Roman" w:cs="Times New Roman"/>
          <w:sz w:val="24"/>
          <w:szCs w:val="24"/>
        </w:rPr>
      </w:pPr>
      <w:r w:rsidRPr="00CD6967">
        <w:rPr>
          <w:rFonts w:ascii="Times New Roman" w:hAnsi="Times New Roman" w:cs="Times New Roman"/>
          <w:sz w:val="24"/>
          <w:szCs w:val="24"/>
        </w:rPr>
        <w:t>‘I will,’ cried a barber’s boy, laying aside his pipe, taking a large pull at the porter, and then advancing towards the two adventurers with clenched fists.</w:t>
      </w:r>
    </w:p>
    <w:p w:rsidR="00C76704" w:rsidRPr="00CD6967" w:rsidRDefault="00C76704" w:rsidP="00C76704">
      <w:pPr>
        <w:spacing w:after="120" w:line="240" w:lineRule="auto"/>
        <w:ind w:left="720" w:firstLine="170"/>
        <w:rPr>
          <w:rFonts w:ascii="Times New Roman" w:hAnsi="Times New Roman" w:cs="Times New Roman"/>
          <w:sz w:val="24"/>
          <w:szCs w:val="24"/>
        </w:rPr>
      </w:pPr>
      <w:r w:rsidRPr="00CD6967">
        <w:rPr>
          <w:rFonts w:ascii="Times New Roman" w:hAnsi="Times New Roman" w:cs="Times New Roman"/>
          <w:sz w:val="24"/>
          <w:szCs w:val="24"/>
        </w:rPr>
        <w:t>‘Stop—stop, I implore you!’ ejaculated Markham.  ‘I ask not for such vengeance as this—no violence, I beseech you.’</w:t>
      </w:r>
    </w:p>
    <w:p w:rsidR="00C76704" w:rsidRPr="00CD6967" w:rsidRDefault="00C76704" w:rsidP="00C76704">
      <w:pPr>
        <w:spacing w:after="240" w:line="240" w:lineRule="auto"/>
        <w:ind w:left="720" w:firstLine="170"/>
        <w:rPr>
          <w:rFonts w:ascii="Times New Roman" w:hAnsi="Times New Roman" w:cs="Times New Roman"/>
          <w:sz w:val="24"/>
          <w:szCs w:val="24"/>
        </w:rPr>
      </w:pPr>
      <w:r w:rsidRPr="00CD6967">
        <w:rPr>
          <w:rFonts w:ascii="Times New Roman" w:hAnsi="Times New Roman" w:cs="Times New Roman"/>
          <w:sz w:val="24"/>
          <w:szCs w:val="24"/>
        </w:rPr>
        <w:t>‘Let’s give it ’em in true John Bull style, and knock all that cursed dandy nonsense out of ’em,’ cried the butcher; and before Richard could interfere further, he felled the baronet with one blow of his tremendous fist.</w:t>
      </w:r>
      <w:r w:rsidRPr="00CD6967">
        <w:rPr>
          <w:rStyle w:val="FootnoteReference"/>
          <w:rFonts w:ascii="Times New Roman" w:hAnsi="Times New Roman" w:cs="Times New Roman"/>
          <w:sz w:val="24"/>
          <w:szCs w:val="24"/>
        </w:rPr>
        <w:footnoteReference w:id="412"/>
      </w:r>
    </w:p>
    <w:p w:rsidR="00C76704" w:rsidRPr="00CD6967" w:rsidRDefault="00C76704" w:rsidP="00C76704">
      <w:pPr>
        <w:spacing w:after="120" w:line="360" w:lineRule="auto"/>
        <w:rPr>
          <w:rFonts w:ascii="Times New Roman" w:hAnsi="Times New Roman" w:cs="Times New Roman"/>
          <w:sz w:val="24"/>
          <w:szCs w:val="24"/>
        </w:rPr>
      </w:pPr>
      <w:r w:rsidRPr="00431340">
        <w:rPr>
          <w:rFonts w:ascii="Times New Roman" w:hAnsi="Times New Roman" w:cs="Times New Roman"/>
          <w:sz w:val="24"/>
          <w:szCs w:val="24"/>
        </w:rPr>
        <w:t xml:space="preserve">Reynolds constructs the scene to emphasise the blurred moral qualities of those involved.  </w:t>
      </w:r>
      <w:r w:rsidR="000C639F" w:rsidRPr="00431340">
        <w:rPr>
          <w:rFonts w:ascii="Times New Roman" w:hAnsi="Times New Roman" w:cs="Times New Roman"/>
          <w:sz w:val="24"/>
          <w:szCs w:val="24"/>
        </w:rPr>
        <w:t xml:space="preserve">The manner in which the barber’s boy takes a swig of ale before joining the fray suggests the unwelcome influence of alcohol.  </w:t>
      </w:r>
      <w:r w:rsidRPr="00431340">
        <w:rPr>
          <w:rFonts w:ascii="Times New Roman" w:hAnsi="Times New Roman" w:cs="Times New Roman"/>
          <w:sz w:val="24"/>
          <w:szCs w:val="24"/>
        </w:rPr>
        <w:t>Griskin’s</w:t>
      </w:r>
      <w:r w:rsidRPr="00CD6967">
        <w:rPr>
          <w:rFonts w:ascii="Times New Roman" w:hAnsi="Times New Roman" w:cs="Times New Roman"/>
          <w:sz w:val="24"/>
          <w:szCs w:val="24"/>
        </w:rPr>
        <w:t xml:space="preserve"> reference to ‘cursed dandy nonsense’ endows his action with a sense of class resentment but the ‘John Bull style’ he espouses is more problematic.  While implying a blunt, no-nonsense attitude it also echoes Sam Weller’s early narrow-minded </w:t>
      </w:r>
      <w:r w:rsidRPr="00431340">
        <w:rPr>
          <w:rFonts w:ascii="Times New Roman" w:hAnsi="Times New Roman" w:cs="Times New Roman"/>
          <w:sz w:val="24"/>
          <w:szCs w:val="24"/>
        </w:rPr>
        <w:t>Francophobia.  The cool</w:t>
      </w:r>
      <w:r w:rsidRPr="00CD6967">
        <w:rPr>
          <w:rFonts w:ascii="Times New Roman" w:hAnsi="Times New Roman" w:cs="Times New Roman"/>
          <w:sz w:val="24"/>
          <w:szCs w:val="24"/>
        </w:rPr>
        <w:t xml:space="preserve"> determination to mete out punishment is in a mismatched contest, highlighted by reference to his ‘tremendous fist’ and confirmed by the illustration which shows him in an approved pugilistic stance delivering a ramrod blow into Harborough’s face.  When he continues pummelling the baronet ‘to his heart’s content’, it seems that personal gratification overshadows any desire to redress the injuries suffered by Markham and Pocock.  The watching pub-goers repeat this sentiment with their loud cheers indicating </w:t>
      </w:r>
      <w:r w:rsidRPr="000C639F">
        <w:rPr>
          <w:rFonts w:ascii="Times New Roman" w:hAnsi="Times New Roman" w:cs="Times New Roman"/>
          <w:sz w:val="24"/>
          <w:szCs w:val="24"/>
        </w:rPr>
        <w:t xml:space="preserve">the </w:t>
      </w:r>
      <w:r w:rsidR="00997C06" w:rsidRPr="000C639F">
        <w:rPr>
          <w:rFonts w:ascii="Times New Roman" w:hAnsi="Times New Roman" w:cs="Times New Roman"/>
          <w:sz w:val="24"/>
          <w:szCs w:val="24"/>
        </w:rPr>
        <w:t>wish</w:t>
      </w:r>
      <w:r w:rsidRPr="000C639F">
        <w:rPr>
          <w:rFonts w:ascii="Times New Roman" w:hAnsi="Times New Roman" w:cs="Times New Roman"/>
          <w:sz w:val="24"/>
          <w:szCs w:val="24"/>
        </w:rPr>
        <w:t xml:space="preserve"> to see fairness in the matter is heavily compromised by </w:t>
      </w:r>
      <w:r w:rsidR="00997C06" w:rsidRPr="000C639F">
        <w:rPr>
          <w:rFonts w:ascii="Times New Roman" w:hAnsi="Times New Roman" w:cs="Times New Roman"/>
          <w:sz w:val="24"/>
          <w:szCs w:val="24"/>
        </w:rPr>
        <w:t>wanting</w:t>
      </w:r>
      <w:r w:rsidRPr="000C639F">
        <w:rPr>
          <w:rFonts w:ascii="Times New Roman" w:hAnsi="Times New Roman" w:cs="Times New Roman"/>
          <w:sz w:val="24"/>
          <w:szCs w:val="24"/>
        </w:rPr>
        <w:t xml:space="preserve"> to</w:t>
      </w:r>
      <w:r w:rsidRPr="00CD6967">
        <w:rPr>
          <w:rFonts w:ascii="Times New Roman" w:hAnsi="Times New Roman" w:cs="Times New Roman"/>
          <w:sz w:val="24"/>
          <w:szCs w:val="24"/>
        </w:rPr>
        <w:t xml:space="preserve"> be entertained.  They greet Richard’s plea for restraint favourably but then ignore it, so any </w:t>
      </w:r>
      <w:r w:rsidRPr="00CD6967">
        <w:rPr>
          <w:rFonts w:ascii="Times New Roman" w:hAnsi="Times New Roman" w:cs="Times New Roman"/>
          <w:sz w:val="24"/>
          <w:szCs w:val="24"/>
        </w:rPr>
        <w:lastRenderedPageBreak/>
        <w:t xml:space="preserve">generous feelings apparently </w:t>
      </w:r>
      <w:r w:rsidRPr="00431340">
        <w:rPr>
          <w:rFonts w:ascii="Times New Roman" w:hAnsi="Times New Roman" w:cs="Times New Roman"/>
          <w:sz w:val="24"/>
          <w:szCs w:val="24"/>
        </w:rPr>
        <w:t>succumb to passionate emotions</w:t>
      </w:r>
      <w:r w:rsidRPr="00CD6967">
        <w:rPr>
          <w:rFonts w:ascii="Times New Roman" w:hAnsi="Times New Roman" w:cs="Times New Roman"/>
          <w:sz w:val="24"/>
          <w:szCs w:val="24"/>
        </w:rPr>
        <w:t>, giving a disreputable tinge to their behaviour.  The uncertain morality of what takes place is reflected by Markham, whose reticence towards the violence is combined with recognition that it is not completely unwarranted as he thanks the victorious combatants with a substantial reward.</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Similar ambiguity is present when Reynolds portrays servants deriding the pretentions of their masters.  At its most potent, such activity sees witty social observation reminiscent of the easy-going meetings attended by Sam Weller and Tom Gibbins when away from the controlling influence of their employers.  In </w:t>
      </w:r>
      <w:r w:rsidRPr="00CD6967">
        <w:rPr>
          <w:rFonts w:ascii="Times New Roman" w:hAnsi="Times New Roman" w:cs="Times New Roman"/>
          <w:i/>
          <w:sz w:val="24"/>
          <w:szCs w:val="24"/>
        </w:rPr>
        <w:t>Mary Price</w:t>
      </w:r>
      <w:r w:rsidRPr="00CD6967">
        <w:rPr>
          <w:rFonts w:ascii="Times New Roman" w:hAnsi="Times New Roman" w:cs="Times New Roman"/>
          <w:sz w:val="24"/>
          <w:szCs w:val="24"/>
        </w:rPr>
        <w:t xml:space="preserve">, </w:t>
      </w:r>
      <w:r w:rsidR="000C639F" w:rsidRPr="00431340">
        <w:rPr>
          <w:rFonts w:ascii="Times New Roman" w:hAnsi="Times New Roman" w:cs="Times New Roman"/>
          <w:sz w:val="24"/>
          <w:szCs w:val="24"/>
        </w:rPr>
        <w:t>this</w:t>
      </w:r>
      <w:r w:rsidRPr="00431340">
        <w:rPr>
          <w:rFonts w:ascii="Times New Roman" w:hAnsi="Times New Roman" w:cs="Times New Roman"/>
          <w:sz w:val="24"/>
          <w:szCs w:val="24"/>
        </w:rPr>
        <w:t xml:space="preserve"> characteristic</w:t>
      </w:r>
      <w:r w:rsidR="000C639F" w:rsidRPr="00431340">
        <w:rPr>
          <w:rFonts w:ascii="Times New Roman" w:hAnsi="Times New Roman" w:cs="Times New Roman"/>
          <w:sz w:val="24"/>
          <w:szCs w:val="24"/>
        </w:rPr>
        <w:t xml:space="preserve"> is</w:t>
      </w:r>
      <w:r w:rsidRPr="00431340">
        <w:rPr>
          <w:rFonts w:ascii="Times New Roman" w:hAnsi="Times New Roman" w:cs="Times New Roman"/>
          <w:sz w:val="24"/>
          <w:szCs w:val="24"/>
        </w:rPr>
        <w:t xml:space="preserve"> displayed</w:t>
      </w:r>
      <w:r w:rsidRPr="00CD6967">
        <w:rPr>
          <w:rFonts w:ascii="Times New Roman" w:hAnsi="Times New Roman" w:cs="Times New Roman"/>
          <w:sz w:val="24"/>
          <w:szCs w:val="24"/>
        </w:rPr>
        <w:t xml:space="preserve"> at Harlesdon Park.  Mr Bergamot’s valet, Richard, scoffs at his master’s narcissistic concern that his boot heels are high enough to make him look impressive in the Guards and then provides a telling impersonation of Bergamot’s desire for gewgaws:</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 xml:space="preserve">I say, go to Storr and Mortimer’s and get me another gold snuff-box: I don’t like the one that’s embossed, and the engine-turned one I have given to Lavender, and the gold one with the picture in the lid I gave to Verrigreen, and I can’t take either of the three or four lying about the room here, because if any one comes in they </w:t>
      </w:r>
      <w:r w:rsidRPr="00CD6967">
        <w:rPr>
          <w:rFonts w:ascii="Times New Roman" w:hAnsi="Times New Roman" w:cs="Times New Roman"/>
          <w:i/>
          <w:iCs/>
          <w:sz w:val="24"/>
          <w:szCs w:val="24"/>
        </w:rPr>
        <w:t>must</w:t>
      </w:r>
      <w:r w:rsidRPr="00CD6967">
        <w:rPr>
          <w:rFonts w:ascii="Times New Roman" w:hAnsi="Times New Roman" w:cs="Times New Roman"/>
          <w:sz w:val="24"/>
          <w:szCs w:val="24"/>
        </w:rPr>
        <w:t xml:space="preserve"> see a lot of such nick-nacks tossing on the mantles and tables as if no one cared for them.</w:t>
      </w:r>
      <w:r w:rsidRPr="00CD6967">
        <w:rPr>
          <w:rStyle w:val="FootnoteReference"/>
          <w:rFonts w:ascii="Times New Roman" w:hAnsi="Times New Roman" w:cs="Times New Roman"/>
          <w:sz w:val="24"/>
          <w:szCs w:val="24"/>
        </w:rPr>
        <w:footnoteReference w:id="413"/>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The performance expresses contempt for such intimate knowledge about useless trinkets and the incessant wish to keep up appearances.  The comments about the visitors suggest how the lives of an entire stratum of wealthy idlers are shaped by the exchange of snuffboxes and that in this worthless existence the scattering of nick-nacks constitutes an act of work.  The strength of Richard’s performance is confirmed when the usually reserved Mary Price confesses her amusement.  However, as the scene proceeds it increasingly points to John Locke’s warning:</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i/>
          <w:sz w:val="24"/>
          <w:szCs w:val="24"/>
        </w:rPr>
        <w:t>Raillery</w:t>
      </w:r>
      <w:r w:rsidRPr="00CD6967">
        <w:rPr>
          <w:rFonts w:ascii="Times New Roman" w:hAnsi="Times New Roman" w:cs="Times New Roman"/>
          <w:sz w:val="24"/>
          <w:szCs w:val="24"/>
        </w:rPr>
        <w:t xml:space="preserve"> is the most refined way of exposing the faults of others.  But because it is usually done with wit and good language, and gives entertainment to the company, people are led into a mistake that where it keeps within fair bounds there is no incivility in it.</w:t>
      </w:r>
      <w:r w:rsidRPr="00CD6967">
        <w:rPr>
          <w:rStyle w:val="FootnoteReference"/>
          <w:rFonts w:ascii="Times New Roman" w:hAnsi="Times New Roman" w:cs="Times New Roman"/>
          <w:sz w:val="24"/>
          <w:szCs w:val="24"/>
        </w:rPr>
        <w:footnoteReference w:id="414"/>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 xml:space="preserve">The humorous gloss of the servants’ conversation with its mockery of their masters’ daily round of drinking and gambling in clubs and hotels cannot conceal its moral shortcomings.  Above all it reveals the self-interest of those embroiled in household hierarchies and their preparedness to prosper from the vices of a system they claim to despise.  One footman declares he will resign due to the miserliness of his employer: ‘Old missus is the greatest skin-flint I ever knew; but I shall hang on till the beginning of the New Year for the sake of </w:t>
      </w:r>
      <w:r w:rsidRPr="00CD6967">
        <w:rPr>
          <w:rFonts w:ascii="Times New Roman" w:hAnsi="Times New Roman" w:cs="Times New Roman"/>
          <w:sz w:val="24"/>
          <w:szCs w:val="24"/>
        </w:rPr>
        <w:lastRenderedPageBreak/>
        <w:t>the Christmas boxes.’</w:t>
      </w:r>
      <w:r w:rsidRPr="00CD6967">
        <w:rPr>
          <w:rStyle w:val="FootnoteReference"/>
          <w:rFonts w:ascii="Times New Roman" w:hAnsi="Times New Roman" w:cs="Times New Roman"/>
          <w:sz w:val="24"/>
          <w:szCs w:val="24"/>
        </w:rPr>
        <w:footnoteReference w:id="415"/>
      </w:r>
      <w:r w:rsidRPr="00CD6967">
        <w:rPr>
          <w:rFonts w:ascii="Times New Roman" w:hAnsi="Times New Roman" w:cs="Times New Roman"/>
          <w:sz w:val="24"/>
          <w:szCs w:val="24"/>
        </w:rPr>
        <w:t xml:space="preserve">  The caveat reveals how his protest is demeaned by the aim of receiving incidental crumbs from the plate of the person he loathes.  Another complains that his mistress keeps him constantly burdened with chores but is satisfied with his master: ‘a good-natured fool enough, precious owlish, deaf and drunken, snuffy, but never out of humour’.</w:t>
      </w:r>
      <w:r w:rsidRPr="00CD6967">
        <w:rPr>
          <w:rStyle w:val="FootnoteReference"/>
          <w:rFonts w:ascii="Times New Roman" w:hAnsi="Times New Roman" w:cs="Times New Roman"/>
          <w:sz w:val="24"/>
          <w:szCs w:val="24"/>
        </w:rPr>
        <w:footnoteReference w:id="416"/>
      </w:r>
      <w:r w:rsidRPr="00CD6967">
        <w:rPr>
          <w:rFonts w:ascii="Times New Roman" w:hAnsi="Times New Roman" w:cs="Times New Roman"/>
          <w:sz w:val="24"/>
          <w:szCs w:val="24"/>
        </w:rPr>
        <w:t xml:space="preserve"> There is a sense that such annoyance arises not because he is overtasked but because he wishes to do no work at all.  </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Another characteristic of their protest is lack of concern for the immorality they see before them.  One of their number, David, announces </w:t>
      </w:r>
      <w:r w:rsidRPr="000C639F">
        <w:rPr>
          <w:rFonts w:ascii="Times New Roman" w:hAnsi="Times New Roman" w:cs="Times New Roman"/>
          <w:sz w:val="24"/>
          <w:szCs w:val="24"/>
        </w:rPr>
        <w:t>he</w:t>
      </w:r>
      <w:r w:rsidR="00111BF8" w:rsidRPr="000C639F">
        <w:rPr>
          <w:rFonts w:ascii="Times New Roman" w:hAnsi="Times New Roman" w:cs="Times New Roman"/>
          <w:sz w:val="24"/>
          <w:szCs w:val="24"/>
        </w:rPr>
        <w:t xml:space="preserve"> previously</w:t>
      </w:r>
      <w:r w:rsidRPr="000C639F">
        <w:rPr>
          <w:rFonts w:ascii="Times New Roman" w:hAnsi="Times New Roman" w:cs="Times New Roman"/>
          <w:sz w:val="24"/>
          <w:szCs w:val="24"/>
        </w:rPr>
        <w:t xml:space="preserve"> worked</w:t>
      </w:r>
      <w:r w:rsidRPr="00CD6967">
        <w:rPr>
          <w:rFonts w:ascii="Times New Roman" w:hAnsi="Times New Roman" w:cs="Times New Roman"/>
          <w:sz w:val="24"/>
          <w:szCs w:val="24"/>
        </w:rPr>
        <w:t xml:space="preserve"> as head-groom at the stables of Mr Trevelyan, whose good humour and discussions about corrupt horse dealing he greatly enjoyed: ‘Ah! He was a judge of horse-flesh, to be sure!  Poor fellow, I am sorry he is gone: he was a regular gentleman he was.’</w:t>
      </w:r>
      <w:r w:rsidRPr="00CD6967">
        <w:rPr>
          <w:rStyle w:val="FootnoteReference"/>
          <w:rFonts w:ascii="Times New Roman" w:hAnsi="Times New Roman" w:cs="Times New Roman"/>
          <w:sz w:val="24"/>
          <w:szCs w:val="24"/>
        </w:rPr>
        <w:footnoteReference w:id="417"/>
      </w:r>
      <w:r w:rsidRPr="00CD6967">
        <w:rPr>
          <w:rFonts w:ascii="Times New Roman" w:hAnsi="Times New Roman" w:cs="Times New Roman"/>
          <w:sz w:val="24"/>
          <w:szCs w:val="24"/>
        </w:rPr>
        <w:t xml:space="preserve">  Not only is he without qualms about the activity, David feels pride at having been allowed to participate.  This makes him regard Trevelyan as a ‘gentleman’ and the sorrow at the loss of his old master seems heartfelt.  Others repeat this praise, which Mary observes was based upon their admiration for qualities that constituted ‘the horse-chaunter, the swindler, and the cheat’.</w:t>
      </w:r>
      <w:r w:rsidRPr="00CD6967">
        <w:rPr>
          <w:rStyle w:val="FootnoteReference"/>
          <w:rFonts w:ascii="Times New Roman" w:hAnsi="Times New Roman" w:cs="Times New Roman"/>
          <w:sz w:val="24"/>
          <w:szCs w:val="24"/>
        </w:rPr>
        <w:footnoteReference w:id="418"/>
      </w:r>
      <w:r w:rsidRPr="00CD6967">
        <w:rPr>
          <w:rFonts w:ascii="Times New Roman" w:hAnsi="Times New Roman" w:cs="Times New Roman"/>
          <w:sz w:val="24"/>
          <w:szCs w:val="24"/>
        </w:rPr>
        <w:t xml:space="preserve">  As the scene progresses, her amusement changes to shock at hearing servants ‘with the utmost boldness and the coolest audacity imaginable, parade the most secret affairs of the households to which they belonged’.</w:t>
      </w:r>
      <w:r w:rsidRPr="00CD6967">
        <w:rPr>
          <w:rStyle w:val="FootnoteReference"/>
          <w:rFonts w:ascii="Times New Roman" w:hAnsi="Times New Roman" w:cs="Times New Roman"/>
          <w:sz w:val="24"/>
          <w:szCs w:val="24"/>
        </w:rPr>
        <w:footnoteReference w:id="419"/>
      </w:r>
      <w:r w:rsidRPr="00CD6967">
        <w:rPr>
          <w:rFonts w:ascii="Times New Roman" w:hAnsi="Times New Roman" w:cs="Times New Roman"/>
          <w:sz w:val="24"/>
          <w:szCs w:val="24"/>
        </w:rPr>
        <w:t xml:space="preserve">  Jenkinson, the valet to Captain Lavender, sums up the general unconcern when he comments ‘we shouldn’t criticise their extravagances, since we profit by them’.</w:t>
      </w:r>
      <w:r w:rsidRPr="00CD6967">
        <w:rPr>
          <w:rStyle w:val="FootnoteReference"/>
          <w:rFonts w:ascii="Times New Roman" w:hAnsi="Times New Roman" w:cs="Times New Roman"/>
          <w:sz w:val="24"/>
          <w:szCs w:val="24"/>
        </w:rPr>
        <w:footnoteReference w:id="420"/>
      </w:r>
      <w:r w:rsidRPr="00CD6967">
        <w:rPr>
          <w:rFonts w:ascii="Times New Roman" w:hAnsi="Times New Roman" w:cs="Times New Roman"/>
          <w:sz w:val="24"/>
          <w:szCs w:val="24"/>
        </w:rPr>
        <w:t xml:space="preserve">  Octavius Lapwing’s valet Edward betrays the superficial quality of their complaints when he rattles on indiscriminately about his master’s wasteful expenditure on clothes and bilking of debts to then mention in the same breath how he also abandoned a young girl named Jane Harris who has his child.  It appears that the heartlessness shown by their masters has largely rubbed off upon them, diminishing the ability to formulate arguments that truly lay bare the cruelty and injustice of what passes in their midst.</w:t>
      </w:r>
    </w:p>
    <w:p w:rsidR="00C76704" w:rsidRPr="00CD6967" w:rsidRDefault="00C76704" w:rsidP="00C76704">
      <w:pPr>
        <w:spacing w:after="120" w:line="360" w:lineRule="auto"/>
        <w:rPr>
          <w:rFonts w:ascii="Times New Roman" w:hAnsi="Times New Roman" w:cs="Times New Roman"/>
          <w:bCs/>
          <w:sz w:val="24"/>
          <w:szCs w:val="24"/>
        </w:rPr>
      </w:pPr>
      <w:r w:rsidRPr="00CD6967">
        <w:rPr>
          <w:rFonts w:ascii="Times New Roman" w:hAnsi="Times New Roman" w:cs="Times New Roman"/>
          <w:bCs/>
          <w:sz w:val="24"/>
          <w:szCs w:val="24"/>
        </w:rPr>
        <w:tab/>
        <w:t>Frank Huggett cites Thackeray’s phrase ‘the awful kitchen inquisition’ when describing behaviour in large households:</w:t>
      </w:r>
    </w:p>
    <w:p w:rsidR="00C76704" w:rsidRPr="00CD6967" w:rsidRDefault="00C76704" w:rsidP="00C76704">
      <w:pPr>
        <w:spacing w:after="240" w:line="240" w:lineRule="auto"/>
        <w:ind w:left="720"/>
        <w:rPr>
          <w:rFonts w:ascii="Times New Roman" w:hAnsi="Times New Roman" w:cs="Times New Roman"/>
          <w:bCs/>
          <w:sz w:val="24"/>
          <w:szCs w:val="24"/>
        </w:rPr>
      </w:pPr>
      <w:r w:rsidRPr="00CD6967">
        <w:rPr>
          <w:rFonts w:ascii="Times New Roman" w:hAnsi="Times New Roman" w:cs="Times New Roman"/>
          <w:bCs/>
          <w:sz w:val="24"/>
          <w:szCs w:val="24"/>
        </w:rPr>
        <w:lastRenderedPageBreak/>
        <w:t>Servants were constant and inflexible judges of others […] Behind the servants’ mask of perfect politeness and consummate gentility, there were dark thoughts and hidden feelings […] where rumours echoed from the lofty ceilings and were magnified and distorted into malicious gossip and false report.</w:t>
      </w:r>
      <w:r w:rsidRPr="00CD6967">
        <w:rPr>
          <w:rStyle w:val="FootnoteReference"/>
          <w:rFonts w:ascii="Times New Roman" w:hAnsi="Times New Roman" w:cs="Times New Roman"/>
          <w:sz w:val="24"/>
          <w:szCs w:val="24"/>
        </w:rPr>
        <w:footnoteReference w:id="421"/>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bCs/>
          <w:sz w:val="24"/>
          <w:szCs w:val="24"/>
        </w:rPr>
        <w:t xml:space="preserve">The picture is one of unbending moralism determined to pass harsh, and often unfounded, verdicts, upon colleagues, employers and superiors generally.  The ‘mask’ suggests deceitfulness while the inflexibility points to a lack of sympathy for the weaknesses or problems of others.  Many examples of disreputable protest have so far not involved these traits, or done so in a much-diluted form.  This was clearly the case with Jemima whose activity is innocent folly.  The vengefulness of many has been mitigated by factors such as the desire for fairness or for containing justified mockery of the system that exploits them.  However, Reynolds also paid attention to how this psychological aspect can take on a darker hue, </w:t>
      </w:r>
      <w:r w:rsidRPr="00111BF8">
        <w:rPr>
          <w:rFonts w:ascii="Times New Roman" w:hAnsi="Times New Roman" w:cs="Times New Roman"/>
          <w:bCs/>
          <w:sz w:val="24"/>
          <w:szCs w:val="24"/>
        </w:rPr>
        <w:t xml:space="preserve">highlighting the self-serving and dishonest nature of their dissent.  </w:t>
      </w:r>
      <w:r w:rsidRPr="00111BF8">
        <w:rPr>
          <w:rFonts w:ascii="Times New Roman" w:hAnsi="Times New Roman" w:cs="Times New Roman"/>
          <w:sz w:val="24"/>
          <w:szCs w:val="24"/>
        </w:rPr>
        <w:t xml:space="preserve">A brief illustration is given in </w:t>
      </w:r>
      <w:r w:rsidRPr="00111BF8">
        <w:rPr>
          <w:rFonts w:ascii="Times New Roman" w:hAnsi="Times New Roman" w:cs="Times New Roman"/>
          <w:i/>
          <w:sz w:val="24"/>
          <w:szCs w:val="24"/>
        </w:rPr>
        <w:t>Alfred</w:t>
      </w:r>
      <w:r w:rsidRPr="00111BF8">
        <w:rPr>
          <w:rFonts w:ascii="Times New Roman" w:hAnsi="Times New Roman" w:cs="Times New Roman"/>
          <w:sz w:val="24"/>
          <w:szCs w:val="24"/>
        </w:rPr>
        <w:t xml:space="preserve"> </w:t>
      </w:r>
      <w:r w:rsidR="00997C06" w:rsidRPr="00111BF8">
        <w:rPr>
          <w:rFonts w:ascii="Times New Roman" w:hAnsi="Times New Roman" w:cs="Times New Roman"/>
          <w:sz w:val="24"/>
          <w:szCs w:val="24"/>
        </w:rPr>
        <w:t>(1838</w:t>
      </w:r>
      <w:r w:rsidR="00997C06" w:rsidRPr="00111BF8">
        <w:rPr>
          <w:rFonts w:ascii="Times New Roman" w:hAnsi="Times New Roman"/>
          <w:sz w:val="24"/>
          <w:szCs w:val="24"/>
        </w:rPr>
        <w:t>–39)</w:t>
      </w:r>
      <w:r w:rsidR="00997C06" w:rsidRPr="00111BF8">
        <w:rPr>
          <w:rFonts w:ascii="Times New Roman" w:hAnsi="Times New Roman"/>
        </w:rPr>
        <w:t xml:space="preserve"> </w:t>
      </w:r>
      <w:r w:rsidRPr="00111BF8">
        <w:rPr>
          <w:rFonts w:ascii="Times New Roman" w:hAnsi="Times New Roman" w:cs="Times New Roman"/>
          <w:sz w:val="24"/>
          <w:szCs w:val="24"/>
        </w:rPr>
        <w:t>when</w:t>
      </w:r>
      <w:r w:rsidRPr="00CD6967">
        <w:rPr>
          <w:rFonts w:ascii="Times New Roman" w:hAnsi="Times New Roman" w:cs="Times New Roman"/>
          <w:sz w:val="24"/>
          <w:szCs w:val="24"/>
        </w:rPr>
        <w:t xml:space="preserve"> the domestic at de Rosann’s lodging sees him return in a tipsy state with La Motte and incorrectly concludes they are about to embark on a drunken orgy through the night: ‘Thus is it that our servants and dependants are invariably the greatest spies as well as the most severe critics of our actions; and in the hour of misfortune they are unexceptionably our most malignant enemies.’</w:t>
      </w:r>
      <w:r w:rsidRPr="00CD6967">
        <w:rPr>
          <w:rStyle w:val="FootnoteReference"/>
          <w:rFonts w:ascii="Times New Roman" w:hAnsi="Times New Roman" w:cs="Times New Roman"/>
          <w:bCs/>
          <w:sz w:val="24"/>
          <w:szCs w:val="24"/>
        </w:rPr>
        <w:footnoteReference w:id="422"/>
      </w:r>
      <w:r w:rsidRPr="00CD6967">
        <w:rPr>
          <w:rFonts w:ascii="Times New Roman" w:hAnsi="Times New Roman" w:cs="Times New Roman"/>
          <w:bCs/>
          <w:sz w:val="24"/>
          <w:szCs w:val="24"/>
        </w:rPr>
        <w:t xml:space="preserve"> </w:t>
      </w:r>
      <w:r w:rsidRPr="00CD6967">
        <w:rPr>
          <w:rFonts w:ascii="Times New Roman" w:hAnsi="Times New Roman" w:cs="Times New Roman"/>
          <w:sz w:val="24"/>
          <w:szCs w:val="24"/>
        </w:rPr>
        <w:t xml:space="preserve"> The comment disparages the lower orders for being intrusive and </w:t>
      </w:r>
      <w:r w:rsidRPr="000C639F">
        <w:rPr>
          <w:rFonts w:ascii="Times New Roman" w:hAnsi="Times New Roman" w:cs="Times New Roman"/>
          <w:sz w:val="24"/>
          <w:szCs w:val="24"/>
        </w:rPr>
        <w:t>severely judgmenta</w:t>
      </w:r>
      <w:r w:rsidR="00111BF8" w:rsidRPr="000C639F">
        <w:rPr>
          <w:rFonts w:ascii="Times New Roman" w:hAnsi="Times New Roman" w:cs="Times New Roman"/>
          <w:sz w:val="24"/>
          <w:szCs w:val="24"/>
        </w:rPr>
        <w:t>l, and for exhibiting</w:t>
      </w:r>
      <w:r w:rsidRPr="000C639F">
        <w:rPr>
          <w:rFonts w:ascii="Times New Roman" w:hAnsi="Times New Roman" w:cs="Times New Roman"/>
          <w:sz w:val="24"/>
          <w:szCs w:val="24"/>
        </w:rPr>
        <w:t xml:space="preserve"> a lack of loyalty </w:t>
      </w:r>
      <w:r w:rsidR="00111BF8" w:rsidRPr="000C639F">
        <w:rPr>
          <w:rFonts w:ascii="Times New Roman" w:hAnsi="Times New Roman" w:cs="Times New Roman"/>
          <w:sz w:val="24"/>
          <w:szCs w:val="24"/>
        </w:rPr>
        <w:t xml:space="preserve">that </w:t>
      </w:r>
      <w:r w:rsidRPr="000C639F">
        <w:rPr>
          <w:rFonts w:ascii="Times New Roman" w:hAnsi="Times New Roman" w:cs="Times New Roman"/>
          <w:sz w:val="24"/>
          <w:szCs w:val="24"/>
        </w:rPr>
        <w:t xml:space="preserve">sees them readily </w:t>
      </w:r>
      <w:r w:rsidR="00111BF8" w:rsidRPr="000C639F">
        <w:rPr>
          <w:rFonts w:ascii="Times New Roman" w:hAnsi="Times New Roman" w:cs="Times New Roman"/>
          <w:sz w:val="24"/>
          <w:szCs w:val="24"/>
        </w:rPr>
        <w:t>resort</w:t>
      </w:r>
      <w:r w:rsidRPr="000C639F">
        <w:rPr>
          <w:rFonts w:ascii="Times New Roman" w:hAnsi="Times New Roman" w:cs="Times New Roman"/>
          <w:sz w:val="24"/>
          <w:szCs w:val="24"/>
        </w:rPr>
        <w:t xml:space="preserve"> to rancorous ho</w:t>
      </w:r>
      <w:r w:rsidRPr="00CD6967">
        <w:rPr>
          <w:rFonts w:ascii="Times New Roman" w:hAnsi="Times New Roman" w:cs="Times New Roman"/>
          <w:sz w:val="24"/>
          <w:szCs w:val="24"/>
        </w:rPr>
        <w:t xml:space="preserve">stility at the decline of employers.  These unpleasant traits are </w:t>
      </w:r>
      <w:r w:rsidRPr="00830926">
        <w:rPr>
          <w:rFonts w:ascii="Times New Roman" w:hAnsi="Times New Roman" w:cs="Times New Roman"/>
          <w:sz w:val="24"/>
          <w:szCs w:val="24"/>
        </w:rPr>
        <w:t xml:space="preserve">constantly on </w:t>
      </w:r>
      <w:r w:rsidR="000C639F" w:rsidRPr="00830926">
        <w:rPr>
          <w:rFonts w:ascii="Times New Roman" w:hAnsi="Times New Roman" w:cs="Times New Roman"/>
          <w:sz w:val="24"/>
          <w:szCs w:val="24"/>
        </w:rPr>
        <w:t>view</w:t>
      </w:r>
      <w:r w:rsidRPr="00830926">
        <w:rPr>
          <w:rFonts w:ascii="Times New Roman" w:hAnsi="Times New Roman" w:cs="Times New Roman"/>
          <w:sz w:val="24"/>
          <w:szCs w:val="24"/>
        </w:rPr>
        <w:t xml:space="preserve"> in disreputable</w:t>
      </w:r>
      <w:r w:rsidRPr="00CD6967">
        <w:rPr>
          <w:rFonts w:ascii="Times New Roman" w:hAnsi="Times New Roman" w:cs="Times New Roman"/>
          <w:sz w:val="24"/>
          <w:szCs w:val="24"/>
        </w:rPr>
        <w:t xml:space="preserve"> protest.</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Upstanding servants disown this behaviour, even if it targets overbearing employers, as when Mary Price describes the reaction of servants at Twisden Lodge towards the downfall of their mistress.  They have constantly suffered the highhanded affectations of Mrs Twisden whose pretentiousness is summed up by the extravagant dinner party she hosts, complete with a London cook, to which local dignitaries are invited.  When a hidden past on the stage is revealed by a former associate who arrives by chance, just after she has condemned the immoral effect of theatre upon the lower orders, her social standing is ruined.  The poetic justice of the event makes it understandable that staff should feel satisfaction, but Mary is uneasy at the response which is typified by the upper nursemaid: ‘She was rejoiced, </w:t>
      </w:r>
      <w:r w:rsidRPr="00CD6967">
        <w:rPr>
          <w:rFonts w:ascii="Times New Roman" w:hAnsi="Times New Roman" w:cs="Times New Roman"/>
          <w:sz w:val="24"/>
          <w:szCs w:val="24"/>
        </w:rPr>
        <w:lastRenderedPageBreak/>
        <w:t>as were the other servants: but I cannot say that I shared in that feeling.’</w:t>
      </w:r>
      <w:r w:rsidRPr="00CD6967">
        <w:rPr>
          <w:rStyle w:val="FootnoteReference"/>
          <w:rFonts w:ascii="Times New Roman" w:hAnsi="Times New Roman" w:cs="Times New Roman"/>
          <w:sz w:val="24"/>
          <w:szCs w:val="24"/>
        </w:rPr>
        <w:footnoteReference w:id="423"/>
      </w:r>
      <w:r w:rsidRPr="00CD6967">
        <w:rPr>
          <w:rFonts w:ascii="Times New Roman" w:hAnsi="Times New Roman" w:cs="Times New Roman"/>
          <w:sz w:val="24"/>
          <w:szCs w:val="24"/>
        </w:rPr>
        <w:t xml:space="preserve">  Mary dissociates herself from the general maliciousness, not least because it ignores the fate of the kindly Mr Twisden.  His concern for Mary, apparent in repeated attempts to defend her against his wife’s bullying, continues as the household breaks up and he adds two sovereigns to her pay.  Remembrance of his many generous deeds makes her burst into tears, to which he replies with benevolence and discrimination: ‘Poor girl, poor girl, […] you are the only one of all the servants who has any real feeling.  God bless you!’.</w:t>
      </w:r>
      <w:r w:rsidRPr="00CD6967">
        <w:rPr>
          <w:rStyle w:val="FootnoteReference"/>
          <w:rFonts w:ascii="Times New Roman" w:hAnsi="Times New Roman" w:cs="Times New Roman"/>
          <w:sz w:val="24"/>
          <w:szCs w:val="24"/>
        </w:rPr>
        <w:footnoteReference w:id="424"/>
      </w:r>
      <w:r w:rsidRPr="00CD6967">
        <w:rPr>
          <w:rFonts w:ascii="Times New Roman" w:hAnsi="Times New Roman" w:cs="Times New Roman"/>
          <w:sz w:val="24"/>
          <w:szCs w:val="24"/>
        </w:rPr>
        <w:t xml:space="preserve">  Not only are these words perceptive of the situation at the Lodge, they stand as a reproof to the mean-spiritedness shown by others.</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This vindictiveness is often present in the common pursuit of knowledge for personal gain.  It was noted previously how Sam Weller believed he had the right to access information about superiors but subordinated the activity to his loyalty for Pickwick.  However, in the murkier corners of servant life such knowledge is used for blackmail and extortion.  In </w:t>
      </w:r>
      <w:r w:rsidRPr="00CD6967">
        <w:rPr>
          <w:rFonts w:ascii="Times New Roman" w:hAnsi="Times New Roman" w:cs="Times New Roman"/>
          <w:i/>
          <w:iCs/>
          <w:sz w:val="24"/>
          <w:szCs w:val="24"/>
        </w:rPr>
        <w:t>The Mysteries of London</w:t>
      </w:r>
      <w:r w:rsidRPr="00CD6967">
        <w:rPr>
          <w:rFonts w:ascii="Times New Roman" w:hAnsi="Times New Roman" w:cs="Times New Roman"/>
          <w:sz w:val="24"/>
          <w:szCs w:val="24"/>
        </w:rPr>
        <w:t xml:space="preserve">, John Jeffreys, driven </w:t>
      </w:r>
      <w:r w:rsidRPr="00830926">
        <w:rPr>
          <w:rFonts w:ascii="Times New Roman" w:hAnsi="Times New Roman" w:cs="Times New Roman"/>
          <w:sz w:val="24"/>
          <w:szCs w:val="24"/>
        </w:rPr>
        <w:t>by youthful egotism about his handsome appearance and natural abilities, aspires to a higher station</w:t>
      </w:r>
      <w:r w:rsidR="000C639F" w:rsidRPr="00830926">
        <w:rPr>
          <w:rFonts w:ascii="Times New Roman" w:hAnsi="Times New Roman" w:cs="Times New Roman"/>
          <w:sz w:val="24"/>
          <w:szCs w:val="24"/>
        </w:rPr>
        <w:t xml:space="preserve"> than carrying out lowly chores at Mr Ilverton’s establishment in St. James’s Square.</w:t>
      </w:r>
      <w:r w:rsidRPr="00830926">
        <w:rPr>
          <w:rFonts w:ascii="Times New Roman" w:hAnsi="Times New Roman" w:cs="Times New Roman"/>
          <w:sz w:val="24"/>
          <w:szCs w:val="24"/>
        </w:rPr>
        <w:t xml:space="preserve">  To achieve this, he readily becomes involved in the plot of Lady Hortensia Stanhope to keep the older Ilverton, whom</w:t>
      </w:r>
      <w:r w:rsidRPr="00CD6967">
        <w:rPr>
          <w:rFonts w:ascii="Times New Roman" w:hAnsi="Times New Roman" w:cs="Times New Roman"/>
          <w:sz w:val="24"/>
          <w:szCs w:val="24"/>
        </w:rPr>
        <w:t xml:space="preserve"> she later marries, in ignorance about her liaison with Herbert Remington.  Jeffreys fantasizes about his role, spurred on by the gratitude Hortensia shows when he reveals Ilverton is spying upon her:</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I hastened from the room well pleased with the success of my interview with her ladyship, and feeling myself so important a person that I scarcely knew whether I stood on my head or my heels.  The secrets of the family were in my keeping,—in the keeping of a boy not sixteen years old; and it was enough to make me proud.</w:t>
      </w:r>
      <w:r w:rsidRPr="00CD6967">
        <w:rPr>
          <w:rStyle w:val="FootnoteReference"/>
          <w:rFonts w:ascii="Times New Roman" w:hAnsi="Times New Roman" w:cs="Times New Roman"/>
          <w:sz w:val="24"/>
          <w:szCs w:val="24"/>
        </w:rPr>
        <w:footnoteReference w:id="425"/>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 xml:space="preserve">The importance he craves appears to have been </w:t>
      </w:r>
      <w:r w:rsidRPr="000C639F">
        <w:rPr>
          <w:rFonts w:ascii="Times New Roman" w:hAnsi="Times New Roman" w:cs="Times New Roman"/>
          <w:sz w:val="24"/>
          <w:szCs w:val="24"/>
        </w:rPr>
        <w:t>attained</w:t>
      </w:r>
      <w:r w:rsidR="00111BF8" w:rsidRPr="000C639F">
        <w:rPr>
          <w:rFonts w:ascii="Times New Roman" w:hAnsi="Times New Roman" w:cs="Times New Roman"/>
          <w:sz w:val="24"/>
          <w:szCs w:val="24"/>
        </w:rPr>
        <w:t xml:space="preserve"> and t</w:t>
      </w:r>
      <w:r w:rsidRPr="000C639F">
        <w:rPr>
          <w:rFonts w:ascii="Times New Roman" w:hAnsi="Times New Roman" w:cs="Times New Roman"/>
          <w:sz w:val="24"/>
          <w:szCs w:val="24"/>
        </w:rPr>
        <w:t>he creeping</w:t>
      </w:r>
      <w:r w:rsidRPr="00CD6967">
        <w:rPr>
          <w:rFonts w:ascii="Times New Roman" w:hAnsi="Times New Roman" w:cs="Times New Roman"/>
          <w:sz w:val="24"/>
          <w:szCs w:val="24"/>
        </w:rPr>
        <w:t xml:space="preserve"> influence of such vanity results in a sense of entitlement to peruse private correspondence.  However, this pride brings about his downfall when he reads one of Hortensia’s letters and discovers she has chosen to confide in her maid before him:</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I was dreadfully annoyed at being no longer treated as a confidant, I who had done so much to protect them from exposure!  My interest in behalf of my mistress suddenly turned to hate; and I thought seriously of revenging what I considered to be a slight.</w:t>
      </w:r>
      <w:r w:rsidRPr="00CD6967">
        <w:rPr>
          <w:rStyle w:val="FootnoteReference"/>
          <w:rFonts w:ascii="Times New Roman" w:hAnsi="Times New Roman" w:cs="Times New Roman"/>
          <w:sz w:val="24"/>
          <w:szCs w:val="24"/>
        </w:rPr>
        <w:footnoteReference w:id="426"/>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lastRenderedPageBreak/>
        <w:t>Jeffreys has been living in a fantasy world rather like Jemima the nursery maid but it is one in which her other-worldly innocence is replaced by malice.  The words ‘done so much’ indicate how he mentally transforms his lying and connivance into acts of great self-sacrifice.  Anger builds when the illusions of newly acquired status are shattered and he realizes he is ‘a mere tool’ who has never escaped his menial position.</w:t>
      </w:r>
      <w:r w:rsidRPr="00CD6967">
        <w:rPr>
          <w:rStyle w:val="FootnoteReference"/>
          <w:rFonts w:ascii="Times New Roman" w:hAnsi="Times New Roman" w:cs="Times New Roman"/>
          <w:sz w:val="24"/>
          <w:szCs w:val="24"/>
        </w:rPr>
        <w:footnoteReference w:id="427"/>
      </w:r>
      <w:r w:rsidRPr="00CD6967">
        <w:rPr>
          <w:rFonts w:ascii="Times New Roman" w:hAnsi="Times New Roman" w:cs="Times New Roman"/>
          <w:sz w:val="24"/>
          <w:szCs w:val="24"/>
        </w:rPr>
        <w:t xml:space="preserve">  Feeling mistreated, he turns to blackmail accepting Hortensia’s offer of two hundred pounds to leave the household.  The thought of such wealth makes him reckless, visiting a public house and spending most of his savings on clothes.  However, the empty bravado of such behaviour is revealed when he goes to collect his unmerited windfall and crumbles before Remington’s stern refusal to give more than fifty guineas.  Ultimately, this protest that sees itself in such a promising light is deceitful and cowardly, bullying the weak but submitting to anyone who shows resolve.</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How the misuse of knowledge acts more broadly is suggested when Mary Price searches for her wayward sister Sarah whose paramour Octavius Lapwing has just been imprisoned.  Mary’s comments upon the servant who opens the door are revealing:</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She was very civil and respectful; and I therefore concluded that the occurrence to Mr. Lapwing was unknown to the people of the house.  Perhaps, on the way home, Sarah had enjoined or bribed the coachman of the vehicle not to mention it.</w:t>
      </w:r>
      <w:r w:rsidRPr="00CD6967">
        <w:rPr>
          <w:rStyle w:val="FootnoteReference"/>
          <w:rFonts w:ascii="Times New Roman" w:hAnsi="Times New Roman" w:cs="Times New Roman"/>
          <w:sz w:val="24"/>
          <w:szCs w:val="24"/>
        </w:rPr>
        <w:footnoteReference w:id="428"/>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The suggested bribery of a coachman continues the theme of information being a commodity readily convertible into currency.  This flows through to the servant, because learning of Lapwing’s imprisonment would allow her to determine whether he and Sarah remain in polite society.  Mary observes that her civility is due to ignorance of the matter, indicating how such knowledge provides not only an avenue to financial gain but empowers subordinates with a sense of having the right to be disrespectful towards superiors.  With Mary a visitor, yet liable to similar treatment, it indicates how such situations are abused, with bystanders made guilty by association.  Reynolds emphasises how it may provide a weapon to strengthen the dissent of the lower orders but that it invariably leads to moral degradation.</w:t>
      </w:r>
    </w:p>
    <w:p w:rsidR="00C76704" w:rsidRPr="00CD6967" w:rsidRDefault="00C76704" w:rsidP="00C76704">
      <w:pPr>
        <w:spacing w:after="24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This spitefulness targets individuals from any social class.  In </w:t>
      </w:r>
      <w:r w:rsidRPr="00CD6967">
        <w:rPr>
          <w:rFonts w:ascii="Times New Roman" w:hAnsi="Times New Roman" w:cs="Times New Roman"/>
          <w:i/>
          <w:iCs/>
          <w:sz w:val="24"/>
          <w:szCs w:val="24"/>
        </w:rPr>
        <w:t xml:space="preserve">The </w:t>
      </w:r>
      <w:r w:rsidRPr="00CD6967">
        <w:rPr>
          <w:rFonts w:ascii="Times New Roman" w:hAnsi="Times New Roman" w:cs="Times New Roman"/>
          <w:i/>
          <w:sz w:val="24"/>
          <w:szCs w:val="24"/>
        </w:rPr>
        <w:t>Mysteries of London</w:t>
      </w:r>
      <w:r w:rsidRPr="00CD6967">
        <w:rPr>
          <w:rFonts w:ascii="Times New Roman" w:hAnsi="Times New Roman" w:cs="Times New Roman"/>
          <w:sz w:val="24"/>
          <w:szCs w:val="24"/>
        </w:rPr>
        <w:t>, Frank Curtis suffers ill-treatment when confined at the sponging-house in Chancery Lane and he requests the old female servant to prepare his meal:</w:t>
      </w:r>
    </w:p>
    <w:p w:rsidR="00C76704" w:rsidRPr="00CD6967" w:rsidRDefault="00C76704" w:rsidP="00C76704">
      <w:pPr>
        <w:spacing w:after="120" w:line="240" w:lineRule="auto"/>
        <w:ind w:left="720"/>
        <w:rPr>
          <w:rFonts w:ascii="Times New Roman" w:hAnsi="Times New Roman" w:cs="Times New Roman"/>
          <w:sz w:val="24"/>
          <w:szCs w:val="24"/>
        </w:rPr>
      </w:pPr>
      <w:r w:rsidRPr="00CD6967">
        <w:rPr>
          <w:rFonts w:ascii="Times New Roman" w:hAnsi="Times New Roman" w:cs="Times New Roman"/>
          <w:sz w:val="24"/>
          <w:szCs w:val="24"/>
        </w:rPr>
        <w:t>‘Pray let me have some breakfast as soon as you can, my good woman,’ said Frank, humiliated and miserable.</w:t>
      </w:r>
    </w:p>
    <w:p w:rsidR="00C76704" w:rsidRPr="00CD6967" w:rsidRDefault="00C76704" w:rsidP="00C76704">
      <w:pPr>
        <w:spacing w:after="120" w:line="240" w:lineRule="auto"/>
        <w:ind w:left="720" w:firstLine="170"/>
        <w:rPr>
          <w:rFonts w:ascii="Times New Roman" w:hAnsi="Times New Roman" w:cs="Times New Roman"/>
          <w:sz w:val="24"/>
          <w:szCs w:val="24"/>
        </w:rPr>
      </w:pPr>
      <w:r w:rsidRPr="00CD6967">
        <w:rPr>
          <w:rFonts w:ascii="Times New Roman" w:hAnsi="Times New Roman" w:cs="Times New Roman"/>
          <w:sz w:val="24"/>
          <w:szCs w:val="24"/>
        </w:rPr>
        <w:lastRenderedPageBreak/>
        <w:t>‘As soon as the kittle biles down stairs,’ answered the servant, in a surly tone, as she turned to leave the room.</w:t>
      </w:r>
    </w:p>
    <w:p w:rsidR="00C76704" w:rsidRPr="00CD6967" w:rsidRDefault="00C76704" w:rsidP="00C76704">
      <w:pPr>
        <w:spacing w:after="120" w:line="240" w:lineRule="auto"/>
        <w:ind w:left="720" w:firstLine="170"/>
        <w:rPr>
          <w:rFonts w:ascii="Times New Roman" w:hAnsi="Times New Roman" w:cs="Times New Roman"/>
          <w:sz w:val="24"/>
          <w:szCs w:val="24"/>
        </w:rPr>
      </w:pPr>
      <w:r w:rsidRPr="00CD6967">
        <w:rPr>
          <w:rFonts w:ascii="Times New Roman" w:hAnsi="Times New Roman" w:cs="Times New Roman"/>
          <w:sz w:val="24"/>
          <w:szCs w:val="24"/>
        </w:rPr>
        <w:t>‘And how long will that be?’ demanded Curtis.</w:t>
      </w:r>
    </w:p>
    <w:p w:rsidR="00C76704" w:rsidRPr="00CD6967" w:rsidRDefault="00C76704" w:rsidP="00C76704">
      <w:pPr>
        <w:spacing w:after="120" w:line="360" w:lineRule="auto"/>
        <w:ind w:left="720" w:firstLine="170"/>
        <w:rPr>
          <w:rFonts w:ascii="Times New Roman" w:hAnsi="Times New Roman" w:cs="Times New Roman"/>
          <w:sz w:val="24"/>
          <w:szCs w:val="24"/>
        </w:rPr>
      </w:pPr>
      <w:r w:rsidRPr="00CD6967">
        <w:rPr>
          <w:rFonts w:ascii="Times New Roman" w:hAnsi="Times New Roman" w:cs="Times New Roman"/>
          <w:sz w:val="24"/>
          <w:szCs w:val="24"/>
        </w:rPr>
        <w:t>‘Don’t know: the kitchen fire ain’t alight yet:’—and she hobbled away.</w:t>
      </w:r>
      <w:r w:rsidRPr="00CD6967">
        <w:rPr>
          <w:rStyle w:val="FootnoteReference"/>
          <w:rFonts w:ascii="Times New Roman" w:hAnsi="Times New Roman" w:cs="Times New Roman"/>
          <w:sz w:val="24"/>
          <w:szCs w:val="24"/>
        </w:rPr>
        <w:footnoteReference w:id="429"/>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The exchange sees her take interminable time to perform simple tasks in a provocative manner, signifying the belief she can abuse Frank’s vulnerability and cast aside any semblance of politeness.</w:t>
      </w:r>
      <w:r w:rsidRPr="00CD6967">
        <w:rPr>
          <w:rStyle w:val="FootnoteReference"/>
          <w:rFonts w:ascii="Times New Roman" w:hAnsi="Times New Roman" w:cs="Times New Roman"/>
          <w:sz w:val="24"/>
          <w:szCs w:val="24"/>
        </w:rPr>
        <w:footnoteReference w:id="430"/>
      </w:r>
      <w:r w:rsidRPr="00CD6967">
        <w:rPr>
          <w:rFonts w:ascii="Times New Roman" w:hAnsi="Times New Roman" w:cs="Times New Roman"/>
          <w:sz w:val="24"/>
          <w:szCs w:val="24"/>
        </w:rPr>
        <w:t xml:space="preserve">  When he departs later and Reynolds comments ironically that the messenger who conveys his portmanteau to the public house ‘only charged a shilling’, it does not seem the action of a worldly-wise working man like Sam Weller refusing to be unfairly exploited but the manoeuvre of a swindler taking advantage of someone’s unfortunate position.</w:t>
      </w:r>
      <w:r w:rsidRPr="00CD6967">
        <w:rPr>
          <w:rStyle w:val="FootnoteReference"/>
          <w:rFonts w:ascii="Times New Roman" w:hAnsi="Times New Roman" w:cs="Times New Roman"/>
          <w:sz w:val="24"/>
          <w:szCs w:val="24"/>
        </w:rPr>
        <w:footnoteReference w:id="431"/>
      </w:r>
      <w:r w:rsidRPr="00CD6967">
        <w:rPr>
          <w:rFonts w:ascii="Times New Roman" w:hAnsi="Times New Roman" w:cs="Times New Roman"/>
          <w:sz w:val="24"/>
          <w:szCs w:val="24"/>
        </w:rPr>
        <w:t xml:space="preserve">  Both servant and messenger exhibit the contemptible values of their workplace as determined by superiors such as Mac Grab the bailiff who lines his pockets by providing private rooms on receipt of an adequate bribe.</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The experience of Eugene Markham after his financial ruin sees the same attitude prevailing among higher ranks of the industrious classes.  When he seeks help in Cheapside, the arrogance of former capitalist associates is paralleled by the insolence of their employees, typified by one drawling clerk:</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[H]aving duly nibbed the pen, he dismounted very leisurely from his stool—paused to arrange a piece of blotting-paper on the desk in a very precise manner indeed—brushed the splinters of the quill from his trousers—and then dragged himself in a lazy fashion towards the private office.</w:t>
      </w:r>
      <w:r w:rsidRPr="00CD6967">
        <w:rPr>
          <w:rStyle w:val="FootnoteReference"/>
          <w:rFonts w:ascii="Times New Roman" w:hAnsi="Times New Roman" w:cs="Times New Roman"/>
          <w:sz w:val="24"/>
          <w:szCs w:val="24"/>
        </w:rPr>
        <w:footnoteReference w:id="432"/>
      </w:r>
    </w:p>
    <w:p w:rsidR="00C76704" w:rsidRPr="00CD6967" w:rsidRDefault="00C76704" w:rsidP="00C76704">
      <w:pPr>
        <w:spacing w:after="120" w:line="360" w:lineRule="auto"/>
        <w:rPr>
          <w:rFonts w:ascii="Times New Roman" w:hAnsi="Times New Roman" w:cs="Times New Roman"/>
          <w:bCs/>
          <w:sz w:val="24"/>
          <w:szCs w:val="24"/>
        </w:rPr>
      </w:pPr>
      <w:r w:rsidRPr="00CD6967">
        <w:rPr>
          <w:rFonts w:ascii="Times New Roman" w:hAnsi="Times New Roman" w:cs="Times New Roman"/>
          <w:sz w:val="24"/>
          <w:szCs w:val="24"/>
        </w:rPr>
        <w:t>Seeing that Eugene is anxious for a quick response, he employs exaggerated punctiliousness over every action, deliberately delaying matters to suggest the performance of an onerous task.  The clerk compounds this impudence when returning to say in a ‘careless tone’ that his employer is absent, before adding: ‘my governor doesn’t want shabby insolvents hanging about his premises’.</w:t>
      </w:r>
      <w:r w:rsidRPr="00CD6967">
        <w:rPr>
          <w:rStyle w:val="FootnoteReference"/>
          <w:rFonts w:ascii="Times New Roman" w:hAnsi="Times New Roman" w:cs="Times New Roman"/>
          <w:sz w:val="24"/>
          <w:szCs w:val="24"/>
        </w:rPr>
        <w:footnoteReference w:id="433"/>
      </w:r>
      <w:r w:rsidRPr="00CD6967">
        <w:rPr>
          <w:rFonts w:ascii="Times New Roman" w:hAnsi="Times New Roman" w:cs="Times New Roman"/>
          <w:sz w:val="24"/>
          <w:szCs w:val="24"/>
        </w:rPr>
        <w:t xml:space="preserve">  The manner adopted is intended to display unconcern whether he is believed or not, with the ensuing insult a cowardly addition made in the knowledge there will be no repercussions.  Reynolds broadens this effect as Eugene is mocked by acquaintances in </w:t>
      </w:r>
      <w:r w:rsidRPr="00CD6967">
        <w:rPr>
          <w:rFonts w:ascii="Times New Roman" w:hAnsi="Times New Roman" w:cs="Times New Roman"/>
          <w:sz w:val="24"/>
          <w:szCs w:val="24"/>
        </w:rPr>
        <w:lastRenderedPageBreak/>
        <w:t>Moorgate Street and finds that ‘every clerk in the counting house was laughing’.</w:t>
      </w:r>
      <w:r w:rsidRPr="00CD6967">
        <w:rPr>
          <w:rStyle w:val="FootnoteReference"/>
          <w:rFonts w:ascii="Times New Roman" w:hAnsi="Times New Roman" w:cs="Times New Roman"/>
          <w:sz w:val="24"/>
          <w:szCs w:val="24"/>
        </w:rPr>
        <w:footnoteReference w:id="434"/>
      </w:r>
      <w:r w:rsidRPr="00CD6967">
        <w:rPr>
          <w:rFonts w:ascii="Times New Roman" w:hAnsi="Times New Roman" w:cs="Times New Roman"/>
          <w:sz w:val="24"/>
          <w:szCs w:val="24"/>
        </w:rPr>
        <w:t xml:space="preserve">  When turned out of his lodgings, the landlady speaks loudly to disgrace him before watching neighbours.  Her complaint about non-payment foreshadows Thomas Beames’s description of the vengeful renting middleman whose heart ‘is seared by the recollection of his own poverty, and who learns to grind as he was once ground by others’.</w:t>
      </w:r>
      <w:r w:rsidRPr="00CD6967">
        <w:rPr>
          <w:rStyle w:val="FootnoteReference"/>
          <w:rFonts w:ascii="Times New Roman" w:hAnsi="Times New Roman" w:cs="Times New Roman"/>
          <w:sz w:val="24"/>
          <w:szCs w:val="24"/>
        </w:rPr>
        <w:footnoteReference w:id="435"/>
      </w:r>
      <w:r w:rsidRPr="00CD6967">
        <w:rPr>
          <w:rFonts w:ascii="Times New Roman" w:hAnsi="Times New Roman" w:cs="Times New Roman"/>
          <w:sz w:val="24"/>
          <w:szCs w:val="24"/>
        </w:rPr>
        <w:t xml:space="preserve">  P</w:t>
      </w:r>
      <w:r w:rsidRPr="00CD6967">
        <w:rPr>
          <w:rFonts w:ascii="Times New Roman" w:hAnsi="Times New Roman" w:cs="Times New Roman"/>
          <w:bCs/>
          <w:sz w:val="24"/>
          <w:szCs w:val="24"/>
        </w:rPr>
        <w:t xml:space="preserve">rotest becomes a public display of power that assumes the moral high-ground </w:t>
      </w:r>
      <w:r w:rsidRPr="00BE7C6F">
        <w:rPr>
          <w:rFonts w:ascii="Times New Roman" w:hAnsi="Times New Roman" w:cs="Times New Roman"/>
          <w:bCs/>
          <w:sz w:val="24"/>
          <w:szCs w:val="24"/>
        </w:rPr>
        <w:t>while revealing complete</w:t>
      </w:r>
      <w:r w:rsidRPr="00CD6967">
        <w:rPr>
          <w:rFonts w:ascii="Times New Roman" w:hAnsi="Times New Roman" w:cs="Times New Roman"/>
          <w:bCs/>
          <w:sz w:val="24"/>
          <w:szCs w:val="24"/>
        </w:rPr>
        <w:t xml:space="preserve"> lack of sympathy for the suffering of others.  It is a shortcoming repeatedly shown running through the industrious classes, from servants and office workers to small property owners, in which their dissatisfaction with life finds an outlet in domineering over those who are defenceless.</w:t>
      </w:r>
    </w:p>
    <w:p w:rsidR="00C76704" w:rsidRPr="00CD6967" w:rsidRDefault="00C76704" w:rsidP="00C76704">
      <w:pPr>
        <w:spacing w:after="120" w:line="360" w:lineRule="auto"/>
        <w:ind w:firstLine="720"/>
        <w:rPr>
          <w:rFonts w:ascii="Times New Roman" w:hAnsi="Times New Roman" w:cs="Times New Roman"/>
          <w:sz w:val="24"/>
          <w:szCs w:val="24"/>
        </w:rPr>
      </w:pPr>
      <w:bookmarkStart w:id="1" w:name="_Hlk519700394"/>
      <w:r w:rsidRPr="00CD6967">
        <w:rPr>
          <w:rFonts w:ascii="Times New Roman" w:hAnsi="Times New Roman" w:cs="Times New Roman"/>
          <w:sz w:val="24"/>
          <w:szCs w:val="24"/>
        </w:rPr>
        <w:t xml:space="preserve">In Reynolds’s work, the tendency to turn resentment against members of their own </w:t>
      </w:r>
      <w:bookmarkEnd w:id="1"/>
      <w:r w:rsidRPr="00CD6967">
        <w:rPr>
          <w:rFonts w:ascii="Times New Roman" w:hAnsi="Times New Roman" w:cs="Times New Roman"/>
          <w:sz w:val="24"/>
          <w:szCs w:val="24"/>
        </w:rPr>
        <w:t>class is most prevalent in matters concerning questions of status, something that was unsurprising given his focus upon staff in large households.  Adeline Hartcup details how they were divided into a complex domestic hierarchy, the ‘upper ten’ and ‘the lower five’, that resulted in interminable fragmentation.</w:t>
      </w:r>
      <w:r w:rsidRPr="00CD6967">
        <w:rPr>
          <w:rStyle w:val="FootnoteReference"/>
          <w:rFonts w:ascii="Times New Roman" w:hAnsi="Times New Roman" w:cs="Times New Roman"/>
          <w:sz w:val="24"/>
          <w:szCs w:val="24"/>
        </w:rPr>
        <w:footnoteReference w:id="436"/>
      </w:r>
      <w:r w:rsidRPr="00CD6967">
        <w:rPr>
          <w:rFonts w:ascii="Times New Roman" w:hAnsi="Times New Roman" w:cs="Times New Roman"/>
          <w:sz w:val="24"/>
          <w:szCs w:val="24"/>
        </w:rPr>
        <w:t xml:space="preserve">  One reply to ‘A Servant-of-all-Work’ in the </w:t>
      </w:r>
      <w:r w:rsidRPr="00CD6967">
        <w:rPr>
          <w:rFonts w:ascii="Times New Roman" w:hAnsi="Times New Roman" w:cs="Times New Roman"/>
          <w:i/>
          <w:sz w:val="24"/>
          <w:szCs w:val="24"/>
        </w:rPr>
        <w:t>Miscellan</w:t>
      </w:r>
      <w:r w:rsidRPr="00CD6967">
        <w:rPr>
          <w:rFonts w:ascii="Times New Roman" w:hAnsi="Times New Roman" w:cs="Times New Roman"/>
          <w:sz w:val="24"/>
          <w:szCs w:val="24"/>
        </w:rPr>
        <w:t>y indicated Reynolds’s view of the matter.  After highlighting the widely varying conditions that see those who perform the most onerous work receiving the least remuneration, it proceeded to outline the attitudes that dominated:</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There is as much, if not more, of aristocratic pride in the kitchen than in the parlour; […]  It is not surprising you are desirous of leaving an establishment, however fashionable a one it may be, where the lower servants are treated by the mistress and her favourites, like creatures of an inferior origin, in fact, as though they were the very scum of the earth.</w:t>
      </w:r>
      <w:r w:rsidRPr="00CD6967">
        <w:rPr>
          <w:rStyle w:val="FootnoteReference"/>
          <w:rFonts w:ascii="Times New Roman" w:hAnsi="Times New Roman" w:cs="Times New Roman"/>
          <w:sz w:val="24"/>
          <w:szCs w:val="24"/>
        </w:rPr>
        <w:footnoteReference w:id="437"/>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 xml:space="preserve">This structure reflects the divisions of wider society in both material and psychological terms.  The top strata enjoy ‘lucrative, easy, and […] </w:t>
      </w:r>
      <w:r w:rsidRPr="00830926">
        <w:rPr>
          <w:rFonts w:ascii="Times New Roman" w:hAnsi="Times New Roman" w:cs="Times New Roman"/>
          <w:sz w:val="24"/>
          <w:szCs w:val="24"/>
        </w:rPr>
        <w:t>desirable positions’ and</w:t>
      </w:r>
      <w:r w:rsidRPr="00CD6967">
        <w:rPr>
          <w:rFonts w:ascii="Times New Roman" w:hAnsi="Times New Roman" w:cs="Times New Roman"/>
          <w:sz w:val="24"/>
          <w:szCs w:val="24"/>
        </w:rPr>
        <w:t xml:space="preserve"> it is not only employers but their ‘favourites’ who treat the lower ranks as ‘the scum of the earth’.  Such attitudes were an almost impregnable barrier against staff building a class-based opposition to oppressive treatment.  In </w:t>
      </w:r>
      <w:r w:rsidRPr="00CD6967">
        <w:rPr>
          <w:rFonts w:ascii="Times New Roman" w:hAnsi="Times New Roman" w:cs="Times New Roman"/>
          <w:i/>
          <w:iCs/>
          <w:sz w:val="24"/>
          <w:szCs w:val="24"/>
        </w:rPr>
        <w:t xml:space="preserve">The </w:t>
      </w:r>
      <w:r w:rsidRPr="00CD6967">
        <w:rPr>
          <w:rFonts w:ascii="Times New Roman" w:hAnsi="Times New Roman" w:cs="Times New Roman"/>
          <w:i/>
          <w:sz w:val="24"/>
          <w:szCs w:val="24"/>
        </w:rPr>
        <w:t>Mysteries of London</w:t>
      </w:r>
      <w:r w:rsidRPr="00CD6967">
        <w:rPr>
          <w:rFonts w:ascii="Times New Roman" w:hAnsi="Times New Roman" w:cs="Times New Roman"/>
          <w:sz w:val="24"/>
          <w:szCs w:val="24"/>
        </w:rPr>
        <w:t>, John Jeffreys details the practices at Mr Ilverton’s residence:</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 xml:space="preserve">There was a great deal of aristocratic feeling amongst these servants.  The butler had </w:t>
      </w:r>
      <w:r w:rsidRPr="00CD6967">
        <w:rPr>
          <w:rFonts w:ascii="Times New Roman" w:hAnsi="Times New Roman" w:cs="Times New Roman"/>
          <w:i/>
          <w:iCs/>
          <w:sz w:val="24"/>
          <w:szCs w:val="24"/>
        </w:rPr>
        <w:t>his</w:t>
      </w:r>
      <w:r w:rsidRPr="00CD6967">
        <w:rPr>
          <w:rFonts w:ascii="Times New Roman" w:hAnsi="Times New Roman" w:cs="Times New Roman"/>
          <w:sz w:val="24"/>
          <w:szCs w:val="24"/>
        </w:rPr>
        <w:t xml:space="preserve"> room, and the housekeeper had </w:t>
      </w:r>
      <w:r w:rsidRPr="00CD6967">
        <w:rPr>
          <w:rFonts w:ascii="Times New Roman" w:hAnsi="Times New Roman" w:cs="Times New Roman"/>
          <w:i/>
          <w:iCs/>
          <w:sz w:val="24"/>
          <w:szCs w:val="24"/>
        </w:rPr>
        <w:t>her</w:t>
      </w:r>
      <w:r w:rsidRPr="00CD6967">
        <w:rPr>
          <w:rFonts w:ascii="Times New Roman" w:hAnsi="Times New Roman" w:cs="Times New Roman"/>
          <w:sz w:val="24"/>
          <w:szCs w:val="24"/>
        </w:rPr>
        <w:t xml:space="preserve"> room; and they took their meals apart from the rest.  The other servants were obliged to say ‘</w:t>
      </w:r>
      <w:r w:rsidRPr="00CD6967">
        <w:rPr>
          <w:rFonts w:ascii="Times New Roman" w:hAnsi="Times New Roman" w:cs="Times New Roman"/>
          <w:i/>
          <w:iCs/>
          <w:sz w:val="24"/>
          <w:szCs w:val="24"/>
        </w:rPr>
        <w:t>Sir</w:t>
      </w:r>
      <w:r w:rsidRPr="00CD6967">
        <w:rPr>
          <w:rFonts w:ascii="Times New Roman" w:hAnsi="Times New Roman" w:cs="Times New Roman"/>
          <w:sz w:val="24"/>
          <w:szCs w:val="24"/>
        </w:rPr>
        <w:t>’ to the butler, and ‘</w:t>
      </w:r>
      <w:r w:rsidRPr="00CD6967">
        <w:rPr>
          <w:rFonts w:ascii="Times New Roman" w:hAnsi="Times New Roman" w:cs="Times New Roman"/>
          <w:i/>
          <w:iCs/>
          <w:sz w:val="24"/>
          <w:szCs w:val="24"/>
        </w:rPr>
        <w:t>Ma’am</w:t>
      </w:r>
      <w:r w:rsidRPr="00CD6967">
        <w:rPr>
          <w:rFonts w:ascii="Times New Roman" w:hAnsi="Times New Roman" w:cs="Times New Roman"/>
          <w:sz w:val="24"/>
          <w:szCs w:val="24"/>
        </w:rPr>
        <w:t xml:space="preserve">’ to the </w:t>
      </w:r>
      <w:r w:rsidRPr="00CD6967">
        <w:rPr>
          <w:rFonts w:ascii="Times New Roman" w:hAnsi="Times New Roman" w:cs="Times New Roman"/>
          <w:sz w:val="24"/>
          <w:szCs w:val="24"/>
        </w:rPr>
        <w:lastRenderedPageBreak/>
        <w:t>housekeeper.  The cook and the two housemaids were likewise above the kitchen-maids who said ‘</w:t>
      </w:r>
      <w:r w:rsidRPr="00CD6967">
        <w:rPr>
          <w:rFonts w:ascii="Times New Roman" w:hAnsi="Times New Roman" w:cs="Times New Roman"/>
          <w:i/>
          <w:iCs/>
          <w:sz w:val="24"/>
          <w:szCs w:val="24"/>
        </w:rPr>
        <w:t>Miss</w:t>
      </w:r>
      <w:r w:rsidRPr="00CD6967">
        <w:rPr>
          <w:rFonts w:ascii="Times New Roman" w:hAnsi="Times New Roman" w:cs="Times New Roman"/>
          <w:sz w:val="24"/>
          <w:szCs w:val="24"/>
        </w:rPr>
        <w:t>’ when addressing either one of them.  The footmen also considered themselves above the coachman; but they allowed the latter to take his meals at their table.</w:t>
      </w:r>
      <w:r w:rsidRPr="00CD6967">
        <w:rPr>
          <w:rStyle w:val="FootnoteReference"/>
          <w:rFonts w:ascii="Times New Roman" w:hAnsi="Times New Roman" w:cs="Times New Roman"/>
          <w:sz w:val="24"/>
          <w:szCs w:val="24"/>
        </w:rPr>
        <w:footnoteReference w:id="438"/>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The master-servant relationship is reflected across all ranks, with every aspect of the working day governed by rules that lead to assertions of superiority which dictate forms of address and where people may dine.  When different positions comingle, it is always regarded as a concession granted to the lower.  Reynolds occasionally uses this for comic effect as with Richard Markham’s faithful butler, Whittingham, and his friend Suggett.</w:t>
      </w:r>
      <w:r w:rsidRPr="00CD6967">
        <w:rPr>
          <w:rStyle w:val="FootnoteReference"/>
          <w:rFonts w:ascii="Times New Roman" w:hAnsi="Times New Roman" w:cs="Times New Roman"/>
          <w:sz w:val="24"/>
          <w:szCs w:val="24"/>
        </w:rPr>
        <w:footnoteReference w:id="439"/>
      </w:r>
      <w:r w:rsidRPr="00CD6967">
        <w:rPr>
          <w:rFonts w:ascii="Times New Roman" w:hAnsi="Times New Roman" w:cs="Times New Roman"/>
          <w:sz w:val="24"/>
          <w:szCs w:val="24"/>
        </w:rPr>
        <w:t xml:space="preserve">  However, he is more concerned with depicting how the false sense of pride that is generated leads to servants venting frustrations against colleagues rather than employers.  Households form extreme examples of Ralf Dahrendorf’s model in which a sense of authority is a defining trait of society, where ‘interest groups’ not clearly identified by </w:t>
      </w:r>
      <w:r w:rsidRPr="00CD6967">
        <w:rPr>
          <w:rFonts w:ascii="Times New Roman" w:hAnsi="Times New Roman" w:cs="Times New Roman"/>
          <w:bCs/>
          <w:sz w:val="24"/>
          <w:szCs w:val="24"/>
        </w:rPr>
        <w:t>power or impotence, property or poverty, are in continual conflict with each other.</w:t>
      </w:r>
      <w:r w:rsidRPr="00CD6967">
        <w:rPr>
          <w:rStyle w:val="FootnoteReference"/>
          <w:rFonts w:ascii="Times New Roman" w:hAnsi="Times New Roman" w:cs="Times New Roman"/>
          <w:bCs/>
          <w:sz w:val="24"/>
          <w:szCs w:val="24"/>
        </w:rPr>
        <w:footnoteReference w:id="440"/>
      </w:r>
      <w:r w:rsidRPr="00CD6967">
        <w:rPr>
          <w:rFonts w:ascii="Times New Roman" w:hAnsi="Times New Roman" w:cs="Times New Roman"/>
          <w:bCs/>
          <w:sz w:val="24"/>
          <w:szCs w:val="24"/>
        </w:rPr>
        <w:t xml:space="preserve"> </w:t>
      </w:r>
      <w:r w:rsidRPr="00CD6967">
        <w:rPr>
          <w:rFonts w:ascii="Times New Roman" w:hAnsi="Times New Roman" w:cs="Times New Roman"/>
          <w:sz w:val="24"/>
          <w:szCs w:val="24"/>
        </w:rPr>
        <w:t xml:space="preserve"> Reynolds portrays these hierarchies as hives of division that provide endless opportunities for misdirected protest to emerge.  Mary Price observes the effect this has at Harlesdon House extending to the lowest grades and resulting in ‘all the elements of jealousy, envy, and hatred […] endless bickerings, contentions, and complainings, together with the turmoil and excitement of petty tyrannies.’</w:t>
      </w:r>
      <w:r w:rsidRPr="00CD6967">
        <w:rPr>
          <w:rStyle w:val="FootnoteReference"/>
          <w:rFonts w:ascii="Times New Roman" w:hAnsi="Times New Roman" w:cs="Times New Roman"/>
          <w:sz w:val="24"/>
          <w:szCs w:val="24"/>
        </w:rPr>
        <w:footnoteReference w:id="441"/>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One of Reynolds’s most detailed portrayals of the disastrous consequences of this phenomenon occurs in </w:t>
      </w:r>
      <w:r w:rsidRPr="00CD6967">
        <w:rPr>
          <w:rFonts w:ascii="Times New Roman" w:hAnsi="Times New Roman" w:cs="Times New Roman"/>
          <w:i/>
          <w:iCs/>
          <w:sz w:val="24"/>
          <w:szCs w:val="24"/>
        </w:rPr>
        <w:t xml:space="preserve">The </w:t>
      </w:r>
      <w:r w:rsidRPr="00CD6967">
        <w:rPr>
          <w:rFonts w:ascii="Times New Roman" w:hAnsi="Times New Roman" w:cs="Times New Roman"/>
          <w:i/>
          <w:sz w:val="24"/>
          <w:szCs w:val="24"/>
        </w:rPr>
        <w:t>Mysteries of London</w:t>
      </w:r>
      <w:r w:rsidRPr="00CD6967">
        <w:rPr>
          <w:rFonts w:ascii="Times New Roman" w:hAnsi="Times New Roman" w:cs="Times New Roman"/>
          <w:sz w:val="24"/>
          <w:szCs w:val="24"/>
        </w:rPr>
        <w:t xml:space="preserve"> with the scenes at Belvidere </w:t>
      </w:r>
      <w:r w:rsidRPr="00CD6967">
        <w:rPr>
          <w:rFonts w:ascii="Times New Roman" w:hAnsi="Times New Roman" w:cs="Times New Roman"/>
          <w:bCs/>
          <w:sz w:val="24"/>
          <w:szCs w:val="24"/>
        </w:rPr>
        <w:t>House,</w:t>
      </w:r>
      <w:r w:rsidRPr="00CD6967">
        <w:rPr>
          <w:rFonts w:ascii="Times New Roman" w:hAnsi="Times New Roman" w:cs="Times New Roman"/>
          <w:sz w:val="24"/>
          <w:szCs w:val="24"/>
        </w:rPr>
        <w:t xml:space="preserve"> a school for young ladies where the impoverished Lydia Hutchinson works as a junior teacher and the negative effects of a sense of status are highlighted by Jessica the upper-maid</w:t>
      </w:r>
      <w:r w:rsidRPr="00111BF8">
        <w:rPr>
          <w:rFonts w:ascii="Times New Roman" w:hAnsi="Times New Roman" w:cs="Times New Roman"/>
          <w:sz w:val="24"/>
          <w:szCs w:val="24"/>
        </w:rPr>
        <w:t>. The tyrannical owner Mrs Lambkin imposes a highly delineated lifestyle across the premises, symboli</w:t>
      </w:r>
      <w:r w:rsidR="00287BEF" w:rsidRPr="00111BF8">
        <w:rPr>
          <w:rFonts w:ascii="Times New Roman" w:hAnsi="Times New Roman" w:cs="Times New Roman"/>
          <w:sz w:val="24"/>
          <w:szCs w:val="24"/>
        </w:rPr>
        <w:t>z</w:t>
      </w:r>
      <w:r w:rsidRPr="00111BF8">
        <w:rPr>
          <w:rFonts w:ascii="Times New Roman" w:hAnsi="Times New Roman" w:cs="Times New Roman"/>
          <w:sz w:val="24"/>
          <w:szCs w:val="24"/>
        </w:rPr>
        <w:t>ed by the differing standards of accommodation.  On the second floor are handsome bedrooms for</w:t>
      </w:r>
      <w:r w:rsidRPr="00CD6967">
        <w:rPr>
          <w:rFonts w:ascii="Times New Roman" w:hAnsi="Times New Roman" w:cs="Times New Roman"/>
          <w:sz w:val="24"/>
          <w:szCs w:val="24"/>
        </w:rPr>
        <w:t xml:space="preserve"> students and senior teachers, the third has servants’ rooms, while the virtually unfurnished garrets are used for junior teachers.  Lydia relates how these degrading divisions run through daily life, exemplified by the eating arrangements:</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lastRenderedPageBreak/>
        <w:t>At tea-time, the three senior teachers sate near the mistress of the establishment, and had tea and thin bread-and-butter: the three junior teachers sate amongst the little girls, and had milk-and-water, and thick bread-and-butter.  The same arrangement existed at breakfast.  At dinner, the three junior teachers were expected to eat the cold meat; though none of the little girls were made to partake of it, and, as I once heard Jessica observe, ‘such a thing as cold meat was never touched in the kitchen.’</w:t>
      </w:r>
      <w:r w:rsidRPr="00CD6967">
        <w:rPr>
          <w:rStyle w:val="FootnoteReference"/>
          <w:rFonts w:ascii="Times New Roman" w:hAnsi="Times New Roman" w:cs="Times New Roman"/>
          <w:sz w:val="24"/>
          <w:szCs w:val="24"/>
        </w:rPr>
        <w:footnoteReference w:id="442"/>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Rank determines where you sit and what you are served.  The expectation that junior teachers eat the ‘cold meat’ leftovers suggests they endure the custom almost as a humiliation to emphasise their inferiority in front of the pupils they teach.  Jessica’s response is unsympathetic, recognizing the practice as a marker for other servants to look down upon them.  Her resentment takes the form of reinforcing this plethora of distinctions by refusing to participate, even casually, in the duties that officially belong to those of a lower station.  This is evident in her contemptuous response to Lydia’s request for help in carrying her luggage: ‘“Well! That is a pretty thing, I don’t think!” she exclaimed, tossing her head haughtily: “an under teacher to ask an upper servant to bring up her trunk!”’</w:t>
      </w:r>
      <w:r w:rsidRPr="00CD6967">
        <w:rPr>
          <w:rStyle w:val="FootnoteReference"/>
          <w:rFonts w:ascii="Times New Roman" w:hAnsi="Times New Roman" w:cs="Times New Roman"/>
          <w:sz w:val="24"/>
          <w:szCs w:val="24"/>
        </w:rPr>
        <w:footnoteReference w:id="443"/>
      </w:r>
      <w:r w:rsidRPr="00CD6967">
        <w:rPr>
          <w:rFonts w:ascii="Times New Roman" w:hAnsi="Times New Roman" w:cs="Times New Roman"/>
          <w:sz w:val="24"/>
          <w:szCs w:val="24"/>
        </w:rPr>
        <w:t xml:space="preserve">  She regards it as an insult that she is prepared to forgive only after scrutinizing Lydia’s face to ensure it has been made in ignorance of official procedures.  Maintenance of status is the key issue not the propriety or </w:t>
      </w:r>
      <w:r w:rsidRPr="00111BF8">
        <w:rPr>
          <w:rFonts w:ascii="Times New Roman" w:hAnsi="Times New Roman" w:cs="Times New Roman"/>
          <w:sz w:val="24"/>
          <w:szCs w:val="24"/>
        </w:rPr>
        <w:t>otherwise of</w:t>
      </w:r>
      <w:r w:rsidR="00256B5E" w:rsidRPr="00111BF8">
        <w:rPr>
          <w:rFonts w:ascii="Times New Roman" w:hAnsi="Times New Roman" w:cs="Times New Roman"/>
          <w:sz w:val="24"/>
          <w:szCs w:val="24"/>
        </w:rPr>
        <w:t xml:space="preserve"> </w:t>
      </w:r>
      <w:r w:rsidRPr="00111BF8">
        <w:rPr>
          <w:rFonts w:ascii="Times New Roman" w:hAnsi="Times New Roman" w:cs="Times New Roman"/>
          <w:sz w:val="24"/>
          <w:szCs w:val="24"/>
        </w:rPr>
        <w:t>carrying another</w:t>
      </w:r>
      <w:r w:rsidRPr="00CD6967">
        <w:rPr>
          <w:rFonts w:ascii="Times New Roman" w:hAnsi="Times New Roman" w:cs="Times New Roman"/>
          <w:sz w:val="24"/>
          <w:szCs w:val="24"/>
        </w:rPr>
        <w:t xml:space="preserve"> person’s luggage since Jessica readily tells Betsy the scullery maid to perform the task while warning Lydia, ‘of course even </w:t>
      </w:r>
      <w:r w:rsidRPr="00CD6967">
        <w:rPr>
          <w:rFonts w:ascii="Times New Roman" w:hAnsi="Times New Roman" w:cs="Times New Roman"/>
          <w:i/>
          <w:sz w:val="24"/>
          <w:szCs w:val="24"/>
        </w:rPr>
        <w:t>she</w:t>
      </w:r>
      <w:r w:rsidRPr="00CD6967">
        <w:rPr>
          <w:rFonts w:ascii="Times New Roman" w:hAnsi="Times New Roman" w:cs="Times New Roman"/>
          <w:sz w:val="24"/>
          <w:szCs w:val="24"/>
        </w:rPr>
        <w:t xml:space="preserve"> wouldn’t do it alone’.</w:t>
      </w:r>
      <w:r w:rsidRPr="00CD6967">
        <w:rPr>
          <w:rStyle w:val="FootnoteReference"/>
          <w:rFonts w:ascii="Times New Roman" w:hAnsi="Times New Roman" w:cs="Times New Roman"/>
          <w:sz w:val="24"/>
          <w:szCs w:val="24"/>
        </w:rPr>
        <w:footnoteReference w:id="444"/>
      </w:r>
      <w:r w:rsidRPr="00CD6967">
        <w:rPr>
          <w:rFonts w:ascii="Times New Roman" w:hAnsi="Times New Roman" w:cs="Times New Roman"/>
          <w:sz w:val="24"/>
          <w:szCs w:val="24"/>
        </w:rPr>
        <w:t xml:space="preserve">  Giving advice about who might help is a </w:t>
      </w:r>
      <w:r w:rsidRPr="00BE7C6F">
        <w:rPr>
          <w:rFonts w:ascii="Times New Roman" w:hAnsi="Times New Roman" w:cs="Times New Roman"/>
          <w:sz w:val="24"/>
          <w:szCs w:val="24"/>
        </w:rPr>
        <w:t>favour willingly confer</w:t>
      </w:r>
      <w:r w:rsidR="00111BF8" w:rsidRPr="00BE7C6F">
        <w:rPr>
          <w:rFonts w:ascii="Times New Roman" w:hAnsi="Times New Roman" w:cs="Times New Roman"/>
          <w:sz w:val="24"/>
          <w:szCs w:val="24"/>
        </w:rPr>
        <w:t>red</w:t>
      </w:r>
      <w:r w:rsidRPr="00BE7C6F">
        <w:rPr>
          <w:rFonts w:ascii="Times New Roman" w:hAnsi="Times New Roman" w:cs="Times New Roman"/>
          <w:sz w:val="24"/>
          <w:szCs w:val="24"/>
        </w:rPr>
        <w:t xml:space="preserve"> since</w:t>
      </w:r>
      <w:r w:rsidRPr="00CD6967">
        <w:rPr>
          <w:rFonts w:ascii="Times New Roman" w:hAnsi="Times New Roman" w:cs="Times New Roman"/>
          <w:sz w:val="24"/>
          <w:szCs w:val="24"/>
        </w:rPr>
        <w:t xml:space="preserve"> it involves exercising her authority.  As Betsy and Lydia haul the trunk to the garret, the former also grumbles since she, like Jessica, feels unfairly put upon.  This sense of division exists everywhere and misplaced protest seeps through the entire domestic hierarchy.</w:t>
      </w:r>
      <w:r w:rsidRPr="00CD6967">
        <w:rPr>
          <w:rStyle w:val="FootnoteReference"/>
          <w:rFonts w:ascii="Times New Roman" w:hAnsi="Times New Roman" w:cs="Times New Roman"/>
          <w:sz w:val="24"/>
          <w:szCs w:val="24"/>
        </w:rPr>
        <w:footnoteReference w:id="445"/>
      </w:r>
    </w:p>
    <w:p w:rsidR="00C76704" w:rsidRPr="00BE7C6F"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The extent to which Jessica will turn against colleagues is demonstrated when she discovers the loss of some cutlery and bursts into the room anxious to be the one who reports the matter to Lambkin: ‘Ma’am, there’s three silver tea-spoons missing; and as we’ve been quarrelling about it down stairs, I beg that all our boxes may be searched.  Of course I don’t mean the young ladies; or yet the </w:t>
      </w:r>
      <w:r w:rsidRPr="00CD6967">
        <w:rPr>
          <w:rFonts w:ascii="Times New Roman" w:hAnsi="Times New Roman" w:cs="Times New Roman"/>
          <w:i/>
          <w:iCs/>
          <w:sz w:val="24"/>
          <w:szCs w:val="24"/>
        </w:rPr>
        <w:t>senior</w:t>
      </w:r>
      <w:r w:rsidRPr="00CD6967">
        <w:rPr>
          <w:rFonts w:ascii="Times New Roman" w:hAnsi="Times New Roman" w:cs="Times New Roman"/>
          <w:sz w:val="24"/>
          <w:szCs w:val="24"/>
        </w:rPr>
        <w:t xml:space="preserve"> teachers, ma’am.’</w:t>
      </w:r>
      <w:r w:rsidRPr="00CD6967">
        <w:rPr>
          <w:rStyle w:val="FootnoteReference"/>
          <w:rFonts w:ascii="Times New Roman" w:hAnsi="Times New Roman" w:cs="Times New Roman"/>
          <w:sz w:val="24"/>
          <w:szCs w:val="24"/>
        </w:rPr>
        <w:footnoteReference w:id="446"/>
      </w:r>
      <w:r w:rsidRPr="00CD6967">
        <w:rPr>
          <w:rFonts w:ascii="Times New Roman" w:hAnsi="Times New Roman" w:cs="Times New Roman"/>
          <w:sz w:val="24"/>
          <w:szCs w:val="24"/>
        </w:rPr>
        <w:t xml:space="preserve">  Her servility is apparent by how she begs that a search be made, including herself in the degrading treatment and stressing the word ‘senior’ to indicate she has no wish to overstep her position.  Jessica’s instigation of </w:t>
      </w:r>
      <w:r w:rsidRPr="00CD6967">
        <w:rPr>
          <w:rFonts w:ascii="Times New Roman" w:hAnsi="Times New Roman" w:cs="Times New Roman"/>
          <w:sz w:val="24"/>
          <w:szCs w:val="24"/>
        </w:rPr>
        <w:lastRenderedPageBreak/>
        <w:t xml:space="preserve">such actions suggests how it is those who have achieved limited authority that are often most influenced by the rules under which they operate, adopting self-serving attitudes in which </w:t>
      </w:r>
      <w:r w:rsidR="00111BF8" w:rsidRPr="00BE7C6F">
        <w:rPr>
          <w:rFonts w:ascii="Times New Roman" w:hAnsi="Times New Roman" w:cs="Times New Roman"/>
          <w:sz w:val="24"/>
          <w:szCs w:val="24"/>
        </w:rPr>
        <w:t xml:space="preserve">one’s </w:t>
      </w:r>
      <w:r w:rsidRPr="00BE7C6F">
        <w:rPr>
          <w:rFonts w:ascii="Times New Roman" w:hAnsi="Times New Roman" w:cs="Times New Roman"/>
          <w:sz w:val="24"/>
          <w:szCs w:val="24"/>
        </w:rPr>
        <w:t xml:space="preserve">interests are seen as best </w:t>
      </w:r>
      <w:r w:rsidR="00111BF8" w:rsidRPr="00BE7C6F">
        <w:rPr>
          <w:rFonts w:ascii="Times New Roman" w:hAnsi="Times New Roman" w:cs="Times New Roman"/>
          <w:sz w:val="24"/>
          <w:szCs w:val="24"/>
        </w:rPr>
        <w:t>looked after</w:t>
      </w:r>
      <w:r w:rsidRPr="00BE7C6F">
        <w:rPr>
          <w:rFonts w:ascii="Times New Roman" w:hAnsi="Times New Roman" w:cs="Times New Roman"/>
          <w:sz w:val="24"/>
          <w:szCs w:val="24"/>
        </w:rPr>
        <w:t xml:space="preserve"> through obeisance to the employer even when at the expense of colleagues.  In her hands, protecting status and the claim that it enforces what is right and proper is little more than a cover for cowardly bullying.</w:t>
      </w:r>
      <w:r w:rsidRPr="00BE7C6F">
        <w:rPr>
          <w:rStyle w:val="FootnoteReference"/>
          <w:rFonts w:ascii="Times New Roman" w:hAnsi="Times New Roman" w:cs="Times New Roman"/>
          <w:sz w:val="24"/>
          <w:szCs w:val="24"/>
        </w:rPr>
        <w:footnoteReference w:id="447"/>
      </w:r>
      <w:r w:rsidRPr="00BE7C6F">
        <w:rPr>
          <w:rFonts w:ascii="Times New Roman" w:hAnsi="Times New Roman" w:cs="Times New Roman"/>
          <w:sz w:val="24"/>
          <w:szCs w:val="24"/>
        </w:rPr>
        <w:t xml:space="preserve">  She confirms how servants are prepared to police themselves as rigidly as their employers do.  </w:t>
      </w:r>
    </w:p>
    <w:p w:rsidR="00C76704" w:rsidRPr="00CD6967" w:rsidRDefault="00C76704" w:rsidP="00C76704">
      <w:pPr>
        <w:spacing w:after="240" w:line="360" w:lineRule="auto"/>
        <w:ind w:firstLine="720"/>
        <w:rPr>
          <w:rFonts w:ascii="Times New Roman" w:hAnsi="Times New Roman" w:cs="Times New Roman"/>
          <w:sz w:val="24"/>
          <w:szCs w:val="24"/>
        </w:rPr>
      </w:pPr>
      <w:r w:rsidRPr="00BE7C6F">
        <w:rPr>
          <w:rFonts w:ascii="Times New Roman" w:hAnsi="Times New Roman" w:cs="Times New Roman"/>
          <w:sz w:val="24"/>
          <w:szCs w:val="24"/>
        </w:rPr>
        <w:t xml:space="preserve">In such incidents, Reynolds makes the point that these disreputable actions did little more than echo the worst morals of the ruling classes.  It is seen in </w:t>
      </w:r>
      <w:r w:rsidRPr="00BE7C6F">
        <w:rPr>
          <w:rFonts w:ascii="Times New Roman" w:hAnsi="Times New Roman" w:cs="Times New Roman"/>
          <w:i/>
          <w:sz w:val="24"/>
          <w:szCs w:val="24"/>
        </w:rPr>
        <w:t>Mary Price</w:t>
      </w:r>
      <w:r w:rsidRPr="00BE7C6F">
        <w:rPr>
          <w:rFonts w:ascii="Times New Roman" w:hAnsi="Times New Roman" w:cs="Times New Roman"/>
          <w:sz w:val="24"/>
          <w:szCs w:val="24"/>
        </w:rPr>
        <w:t xml:space="preserve"> when Smithson, shop assistant at John Messiter’s grocery</w:t>
      </w:r>
      <w:r w:rsidRPr="00CD6967">
        <w:rPr>
          <w:rFonts w:ascii="Times New Roman" w:hAnsi="Times New Roman" w:cs="Times New Roman"/>
          <w:sz w:val="24"/>
          <w:szCs w:val="24"/>
        </w:rPr>
        <w:t>, moves completely over to the side of the bourgeoisie.  Reynolds’s initial description signals the nature of his future schemes:</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[A] young man of about seven or eight-and-twenty—tall, lank, prim-looking, and sanctimonious, like his master—with a canting, whining tone, and a servile obsequiousness of manner.  He walked on tiptoe, or as if he were treading on eggs—had an habitual bend in his gait—and seemed altogether one of those individuals who prefer gliding snake-like through the world, rather than walking manfully along their path, neither afraid of seeing or being seen.</w:t>
      </w:r>
      <w:r w:rsidRPr="00CD6967">
        <w:rPr>
          <w:rStyle w:val="FootnoteReference"/>
          <w:rFonts w:ascii="Times New Roman" w:hAnsi="Times New Roman" w:cs="Times New Roman"/>
          <w:sz w:val="24"/>
          <w:szCs w:val="24"/>
        </w:rPr>
        <w:footnoteReference w:id="448"/>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 xml:space="preserve">Smithson is patient and calculating, prepared to live a double life in which outward servility conceals inner hatred.  A fawning demeanour and ‘canting’ voice point to how he hypocritically endures Messiter’s meanness and ostentatious religiosity, while his ‘snake-like’ movement suggests secretive purposes.  Unlike other assistants who hand in their notice at frequent intervals, he accepts the miserable conditions.  Such conduct may encourage Messiter to continue treating staff badly, but this is unimportant to Smithson who will suffer humiliation to underhandedly acquire the names of his master’s best customers needed to set up a rival business.  The rupture occurs equally disreputably when the assistant who has burned with resentment for years departs with an insolent remark rather than offering a forthright resignation.  Only after setting up his shop does he confess in a letter to long-held detestation for his former master.  This stored up anger drives the rebellion, which includes posters that publicly denounce Messiter’s dishonest sales practices.  Although the feud contains comic elements, Reynolds uses the opportunity it affords to attack the anarchy of the marketplace.  Smithson’s protest becomes an uncontrolled mania of underselling that embodies the worst aspects of competition and ruins both Messiter and himself.  Ultimately, </w:t>
      </w:r>
      <w:r w:rsidRPr="00CD6967">
        <w:rPr>
          <w:rFonts w:ascii="Times New Roman" w:hAnsi="Times New Roman" w:cs="Times New Roman"/>
          <w:sz w:val="24"/>
          <w:szCs w:val="24"/>
        </w:rPr>
        <w:lastRenderedPageBreak/>
        <w:t>it emulates the system that has sentenced him to years of drudgery and like the bitterness of the servants at Twisden Lodge it is indiscriminate, bringing disaster upon not only his former employer but the innocent members of his family.</w:t>
      </w:r>
    </w:p>
    <w:p w:rsidR="00C76704" w:rsidRPr="00CD6967" w:rsidRDefault="00C76704" w:rsidP="00C76704">
      <w:pPr>
        <w:spacing w:after="24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With Reynolds maintaining that protest by the industrious classes must retain a sound moral foundation, opposition at the workplace is unjustified against fair-minded employers.  This is apparent in </w:t>
      </w:r>
      <w:r w:rsidRPr="00CD6967">
        <w:rPr>
          <w:rFonts w:ascii="Times New Roman" w:hAnsi="Times New Roman" w:cs="Times New Roman"/>
          <w:i/>
          <w:sz w:val="24"/>
          <w:szCs w:val="24"/>
        </w:rPr>
        <w:t>The Days of Hogarth</w:t>
      </w:r>
      <w:r w:rsidRPr="00CD6967">
        <w:rPr>
          <w:rFonts w:ascii="Times New Roman" w:hAnsi="Times New Roman" w:cs="Times New Roman"/>
          <w:sz w:val="24"/>
          <w:szCs w:val="24"/>
        </w:rPr>
        <w:t xml:space="preserve"> (1847–48) with the reaction of apprentice Harry Hemmings against Mr West who is described in the following terms:</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[H]e treated the persons in his service, not as mere machines or automatons for whom he had done all that he need to do when he paid them their wages—but as friends between whom and himself mutual obligations lay.  He gave them employment and liberal remuneration: and they gave him their labour and skill, whereby he enriched himself.  Thus the compact existing between the employer and the employed was based on reciprocal confidence, and a manly sense of mutual reliance—without overbearing insolence on one side, or mean cringing on the other.</w:t>
      </w:r>
      <w:r w:rsidRPr="00CD6967">
        <w:rPr>
          <w:rStyle w:val="FootnoteReference"/>
          <w:rFonts w:ascii="Times New Roman" w:hAnsi="Times New Roman" w:cs="Times New Roman"/>
          <w:sz w:val="24"/>
          <w:szCs w:val="24"/>
        </w:rPr>
        <w:footnoteReference w:id="449"/>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 xml:space="preserve">West achieves the appropriate balance of rights and responsibilities.  Under such management, the factory is not a place where workers are ground down but one in which liberal-minded practices prevail.  His system does not represent backward looking paternalism because employer and workforce each acknowledge the mutual advantage of the arrangement.  The latter present a mixture of attitudes with </w:t>
      </w:r>
      <w:r w:rsidRPr="00830926">
        <w:rPr>
          <w:rFonts w:ascii="Times New Roman" w:hAnsi="Times New Roman" w:cs="Times New Roman"/>
          <w:sz w:val="24"/>
          <w:szCs w:val="24"/>
        </w:rPr>
        <w:t>many remaining</w:t>
      </w:r>
      <w:r w:rsidR="00060D5B" w:rsidRPr="00830926">
        <w:rPr>
          <w:rFonts w:ascii="Times New Roman" w:hAnsi="Times New Roman" w:cs="Times New Roman"/>
          <w:sz w:val="24"/>
          <w:szCs w:val="24"/>
        </w:rPr>
        <w:t xml:space="preserve"> happily</w:t>
      </w:r>
      <w:r w:rsidRPr="00830926">
        <w:rPr>
          <w:rFonts w:ascii="Times New Roman" w:hAnsi="Times New Roman" w:cs="Times New Roman"/>
          <w:sz w:val="24"/>
          <w:szCs w:val="24"/>
        </w:rPr>
        <w:t xml:space="preserve"> in</w:t>
      </w:r>
      <w:r w:rsidRPr="00CD6967">
        <w:rPr>
          <w:rFonts w:ascii="Times New Roman" w:hAnsi="Times New Roman" w:cs="Times New Roman"/>
          <w:sz w:val="24"/>
          <w:szCs w:val="24"/>
        </w:rPr>
        <w:t xml:space="preserve"> the same occupation for years while others strive for promotion.  Apprentices like Harry Hemmings and Frank Goodchild might, with dedication to their training, advance and set up in business, but the former rejects these admirable principles.  The accompanying illustration shows </w:t>
      </w:r>
      <w:r w:rsidRPr="00060D5B">
        <w:rPr>
          <w:rFonts w:ascii="Times New Roman" w:hAnsi="Times New Roman" w:cs="Times New Roman"/>
          <w:sz w:val="24"/>
          <w:szCs w:val="24"/>
        </w:rPr>
        <w:t>him in drunken slumber</w:t>
      </w:r>
      <w:r w:rsidRPr="00CD6967">
        <w:rPr>
          <w:rFonts w:ascii="Times New Roman" w:hAnsi="Times New Roman" w:cs="Times New Roman"/>
          <w:sz w:val="24"/>
          <w:szCs w:val="24"/>
        </w:rPr>
        <w:t xml:space="preserve"> at his workbench, loom idle while the cat plays with the shuttle (see Appendix E).  On the frame he has placed a blackened pipe and pinned a licentious ballad about Moll Flanders.  The ‘Apprentice’s Guide’ manual which he should study lies on the ground.  Highlighting this dissolute behaviour is Goodchild who in contrast is working conscientiously at his machine.  Addicted to alcohol and tobacco, Hemmings’s disordered hair and dirty appearance point to lack of diligence and resentment at having to work, the qualities of his protest summarized as follows: ‘Everything about him denoted idleness, improvidence and depravity.’</w:t>
      </w:r>
      <w:r w:rsidRPr="00CD6967">
        <w:rPr>
          <w:rStyle w:val="FootnoteReference"/>
          <w:rFonts w:ascii="Times New Roman" w:hAnsi="Times New Roman" w:cs="Times New Roman"/>
          <w:sz w:val="24"/>
          <w:szCs w:val="24"/>
        </w:rPr>
        <w:footnoteReference w:id="450"/>
      </w:r>
      <w:r w:rsidRPr="00CD6967">
        <w:rPr>
          <w:rFonts w:ascii="Times New Roman" w:hAnsi="Times New Roman" w:cs="Times New Roman"/>
          <w:sz w:val="24"/>
          <w:szCs w:val="24"/>
        </w:rPr>
        <w:t xml:space="preserve">  While bemoaning not being born into wealth he stands apart from the other workers in being unprepared to rise through study and honest toil.  West is remarkably lenient when finding him asleep, warning not only is he failing to be dutiful to his employer but harming himself.  This tolerance is met with contempt: ‘“I </w:t>
      </w:r>
      <w:r w:rsidRPr="00CD6967">
        <w:rPr>
          <w:rFonts w:ascii="Times New Roman" w:hAnsi="Times New Roman" w:cs="Times New Roman"/>
          <w:sz w:val="24"/>
          <w:szCs w:val="24"/>
        </w:rPr>
        <w:lastRenderedPageBreak/>
        <w:t>suppose I can’t help sleeping, sir, if the fit comes on me,” said Hemmings in a sulky voice, but without venturing to raise his eyes towards his master.’</w:t>
      </w:r>
      <w:r w:rsidRPr="00CD6967">
        <w:rPr>
          <w:rStyle w:val="FootnoteReference"/>
          <w:rFonts w:ascii="Times New Roman" w:hAnsi="Times New Roman" w:cs="Times New Roman"/>
          <w:sz w:val="24"/>
          <w:szCs w:val="24"/>
        </w:rPr>
        <w:footnoteReference w:id="451"/>
      </w:r>
      <w:r w:rsidRPr="00CD6967">
        <w:rPr>
          <w:rFonts w:ascii="Times New Roman" w:hAnsi="Times New Roman" w:cs="Times New Roman"/>
          <w:sz w:val="24"/>
          <w:szCs w:val="24"/>
        </w:rPr>
        <w:t xml:space="preserve">  The response suggests the elements that make up </w:t>
      </w:r>
      <w:r w:rsidRPr="00060D5B">
        <w:rPr>
          <w:rFonts w:ascii="Times New Roman" w:hAnsi="Times New Roman" w:cs="Times New Roman"/>
          <w:sz w:val="24"/>
          <w:szCs w:val="24"/>
        </w:rPr>
        <w:t>Harry’s attitude</w:t>
      </w:r>
      <w:r w:rsidR="00EF0001" w:rsidRPr="00060D5B">
        <w:rPr>
          <w:rFonts w:ascii="Times New Roman" w:hAnsi="Times New Roman" w:cs="Times New Roman"/>
          <w:sz w:val="24"/>
          <w:szCs w:val="24"/>
        </w:rPr>
        <w:t>;</w:t>
      </w:r>
      <w:r w:rsidRPr="00060D5B">
        <w:rPr>
          <w:rFonts w:ascii="Times New Roman" w:hAnsi="Times New Roman" w:cs="Times New Roman"/>
          <w:sz w:val="24"/>
          <w:szCs w:val="24"/>
        </w:rPr>
        <w:t xml:space="preserve"> laziness, falsehood and, with the inability to look at West, a degree of cowardice.  His protest is more objectionable because it fails </w:t>
      </w:r>
      <w:r w:rsidRPr="00830926">
        <w:rPr>
          <w:rFonts w:ascii="Times New Roman" w:hAnsi="Times New Roman" w:cs="Times New Roman"/>
          <w:sz w:val="24"/>
          <w:szCs w:val="24"/>
        </w:rPr>
        <w:t>to recogni</w:t>
      </w:r>
      <w:r w:rsidR="00060D5B" w:rsidRPr="00830926">
        <w:rPr>
          <w:rFonts w:ascii="Times New Roman" w:hAnsi="Times New Roman" w:cs="Times New Roman"/>
          <w:sz w:val="24"/>
          <w:szCs w:val="24"/>
        </w:rPr>
        <w:t>z</w:t>
      </w:r>
      <w:r w:rsidRPr="00830926">
        <w:rPr>
          <w:rFonts w:ascii="Times New Roman" w:hAnsi="Times New Roman" w:cs="Times New Roman"/>
          <w:sz w:val="24"/>
          <w:szCs w:val="24"/>
        </w:rPr>
        <w:t>e</w:t>
      </w:r>
      <w:r w:rsidRPr="00060D5B">
        <w:rPr>
          <w:rFonts w:ascii="Times New Roman" w:hAnsi="Times New Roman" w:cs="Times New Roman"/>
          <w:sz w:val="24"/>
          <w:szCs w:val="24"/>
        </w:rPr>
        <w:t xml:space="preserve"> that the comfortable position he holds, which</w:t>
      </w:r>
      <w:r w:rsidRPr="00CD6967">
        <w:rPr>
          <w:rFonts w:ascii="Times New Roman" w:hAnsi="Times New Roman" w:cs="Times New Roman"/>
          <w:sz w:val="24"/>
          <w:szCs w:val="24"/>
        </w:rPr>
        <w:t xml:space="preserve"> sees him dining at the family table, is the result of an act of kindness by West towards his father, a poor clergyman.</w:t>
      </w:r>
      <w:r w:rsidRPr="00CD6967">
        <w:rPr>
          <w:rStyle w:val="FootnoteReference"/>
          <w:rFonts w:ascii="Times New Roman" w:hAnsi="Times New Roman" w:cs="Times New Roman"/>
          <w:sz w:val="24"/>
          <w:szCs w:val="24"/>
        </w:rPr>
        <w:footnoteReference w:id="452"/>
      </w:r>
      <w:r w:rsidRPr="00CD6967">
        <w:rPr>
          <w:rFonts w:ascii="Times New Roman" w:hAnsi="Times New Roman" w:cs="Times New Roman"/>
          <w:sz w:val="24"/>
          <w:szCs w:val="24"/>
        </w:rPr>
        <w:t xml:space="preserve">  The rejection of good advice is shown after his master departs and he orders the boy who comes for the pewter pot to return with a refill.  In this rare portrayal of factory conditions in Reynolds’s fiction, it is the employee’s dissent rather than the employer’s authority that is at fault.  The depiction echoes </w:t>
      </w:r>
      <w:r w:rsidRPr="00CD6967">
        <w:rPr>
          <w:rFonts w:ascii="Times New Roman" w:hAnsi="Times New Roman" w:cs="Times New Roman"/>
          <w:i/>
          <w:sz w:val="24"/>
          <w:szCs w:val="24"/>
        </w:rPr>
        <w:t>The Teetotaler</w:t>
      </w:r>
      <w:r w:rsidRPr="00CD6967">
        <w:rPr>
          <w:rFonts w:ascii="Times New Roman" w:hAnsi="Times New Roman" w:cs="Times New Roman"/>
          <w:sz w:val="24"/>
          <w:szCs w:val="24"/>
        </w:rPr>
        <w:t>’s earlier ‘Progress of Intemperance’, where the person with the apprentice’s well-being most firmly at heart is his master.</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Reynolds incorporates many of Harry’s traits into his portrayal of the household Mary Price encounters at Guernsey when she is lady’s-maid to Laura Maitland.  The servants include Mrs Thornton the housekeeper, Matthew the elderly footman, ‘old Dick’ the gardener, the cook and Janetta the housemaid.  Frequently left alone in Laura’s absence, this freedom has le</w:t>
      </w:r>
      <w:r w:rsidRPr="00060D5B">
        <w:rPr>
          <w:rFonts w:ascii="Times New Roman" w:hAnsi="Times New Roman" w:cs="Times New Roman"/>
          <w:sz w:val="24"/>
          <w:szCs w:val="24"/>
        </w:rPr>
        <w:t>d to slovenly</w:t>
      </w:r>
      <w:r w:rsidRPr="00CD6967">
        <w:rPr>
          <w:rFonts w:ascii="Times New Roman" w:hAnsi="Times New Roman" w:cs="Times New Roman"/>
          <w:sz w:val="24"/>
          <w:szCs w:val="24"/>
        </w:rPr>
        <w:t xml:space="preserve"> behaviour.  Although quick to complain about imagined grievances, they lack any real sense of social injustice, something suggested by their failure to criticise the snobbery that exists among the island’s upper classes, the merchants and tradespeople of the middle-class ‘Forties’ and the gentry of the aristocratic ‘Sixties’, the latter marked by ‘insufferable pride and arrogant exclusiveness’.</w:t>
      </w:r>
      <w:r w:rsidRPr="00CD6967">
        <w:rPr>
          <w:rStyle w:val="FootnoteReference"/>
          <w:rFonts w:ascii="Times New Roman" w:hAnsi="Times New Roman" w:cs="Times New Roman"/>
          <w:sz w:val="24"/>
          <w:szCs w:val="24"/>
        </w:rPr>
        <w:footnoteReference w:id="453"/>
      </w:r>
      <w:r w:rsidRPr="00CD6967">
        <w:rPr>
          <w:rFonts w:ascii="Times New Roman" w:hAnsi="Times New Roman" w:cs="Times New Roman"/>
          <w:sz w:val="24"/>
          <w:szCs w:val="24"/>
        </w:rPr>
        <w:t xml:space="preserve">  There is no genuine reason for the household protest, its falsity borne out by how constant grumbling conceals a wish that the existing set up remain unchanged.  They instantly dislike Mary as a newcomer and for the friendship she has with Laura.  Her attempt to be sociable by taking meals in the servants’ hall is met with spitefulness, suspicion and coarse familiarity.  Janetta voices their intrusive desire for knowledge about their mistress: ‘let them as lives in the kitchen be all on a confidential footing.  It’s like giving one’s-self airs, to know a secret and keep it close.’</w:t>
      </w:r>
      <w:r w:rsidRPr="00CD6967">
        <w:rPr>
          <w:rStyle w:val="FootnoteReference"/>
          <w:rFonts w:ascii="Times New Roman" w:hAnsi="Times New Roman" w:cs="Times New Roman"/>
          <w:sz w:val="24"/>
          <w:szCs w:val="24"/>
        </w:rPr>
        <w:footnoteReference w:id="454"/>
      </w:r>
      <w:r w:rsidRPr="00CD6967">
        <w:rPr>
          <w:rFonts w:ascii="Times New Roman" w:hAnsi="Times New Roman" w:cs="Times New Roman"/>
          <w:sz w:val="24"/>
          <w:szCs w:val="24"/>
        </w:rPr>
        <w:t xml:space="preserve">  Her words have a veneer of class solidarity as she speaks of equals needing to share information and that failure to do so indicates a pretentiousness maintained at the expense of colleagues.  When Mary breaks this unwritten downstairs rule by refusing to divulge details about Laura’s illness, Matthew adopts a bullying tone:</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lastRenderedPageBreak/>
        <w:t>This is an ewasion—a mere ewasion, […] and we can’t put up with it.  I know what’s right as well as any man living; and I say that our missus’s affairs is our affairs, and we have a right to know ‘em—and them as makes a secret of ‘em isn’t proper society for us.</w:t>
      </w:r>
      <w:r w:rsidRPr="00CD6967">
        <w:rPr>
          <w:rStyle w:val="FootnoteReference"/>
          <w:rFonts w:ascii="Times New Roman" w:hAnsi="Times New Roman" w:cs="Times New Roman"/>
          <w:sz w:val="24"/>
          <w:szCs w:val="24"/>
        </w:rPr>
        <w:footnoteReference w:id="455"/>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He claims possession of such knowledge is a fundamental right of servants.  Yet his phrase ‘proper society’ echoes the affectations of the upper classes.  He and Janetta boast of being descended from a master-milliner and a linen-draper arguing that Mary has no right to refuse their request because of her lowly background.  Their talk of ‘rights’ conceals an arrogant sense of status that rises to the surface whenever they encounter opposition from those they regard as beneath them.  The protest degenerates into numerous incidents of abuse, with Mary not being called for meals and Janetta threatening to ‘spoil’ her face.  Thornton who controls the victuals locks the storeroom to ensure Mary receives the worst provisions.  Such actions display the industrious classes being as prepared as employers to use any power they possess to enforce their tyranny.  In line with many disreputable activities, these are marked by cowardice, with Mary’s attempts to co-operate rejected because she is regarded as an easy target for bullying.  Thornton misconstrues her placidity as fear and continues supplying poor food but quickly becomes worried when thinking it might be reported to Laura.  Janetta displays a craven attitude when she is overheard insulting Mary and is easily overawed by her mistress’s angry demeanour.  Matthew’s bravado also crumbles when discovering he will be dismissed, his reaction streaked through with a bitter sense of helplessness as he realizes there is little chance of procuring another job on the island.  Reynolds takes a dim view of this mean-spirited behaviour.  Arising from the freedom they enjoy, it has led to elevated opinions of themselves and demagogic boasts that quickly collapse when challenged by authority.</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Another common form of disreputable protest for Reynolds was petty crime, which he argued many were driven to by poverty.  This is why Benjamin Bones, in </w:t>
      </w:r>
      <w:r w:rsidRPr="00CD6967">
        <w:rPr>
          <w:rFonts w:ascii="Times New Roman" w:hAnsi="Times New Roman" w:cs="Times New Roman"/>
          <w:i/>
          <w:iCs/>
          <w:sz w:val="24"/>
          <w:szCs w:val="24"/>
        </w:rPr>
        <w:t>The Mysteries of London</w:t>
      </w:r>
      <w:r w:rsidRPr="00CD6967">
        <w:rPr>
          <w:rFonts w:ascii="Times New Roman" w:hAnsi="Times New Roman" w:cs="Times New Roman"/>
          <w:sz w:val="24"/>
          <w:szCs w:val="24"/>
        </w:rPr>
        <w:t>, easily bribes the counter boy at the post-office in Southampton Row to hand over private correspondence.  Although the youngster knows it breaks establishment rules, he is amenable because, as Reynolds insists, ‘half-a-crown was a great temptation to a lad who only earned eighteen-pence a week in addition to his food’.</w:t>
      </w:r>
      <w:r w:rsidRPr="00CD6967">
        <w:rPr>
          <w:rStyle w:val="FootnoteReference"/>
          <w:rFonts w:ascii="Times New Roman" w:hAnsi="Times New Roman" w:cs="Times New Roman"/>
          <w:sz w:val="24"/>
          <w:szCs w:val="24"/>
        </w:rPr>
        <w:footnoteReference w:id="456"/>
      </w:r>
      <w:r w:rsidRPr="00CD6967">
        <w:rPr>
          <w:rFonts w:ascii="Times New Roman" w:hAnsi="Times New Roman" w:cs="Times New Roman"/>
          <w:sz w:val="24"/>
          <w:szCs w:val="24"/>
        </w:rPr>
        <w:t xml:space="preserve">  Penury leads to such misdemeanours being endemic among the industrious classes.  The lax attitude towards them is seen when Mary Price encounters Betsy, whom she first knew as cook in the Messiter </w:t>
      </w:r>
      <w:r w:rsidRPr="00CD6967">
        <w:rPr>
          <w:rFonts w:ascii="Times New Roman" w:hAnsi="Times New Roman" w:cs="Times New Roman"/>
          <w:sz w:val="24"/>
          <w:szCs w:val="24"/>
        </w:rPr>
        <w:lastRenderedPageBreak/>
        <w:t>household, working at Mr and Mrs Dobson’s gloomy lodging house in Poland Street.  Betsy informs her how the landlady eats leftovers from the lodgers’ meals.  Despite Mary’s disgust, Betsy remains unconcerned:</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Well—dishonest, if you like, after a fashion: but all the world does them kind of things.  If I send a loin of mutton or pork to the bake-house, with so many taturs underneath, when it comes back there’s always a chop or two gone, and three of four of the taturs.  For my part, I don’t know who doesn’t prig when they have got the chance of doing it. The whole world is full of prigs—and prigging’s the order of the day.</w:t>
      </w:r>
      <w:r w:rsidRPr="00CD6967">
        <w:rPr>
          <w:rStyle w:val="FootnoteReference"/>
          <w:rFonts w:ascii="Times New Roman" w:hAnsi="Times New Roman" w:cs="Times New Roman"/>
          <w:sz w:val="24"/>
          <w:szCs w:val="24"/>
        </w:rPr>
        <w:footnoteReference w:id="457"/>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 xml:space="preserve">She shrugs off any qualms with the phrase ‘If you like’ suggesting that any moral judgment is a matter of choice, a relativist view dependent upon the opinion of the observer.  Any small concession made in the caveat ‘after a fashion’ is effectively overridden when she continues by saying </w:t>
      </w:r>
      <w:r w:rsidRPr="00830926">
        <w:rPr>
          <w:rFonts w:ascii="Times New Roman" w:hAnsi="Times New Roman" w:cs="Times New Roman"/>
          <w:sz w:val="24"/>
          <w:szCs w:val="24"/>
        </w:rPr>
        <w:t>such acti</w:t>
      </w:r>
      <w:r w:rsidR="00060D5B" w:rsidRPr="00830926">
        <w:rPr>
          <w:rFonts w:ascii="Times New Roman" w:hAnsi="Times New Roman" w:cs="Times New Roman"/>
          <w:sz w:val="24"/>
          <w:szCs w:val="24"/>
        </w:rPr>
        <w:t>vity is</w:t>
      </w:r>
      <w:r w:rsidRPr="00830926">
        <w:rPr>
          <w:rFonts w:ascii="Times New Roman" w:hAnsi="Times New Roman" w:cs="Times New Roman"/>
          <w:sz w:val="24"/>
          <w:szCs w:val="24"/>
        </w:rPr>
        <w:t xml:space="preserve"> part</w:t>
      </w:r>
      <w:r w:rsidRPr="00CD6967">
        <w:rPr>
          <w:rFonts w:ascii="Times New Roman" w:hAnsi="Times New Roman" w:cs="Times New Roman"/>
          <w:sz w:val="24"/>
          <w:szCs w:val="24"/>
        </w:rPr>
        <w:t xml:space="preserve"> of everyday life.  Her reference to the missing foodstuffs leaves it an open question whether the theft is committed by one or all of those involved in their preparation.  Betsy’s miserable position leads to a </w:t>
      </w:r>
      <w:r w:rsidRPr="00830926">
        <w:rPr>
          <w:rFonts w:ascii="Times New Roman" w:hAnsi="Times New Roman" w:cs="Times New Roman"/>
          <w:sz w:val="24"/>
          <w:szCs w:val="24"/>
        </w:rPr>
        <w:t>pessimistic vi</w:t>
      </w:r>
      <w:r w:rsidR="00060D5B" w:rsidRPr="00830926">
        <w:rPr>
          <w:rFonts w:ascii="Times New Roman" w:hAnsi="Times New Roman" w:cs="Times New Roman"/>
          <w:sz w:val="24"/>
          <w:szCs w:val="24"/>
        </w:rPr>
        <w:t>sion</w:t>
      </w:r>
      <w:r w:rsidRPr="00830926">
        <w:rPr>
          <w:rFonts w:ascii="Times New Roman" w:hAnsi="Times New Roman" w:cs="Times New Roman"/>
          <w:sz w:val="24"/>
          <w:szCs w:val="24"/>
        </w:rPr>
        <w:t xml:space="preserve"> of</w:t>
      </w:r>
      <w:r w:rsidRPr="00CD6967">
        <w:rPr>
          <w:rFonts w:ascii="Times New Roman" w:hAnsi="Times New Roman" w:cs="Times New Roman"/>
          <w:sz w:val="24"/>
          <w:szCs w:val="24"/>
        </w:rPr>
        <w:t xml:space="preserve"> the world, summed up by the words ‘prigging’s the order of the day’ with the implication that it is folly not to participate in the criminality that surrounds her.</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Frederick Engels when discussing working-class opposition to their conditions wrote: ‘The earliest, crudest, and least fruitful form of this rebellion was that of crime.’</w:t>
      </w:r>
      <w:r w:rsidRPr="00CD6967">
        <w:rPr>
          <w:rStyle w:val="FootnoteReference"/>
          <w:rFonts w:ascii="Times New Roman" w:hAnsi="Times New Roman" w:cs="Times New Roman"/>
          <w:sz w:val="24"/>
          <w:szCs w:val="24"/>
        </w:rPr>
        <w:footnoteReference w:id="458"/>
      </w:r>
      <w:r w:rsidRPr="00CD6967">
        <w:rPr>
          <w:rFonts w:ascii="Times New Roman" w:hAnsi="Times New Roman" w:cs="Times New Roman"/>
          <w:sz w:val="24"/>
          <w:szCs w:val="24"/>
        </w:rPr>
        <w:t xml:space="preserve">  He viewed it as unable to achieve meaningful change, arguing that workers in realizing this rejected it as a valid form of dissent.</w:t>
      </w:r>
      <w:r w:rsidRPr="00CD6967">
        <w:rPr>
          <w:rStyle w:val="FootnoteReference"/>
          <w:rFonts w:ascii="Times New Roman" w:hAnsi="Times New Roman" w:cs="Times New Roman"/>
          <w:sz w:val="24"/>
          <w:szCs w:val="24"/>
        </w:rPr>
        <w:footnoteReference w:id="459"/>
      </w:r>
      <w:r w:rsidRPr="00CD6967">
        <w:rPr>
          <w:rFonts w:ascii="Times New Roman" w:hAnsi="Times New Roman" w:cs="Times New Roman"/>
          <w:sz w:val="24"/>
          <w:szCs w:val="24"/>
        </w:rPr>
        <w:t xml:space="preserve">  Reynolds was not oblivious to this but placed more focus upon the moral aspect of the matter, apparent in his treatment of acts of theft by staff in wealthy households.  Mary Price’s acknowledgement that many domestics were honest is merely a backhanded compliment since she adds ‘they are only the exceptions to the rule’.</w:t>
      </w:r>
      <w:r w:rsidRPr="00CD6967">
        <w:rPr>
          <w:rStyle w:val="FootnoteReference"/>
          <w:rFonts w:ascii="Times New Roman" w:hAnsi="Times New Roman" w:cs="Times New Roman"/>
          <w:sz w:val="24"/>
          <w:szCs w:val="24"/>
        </w:rPr>
        <w:footnoteReference w:id="460"/>
      </w:r>
      <w:r w:rsidRPr="00CD6967">
        <w:rPr>
          <w:rFonts w:ascii="Times New Roman" w:hAnsi="Times New Roman" w:cs="Times New Roman"/>
          <w:sz w:val="24"/>
          <w:szCs w:val="24"/>
        </w:rPr>
        <w:t xml:space="preserve">  She outlines how misdemeanours are closely associated with the status of the perpetrators.  The highest grades who deal with tradespeople make arrangements that are lucrative for themselves.  Lower down the hierarchy, valets and lady’s-maids damage clothes to acquire as cast-offs or simply purloin them to wear and dispose of at shops that are ‘little better than receptacles for stolen goods’.</w:t>
      </w:r>
      <w:r w:rsidRPr="00CD6967">
        <w:rPr>
          <w:rStyle w:val="FootnoteReference"/>
          <w:rFonts w:ascii="Times New Roman" w:hAnsi="Times New Roman" w:cs="Times New Roman"/>
          <w:sz w:val="24"/>
          <w:szCs w:val="24"/>
        </w:rPr>
        <w:footnoteReference w:id="461"/>
      </w:r>
      <w:r w:rsidRPr="00CD6967">
        <w:rPr>
          <w:rFonts w:ascii="Times New Roman" w:hAnsi="Times New Roman" w:cs="Times New Roman"/>
          <w:sz w:val="24"/>
          <w:szCs w:val="24"/>
        </w:rPr>
        <w:t xml:space="preserve">  So common are the practices that those involved see what is acquired as legitimate perquisites that come their way.  These forms of dissent echo the </w:t>
      </w:r>
      <w:r w:rsidRPr="00CD6967">
        <w:rPr>
          <w:rFonts w:ascii="Times New Roman" w:hAnsi="Times New Roman" w:cs="Times New Roman"/>
          <w:sz w:val="24"/>
          <w:szCs w:val="24"/>
        </w:rPr>
        <w:lastRenderedPageBreak/>
        <w:t>wastefulness and corruption of the aristocratic life that surrounds them and see servants enter the shadowy world of the black economy.</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For others, criminality is an even more constant element of their livelihood.  In </w:t>
      </w:r>
      <w:r w:rsidRPr="00CD6967">
        <w:rPr>
          <w:rFonts w:ascii="Times New Roman" w:hAnsi="Times New Roman" w:cs="Times New Roman"/>
          <w:i/>
          <w:iCs/>
          <w:sz w:val="24"/>
          <w:szCs w:val="24"/>
        </w:rPr>
        <w:t xml:space="preserve">The </w:t>
      </w:r>
      <w:r w:rsidRPr="00CD6967">
        <w:rPr>
          <w:rFonts w:ascii="Times New Roman" w:hAnsi="Times New Roman" w:cs="Times New Roman"/>
          <w:i/>
          <w:sz w:val="24"/>
          <w:szCs w:val="24"/>
        </w:rPr>
        <w:t>Mysteries of London</w:t>
      </w:r>
      <w:r w:rsidRPr="00CD6967">
        <w:rPr>
          <w:rFonts w:ascii="Times New Roman" w:hAnsi="Times New Roman" w:cs="Times New Roman"/>
          <w:sz w:val="24"/>
          <w:szCs w:val="24"/>
        </w:rPr>
        <w:t>, Jones the gravedigger brazenly tells Banks the undertaker that regulations dictate he must dig to a depth of sixteen feet, but agrees to make a shallower grave for an increased fee of ten shillings knowing it is in preparation for resurrection men to steal the corpse.  Such behaviour reflects the values of the employers:</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The proprietors of the ground had only one aim in view—namely, to crowd the greatest possible quantity of corpses into the smallest space. […] Still the cemetery was kept open for interments; and when there was no room for a newcomer, some recently-buried tenant of a grave was exhumed to afford the required space.</w:t>
      </w:r>
      <w:r w:rsidRPr="00CD6967">
        <w:rPr>
          <w:rStyle w:val="FootnoteReference"/>
          <w:rFonts w:ascii="Times New Roman" w:hAnsi="Times New Roman" w:cs="Times New Roman"/>
          <w:sz w:val="24"/>
          <w:szCs w:val="24"/>
        </w:rPr>
        <w:footnoteReference w:id="462"/>
      </w:r>
    </w:p>
    <w:p w:rsidR="00C76704" w:rsidRPr="00CD6967" w:rsidRDefault="00C76704" w:rsidP="00C76704">
      <w:pPr>
        <w:spacing w:after="240" w:line="360" w:lineRule="auto"/>
        <w:rPr>
          <w:rFonts w:ascii="Times New Roman" w:hAnsi="Times New Roman" w:cs="Times New Roman"/>
          <w:sz w:val="24"/>
          <w:szCs w:val="24"/>
        </w:rPr>
      </w:pPr>
      <w:r w:rsidRPr="00830926">
        <w:rPr>
          <w:rFonts w:ascii="Times New Roman" w:hAnsi="Times New Roman" w:cs="Times New Roman"/>
          <w:sz w:val="24"/>
          <w:szCs w:val="24"/>
        </w:rPr>
        <w:t>Jones</w:t>
      </w:r>
      <w:r w:rsidR="00060D5B" w:rsidRPr="00830926">
        <w:rPr>
          <w:rFonts w:ascii="Times New Roman" w:hAnsi="Times New Roman" w:cs="Times New Roman"/>
          <w:sz w:val="24"/>
          <w:szCs w:val="24"/>
        </w:rPr>
        <w:t>,</w:t>
      </w:r>
      <w:r w:rsidRPr="00830926">
        <w:rPr>
          <w:rFonts w:ascii="Times New Roman" w:hAnsi="Times New Roman" w:cs="Times New Roman"/>
          <w:sz w:val="24"/>
          <w:szCs w:val="24"/>
        </w:rPr>
        <w:t xml:space="preserve"> with his multi-layered graves and the Bone House where he burns corpses</w:t>
      </w:r>
      <w:r w:rsidR="00060D5B" w:rsidRPr="00830926">
        <w:rPr>
          <w:rFonts w:ascii="Times New Roman" w:hAnsi="Times New Roman" w:cs="Times New Roman"/>
          <w:sz w:val="24"/>
          <w:szCs w:val="24"/>
        </w:rPr>
        <w:t>,</w:t>
      </w:r>
      <w:r w:rsidRPr="00830926">
        <w:rPr>
          <w:rFonts w:ascii="Times New Roman" w:hAnsi="Times New Roman" w:cs="Times New Roman"/>
          <w:sz w:val="24"/>
          <w:szCs w:val="24"/>
        </w:rPr>
        <w:t xml:space="preserve"> is merely taking a slice of the ill-gotten gains reaped by the trade.  Like the owners</w:t>
      </w:r>
      <w:r w:rsidRPr="00CD6967">
        <w:rPr>
          <w:rFonts w:ascii="Times New Roman" w:hAnsi="Times New Roman" w:cs="Times New Roman"/>
          <w:sz w:val="24"/>
          <w:szCs w:val="24"/>
        </w:rPr>
        <w:t>, he has no respect for hallowed ground and ensures the process of dealing with sanctified remains of the deceased becomes a money-grubbing enterprise.  Also collaborating with the resurrection men are the cab drivers who take their fares without question.  Through these figures Reynolds presents disreputable activity extending from genteel households to rough labouring occupations.  Dishonest gains are placed on a par with justly earned wages blurring the division between work and crime, with many of those who participate being in regular contact with the dangerous classes.</w:t>
      </w:r>
      <w:r w:rsidRPr="00CD6967">
        <w:rPr>
          <w:rStyle w:val="FootnoteReference"/>
          <w:rFonts w:ascii="Times New Roman" w:hAnsi="Times New Roman" w:cs="Times New Roman"/>
          <w:sz w:val="24"/>
          <w:szCs w:val="24"/>
        </w:rPr>
        <w:footnoteReference w:id="463"/>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The role that disreputable protest plays in the decline of an individual is highlighted in </w:t>
      </w:r>
      <w:r w:rsidRPr="00CD6967">
        <w:rPr>
          <w:rFonts w:ascii="Times New Roman" w:hAnsi="Times New Roman" w:cs="Times New Roman"/>
          <w:i/>
          <w:iCs/>
          <w:sz w:val="24"/>
          <w:szCs w:val="24"/>
        </w:rPr>
        <w:t>The Soldier’s Wife</w:t>
      </w:r>
      <w:r w:rsidRPr="00CD6967">
        <w:rPr>
          <w:rFonts w:ascii="Times New Roman" w:hAnsi="Times New Roman" w:cs="Times New Roman"/>
          <w:sz w:val="24"/>
          <w:szCs w:val="24"/>
        </w:rPr>
        <w:t xml:space="preserve"> (1852–53), where Frederick Lonsdale’s struggle against injustice brings misery upon himself, wife Lucy and young son Freddy.  Frederick’s fine qualities succumb to the brutal treatment received in the army, with Reynolds writing how his looks assumed an ‘ominous aspect’ and that he increasingly fell into ‘moods of abstraction’.</w:t>
      </w:r>
      <w:r w:rsidRPr="00CD6967">
        <w:rPr>
          <w:rStyle w:val="FootnoteReference"/>
          <w:rFonts w:ascii="Times New Roman" w:hAnsi="Times New Roman" w:cs="Times New Roman"/>
          <w:sz w:val="24"/>
          <w:szCs w:val="24"/>
        </w:rPr>
        <w:footnoteReference w:id="464"/>
      </w:r>
      <w:r w:rsidRPr="00CD6967">
        <w:rPr>
          <w:rFonts w:ascii="Times New Roman" w:hAnsi="Times New Roman" w:cs="Times New Roman"/>
          <w:sz w:val="24"/>
          <w:szCs w:val="24"/>
        </w:rPr>
        <w:t xml:space="preserve">  These states of mind lead to acts of unthinking defiance that incorporate the selfish values and brutal methods of his oppressors.  They are manifested in an uncontrollable desire for revenge against the vindictive Obadiah Bates, who maliciously ensured Frederick’s initial recruitment and </w:t>
      </w:r>
      <w:r w:rsidRPr="00EF0001">
        <w:rPr>
          <w:rFonts w:ascii="Times New Roman" w:hAnsi="Times New Roman" w:cs="Times New Roman"/>
          <w:sz w:val="24"/>
          <w:szCs w:val="24"/>
        </w:rPr>
        <w:t xml:space="preserve">then </w:t>
      </w:r>
      <w:r w:rsidR="00256B5E" w:rsidRPr="00EF0001">
        <w:rPr>
          <w:rFonts w:ascii="Times New Roman" w:hAnsi="Times New Roman" w:cs="Times New Roman"/>
          <w:sz w:val="24"/>
          <w:szCs w:val="24"/>
        </w:rPr>
        <w:t>tells</w:t>
      </w:r>
      <w:r w:rsidRPr="00EF0001">
        <w:rPr>
          <w:rFonts w:ascii="Times New Roman" w:hAnsi="Times New Roman" w:cs="Times New Roman"/>
          <w:sz w:val="24"/>
          <w:szCs w:val="24"/>
        </w:rPr>
        <w:t xml:space="preserve"> the authorities</w:t>
      </w:r>
      <w:r w:rsidRPr="00CD6967">
        <w:rPr>
          <w:rFonts w:ascii="Times New Roman" w:hAnsi="Times New Roman" w:cs="Times New Roman"/>
          <w:sz w:val="24"/>
          <w:szCs w:val="24"/>
        </w:rPr>
        <w:t xml:space="preserve"> of his whereabouts in Carlisle when he later deserts.  There is </w:t>
      </w:r>
      <w:r w:rsidRPr="00CD6967">
        <w:rPr>
          <w:rFonts w:ascii="Times New Roman" w:hAnsi="Times New Roman" w:cs="Times New Roman"/>
          <w:sz w:val="24"/>
          <w:szCs w:val="24"/>
        </w:rPr>
        <w:lastRenderedPageBreak/>
        <w:t>much justification for Lonsdale informing the Postmaster General about Bates opening private correspondence at the village post office, a matter upon which Reynolds himself displayed concern.</w:t>
      </w:r>
      <w:r w:rsidRPr="00CD6967">
        <w:rPr>
          <w:rStyle w:val="FootnoteReference"/>
          <w:rFonts w:ascii="Times New Roman" w:hAnsi="Times New Roman" w:cs="Times New Roman"/>
          <w:sz w:val="24"/>
          <w:szCs w:val="24"/>
        </w:rPr>
        <w:footnoteReference w:id="465"/>
      </w:r>
      <w:r w:rsidRPr="00CD6967">
        <w:rPr>
          <w:rFonts w:ascii="Times New Roman" w:hAnsi="Times New Roman" w:cs="Times New Roman"/>
          <w:sz w:val="24"/>
          <w:szCs w:val="24"/>
        </w:rPr>
        <w:t xml:space="preserve">  However, he lacks the correct moral basis for his action which is driven by hatred.  So much is he under its influence that he reads the report of the punishment handed to Bates ‘with a kind of gloating ferocity and savage satisfaction’ and cannot help but experience the man’s later escape as a ‘sad calamity’ that makes him ‘strange in his looks and manner’.</w:t>
      </w:r>
      <w:r w:rsidRPr="00CD6967">
        <w:rPr>
          <w:rStyle w:val="FootnoteReference"/>
          <w:rFonts w:ascii="Times New Roman" w:hAnsi="Times New Roman" w:cs="Times New Roman"/>
          <w:sz w:val="24"/>
          <w:szCs w:val="24"/>
        </w:rPr>
        <w:footnoteReference w:id="466"/>
      </w:r>
      <w:r w:rsidRPr="00CD6967">
        <w:rPr>
          <w:rFonts w:ascii="Times New Roman" w:hAnsi="Times New Roman" w:cs="Times New Roman"/>
          <w:sz w:val="24"/>
          <w:szCs w:val="24"/>
        </w:rPr>
        <w:t xml:space="preserve">  Frederick loses all sense of charitable motivation.  When he fails to report the detested Sergeant Langley for drunkenness, it is only because he believes his complaint will be ignored by the military authorities and holds his peace ‘through no good feeling’.</w:t>
      </w:r>
      <w:r w:rsidRPr="00CD6967">
        <w:rPr>
          <w:rStyle w:val="FootnoteReference"/>
          <w:rFonts w:ascii="Times New Roman" w:hAnsi="Times New Roman" w:cs="Times New Roman"/>
          <w:sz w:val="24"/>
          <w:szCs w:val="24"/>
        </w:rPr>
        <w:footnoteReference w:id="467"/>
      </w:r>
      <w:r w:rsidRPr="00CD6967">
        <w:rPr>
          <w:rFonts w:ascii="Times New Roman" w:hAnsi="Times New Roman" w:cs="Times New Roman"/>
          <w:sz w:val="24"/>
          <w:szCs w:val="24"/>
        </w:rPr>
        <w:t xml:space="preserve">  His protest remains vengeful but tempered by a pessimistic pragmatism.</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Rather than feeling measured opposition towards the officers’ brutality in a manner that sustains his self-respect he looks to find comfort in ‘a good glass of ale’.</w:t>
      </w:r>
      <w:r w:rsidRPr="00CD6967">
        <w:rPr>
          <w:rStyle w:val="FootnoteReference"/>
          <w:rFonts w:ascii="Times New Roman" w:hAnsi="Times New Roman" w:cs="Times New Roman"/>
          <w:sz w:val="24"/>
          <w:szCs w:val="24"/>
        </w:rPr>
        <w:footnoteReference w:id="468"/>
      </w:r>
      <w:r w:rsidRPr="00CD6967">
        <w:rPr>
          <w:rFonts w:ascii="Times New Roman" w:hAnsi="Times New Roman" w:cs="Times New Roman"/>
          <w:sz w:val="24"/>
          <w:szCs w:val="24"/>
        </w:rPr>
        <w:t xml:space="preserve">  The turn to alcohol forms the central response to his misery, marking his failure to confront it honestly and indicating he has reached the condition ‘when a man feels inclined to sell his soul to Satan in order to purchase exemption from present suffering and the sense of wrongs’.</w:t>
      </w:r>
      <w:r w:rsidRPr="00CD6967">
        <w:rPr>
          <w:rStyle w:val="FootnoteReference"/>
          <w:rFonts w:ascii="Times New Roman" w:hAnsi="Times New Roman" w:cs="Times New Roman"/>
          <w:sz w:val="24"/>
          <w:szCs w:val="24"/>
        </w:rPr>
        <w:footnoteReference w:id="469"/>
      </w:r>
      <w:r w:rsidRPr="00CD6967">
        <w:rPr>
          <w:rFonts w:ascii="Times New Roman" w:hAnsi="Times New Roman" w:cs="Times New Roman"/>
          <w:sz w:val="24"/>
          <w:szCs w:val="24"/>
        </w:rPr>
        <w:t xml:space="preserve">  The psychological disintegration of Frederick’s protest is signalled by an increasing use of false reasoning to justify viewing any regard for Lucy’s wishes in terms of being ‘attached to his wife’s apron strings’.</w:t>
      </w:r>
      <w:r w:rsidRPr="00CD6967">
        <w:rPr>
          <w:rStyle w:val="FootnoteReference"/>
          <w:rFonts w:ascii="Times New Roman" w:hAnsi="Times New Roman" w:cs="Times New Roman"/>
          <w:sz w:val="24"/>
          <w:szCs w:val="24"/>
        </w:rPr>
        <w:footnoteReference w:id="470"/>
      </w:r>
      <w:r w:rsidRPr="00CD6967">
        <w:rPr>
          <w:rFonts w:ascii="Times New Roman" w:hAnsi="Times New Roman" w:cs="Times New Roman"/>
          <w:sz w:val="24"/>
          <w:szCs w:val="24"/>
        </w:rPr>
        <w:t xml:space="preserve">  Reynolds writes he was ‘endeavouring to cheat his own good sense and delude his intellect with this wretched strain of sophistry’.</w:t>
      </w:r>
      <w:r w:rsidRPr="00CD6967">
        <w:rPr>
          <w:rStyle w:val="FootnoteReference"/>
          <w:rFonts w:ascii="Times New Roman" w:hAnsi="Times New Roman" w:cs="Times New Roman"/>
          <w:sz w:val="24"/>
          <w:szCs w:val="24"/>
        </w:rPr>
        <w:footnoteReference w:id="471"/>
      </w:r>
      <w:r w:rsidRPr="00CD6967">
        <w:rPr>
          <w:rFonts w:ascii="Times New Roman" w:hAnsi="Times New Roman" w:cs="Times New Roman"/>
          <w:sz w:val="24"/>
          <w:szCs w:val="24"/>
        </w:rPr>
        <w:t xml:space="preserve">  Frederick ignores responsibilities and targets the fury he feels towards officers upon his family.  Initially the remorse felt for such behaviour curtails these excesses but gradually all moral scruples are abandoned.  One Christmas Eve he steals the money Lucy has carefully saved from working as a seamstress to go on a drunken debauch.  Later he forges her signature to obtain the two pounds deposit at the warehouse without which she cannot get further employment, an action that </w:t>
      </w:r>
      <w:r w:rsidRPr="00EF0001">
        <w:rPr>
          <w:rFonts w:ascii="Times New Roman" w:hAnsi="Times New Roman" w:cs="Times New Roman"/>
          <w:sz w:val="24"/>
          <w:szCs w:val="24"/>
        </w:rPr>
        <w:t>symboli</w:t>
      </w:r>
      <w:r w:rsidR="00CB29C2" w:rsidRPr="00EF0001">
        <w:rPr>
          <w:rFonts w:ascii="Times New Roman" w:hAnsi="Times New Roman" w:cs="Times New Roman"/>
          <w:sz w:val="24"/>
          <w:szCs w:val="24"/>
        </w:rPr>
        <w:t>z</w:t>
      </w:r>
      <w:r w:rsidRPr="00EF0001">
        <w:rPr>
          <w:rFonts w:ascii="Times New Roman" w:hAnsi="Times New Roman" w:cs="Times New Roman"/>
          <w:sz w:val="24"/>
          <w:szCs w:val="24"/>
        </w:rPr>
        <w:t>es</w:t>
      </w:r>
      <w:r w:rsidRPr="00CD6967">
        <w:rPr>
          <w:rFonts w:ascii="Times New Roman" w:hAnsi="Times New Roman" w:cs="Times New Roman"/>
          <w:sz w:val="24"/>
          <w:szCs w:val="24"/>
        </w:rPr>
        <w:t xml:space="preserve"> </w:t>
      </w:r>
      <w:r w:rsidRPr="00060D5B">
        <w:rPr>
          <w:rFonts w:ascii="Times New Roman" w:hAnsi="Times New Roman" w:cs="Times New Roman"/>
          <w:sz w:val="24"/>
          <w:szCs w:val="24"/>
        </w:rPr>
        <w:t xml:space="preserve">how </w:t>
      </w:r>
      <w:r w:rsidR="00EF0001" w:rsidRPr="00060D5B">
        <w:rPr>
          <w:rFonts w:ascii="Times New Roman" w:hAnsi="Times New Roman" w:cs="Times New Roman"/>
          <w:sz w:val="24"/>
          <w:szCs w:val="24"/>
        </w:rPr>
        <w:t>resistance</w:t>
      </w:r>
      <w:r w:rsidRPr="00060D5B">
        <w:rPr>
          <w:rFonts w:ascii="Times New Roman" w:hAnsi="Times New Roman" w:cs="Times New Roman"/>
          <w:sz w:val="24"/>
          <w:szCs w:val="24"/>
        </w:rPr>
        <w:t xml:space="preserve"> to</w:t>
      </w:r>
      <w:r w:rsidRPr="00CD6967">
        <w:rPr>
          <w:rFonts w:ascii="Times New Roman" w:hAnsi="Times New Roman" w:cs="Times New Roman"/>
          <w:sz w:val="24"/>
          <w:szCs w:val="24"/>
        </w:rPr>
        <w:t xml:space="preserve"> oppression no longer entails thoughts of honest toil but has developed into a valueless resentment that finally results in the beating of wife and child.  The decline has implications for his activity in society at large, summed up after the political demonstration by the workers at Middleton:</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lastRenderedPageBreak/>
        <w:t>The man had by this time become thoroughly embruted: even those fine feelings which had animated him on the occasion of the military crusade against the working classes, had ceased to exist; and if the same scene were to be enacted over again, he would have mercilessly bayonetted a hundred if his fellow-creatures, provided that he had previously been well plied with alcohol.</w:t>
      </w:r>
      <w:r w:rsidRPr="00CD6967">
        <w:rPr>
          <w:rStyle w:val="FootnoteReference"/>
          <w:rFonts w:ascii="Times New Roman" w:hAnsi="Times New Roman" w:cs="Times New Roman"/>
          <w:sz w:val="24"/>
          <w:szCs w:val="24"/>
        </w:rPr>
        <w:footnoteReference w:id="472"/>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 xml:space="preserve">The passage reveals the class perceptions that occasionally animated Frederick’s protest before it </w:t>
      </w:r>
      <w:r w:rsidRPr="00060D5B">
        <w:rPr>
          <w:rFonts w:ascii="Times New Roman" w:hAnsi="Times New Roman" w:cs="Times New Roman"/>
          <w:sz w:val="24"/>
          <w:szCs w:val="24"/>
        </w:rPr>
        <w:t>descended into depravity.  During</w:t>
      </w:r>
      <w:r w:rsidRPr="00CD6967">
        <w:rPr>
          <w:rFonts w:ascii="Times New Roman" w:hAnsi="Times New Roman" w:cs="Times New Roman"/>
          <w:sz w:val="24"/>
          <w:szCs w:val="24"/>
        </w:rPr>
        <w:t xml:space="preserve"> the gathering, he is horrified at what he is ordered to do and even thinks of mutiny.  Frederick hates the army officers but does their bidding and his moral instability means the only way he can relieve the pain he feels is by consuming alcohol.  His activities that have increasingly rested upon uncontrolled passions conclude with altercations where he strikes the officer Gerald Redburn and stabs Langley for which he is sentenced to death.  The speech at his execution highlights the abject failure of his despairing behaviour.  Above all, it recognizes the aimless cruelty suffered by Lucy and Freddy: ‘I feel that whatever faults I may have committed, have been offences against those who provoked them not—who merited them not.  I allude to the best of wives—to the dearest of children.’</w:t>
      </w:r>
      <w:r w:rsidRPr="00CD6967">
        <w:rPr>
          <w:rStyle w:val="FootnoteReference"/>
          <w:rFonts w:ascii="Times New Roman" w:hAnsi="Times New Roman" w:cs="Times New Roman"/>
          <w:sz w:val="24"/>
          <w:szCs w:val="24"/>
        </w:rPr>
        <w:footnoteReference w:id="473"/>
      </w:r>
      <w:r w:rsidRPr="00CD6967">
        <w:rPr>
          <w:rFonts w:ascii="Times New Roman" w:hAnsi="Times New Roman" w:cs="Times New Roman"/>
          <w:sz w:val="24"/>
          <w:szCs w:val="24"/>
        </w:rPr>
        <w:t xml:space="preserve">  Only when it is too late does he return to a reasonable view of the situation, accurately placing blame for his plight upon officers who mistreated him and coloured evidence at his trial to ensure a guilty verdict, while showing forgiveness to the troops who carry out his execution, saying to one: ‘You are but an automaton, as everyone is who enter the ranks of the army.’</w:t>
      </w:r>
      <w:r w:rsidRPr="00CD6967">
        <w:rPr>
          <w:rStyle w:val="FootnoteReference"/>
          <w:rFonts w:ascii="Times New Roman" w:hAnsi="Times New Roman" w:cs="Times New Roman"/>
          <w:sz w:val="24"/>
          <w:szCs w:val="24"/>
        </w:rPr>
        <w:footnoteReference w:id="474"/>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 xml:space="preserve">Any summary of Reynolds’s portrayal of disreputable protest among the industrious classes must acknowledge that both external factors and subjective shortcomings play an important role.  Characters display intellectual weakness and psychological and moral instability, resulting in idleness, insolence and self-interest.  At its most vocal, this dissent is typified by demagogic ranting and overt posturing.  These failings result in the rejection of a reasoned, conciliatory attitude that would prepare the ground for peaceful collaboration with more enlightened members of the ruling classes, such as Mr West in </w:t>
      </w:r>
      <w:r w:rsidRPr="00CD6967">
        <w:rPr>
          <w:rFonts w:ascii="Times New Roman" w:hAnsi="Times New Roman" w:cs="Times New Roman"/>
          <w:i/>
          <w:sz w:val="24"/>
          <w:szCs w:val="24"/>
        </w:rPr>
        <w:t>The Days of Hogarth</w:t>
      </w:r>
      <w:r w:rsidRPr="00CD6967">
        <w:rPr>
          <w:rFonts w:ascii="Times New Roman" w:hAnsi="Times New Roman" w:cs="Times New Roman"/>
          <w:sz w:val="24"/>
          <w:szCs w:val="24"/>
        </w:rPr>
        <w:t>.  Reynolds was to some extent constrained by the figures he used, many of whom lay in R. S. Neale’s ‘Working class B’ stratum noted for being ‘deferential and dependent’.</w:t>
      </w:r>
      <w:r w:rsidRPr="00CD6967">
        <w:rPr>
          <w:rStyle w:val="FootnoteReference"/>
          <w:rFonts w:ascii="Times New Roman" w:hAnsi="Times New Roman" w:cs="Times New Roman"/>
          <w:sz w:val="24"/>
          <w:szCs w:val="24"/>
        </w:rPr>
        <w:footnoteReference w:id="475"/>
      </w:r>
      <w:r w:rsidRPr="00CD6967">
        <w:rPr>
          <w:rFonts w:ascii="Times New Roman" w:hAnsi="Times New Roman" w:cs="Times New Roman"/>
          <w:sz w:val="24"/>
          <w:szCs w:val="24"/>
        </w:rPr>
        <w:t xml:space="preserve">  This can be highlighted by a comparison with Elizabeth Gaskell’s female workers of industrial Milton in </w:t>
      </w:r>
      <w:r w:rsidRPr="00CD6967">
        <w:rPr>
          <w:rFonts w:ascii="Times New Roman" w:hAnsi="Times New Roman" w:cs="Times New Roman"/>
          <w:i/>
          <w:sz w:val="24"/>
          <w:szCs w:val="24"/>
        </w:rPr>
        <w:t>North and South</w:t>
      </w:r>
      <w:r w:rsidRPr="00CD6967">
        <w:rPr>
          <w:rFonts w:ascii="Times New Roman" w:hAnsi="Times New Roman" w:cs="Times New Roman"/>
          <w:sz w:val="24"/>
          <w:szCs w:val="24"/>
        </w:rPr>
        <w:t xml:space="preserve"> (1854–55) when they confront Dixon, </w:t>
      </w:r>
      <w:r w:rsidRPr="00060D5B">
        <w:rPr>
          <w:rFonts w:ascii="Times New Roman" w:hAnsi="Times New Roman" w:cs="Times New Roman"/>
          <w:sz w:val="24"/>
          <w:szCs w:val="24"/>
        </w:rPr>
        <w:t>the loyal servant of Mrs Hale, as</w:t>
      </w:r>
      <w:r w:rsidRPr="00CD6967">
        <w:rPr>
          <w:rFonts w:ascii="Times New Roman" w:hAnsi="Times New Roman" w:cs="Times New Roman"/>
          <w:sz w:val="24"/>
          <w:szCs w:val="24"/>
        </w:rPr>
        <w:t xml:space="preserve"> she </w:t>
      </w:r>
      <w:r w:rsidRPr="00CD6967">
        <w:rPr>
          <w:rFonts w:ascii="Times New Roman" w:hAnsi="Times New Roman" w:cs="Times New Roman"/>
          <w:sz w:val="24"/>
          <w:szCs w:val="24"/>
        </w:rPr>
        <w:lastRenderedPageBreak/>
        <w:t>tries to hire a maidservant.</w:t>
      </w:r>
      <w:r w:rsidRPr="00CD6967">
        <w:rPr>
          <w:rStyle w:val="FootnoteReference"/>
          <w:rFonts w:ascii="Times New Roman" w:hAnsi="Times New Roman" w:cs="Times New Roman"/>
          <w:sz w:val="24"/>
          <w:szCs w:val="24"/>
        </w:rPr>
        <w:footnoteReference w:id="476"/>
      </w:r>
      <w:r w:rsidRPr="00CD6967">
        <w:rPr>
          <w:rFonts w:ascii="Times New Roman" w:hAnsi="Times New Roman" w:cs="Times New Roman"/>
          <w:sz w:val="24"/>
          <w:szCs w:val="24"/>
        </w:rPr>
        <w:t xml:space="preserve">  Dixon, along with her mistress, has lived in the southern rural village of Helstone where local girls treated her with respect and ‘were only too proud to be allowed to come to the parsonage on a busy day’.</w:t>
      </w:r>
      <w:r w:rsidRPr="00CD6967">
        <w:rPr>
          <w:rStyle w:val="FootnoteReference"/>
          <w:rFonts w:ascii="Times New Roman" w:hAnsi="Times New Roman" w:cs="Times New Roman"/>
          <w:sz w:val="24"/>
          <w:szCs w:val="24"/>
        </w:rPr>
        <w:footnoteReference w:id="477"/>
      </w:r>
      <w:r w:rsidRPr="00CD6967">
        <w:rPr>
          <w:rFonts w:ascii="Times New Roman" w:hAnsi="Times New Roman" w:cs="Times New Roman"/>
          <w:sz w:val="24"/>
          <w:szCs w:val="24"/>
        </w:rPr>
        <w:t xml:space="preserve">  The northern factory girls view matters very differently:</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They even went the length of questioning her back again; having doubts and fears of their own, as to the solvency of a family who lived in a house of thirty pounds a-year, and yet gave themselves airs, and kept two servants, one of them [Dixon] so very high and mighty.</w:t>
      </w:r>
      <w:r w:rsidRPr="00CD6967">
        <w:rPr>
          <w:rStyle w:val="FootnoteReference"/>
          <w:rFonts w:ascii="Times New Roman" w:hAnsi="Times New Roman" w:cs="Times New Roman"/>
          <w:sz w:val="24"/>
          <w:szCs w:val="24"/>
        </w:rPr>
        <w:footnoteReference w:id="478"/>
      </w:r>
    </w:p>
    <w:p w:rsidR="00C76704" w:rsidRPr="00CD6967" w:rsidRDefault="00C76704" w:rsidP="00C76704">
      <w:pPr>
        <w:spacing w:after="120" w:line="360" w:lineRule="auto"/>
        <w:rPr>
          <w:rFonts w:ascii="Times New Roman" w:hAnsi="Times New Roman" w:cs="Times New Roman"/>
          <w:sz w:val="24"/>
          <w:szCs w:val="24"/>
        </w:rPr>
      </w:pPr>
      <w:r w:rsidRPr="00CD6967">
        <w:rPr>
          <w:rFonts w:ascii="Times New Roman" w:hAnsi="Times New Roman" w:cs="Times New Roman"/>
          <w:sz w:val="24"/>
          <w:szCs w:val="24"/>
        </w:rPr>
        <w:t>They lack deference, scorning what they see as false airs.  However, although their sharp words cause Dixon pain, they are not disreputable.  Their opposition does not involve insolence or an attempt to shirk toil.  Rather, they reflect the cash-nexus ethos that dominates the region’s economy, knowing the value of their labour, the contribution it makes to the nation’s wealth and that it can be sold elsewhere for greater reward.</w:t>
      </w:r>
      <w:r w:rsidRPr="00CD6967">
        <w:rPr>
          <w:rStyle w:val="FootnoteReference"/>
          <w:rFonts w:ascii="Times New Roman" w:hAnsi="Times New Roman" w:cs="Times New Roman"/>
          <w:sz w:val="24"/>
          <w:szCs w:val="24"/>
        </w:rPr>
        <w:footnoteReference w:id="479"/>
      </w:r>
      <w:r w:rsidRPr="00CD6967">
        <w:rPr>
          <w:rFonts w:ascii="Times New Roman" w:hAnsi="Times New Roman" w:cs="Times New Roman"/>
          <w:sz w:val="24"/>
          <w:szCs w:val="24"/>
        </w:rPr>
        <w:t xml:space="preserve"> They echo the confidence of the workers who flow through the city streets ‘with bold, fearless faces, and loud laughs and jests, particularly aimed at all those who appeared to be above them in rank or station’.</w:t>
      </w:r>
      <w:r w:rsidRPr="00CD6967">
        <w:rPr>
          <w:rStyle w:val="FootnoteReference"/>
          <w:rFonts w:ascii="Times New Roman" w:hAnsi="Times New Roman" w:cs="Times New Roman"/>
          <w:sz w:val="24"/>
          <w:szCs w:val="24"/>
        </w:rPr>
        <w:footnoteReference w:id="480"/>
      </w:r>
      <w:r w:rsidRPr="00CD6967">
        <w:rPr>
          <w:rFonts w:ascii="Times New Roman" w:hAnsi="Times New Roman" w:cs="Times New Roman"/>
          <w:sz w:val="24"/>
          <w:szCs w:val="24"/>
        </w:rPr>
        <w:t xml:space="preserve">  Reynolds’s industrious classes in London may differ from the young females in Helstone but they are not Gaskell’s factory girls.  Lacking their level of class consciousness and deprived of the ability to carry out unified struggle, superficially similar actions among Reynolds’s characters are often empty postures.  Only exceptions like Sam Weller can display such an independent outlook and he must do so through more idiosyncratic means.  For many, protest finds less productive outlets, including the unhealthy craving for gossip about employers that provides scurrilous entertainment.  This leads to unjustified feelings of moral superiority and an illusory sense of power.  Because such unscrupulous behaviour may enhance low pay, it exerts a conservative influence that results in many accepting the status quo rather than striving for decent wages through political struggle.  Although those involved see themselves as defying superiors, they ultimately embed themselves more firmly into the system that exploits them and reinforce the control of their oppressors.  Mary Price sums up the situation when observing that petty criminality in wealthy households is a symptom of how discontent among staff is managed, ‘it is </w:t>
      </w:r>
      <w:r w:rsidRPr="00CD6967">
        <w:rPr>
          <w:rFonts w:ascii="Times New Roman" w:hAnsi="Times New Roman" w:cs="Times New Roman"/>
          <w:sz w:val="24"/>
          <w:szCs w:val="24"/>
        </w:rPr>
        <w:lastRenderedPageBreak/>
        <w:t>tolerated—</w:t>
      </w:r>
      <w:r w:rsidRPr="00CD6967">
        <w:rPr>
          <w:rFonts w:ascii="Times New Roman" w:hAnsi="Times New Roman" w:cs="Times New Roman"/>
          <w:sz w:val="24"/>
          <w:szCs w:val="24"/>
          <w:vertAlign w:val="superscript"/>
        </w:rPr>
        <w:t xml:space="preserve"> </w:t>
      </w:r>
      <w:r w:rsidRPr="00CD6967">
        <w:rPr>
          <w:rFonts w:ascii="Times New Roman" w:hAnsi="Times New Roman" w:cs="Times New Roman"/>
          <w:sz w:val="24"/>
          <w:szCs w:val="24"/>
        </w:rPr>
        <w:t>it may even be said to be winked at and encouraged by masters and mistresses’.</w:t>
      </w:r>
      <w:r w:rsidRPr="00CD6967">
        <w:rPr>
          <w:rStyle w:val="FootnoteReference"/>
          <w:rFonts w:ascii="Times New Roman" w:hAnsi="Times New Roman" w:cs="Times New Roman"/>
          <w:sz w:val="24"/>
          <w:szCs w:val="24"/>
        </w:rPr>
        <w:footnoteReference w:id="481"/>
      </w:r>
      <w:r w:rsidRPr="00CD6967">
        <w:rPr>
          <w:rFonts w:ascii="Times New Roman" w:hAnsi="Times New Roman" w:cs="Times New Roman"/>
          <w:sz w:val="24"/>
          <w:szCs w:val="24"/>
        </w:rPr>
        <w:t xml:space="preserve">  Her comment points to this behaviour being allowed precisely because it presents no threat and is another means by which the ruling classes exert their domination, albeit one that is not publicly countenanced.</w:t>
      </w:r>
    </w:p>
    <w:p w:rsidR="00C76704" w:rsidRPr="00CD6967" w:rsidRDefault="00C76704" w:rsidP="00C76704">
      <w:pPr>
        <w:spacing w:after="120" w:line="360" w:lineRule="auto"/>
        <w:ind w:firstLine="720"/>
        <w:rPr>
          <w:rFonts w:ascii="Times New Roman" w:hAnsi="Times New Roman" w:cs="Times New Roman"/>
          <w:sz w:val="24"/>
          <w:szCs w:val="24"/>
        </w:rPr>
      </w:pPr>
      <w:r w:rsidRPr="00CD6967">
        <w:rPr>
          <w:rFonts w:ascii="Times New Roman" w:hAnsi="Times New Roman" w:cs="Times New Roman"/>
          <w:sz w:val="24"/>
          <w:szCs w:val="24"/>
        </w:rPr>
        <w:t>Reynolds was intent upon showing that the unstable moral and psychological foundation of disreputable protest prevented it from pursuing liberal social and political objectives.  Even when railing against low wages and drudgery, it frequently divides the industrious classes.  Perhaps most damning is how it results in the abuse of power, as with t</w:t>
      </w:r>
      <w:r w:rsidRPr="00CD6967">
        <w:rPr>
          <w:rFonts w:ascii="Times New Roman" w:hAnsi="Times New Roman" w:cs="Times New Roman"/>
          <w:bCs/>
          <w:sz w:val="24"/>
          <w:szCs w:val="24"/>
        </w:rPr>
        <w:t xml:space="preserve">he </w:t>
      </w:r>
      <w:r w:rsidRPr="00CD6967">
        <w:rPr>
          <w:rFonts w:ascii="Times New Roman" w:hAnsi="Times New Roman" w:cs="Times New Roman"/>
          <w:bCs/>
          <w:iCs/>
          <w:sz w:val="24"/>
          <w:szCs w:val="24"/>
        </w:rPr>
        <w:t xml:space="preserve">Maitland household in Guernsey.  While it may be regarded as a misguided </w:t>
      </w:r>
      <w:r w:rsidRPr="00CD6967">
        <w:rPr>
          <w:rFonts w:ascii="Times New Roman" w:hAnsi="Times New Roman" w:cs="Times New Roman"/>
          <w:bCs/>
          <w:sz w:val="24"/>
          <w:szCs w:val="24"/>
        </w:rPr>
        <w:t xml:space="preserve">attempt to control working conditions, it degrades the perpetrators, </w:t>
      </w:r>
      <w:r w:rsidRPr="00CD6967">
        <w:rPr>
          <w:rFonts w:ascii="Times New Roman" w:hAnsi="Times New Roman" w:cs="Times New Roman"/>
          <w:sz w:val="24"/>
          <w:szCs w:val="24"/>
        </w:rPr>
        <w:t>proving no more than a cowardly attempt to assert its own form of tyranny.  An important aspect of this conduct is the harmful effect of seemingly trivial misdemeanours.  This is shown in the development of John the head-footman at Kingston Lodge where Mary Price is employed as nursemaid.  His questionable nature is signalled early when Mary arrives to take her position and amid the kindly reception from most of the servants she feels he looks at her in a rude manner.  If questioned about failing to carry out duties, John always excuses himself with a barrage of falsehoods.  However, rather than being chastised for such deceit, Squire Kingston uses John’s ability for dissimulation to keep away unwelcome visitors like the local busybodies Admiral Bowline and Mrs Mildmay.</w:t>
      </w:r>
      <w:r w:rsidRPr="00CD6967">
        <w:rPr>
          <w:rStyle w:val="FootnoteReference"/>
          <w:rFonts w:ascii="Times New Roman" w:hAnsi="Times New Roman" w:cs="Times New Roman"/>
          <w:sz w:val="24"/>
          <w:szCs w:val="24"/>
        </w:rPr>
        <w:footnoteReference w:id="482"/>
      </w:r>
      <w:r w:rsidRPr="00CD6967">
        <w:rPr>
          <w:rFonts w:ascii="Times New Roman" w:hAnsi="Times New Roman" w:cs="Times New Roman"/>
          <w:sz w:val="24"/>
          <w:szCs w:val="24"/>
        </w:rPr>
        <w:t xml:space="preserve">  Mary warns Mrs Kingston of the dangers:</w:t>
      </w:r>
    </w:p>
    <w:p w:rsidR="00C76704" w:rsidRPr="00CD6967" w:rsidRDefault="00C76704" w:rsidP="00C76704">
      <w:pPr>
        <w:spacing w:after="240" w:line="240" w:lineRule="auto"/>
        <w:ind w:left="720"/>
        <w:rPr>
          <w:rFonts w:ascii="Times New Roman" w:hAnsi="Times New Roman" w:cs="Times New Roman"/>
          <w:sz w:val="24"/>
          <w:szCs w:val="24"/>
        </w:rPr>
      </w:pPr>
      <w:r w:rsidRPr="00CD6967">
        <w:rPr>
          <w:rFonts w:ascii="Times New Roman" w:hAnsi="Times New Roman" w:cs="Times New Roman"/>
          <w:sz w:val="24"/>
          <w:szCs w:val="24"/>
        </w:rPr>
        <w:t>I am well aware that in the higher walks of society these things are practised: it was constantly done at Harlesdon House—and in short, at almost every place that I have been in.  But excuse me ma’am—depend upon my word, it spoils the servants, and must at times lead masters and mistresses themselves into awkward dilemmas and embarrassments.</w:t>
      </w:r>
      <w:r w:rsidRPr="00CD6967">
        <w:rPr>
          <w:rStyle w:val="FootnoteReference"/>
          <w:rFonts w:ascii="Times New Roman" w:hAnsi="Times New Roman" w:cs="Times New Roman"/>
          <w:sz w:val="24"/>
          <w:szCs w:val="24"/>
        </w:rPr>
        <w:footnoteReference w:id="483"/>
      </w:r>
    </w:p>
    <w:p w:rsidR="00C76704" w:rsidRPr="00C76704" w:rsidRDefault="00D94596" w:rsidP="00C76704">
      <w:pPr>
        <w:spacing w:after="120" w:line="360" w:lineRule="auto"/>
        <w:rPr>
          <w:rFonts w:ascii="Times New Roman" w:hAnsi="Times New Roman" w:cs="Times New Roman"/>
          <w:sz w:val="24"/>
          <w:szCs w:val="24"/>
        </w:rPr>
      </w:pPr>
      <w:r w:rsidRPr="00060D5B">
        <w:rPr>
          <w:rFonts w:ascii="Times New Roman" w:hAnsi="Times New Roman" w:cs="Times New Roman"/>
          <w:sz w:val="24"/>
          <w:szCs w:val="24"/>
        </w:rPr>
        <w:t>She</w:t>
      </w:r>
      <w:r w:rsidR="00C76704" w:rsidRPr="00CD6967">
        <w:rPr>
          <w:rFonts w:ascii="Times New Roman" w:hAnsi="Times New Roman" w:cs="Times New Roman"/>
          <w:sz w:val="24"/>
          <w:szCs w:val="24"/>
        </w:rPr>
        <w:t xml:space="preserve"> suggests the upper classes live in a social environment the immorality of which allows them to take this type of behaviour in their stride, but for the industrious classes it has damaging effects, resulting in difficulties for their employers.  This proves an accurate prediction.  John continues to neglect chores and commit theft until one morning he walks out in a new suit of clothes bought with money meant to pay household bills claiming that Mrs Kingston has granted him a holiday.  Although dismissed for coming back at night in a drunken state, the benevolent Squire </w:t>
      </w:r>
      <w:r w:rsidR="00C76704" w:rsidRPr="00CD6967">
        <w:rPr>
          <w:rFonts w:ascii="Times New Roman" w:hAnsi="Times New Roman" w:cs="Times New Roman"/>
          <w:bCs/>
          <w:sz w:val="24"/>
          <w:szCs w:val="24"/>
        </w:rPr>
        <w:t xml:space="preserve">gives him five pounds and keeps his indiscretions a </w:t>
      </w:r>
      <w:r w:rsidR="00C76704" w:rsidRPr="00CD6967">
        <w:rPr>
          <w:rFonts w:ascii="Times New Roman" w:hAnsi="Times New Roman" w:cs="Times New Roman"/>
          <w:bCs/>
          <w:sz w:val="24"/>
          <w:szCs w:val="24"/>
        </w:rPr>
        <w:lastRenderedPageBreak/>
        <w:t>private matter.  John’s lack of contrition is clear from the manner of his departure when he leaves the room ‘as imperturbable as ever’.</w:t>
      </w:r>
      <w:r w:rsidR="00C76704" w:rsidRPr="00CD6967">
        <w:rPr>
          <w:rStyle w:val="FootnoteReference"/>
          <w:rFonts w:ascii="Times New Roman" w:hAnsi="Times New Roman" w:cs="Times New Roman"/>
          <w:sz w:val="24"/>
          <w:szCs w:val="24"/>
        </w:rPr>
        <w:footnoteReference w:id="484"/>
      </w:r>
      <w:r w:rsidR="00C76704" w:rsidRPr="00CD6967">
        <w:rPr>
          <w:rFonts w:ascii="Times New Roman" w:hAnsi="Times New Roman" w:cs="Times New Roman"/>
          <w:bCs/>
          <w:sz w:val="24"/>
          <w:szCs w:val="24"/>
        </w:rPr>
        <w:t xml:space="preserve">  In this case, all ends </w:t>
      </w:r>
      <w:r w:rsidR="00C76704" w:rsidRPr="00CD6967">
        <w:rPr>
          <w:rFonts w:ascii="Times New Roman" w:hAnsi="Times New Roman" w:cs="Times New Roman"/>
          <w:sz w:val="24"/>
          <w:szCs w:val="24"/>
        </w:rPr>
        <w:t>well with John returning to the Lodge having learned the error of his ways.  Nevertheless, the episode points to a serious issue voiced by Mrs Kingston to her husband that ‘falsehoods lead to worse things’.</w:t>
      </w:r>
      <w:r w:rsidR="00C76704" w:rsidRPr="00CD6967">
        <w:rPr>
          <w:rStyle w:val="FootnoteReference"/>
          <w:rFonts w:ascii="Times New Roman" w:hAnsi="Times New Roman" w:cs="Times New Roman"/>
          <w:sz w:val="24"/>
          <w:szCs w:val="24"/>
        </w:rPr>
        <w:footnoteReference w:id="485"/>
      </w:r>
      <w:r w:rsidR="00C76704" w:rsidRPr="00CD6967">
        <w:rPr>
          <w:rFonts w:ascii="Times New Roman" w:hAnsi="Times New Roman" w:cs="Times New Roman"/>
          <w:sz w:val="24"/>
          <w:szCs w:val="24"/>
        </w:rPr>
        <w:t xml:space="preserve"> This is highlighted by the way disreputable conduct frequently acts as a bridge into the dangerous classes.  Among those discussed, Harry Hemmings enters Jem Ruffles’s criminal gang, the Black Boys, in </w:t>
      </w:r>
      <w:r w:rsidR="00C76704" w:rsidRPr="00CD6967">
        <w:rPr>
          <w:rFonts w:ascii="Times New Roman" w:hAnsi="Times New Roman" w:cs="Times New Roman"/>
          <w:i/>
          <w:sz w:val="24"/>
          <w:szCs w:val="24"/>
        </w:rPr>
        <w:t>The Days of Hogarth</w:t>
      </w:r>
      <w:r w:rsidR="00C76704" w:rsidRPr="00CD6967">
        <w:rPr>
          <w:rFonts w:ascii="Times New Roman" w:hAnsi="Times New Roman" w:cs="Times New Roman"/>
          <w:sz w:val="24"/>
          <w:szCs w:val="24"/>
        </w:rPr>
        <w:t xml:space="preserve">, while John Jeffreys consorts with the associates of Benjamin Bones in </w:t>
      </w:r>
      <w:r w:rsidR="00C76704" w:rsidRPr="00CD6967">
        <w:rPr>
          <w:rFonts w:ascii="Times New Roman" w:hAnsi="Times New Roman" w:cs="Times New Roman"/>
          <w:i/>
          <w:iCs/>
          <w:sz w:val="24"/>
          <w:szCs w:val="24"/>
        </w:rPr>
        <w:t xml:space="preserve">The </w:t>
      </w:r>
      <w:r w:rsidR="00C76704" w:rsidRPr="00CD6967">
        <w:rPr>
          <w:rFonts w:ascii="Times New Roman" w:hAnsi="Times New Roman" w:cs="Times New Roman"/>
          <w:i/>
          <w:sz w:val="24"/>
          <w:szCs w:val="24"/>
        </w:rPr>
        <w:t>Mysteries of London</w:t>
      </w:r>
      <w:r w:rsidR="00C76704" w:rsidRPr="00CD6967">
        <w:rPr>
          <w:rFonts w:ascii="Times New Roman" w:hAnsi="Times New Roman" w:cs="Times New Roman"/>
          <w:sz w:val="24"/>
          <w:szCs w:val="24"/>
        </w:rPr>
        <w:t>.  In this environment individual shortcomings are encouraged, leading to increasingly heinous activity that will be analysed in the later chapter dealing with this most damaging avenue of protest.</w:t>
      </w:r>
    </w:p>
    <w:p w:rsidR="00690DF3" w:rsidRPr="00B20547" w:rsidRDefault="00690DF3" w:rsidP="00690DF3">
      <w:pPr>
        <w:spacing w:after="240" w:line="360" w:lineRule="auto"/>
        <w:ind w:firstLine="720"/>
        <w:rPr>
          <w:rFonts w:asciiTheme="majorBidi" w:hAnsiTheme="majorBidi" w:cstheme="majorBidi"/>
          <w:sz w:val="24"/>
          <w:szCs w:val="24"/>
        </w:rPr>
      </w:pPr>
    </w:p>
    <w:p w:rsidR="00690DF3" w:rsidRDefault="00690DF3" w:rsidP="00690DF3">
      <w:pPr>
        <w:rPr>
          <w:rFonts w:asciiTheme="majorBidi" w:hAnsiTheme="majorBidi" w:cstheme="majorBidi"/>
          <w:color w:val="002060"/>
          <w:sz w:val="24"/>
          <w:szCs w:val="24"/>
          <w:u w:val="single"/>
        </w:rPr>
        <w:sectPr w:rsidR="00690DF3">
          <w:footnotePr>
            <w:numRestart w:val="eachSect"/>
          </w:footnotePr>
          <w:pgSz w:w="11906" w:h="16838"/>
          <w:pgMar w:top="1440" w:right="1440" w:bottom="1440" w:left="1440" w:header="708" w:footer="708" w:gutter="0"/>
          <w:cols w:space="708"/>
          <w:docGrid w:linePitch="360"/>
        </w:sectPr>
      </w:pPr>
    </w:p>
    <w:p w:rsidR="00BA19FC" w:rsidRPr="00E16A3F" w:rsidRDefault="00BA19FC" w:rsidP="00BA19FC">
      <w:pPr>
        <w:jc w:val="center"/>
        <w:rPr>
          <w:rFonts w:ascii="Times New Roman" w:hAnsi="Times New Roman" w:cs="Times New Roman"/>
          <w:b/>
          <w:bCs/>
          <w:sz w:val="24"/>
          <w:szCs w:val="24"/>
          <w:u w:val="single"/>
        </w:rPr>
      </w:pPr>
      <w:r w:rsidRPr="00E16A3F">
        <w:rPr>
          <w:rFonts w:ascii="Times New Roman" w:hAnsi="Times New Roman" w:cs="Times New Roman"/>
          <w:b/>
          <w:bCs/>
          <w:sz w:val="24"/>
          <w:szCs w:val="24"/>
          <w:u w:val="single"/>
        </w:rPr>
        <w:lastRenderedPageBreak/>
        <w:t>Chapter 4:</w:t>
      </w:r>
      <w:r w:rsidRPr="00E16A3F">
        <w:rPr>
          <w:rFonts w:ascii="Times New Roman" w:hAnsi="Times New Roman" w:cs="Times New Roman"/>
          <w:b/>
          <w:bCs/>
          <w:sz w:val="24"/>
          <w:szCs w:val="24"/>
          <w:u w:val="single"/>
        </w:rPr>
        <w:tab/>
        <w:t>Female Sexual Transgression as Social Protest</w:t>
      </w:r>
    </w:p>
    <w:p w:rsidR="00BA19FC" w:rsidRPr="00E16A3F" w:rsidRDefault="00BA19FC" w:rsidP="00BA19FC">
      <w:pPr>
        <w:spacing w:after="120" w:line="360" w:lineRule="auto"/>
        <w:ind w:firstLine="720"/>
        <w:rPr>
          <w:rFonts w:ascii="Times New Roman" w:hAnsi="Times New Roman" w:cs="Times New Roman"/>
          <w:bCs/>
          <w:sz w:val="24"/>
          <w:szCs w:val="24"/>
          <w:u w:val="single"/>
        </w:rPr>
      </w:pPr>
      <w:r w:rsidRPr="00E16A3F">
        <w:rPr>
          <w:rFonts w:ascii="Times New Roman" w:hAnsi="Times New Roman" w:cs="Times New Roman"/>
          <w:sz w:val="24"/>
          <w:szCs w:val="24"/>
        </w:rPr>
        <w:t xml:space="preserve">The previous chapter showed how female characters were </w:t>
      </w:r>
      <w:r w:rsidRPr="00803A64">
        <w:rPr>
          <w:rFonts w:ascii="Times New Roman" w:hAnsi="Times New Roman" w:cs="Times New Roman"/>
          <w:sz w:val="24"/>
          <w:szCs w:val="24"/>
        </w:rPr>
        <w:t>central to Reynolds’s portrayal of disreputable protest.  Here, focus will be placed upon one type of this dissent that is especially pervasive in his fiction, namely female sexual transgression</w:t>
      </w:r>
      <w:r w:rsidRPr="00E16A3F">
        <w:rPr>
          <w:rFonts w:ascii="Times New Roman" w:hAnsi="Times New Roman" w:cs="Times New Roman"/>
          <w:sz w:val="24"/>
          <w:szCs w:val="24"/>
        </w:rPr>
        <w:t>.  In setting out the discussion, it is important to note that Reynolds viewed this not only in terms of prostitution and general promiscuity but as encompassing a broad range of attitudes and behaviours.  It is probably true that he saw the commercial benefits of presenting sexual activity in a provocative manner, an opportunity to increase sales with passages of racy text and illustrations of scantily clad females.</w:t>
      </w:r>
      <w:r w:rsidRPr="00E16A3F">
        <w:rPr>
          <w:rStyle w:val="FootnoteReference"/>
          <w:rFonts w:ascii="Times New Roman" w:hAnsi="Times New Roman"/>
          <w:sz w:val="24"/>
          <w:szCs w:val="24"/>
        </w:rPr>
        <w:footnoteReference w:id="486"/>
      </w:r>
      <w:r w:rsidRPr="00E16A3F">
        <w:rPr>
          <w:rFonts w:ascii="Times New Roman" w:hAnsi="Times New Roman" w:cs="Times New Roman"/>
          <w:sz w:val="24"/>
          <w:szCs w:val="24"/>
        </w:rPr>
        <w:t xml:space="preserve">  However, the consistency with which the topic was treated also suggests he considered it carefully. The earlier survey of the advice columns in his journals </w:t>
      </w:r>
      <w:r w:rsidRPr="00D94596">
        <w:rPr>
          <w:rFonts w:ascii="Times New Roman" w:hAnsi="Times New Roman" w:cs="Times New Roman"/>
          <w:bCs/>
          <w:sz w:val="24"/>
          <w:szCs w:val="24"/>
        </w:rPr>
        <w:t>noted th</w:t>
      </w:r>
      <w:r w:rsidR="00183B69" w:rsidRPr="00D94596">
        <w:rPr>
          <w:rFonts w:ascii="Times New Roman" w:hAnsi="Times New Roman" w:cs="Times New Roman"/>
          <w:bCs/>
          <w:sz w:val="24"/>
          <w:szCs w:val="24"/>
        </w:rPr>
        <w:t>at</w:t>
      </w:r>
      <w:r w:rsidRPr="00D94596">
        <w:rPr>
          <w:rFonts w:ascii="Times New Roman" w:hAnsi="Times New Roman" w:cs="Times New Roman"/>
          <w:bCs/>
          <w:sz w:val="24"/>
          <w:szCs w:val="24"/>
        </w:rPr>
        <w:t xml:space="preserve"> strictures upon lax conduct impacted particularly severely upon women, so it is unsurprising that Reynolds </w:t>
      </w:r>
      <w:r w:rsidRPr="00D94596">
        <w:rPr>
          <w:rFonts w:ascii="Times New Roman" w:hAnsi="Times New Roman" w:cs="Times New Roman"/>
          <w:sz w:val="24"/>
          <w:szCs w:val="24"/>
        </w:rPr>
        <w:t xml:space="preserve">rejected any </w:t>
      </w:r>
      <w:r w:rsidR="00183B69" w:rsidRPr="00D94596">
        <w:rPr>
          <w:rFonts w:ascii="Times New Roman" w:hAnsi="Times New Roman" w:cs="Times New Roman"/>
          <w:sz w:val="24"/>
          <w:szCs w:val="24"/>
        </w:rPr>
        <w:t xml:space="preserve">of their </w:t>
      </w:r>
      <w:r w:rsidRPr="00D94596">
        <w:rPr>
          <w:rFonts w:ascii="Times New Roman" w:hAnsi="Times New Roman" w:cs="Times New Roman"/>
          <w:sz w:val="24"/>
          <w:szCs w:val="24"/>
        </w:rPr>
        <w:t xml:space="preserve">activities he regarded as sexually indiscreet.  This is apparent in his presentation of </w:t>
      </w:r>
      <w:r w:rsidR="00183B69" w:rsidRPr="00D94596">
        <w:rPr>
          <w:rFonts w:ascii="Times New Roman" w:hAnsi="Times New Roman" w:cs="Times New Roman"/>
          <w:sz w:val="24"/>
          <w:szCs w:val="24"/>
        </w:rPr>
        <w:t>those</w:t>
      </w:r>
      <w:r w:rsidRPr="00D94596">
        <w:rPr>
          <w:rFonts w:ascii="Times New Roman" w:hAnsi="Times New Roman" w:cs="Times New Roman"/>
          <w:sz w:val="24"/>
          <w:szCs w:val="24"/>
        </w:rPr>
        <w:t xml:space="preserve"> who employ such transgressions to rebel against poverty and the circumscribed positions</w:t>
      </w:r>
      <w:r w:rsidRPr="00E16A3F">
        <w:rPr>
          <w:rFonts w:ascii="Times New Roman" w:hAnsi="Times New Roman" w:cs="Times New Roman"/>
          <w:sz w:val="24"/>
          <w:szCs w:val="24"/>
        </w:rPr>
        <w:t xml:space="preserve"> they occupy.  The chapter will analyse this negative stance as being another element of his cautious radicalism.</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The above comments are not meant to suggest Reynolds accepted all restrictive views towards women during a period in which they were widely regarded as more psychologically unbalanced than men.  This was often seen as being due to biological weaknesses, although a few ‘moral managers’ also associated it, particularly in the case of middle-class women, with poor education and limited opportunities for meaningful activity, resulting in failure to develop ‘self-discipline and inner resources’ to face the pressures of daily life.</w:t>
      </w:r>
      <w:r w:rsidRPr="00E16A3F">
        <w:rPr>
          <w:rStyle w:val="FootnoteReference"/>
          <w:rFonts w:ascii="Times New Roman" w:hAnsi="Times New Roman"/>
          <w:sz w:val="24"/>
          <w:szCs w:val="24"/>
        </w:rPr>
        <w:footnoteReference w:id="487"/>
      </w:r>
      <w:r w:rsidRPr="00E16A3F">
        <w:rPr>
          <w:rFonts w:ascii="Times New Roman" w:hAnsi="Times New Roman" w:cs="Times New Roman"/>
          <w:sz w:val="24"/>
          <w:szCs w:val="24"/>
        </w:rPr>
        <w:t xml:space="preserve">  Entrenched within the medical profession was a belief that the effect of their reproductive system made them vulnerable to mental derangement and even insanity.</w:t>
      </w:r>
      <w:r w:rsidRPr="00E16A3F">
        <w:rPr>
          <w:rStyle w:val="FootnoteReference"/>
          <w:rFonts w:ascii="Times New Roman" w:hAnsi="Times New Roman"/>
          <w:sz w:val="24"/>
          <w:szCs w:val="24"/>
        </w:rPr>
        <w:footnoteReference w:id="488"/>
      </w:r>
      <w:r w:rsidRPr="00E16A3F">
        <w:rPr>
          <w:rFonts w:ascii="Times New Roman" w:hAnsi="Times New Roman" w:cs="Times New Roman"/>
          <w:sz w:val="24"/>
          <w:szCs w:val="24"/>
        </w:rPr>
        <w:t xml:space="preserve">  When it came to social policy, this could be used as a reason ‘to keep women out of the professions, to deny them political rights, and to keep them under male control in the family and the state’.</w:t>
      </w:r>
      <w:r w:rsidRPr="00E16A3F">
        <w:rPr>
          <w:rStyle w:val="FootnoteReference"/>
          <w:rFonts w:ascii="Times New Roman" w:hAnsi="Times New Roman"/>
          <w:sz w:val="24"/>
          <w:szCs w:val="24"/>
        </w:rPr>
        <w:footnoteReference w:id="489"/>
      </w:r>
      <w:r w:rsidRPr="00E16A3F">
        <w:rPr>
          <w:rFonts w:ascii="Times New Roman" w:hAnsi="Times New Roman" w:cs="Times New Roman"/>
          <w:sz w:val="24"/>
          <w:szCs w:val="24"/>
        </w:rPr>
        <w:t xml:space="preserve">  Reynolds generally opposed these ideas, particularly those which argued their intellectual inferiority:</w:t>
      </w:r>
    </w:p>
    <w:p w:rsidR="00BA19FC" w:rsidRPr="00E16A3F" w:rsidRDefault="00BA19FC" w:rsidP="00BA19FC">
      <w:pPr>
        <w:spacing w:after="240" w:line="240" w:lineRule="auto"/>
        <w:ind w:left="720"/>
        <w:rPr>
          <w:rFonts w:ascii="Times New Roman" w:hAnsi="Times New Roman" w:cs="Times New Roman"/>
          <w:sz w:val="24"/>
          <w:szCs w:val="24"/>
        </w:rPr>
      </w:pPr>
      <w:r w:rsidRPr="00E16A3F">
        <w:rPr>
          <w:rFonts w:ascii="Times New Roman" w:hAnsi="Times New Roman" w:cs="Times New Roman"/>
          <w:sz w:val="24"/>
          <w:szCs w:val="24"/>
        </w:rPr>
        <w:lastRenderedPageBreak/>
        <w:t>The intellect of woman is naturally as strong as that of man; but it has less chances and less opportunities of developing its capacity. […]  Her mind is naturally better poised than that of man: far-seeing and quick-sighted is she;—a readiness at devising and combining plans to meet emergencies, is intuitive with her.</w:t>
      </w:r>
      <w:r w:rsidRPr="00E16A3F">
        <w:rPr>
          <w:rStyle w:val="FootnoteReference"/>
          <w:rFonts w:ascii="Times New Roman" w:hAnsi="Times New Roman"/>
          <w:sz w:val="24"/>
          <w:szCs w:val="24"/>
        </w:rPr>
        <w:footnoteReference w:id="490"/>
      </w:r>
    </w:p>
    <w:p w:rsidR="00BA19FC" w:rsidRPr="00E16A3F" w:rsidRDefault="00BA19FC" w:rsidP="00BA19FC">
      <w:pPr>
        <w:spacing w:after="120" w:line="360" w:lineRule="auto"/>
        <w:rPr>
          <w:rFonts w:ascii="Times New Roman" w:hAnsi="Times New Roman" w:cs="Times New Roman"/>
          <w:sz w:val="24"/>
          <w:szCs w:val="24"/>
        </w:rPr>
      </w:pPr>
      <w:r w:rsidRPr="00E16A3F">
        <w:rPr>
          <w:rFonts w:ascii="Times New Roman" w:hAnsi="Times New Roman" w:cs="Times New Roman"/>
          <w:sz w:val="24"/>
          <w:szCs w:val="24"/>
        </w:rPr>
        <w:t>He suggests that lack of achievement in public life is due to the social straitjacket in which they live.  The assertion that the female mind is ‘naturally better-poised’ inveighed against claims that it tended to falter or collapse under stress.  In terms of planning and analysing situations, usually associated with ‘male’ rationality, it argues that woman equals and perhaps exceeds man’s abilities.</w:t>
      </w:r>
      <w:r w:rsidRPr="00E16A3F">
        <w:rPr>
          <w:rStyle w:val="FootnoteReference"/>
          <w:rFonts w:ascii="Times New Roman" w:hAnsi="Times New Roman"/>
          <w:sz w:val="24"/>
          <w:szCs w:val="24"/>
        </w:rPr>
        <w:footnoteReference w:id="491"/>
      </w:r>
      <w:r w:rsidRPr="00E16A3F">
        <w:rPr>
          <w:rFonts w:ascii="Times New Roman" w:hAnsi="Times New Roman" w:cs="Times New Roman"/>
          <w:sz w:val="24"/>
          <w:szCs w:val="24"/>
        </w:rPr>
        <w:t xml:space="preserve">  Despite this championing of intellectual equality, however, there seems to be some equivocation in Reynolds’s view towards females and work.  Nancy Armstrong traces a line of thought in eighteenth century conduct books that aimed at producing ‘a culture divided into the respective domains of domestic woman and economic man’.</w:t>
      </w:r>
      <w:r w:rsidRPr="00E16A3F">
        <w:rPr>
          <w:rStyle w:val="FootnoteReference"/>
          <w:rFonts w:ascii="Times New Roman" w:hAnsi="Times New Roman"/>
          <w:sz w:val="24"/>
          <w:szCs w:val="24"/>
        </w:rPr>
        <w:footnoteReference w:id="492"/>
      </w:r>
      <w:r w:rsidRPr="00E16A3F">
        <w:rPr>
          <w:rFonts w:ascii="Times New Roman" w:hAnsi="Times New Roman" w:cs="Times New Roman"/>
          <w:sz w:val="24"/>
          <w:szCs w:val="24"/>
        </w:rPr>
        <w:t xml:space="preserve">  As stated previously, this </w:t>
      </w:r>
      <w:r w:rsidRPr="002360E5">
        <w:rPr>
          <w:rFonts w:ascii="Times New Roman" w:hAnsi="Times New Roman" w:cs="Times New Roman"/>
          <w:sz w:val="24"/>
          <w:szCs w:val="24"/>
        </w:rPr>
        <w:t xml:space="preserve">perspective influenced advice columns in the </w:t>
      </w:r>
      <w:r w:rsidRPr="002360E5">
        <w:rPr>
          <w:rFonts w:ascii="Times New Roman" w:hAnsi="Times New Roman" w:cs="Times New Roman"/>
          <w:i/>
          <w:sz w:val="24"/>
          <w:szCs w:val="24"/>
        </w:rPr>
        <w:t>Miscellany</w:t>
      </w:r>
      <w:r w:rsidRPr="002360E5">
        <w:rPr>
          <w:rFonts w:ascii="Times New Roman" w:hAnsi="Times New Roman" w:cs="Times New Roman"/>
          <w:sz w:val="24"/>
          <w:szCs w:val="24"/>
        </w:rPr>
        <w:t xml:space="preserve"> and was not absent from Reynolds’s novels.  </w:t>
      </w:r>
      <w:r w:rsidR="00183B69" w:rsidRPr="002360E5">
        <w:rPr>
          <w:rFonts w:ascii="Times New Roman" w:hAnsi="Times New Roman" w:cs="Times New Roman"/>
          <w:sz w:val="24"/>
          <w:szCs w:val="24"/>
        </w:rPr>
        <w:t>Nevertheless</w:t>
      </w:r>
      <w:r w:rsidRPr="002360E5">
        <w:rPr>
          <w:rFonts w:ascii="Times New Roman" w:hAnsi="Times New Roman" w:cs="Times New Roman"/>
          <w:sz w:val="24"/>
          <w:szCs w:val="24"/>
        </w:rPr>
        <w:t>, he comments favourably upon women such as Virginia Mordaunt and Mary Price who determinedly set about earning their livelihoods through honest and arduous labour.  Occasionally he extends this to those</w:t>
      </w:r>
      <w:r w:rsidRPr="00E16A3F">
        <w:rPr>
          <w:rFonts w:ascii="Times New Roman" w:hAnsi="Times New Roman" w:cs="Times New Roman"/>
          <w:sz w:val="24"/>
          <w:szCs w:val="24"/>
        </w:rPr>
        <w:t xml:space="preserve"> who are married, as with Lucy Lonsdale in </w:t>
      </w:r>
      <w:r w:rsidRPr="00E16A3F">
        <w:rPr>
          <w:rFonts w:ascii="Times New Roman" w:hAnsi="Times New Roman" w:cs="Times New Roman"/>
          <w:i/>
          <w:sz w:val="24"/>
          <w:szCs w:val="24"/>
        </w:rPr>
        <w:t>The Soldier’s Wife</w:t>
      </w:r>
      <w:r w:rsidRPr="00E16A3F">
        <w:rPr>
          <w:rFonts w:ascii="Times New Roman" w:hAnsi="Times New Roman" w:cs="Times New Roman"/>
          <w:sz w:val="24"/>
          <w:szCs w:val="24"/>
        </w:rPr>
        <w:t xml:space="preserve"> (1852–53).  When she and husband Frederick move to Carlisle and he opens a small school, Lucy takes up needle-work to acquire extra finance, displaying a proficiency that leads him to behold with ‘admiration and gratitude her great industry’.</w:t>
      </w:r>
      <w:r w:rsidRPr="00E16A3F">
        <w:rPr>
          <w:rStyle w:val="FootnoteReference"/>
          <w:rFonts w:ascii="Times New Roman" w:hAnsi="Times New Roman"/>
          <w:sz w:val="24"/>
          <w:szCs w:val="24"/>
        </w:rPr>
        <w:footnoteReference w:id="493"/>
      </w:r>
      <w:r w:rsidRPr="00E16A3F">
        <w:rPr>
          <w:rFonts w:ascii="Times New Roman" w:hAnsi="Times New Roman" w:cs="Times New Roman"/>
          <w:sz w:val="24"/>
          <w:szCs w:val="24"/>
        </w:rPr>
        <w:t xml:space="preserve">  Later, when he returns from the army hospital after being flogged for desertion the financial situation is so severe that they enter a ‘serious discussion’ at which she ‘intimated her intention of seeking needle-work’.</w:t>
      </w:r>
      <w:r w:rsidRPr="00E16A3F">
        <w:rPr>
          <w:rStyle w:val="FootnoteReference"/>
          <w:rFonts w:ascii="Times New Roman" w:hAnsi="Times New Roman"/>
          <w:sz w:val="24"/>
          <w:szCs w:val="24"/>
        </w:rPr>
        <w:footnoteReference w:id="494"/>
      </w:r>
      <w:r w:rsidRPr="00E16A3F">
        <w:rPr>
          <w:rFonts w:ascii="Times New Roman" w:hAnsi="Times New Roman" w:cs="Times New Roman"/>
          <w:sz w:val="24"/>
          <w:szCs w:val="24"/>
        </w:rPr>
        <w:t xml:space="preserve">  In each case, there is an implication that Lucy works under her husband’s authority, after having sought his permission to do so.  At the same time, there is no doubt that Reynolds sees the validity in such labour which is responsible for holding the family together during Frederick’s moral decline.</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lastRenderedPageBreak/>
        <w:t>The positive manner in which Reynolds displays independent spirit among female characters means he generally avoids the charge made by Sandra Gilbert and Susan Gubar that women seeking their own material objectives were presented as ‘accidents of nature’ and ‘deformities meant to repel’.</w:t>
      </w:r>
      <w:r w:rsidRPr="00E16A3F">
        <w:rPr>
          <w:rStyle w:val="FootnoteReference"/>
          <w:rFonts w:ascii="Times New Roman" w:hAnsi="Times New Roman"/>
          <w:sz w:val="24"/>
          <w:szCs w:val="24"/>
        </w:rPr>
        <w:footnoteReference w:id="495"/>
      </w:r>
      <w:r w:rsidRPr="00E16A3F">
        <w:rPr>
          <w:rFonts w:ascii="Times New Roman" w:hAnsi="Times New Roman" w:cs="Times New Roman"/>
          <w:sz w:val="24"/>
          <w:szCs w:val="24"/>
        </w:rPr>
        <w:t xml:space="preserve">  Even when it leads them into discreditable actions, as seen </w:t>
      </w:r>
      <w:r w:rsidR="002360E5" w:rsidRPr="00F8153E">
        <w:rPr>
          <w:rFonts w:ascii="Times New Roman" w:hAnsi="Times New Roman" w:cs="Times New Roman"/>
          <w:sz w:val="24"/>
          <w:szCs w:val="24"/>
        </w:rPr>
        <w:t xml:space="preserve">earlier </w:t>
      </w:r>
      <w:r w:rsidRPr="00F8153E">
        <w:rPr>
          <w:rFonts w:ascii="Times New Roman" w:hAnsi="Times New Roman" w:cs="Times New Roman"/>
          <w:sz w:val="24"/>
          <w:szCs w:val="24"/>
        </w:rPr>
        <w:t>with Jessica the upper-maid at Belvidere House, such terms seem inappropriate.  However, the argument ha</w:t>
      </w:r>
      <w:r w:rsidR="002360E5" w:rsidRPr="00F8153E">
        <w:rPr>
          <w:rFonts w:ascii="Times New Roman" w:hAnsi="Times New Roman" w:cs="Times New Roman"/>
          <w:sz w:val="24"/>
          <w:szCs w:val="24"/>
        </w:rPr>
        <w:t>s</w:t>
      </w:r>
      <w:r w:rsidRPr="00F8153E">
        <w:rPr>
          <w:rFonts w:ascii="Times New Roman" w:hAnsi="Times New Roman" w:cs="Times New Roman"/>
          <w:sz w:val="24"/>
          <w:szCs w:val="24"/>
        </w:rPr>
        <w:t xml:space="preserve"> relevance regarding</w:t>
      </w:r>
      <w:r w:rsidRPr="00E16A3F">
        <w:rPr>
          <w:rFonts w:ascii="Times New Roman" w:hAnsi="Times New Roman" w:cs="Times New Roman"/>
          <w:sz w:val="24"/>
          <w:szCs w:val="24"/>
        </w:rPr>
        <w:t xml:space="preserve"> his portrayal of females whose drive for independence involves sexual transgression and suggests it is the result of an unpredictable emotional state.  Helen Small lists the characteristics associated with hysteria, which during the nineteenth century was regarded as being overwhelmingly a female malady:</w:t>
      </w:r>
      <w:r w:rsidRPr="00E16A3F">
        <w:rPr>
          <w:rStyle w:val="FootnoteReference"/>
          <w:rFonts w:ascii="Times New Roman" w:hAnsi="Times New Roman"/>
          <w:sz w:val="24"/>
          <w:szCs w:val="24"/>
        </w:rPr>
        <w:footnoteReference w:id="496"/>
      </w:r>
    </w:p>
    <w:p w:rsidR="00BA19FC" w:rsidRPr="00E16A3F" w:rsidRDefault="00BA19FC" w:rsidP="00BA19FC">
      <w:pPr>
        <w:spacing w:after="240" w:line="240" w:lineRule="auto"/>
        <w:ind w:left="720"/>
        <w:rPr>
          <w:rFonts w:ascii="Times New Roman" w:hAnsi="Times New Roman" w:cs="Times New Roman"/>
          <w:sz w:val="24"/>
          <w:szCs w:val="24"/>
        </w:rPr>
      </w:pPr>
      <w:r w:rsidRPr="00E16A3F">
        <w:rPr>
          <w:rFonts w:ascii="Times New Roman" w:hAnsi="Times New Roman" w:cs="Times New Roman"/>
          <w:sz w:val="24"/>
          <w:szCs w:val="24"/>
        </w:rPr>
        <w:t>She could possess any (and would very likely give signs of several) of the following characteristics: a nervous temperament, violent and unstable emotions, depression, excitement, poor attention span, disturbed intellect, disturbed will, deficient judgement, dependency, immaturity, egocentricity, attention-seeking, deceitfulness, theatricality, simulation, jealousy, fearfulness, and irritability.</w:t>
      </w:r>
      <w:r w:rsidRPr="00E16A3F">
        <w:rPr>
          <w:rStyle w:val="FootnoteReference"/>
          <w:rFonts w:ascii="Times New Roman" w:hAnsi="Times New Roman"/>
          <w:sz w:val="24"/>
          <w:szCs w:val="24"/>
        </w:rPr>
        <w:footnoteReference w:id="497"/>
      </w:r>
    </w:p>
    <w:p w:rsidR="00BA19FC" w:rsidRPr="00E16A3F" w:rsidRDefault="00BA19FC" w:rsidP="00BA19FC">
      <w:pPr>
        <w:spacing w:after="120" w:line="360" w:lineRule="auto"/>
        <w:rPr>
          <w:rFonts w:ascii="Times New Roman" w:hAnsi="Times New Roman" w:cs="Times New Roman"/>
          <w:sz w:val="24"/>
          <w:szCs w:val="24"/>
        </w:rPr>
      </w:pPr>
      <w:r w:rsidRPr="00E16A3F">
        <w:rPr>
          <w:rFonts w:ascii="Times New Roman" w:hAnsi="Times New Roman" w:cs="Times New Roman"/>
          <w:sz w:val="24"/>
          <w:szCs w:val="24"/>
        </w:rPr>
        <w:t>These traits suggest a variety of qualities including self-absorption and loss of rationality, mental weaknesses that led to dishonesty, lack of moral commitment and violent mood swings.  The list is pertinent because the attributes referred to are constantly present in Reynolds’s female transgressors and, as the chapter will discuss, such failings almost invariably lead to the moral and psychological undermining of their protest, regardless of whether it arises from poverty or economic exploitation.  The participation of male characters in similar activity rarely holds the same implications.  For example, Joseph Wilmot’s liaison with Lady Calanthe Dundas is a misguided affair of the affections for which he acknowledges weakness, but it does not adversely affect his general opposition to social injustice.</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 xml:space="preserve">Occasionally, Reynolds takes a more relaxed attitude so that transgression does not result in female moral decline, although this seems more likely with individuals from the wealthier echelons of society.  Diana Arlington in </w:t>
      </w:r>
      <w:r w:rsidRPr="00E16A3F">
        <w:rPr>
          <w:rFonts w:ascii="Times New Roman" w:hAnsi="Times New Roman" w:cs="Times New Roman"/>
          <w:i/>
          <w:sz w:val="24"/>
          <w:szCs w:val="24"/>
        </w:rPr>
        <w:t xml:space="preserve">The </w:t>
      </w:r>
      <w:r w:rsidRPr="00E16A3F">
        <w:rPr>
          <w:rFonts w:ascii="Times New Roman" w:hAnsi="Times New Roman" w:cs="Times New Roman"/>
          <w:i/>
          <w:iCs/>
          <w:sz w:val="24"/>
          <w:szCs w:val="24"/>
        </w:rPr>
        <w:t>Mysteries of London</w:t>
      </w:r>
      <w:r w:rsidRPr="00E16A3F">
        <w:rPr>
          <w:rFonts w:ascii="Times New Roman" w:hAnsi="Times New Roman" w:cs="Times New Roman"/>
          <w:sz w:val="24"/>
          <w:szCs w:val="24"/>
        </w:rPr>
        <w:t xml:space="preserve"> (1844–48) manoeuvres her way as a courtesan among the upper classes, but is not prevented from displaying worthier traits, as when feeling sympathy for young Richard Markham who is defrauded by her paramour Sir Rupert Harborough and then refusing to be involved with the latter’s schemes to forge banknotes.</w:t>
      </w:r>
      <w:r w:rsidRPr="00E16A3F">
        <w:rPr>
          <w:rStyle w:val="FootnoteReference"/>
          <w:rFonts w:ascii="Times New Roman" w:hAnsi="Times New Roman"/>
          <w:sz w:val="24"/>
          <w:szCs w:val="24"/>
        </w:rPr>
        <w:footnoteReference w:id="498"/>
      </w:r>
      <w:r w:rsidRPr="00E16A3F">
        <w:rPr>
          <w:rFonts w:ascii="Times New Roman" w:hAnsi="Times New Roman" w:cs="Times New Roman"/>
          <w:sz w:val="24"/>
          <w:szCs w:val="24"/>
        </w:rPr>
        <w:t xml:space="preserve">  The adverse circumstances that have driven her into </w:t>
      </w:r>
      <w:r w:rsidRPr="00E16A3F">
        <w:rPr>
          <w:rFonts w:ascii="Times New Roman" w:hAnsi="Times New Roman" w:cs="Times New Roman"/>
          <w:sz w:val="24"/>
          <w:szCs w:val="24"/>
        </w:rPr>
        <w:lastRenderedPageBreak/>
        <w:t>this dubious career also make it easier for Reynolds to display leniency.</w:t>
      </w:r>
      <w:r w:rsidRPr="00E16A3F">
        <w:rPr>
          <w:rStyle w:val="FootnoteReference"/>
          <w:rFonts w:ascii="Times New Roman" w:hAnsi="Times New Roman"/>
          <w:sz w:val="24"/>
          <w:szCs w:val="24"/>
        </w:rPr>
        <w:footnoteReference w:id="499"/>
      </w:r>
      <w:r w:rsidRPr="00E16A3F">
        <w:rPr>
          <w:rFonts w:ascii="Times New Roman" w:hAnsi="Times New Roman" w:cs="Times New Roman"/>
          <w:sz w:val="24"/>
          <w:szCs w:val="24"/>
        </w:rPr>
        <w:t xml:space="preserve">  On leaving Harborough, Diana pragmatically secures a new partner.  In a business-like way, she consults an extensive cache of letters from other paramours, before selecting the Earl of Warrington, for his fortune, single-status, age and good looks.</w:t>
      </w:r>
      <w:r w:rsidRPr="00E16A3F">
        <w:rPr>
          <w:rStyle w:val="FootnoteReference"/>
          <w:rFonts w:ascii="Times New Roman" w:hAnsi="Times New Roman"/>
          <w:sz w:val="24"/>
          <w:szCs w:val="24"/>
        </w:rPr>
        <w:footnoteReference w:id="500"/>
      </w:r>
      <w:r w:rsidRPr="00E16A3F">
        <w:rPr>
          <w:rFonts w:ascii="Times New Roman" w:hAnsi="Times New Roman" w:cs="Times New Roman"/>
          <w:sz w:val="24"/>
          <w:szCs w:val="24"/>
        </w:rPr>
        <w:t xml:space="preserve">  She views herself as a prize available to the highest bidder and it is symbolic of her cynicism that wealth should be first in the list of desired qualities her suitor is required to possess.  Reynolds also adopts a tolerant view towards Letitia Lade in </w:t>
      </w:r>
      <w:r w:rsidRPr="00E16A3F">
        <w:rPr>
          <w:rFonts w:ascii="Times New Roman" w:hAnsi="Times New Roman" w:cs="Times New Roman"/>
          <w:i/>
          <w:sz w:val="24"/>
          <w:szCs w:val="24"/>
        </w:rPr>
        <w:t>The Mysteries of the Court</w:t>
      </w:r>
      <w:r w:rsidRPr="00E16A3F">
        <w:rPr>
          <w:rFonts w:ascii="Times New Roman" w:hAnsi="Times New Roman" w:cs="Times New Roman"/>
          <w:sz w:val="24"/>
          <w:szCs w:val="24"/>
        </w:rPr>
        <w:t xml:space="preserve"> (1848–56) who rises in society using similar methods.</w:t>
      </w:r>
      <w:r w:rsidRPr="00E16A3F">
        <w:rPr>
          <w:rStyle w:val="FootnoteReference"/>
          <w:rFonts w:ascii="Times New Roman" w:hAnsi="Times New Roman"/>
          <w:sz w:val="24"/>
          <w:szCs w:val="24"/>
        </w:rPr>
        <w:footnoteReference w:id="501"/>
      </w:r>
      <w:r w:rsidRPr="00E16A3F">
        <w:rPr>
          <w:rFonts w:ascii="Times New Roman" w:hAnsi="Times New Roman" w:cs="Times New Roman"/>
          <w:sz w:val="24"/>
          <w:szCs w:val="24"/>
        </w:rPr>
        <w:t xml:space="preserve">  The approach of these women towards their sexual relationships does not prevent them from being reliable partners.  However, Reynolds’s apparent acceptance of their conduct did not mean he condoned it.  Above all, Arlington and Lade serve to demonstrate the lifestyle that flourished in aristocratic society which Reynolds customarily treats in a negative fashion, typified by the extra-marital affairs that Lord Rupert and Lady Cecilia Harborough each pursue at their residence in Tavistock Square.</w:t>
      </w:r>
      <w:r w:rsidRPr="00E16A3F">
        <w:rPr>
          <w:rStyle w:val="FootnoteReference"/>
          <w:rFonts w:ascii="Times New Roman" w:hAnsi="Times New Roman"/>
          <w:sz w:val="24"/>
          <w:szCs w:val="24"/>
        </w:rPr>
        <w:footnoteReference w:id="502"/>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Reynolds places the moral bar much higher for females among the industrious classes, denying suggestions of their depravity, as when he rejects the argument that those in domestic service were a recruiting ground for prostitution: ‘We believe that the immorality of female servants is considerably exaggerated by these representations, and that the cases of frailty are the exception not the rule.’</w:t>
      </w:r>
      <w:r w:rsidRPr="00E16A3F">
        <w:rPr>
          <w:rStyle w:val="FootnoteReference"/>
          <w:rFonts w:ascii="Times New Roman" w:hAnsi="Times New Roman"/>
          <w:sz w:val="24"/>
          <w:szCs w:val="24"/>
        </w:rPr>
        <w:footnoteReference w:id="503"/>
      </w:r>
      <w:r w:rsidRPr="00E16A3F">
        <w:rPr>
          <w:rFonts w:ascii="Times New Roman" w:hAnsi="Times New Roman" w:cs="Times New Roman"/>
          <w:sz w:val="24"/>
          <w:szCs w:val="24"/>
        </w:rPr>
        <w:t xml:space="preserve">  However, this general defence simultaneously charges those who do transgress with ‘frailty’, an acknowledgment of their moral weakness.  Reynolds reinforces this view with quotations from W. A. Miles’s </w:t>
      </w:r>
      <w:r w:rsidRPr="00E16A3F">
        <w:rPr>
          <w:rFonts w:ascii="Times New Roman" w:hAnsi="Times New Roman" w:cs="Times New Roman"/>
          <w:i/>
          <w:sz w:val="24"/>
          <w:szCs w:val="24"/>
        </w:rPr>
        <w:t>Report on Poverty, Mendicity, and Crime</w:t>
      </w:r>
      <w:r w:rsidRPr="00E16A3F">
        <w:rPr>
          <w:rFonts w:ascii="Times New Roman" w:hAnsi="Times New Roman" w:cs="Times New Roman"/>
          <w:sz w:val="24"/>
          <w:szCs w:val="24"/>
        </w:rPr>
        <w:t xml:space="preserve"> (1839), one in particular promoting stereotypical views of female servants squandering wages and committing theft to assuage their thirst for finery:</w:t>
      </w:r>
    </w:p>
    <w:p w:rsidR="00BA19FC" w:rsidRPr="00E16A3F" w:rsidRDefault="00BA19FC" w:rsidP="00BA19FC">
      <w:pPr>
        <w:spacing w:after="240" w:line="240" w:lineRule="auto"/>
        <w:ind w:left="720"/>
        <w:rPr>
          <w:rFonts w:ascii="Times New Roman" w:hAnsi="Times New Roman" w:cs="Times New Roman"/>
          <w:sz w:val="24"/>
          <w:szCs w:val="24"/>
        </w:rPr>
      </w:pPr>
      <w:r w:rsidRPr="00E16A3F">
        <w:rPr>
          <w:rFonts w:ascii="Times New Roman" w:hAnsi="Times New Roman" w:cs="Times New Roman"/>
          <w:sz w:val="24"/>
          <w:szCs w:val="24"/>
        </w:rPr>
        <w:t xml:space="preserve">[A]ping all the pride and airs of their lady, and desiring to appear abroad with equal </w:t>
      </w:r>
      <w:r w:rsidRPr="00E16A3F">
        <w:rPr>
          <w:rFonts w:ascii="Times New Roman" w:hAnsi="Times New Roman" w:cs="Times New Roman"/>
          <w:i/>
          <w:sz w:val="24"/>
          <w:szCs w:val="24"/>
        </w:rPr>
        <w:t>éclat</w:t>
      </w:r>
      <w:r w:rsidRPr="00E16A3F">
        <w:rPr>
          <w:rFonts w:ascii="Times New Roman" w:hAnsi="Times New Roman" w:cs="Times New Roman"/>
          <w:sz w:val="24"/>
          <w:szCs w:val="24"/>
        </w:rPr>
        <w:t xml:space="preserve">, to effect which, the wardrobe of the mistress is not unfrequently resorted to, and the purse not always held sacred, or she becomes a prostitute whilst under the roof of her employer, till descending from one false step to another she at length links her fate </w:t>
      </w:r>
      <w:r w:rsidRPr="00E16A3F">
        <w:rPr>
          <w:rFonts w:ascii="Times New Roman" w:hAnsi="Times New Roman" w:cs="Times New Roman"/>
          <w:sz w:val="24"/>
          <w:szCs w:val="24"/>
        </w:rPr>
        <w:lastRenderedPageBreak/>
        <w:t>to some favourite of the swell mob, to whom she at first listened as a suitor, and ends in her being accessory to robbing the family which had fostered her.</w:t>
      </w:r>
      <w:r w:rsidRPr="00E16A3F">
        <w:rPr>
          <w:rStyle w:val="FootnoteReference"/>
          <w:rFonts w:ascii="Times New Roman" w:hAnsi="Times New Roman"/>
          <w:sz w:val="24"/>
          <w:szCs w:val="24"/>
        </w:rPr>
        <w:footnoteReference w:id="504"/>
      </w:r>
    </w:p>
    <w:p w:rsidR="00BA19FC" w:rsidRPr="00E16A3F" w:rsidRDefault="00BA19FC" w:rsidP="00BA19FC">
      <w:pPr>
        <w:spacing w:after="120" w:line="360" w:lineRule="auto"/>
        <w:rPr>
          <w:rFonts w:ascii="Times New Roman" w:hAnsi="Times New Roman" w:cs="Times New Roman"/>
          <w:sz w:val="24"/>
          <w:szCs w:val="24"/>
        </w:rPr>
      </w:pPr>
      <w:r w:rsidRPr="00E16A3F">
        <w:rPr>
          <w:rFonts w:ascii="Times New Roman" w:hAnsi="Times New Roman" w:cs="Times New Roman"/>
          <w:sz w:val="24"/>
          <w:szCs w:val="24"/>
        </w:rPr>
        <w:t>The mistress is censured for setting a bad example and failing to caution thrift and sobriety, but this is not a picture of females driven by privation into selling their bodies.  Rather it suggests weak-minded, individuals whose vanity leads them to readily engage in dishonesty.  The references to the sacredness of the employer’s purse and the fostering nature of the family environment suggest that such misdemeanours were not simply matters of petty theft but broke sanctified bonds of trust.  The introduction of the ‘swell mob’ compounds the problem by indicating that such activity involved the loss of a respectable position for street prostitution, making it a step on the path to entering the dangerous classes.  Reynolds’s ambivalence towards prostitution is demonstrated by a lengthy footnote which attributes it to ‘Natural’ and ‘Accidental’ causes.</w:t>
      </w:r>
      <w:r w:rsidRPr="00E16A3F">
        <w:rPr>
          <w:rStyle w:val="FootnoteReference"/>
          <w:rFonts w:ascii="Times New Roman" w:hAnsi="Times New Roman"/>
          <w:sz w:val="24"/>
          <w:szCs w:val="24"/>
        </w:rPr>
        <w:footnoteReference w:id="505"/>
      </w:r>
      <w:r w:rsidRPr="00E16A3F">
        <w:rPr>
          <w:rFonts w:ascii="Times New Roman" w:hAnsi="Times New Roman" w:cs="Times New Roman"/>
          <w:sz w:val="24"/>
          <w:szCs w:val="24"/>
        </w:rPr>
        <w:t xml:space="preserve">  The former includes an inclination for licentiousness, irritability of temper, pride, love of dress, dishonesty, the desire for property and indolence.  The latter points to the role played by poverty, poor wages and unemployment, although these are mixed with more questionable factors such as intemperance and attending dancing schools and parties.  Overall, these ‘causes’ emphasise lack of restraint and an impulsive desire for instant gratification.  A reference to masters and </w:t>
      </w:r>
      <w:r w:rsidRPr="00F8153E">
        <w:rPr>
          <w:rFonts w:ascii="Times New Roman" w:hAnsi="Times New Roman" w:cs="Times New Roman"/>
          <w:sz w:val="24"/>
          <w:szCs w:val="24"/>
        </w:rPr>
        <w:t xml:space="preserve">mistresses </w:t>
      </w:r>
      <w:r w:rsidR="002360E5" w:rsidRPr="00F8153E">
        <w:rPr>
          <w:rFonts w:ascii="Times New Roman" w:hAnsi="Times New Roman" w:cs="Times New Roman"/>
          <w:sz w:val="24"/>
          <w:szCs w:val="24"/>
        </w:rPr>
        <w:t>not</w:t>
      </w:r>
      <w:r w:rsidRPr="00F8153E">
        <w:rPr>
          <w:rFonts w:ascii="Times New Roman" w:hAnsi="Times New Roman" w:cs="Times New Roman"/>
          <w:sz w:val="24"/>
          <w:szCs w:val="24"/>
        </w:rPr>
        <w:t xml:space="preserve"> provid</w:t>
      </w:r>
      <w:r w:rsidR="002360E5" w:rsidRPr="00F8153E">
        <w:rPr>
          <w:rFonts w:ascii="Times New Roman" w:hAnsi="Times New Roman" w:cs="Times New Roman"/>
          <w:sz w:val="24"/>
          <w:szCs w:val="24"/>
        </w:rPr>
        <w:t>ing</w:t>
      </w:r>
      <w:r w:rsidRPr="00E16A3F">
        <w:rPr>
          <w:rFonts w:ascii="Times New Roman" w:hAnsi="Times New Roman" w:cs="Times New Roman"/>
          <w:sz w:val="24"/>
          <w:szCs w:val="24"/>
        </w:rPr>
        <w:t xml:space="preserve"> instruction again sees Reynolds depicting industrious females as reliant upon employers for guidance.  In such a framework, sexual transgression becomes the result of moral and psychological shortcomings as much as external social forces, echoing the position of </w:t>
      </w:r>
      <w:r w:rsidRPr="00E16A3F">
        <w:rPr>
          <w:rFonts w:ascii="Times New Roman" w:hAnsi="Times New Roman" w:cs="Times New Roman"/>
          <w:i/>
          <w:sz w:val="24"/>
          <w:szCs w:val="24"/>
        </w:rPr>
        <w:t>The Teetotaler</w:t>
      </w:r>
      <w:r w:rsidRPr="00E16A3F">
        <w:rPr>
          <w:rFonts w:ascii="Times New Roman" w:hAnsi="Times New Roman" w:cs="Times New Roman"/>
          <w:sz w:val="24"/>
          <w:szCs w:val="24"/>
        </w:rPr>
        <w:t xml:space="preserve"> towards alcohol consumption.</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 xml:space="preserve">Important for Reynolds’s portrayal is the sense that moral depravity is not confined to villainesses such as Perdita Slingsby in </w:t>
      </w:r>
      <w:r w:rsidRPr="00E16A3F">
        <w:rPr>
          <w:rFonts w:ascii="Times New Roman" w:hAnsi="Times New Roman" w:cs="Times New Roman"/>
          <w:i/>
          <w:sz w:val="24"/>
          <w:szCs w:val="24"/>
        </w:rPr>
        <w:t>The Mysteries of London</w:t>
      </w:r>
      <w:r w:rsidRPr="00E16A3F">
        <w:rPr>
          <w:rFonts w:ascii="Times New Roman" w:hAnsi="Times New Roman" w:cs="Times New Roman"/>
          <w:sz w:val="24"/>
          <w:szCs w:val="24"/>
        </w:rPr>
        <w:t xml:space="preserve"> whose career is based upon using her physical charms to acquire rank and wealth.  When she ensnares the youthful Charles Hatfield, Reynolds writes of her in the following terms: ‘oh! dangerous—trebly dangerous Perdita,—a snake with the loveliest skin—a demon with the most heavenly form—utter profligacy in the most witching guise!’.</w:t>
      </w:r>
      <w:r w:rsidRPr="00E16A3F">
        <w:rPr>
          <w:rStyle w:val="FootnoteReference"/>
          <w:rFonts w:ascii="Times New Roman" w:hAnsi="Times New Roman"/>
          <w:sz w:val="24"/>
          <w:szCs w:val="24"/>
        </w:rPr>
        <w:footnoteReference w:id="506"/>
      </w:r>
      <w:r w:rsidRPr="00E16A3F">
        <w:rPr>
          <w:rFonts w:ascii="Times New Roman" w:hAnsi="Times New Roman" w:cs="Times New Roman"/>
          <w:sz w:val="24"/>
          <w:szCs w:val="24"/>
        </w:rPr>
        <w:t xml:space="preserve">  A shadow, albeit a lesser one, is also cast over those whose actions might be regarded as a more admissible response to their social position.  An analysis of the treatment of Ellen Monroe, Julia Barnet and Sarah Price, characters who appear in work published between1844 and 1853, indicates that despite </w:t>
      </w:r>
      <w:r w:rsidRPr="00E16A3F">
        <w:rPr>
          <w:rFonts w:ascii="Times New Roman" w:hAnsi="Times New Roman" w:cs="Times New Roman"/>
          <w:sz w:val="24"/>
          <w:szCs w:val="24"/>
        </w:rPr>
        <w:lastRenderedPageBreak/>
        <w:t>developing a more progressive position regarding many political matters Reynolds showed little or no easing in his attitude towards this issue.</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 xml:space="preserve">Ellen Monroe is the central heroine in the first two volumes of </w:t>
      </w:r>
      <w:r w:rsidRPr="00E16A3F">
        <w:rPr>
          <w:rFonts w:ascii="Times New Roman" w:hAnsi="Times New Roman" w:cs="Times New Roman"/>
          <w:i/>
          <w:sz w:val="24"/>
          <w:szCs w:val="24"/>
        </w:rPr>
        <w:t>The Mysteries of London</w:t>
      </w:r>
      <w:r w:rsidRPr="00E16A3F">
        <w:rPr>
          <w:rFonts w:ascii="Times New Roman" w:hAnsi="Times New Roman" w:cs="Times New Roman"/>
          <w:sz w:val="24"/>
          <w:szCs w:val="24"/>
        </w:rPr>
        <w:t>.  When introduced she is enduring grinding poverty, an innocent seventeen-year-old seamstress earning sixpence for sixteen hours work.  Driven by hardship, Ellen becomes ensnared in questionable employments, modelling for statuary, artist, sculptor and finally photographer, gradually revealing more of herself for increasing financial reward.  Rather than treating this as a justified act of independence to escape economic slavery, Reynolds’s primary response is concern about Ellen’s growing awareness of her physical attraction: ‘all the latent female vanity that had slumbered in her bosom throughout the period of her pinching poverty, […] now shone forth in her manner — her gait — her glance — her speech — and her attire’.</w:t>
      </w:r>
      <w:r w:rsidRPr="00E16A3F">
        <w:rPr>
          <w:rStyle w:val="FootnoteReference"/>
          <w:rFonts w:ascii="Times New Roman" w:hAnsi="Times New Roman"/>
          <w:sz w:val="24"/>
          <w:szCs w:val="24"/>
        </w:rPr>
        <w:footnoteReference w:id="507"/>
      </w:r>
      <w:r w:rsidRPr="00E16A3F">
        <w:rPr>
          <w:rFonts w:ascii="Times New Roman" w:hAnsi="Times New Roman" w:cs="Times New Roman"/>
          <w:sz w:val="24"/>
          <w:szCs w:val="24"/>
        </w:rPr>
        <w:t xml:space="preserve">  The reference to ‘latent female vanity’ points to Ellen’s protest being directed by innate weakness and that consciousness of the value of her beauty as a commodity and the power it gives affects every action.  It compromises her industriousness as she develops an attitude no longer prepared to undertake honest but gruelling labour.  Alongside this comes the loss of steadiness and thrifty habits.  The more she earns the more she spends upon expensive clothes, no longer deigning to walk but preferring to take a cab.  She now studies the fashions rather than toils to create them, complacently boasting of her beauty to the old hag who provides her with lucrative employments.  After the photography assignment, Reynolds’s condemnation becomes more strident:</w:t>
      </w:r>
    </w:p>
    <w:p w:rsidR="00BA19FC" w:rsidRPr="00E16A3F" w:rsidRDefault="00BA19FC" w:rsidP="00BA19FC">
      <w:pPr>
        <w:spacing w:after="240" w:line="240" w:lineRule="auto"/>
        <w:ind w:left="720"/>
        <w:rPr>
          <w:rFonts w:ascii="Times New Roman" w:hAnsi="Times New Roman" w:cs="Times New Roman"/>
          <w:sz w:val="24"/>
          <w:szCs w:val="24"/>
        </w:rPr>
      </w:pPr>
      <w:r w:rsidRPr="00E16A3F">
        <w:rPr>
          <w:rFonts w:ascii="Times New Roman" w:hAnsi="Times New Roman" w:cs="Times New Roman"/>
          <w:sz w:val="24"/>
          <w:szCs w:val="24"/>
        </w:rPr>
        <w:t>A tainted soul now resided in a pure body.  Every remaining sentiment of decency and delicacy was crushed—obliterated—destroyed by this last service.  Pure souls have frequently resided in tainted bodies: […] but here was essentially a foul soul in a chaste and virgin form.</w:t>
      </w:r>
      <w:r w:rsidRPr="00E16A3F">
        <w:rPr>
          <w:rStyle w:val="FootnoteReference"/>
          <w:rFonts w:ascii="Times New Roman" w:hAnsi="Times New Roman"/>
          <w:sz w:val="24"/>
          <w:szCs w:val="24"/>
        </w:rPr>
        <w:footnoteReference w:id="508"/>
      </w:r>
    </w:p>
    <w:p w:rsidR="00BA19FC" w:rsidRPr="00E16A3F" w:rsidRDefault="00BA19FC" w:rsidP="00BA19FC">
      <w:pPr>
        <w:spacing w:after="120" w:line="360" w:lineRule="auto"/>
        <w:rPr>
          <w:rFonts w:ascii="Times New Roman" w:hAnsi="Times New Roman" w:cs="Times New Roman"/>
          <w:sz w:val="24"/>
          <w:szCs w:val="24"/>
        </w:rPr>
      </w:pPr>
      <w:r w:rsidRPr="00E16A3F">
        <w:rPr>
          <w:rFonts w:ascii="Times New Roman" w:hAnsi="Times New Roman" w:cs="Times New Roman"/>
          <w:sz w:val="24"/>
          <w:szCs w:val="24"/>
        </w:rPr>
        <w:t>Everything suggests how such occupations have tainted Ellen’s character.</w:t>
      </w:r>
      <w:r w:rsidRPr="00E16A3F">
        <w:rPr>
          <w:rStyle w:val="FootnoteReference"/>
          <w:rFonts w:ascii="Times New Roman" w:hAnsi="Times New Roman"/>
          <w:sz w:val="24"/>
          <w:szCs w:val="24"/>
        </w:rPr>
        <w:footnoteReference w:id="509"/>
      </w:r>
      <w:r w:rsidRPr="00E16A3F">
        <w:rPr>
          <w:rFonts w:ascii="Times New Roman" w:hAnsi="Times New Roman" w:cs="Times New Roman"/>
          <w:sz w:val="24"/>
          <w:szCs w:val="24"/>
        </w:rPr>
        <w:t xml:space="preserve">  When Reynolds writes in this manner, he seemingly moves towards justifying attitudes that elsewhere he condemns as false and narrow-minded.  This is typified when Ellen models to provide the body for the statue of a middle-class woman who then rejects her application to be companion for her children on the grounds of unsuitability.  The woman is condemned for </w:t>
      </w:r>
      <w:r w:rsidRPr="00E16A3F">
        <w:rPr>
          <w:rFonts w:ascii="Times New Roman" w:hAnsi="Times New Roman" w:cs="Times New Roman"/>
          <w:sz w:val="24"/>
          <w:szCs w:val="24"/>
        </w:rPr>
        <w:lastRenderedPageBreak/>
        <w:t>hypocrisy since she would have modelled herself ‘if she had possessed a good bust’.</w:t>
      </w:r>
      <w:r w:rsidRPr="00E16A3F">
        <w:rPr>
          <w:rStyle w:val="FootnoteReference"/>
          <w:rFonts w:ascii="Times New Roman" w:hAnsi="Times New Roman"/>
          <w:sz w:val="24"/>
          <w:szCs w:val="24"/>
        </w:rPr>
        <w:footnoteReference w:id="510"/>
      </w:r>
      <w:r w:rsidRPr="00E16A3F">
        <w:rPr>
          <w:rFonts w:ascii="Times New Roman" w:hAnsi="Times New Roman" w:cs="Times New Roman"/>
          <w:sz w:val="24"/>
          <w:szCs w:val="24"/>
        </w:rPr>
        <w:t xml:space="preserve">  However, no defence of Ellen’s activity is provided.  For Reynolds, sexual awareness outside of marriage plays a considerable role in allowing her, under duress, to agree to seduction by the libertine Eugene Markham which results in the birth of their baby boy, George.</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Ultimately, Reynolds allows Ellen to retain heroine status not only because her liaison arises from extreme privation but because she immediately acknowledges guilt on discovering her father has received financial help even while she slept with Eugene: ‘had I retained my faith in God for a few hours more—had I only exercised my patience until the evening of that fatal day, I had been spared that final guilt—that crowning infamy’.</w:t>
      </w:r>
      <w:r w:rsidRPr="00E16A3F">
        <w:rPr>
          <w:rStyle w:val="FootnoteReference"/>
          <w:rFonts w:ascii="Times New Roman" w:hAnsi="Times New Roman"/>
          <w:sz w:val="24"/>
          <w:szCs w:val="24"/>
        </w:rPr>
        <w:footnoteReference w:id="511"/>
      </w:r>
      <w:r w:rsidRPr="00E16A3F">
        <w:rPr>
          <w:rFonts w:ascii="Times New Roman" w:hAnsi="Times New Roman" w:cs="Times New Roman"/>
          <w:sz w:val="24"/>
          <w:szCs w:val="24"/>
        </w:rPr>
        <w:t xml:space="preserve">  These despairing words to her seducer, which divorce her actions from the economic imperative that drove them, signify a belief that the course she has taken was precipitate and in defiance of providence.  Ellen’s contrition recognizes the encounter as a ‘crowning infamy’, placing it firmly within the arena of disreputable protest.  The bitter sense that it would be preferable to have lost her reason rather than her purity indicates the overarching importance of female morality, to which all other elements of her being must be subordinated.  When saying to Eugene that she acted to prevent starvation, it is done half-heartedly, since elsewhere in the conversation the economic aspect of her actions is rejected as a defence.  She has been worse than those who act in a fit of ‘ardent passion’ since they do so through a temporary loss of steadiness. For Ellen there is no such excuse, her virtue was bartered otherwise, ‘coolly and deliberately exchanged for the price of bread!’.</w:t>
      </w:r>
      <w:r w:rsidRPr="00E16A3F">
        <w:rPr>
          <w:rStyle w:val="FootnoteReference"/>
          <w:rFonts w:ascii="Times New Roman" w:hAnsi="Times New Roman"/>
          <w:sz w:val="24"/>
          <w:szCs w:val="24"/>
        </w:rPr>
        <w:footnoteReference w:id="512"/>
      </w:r>
      <w:r w:rsidRPr="00E16A3F">
        <w:rPr>
          <w:rFonts w:ascii="Times New Roman" w:hAnsi="Times New Roman" w:cs="Times New Roman"/>
          <w:sz w:val="24"/>
          <w:szCs w:val="24"/>
        </w:rPr>
        <w:t xml:space="preserve">  Previous behaviour is seen as a process in which she sold herself by stages.  In full control of her thoughts a rational calculation was made, the carrying out of which she views as an act of betrayal to her father: ‘Flower after flower had dropped from the garland of my purity— that purity in which he— the kind old man—had nurtured me!’.</w:t>
      </w:r>
      <w:r w:rsidRPr="00E16A3F">
        <w:rPr>
          <w:rStyle w:val="FootnoteReference"/>
          <w:rFonts w:ascii="Times New Roman" w:hAnsi="Times New Roman"/>
          <w:sz w:val="24"/>
          <w:szCs w:val="24"/>
        </w:rPr>
        <w:footnoteReference w:id="513"/>
      </w:r>
      <w:r w:rsidRPr="00E16A3F">
        <w:rPr>
          <w:rFonts w:ascii="Times New Roman" w:hAnsi="Times New Roman" w:cs="Times New Roman"/>
          <w:sz w:val="24"/>
          <w:szCs w:val="24"/>
        </w:rPr>
        <w:t xml:space="preserve">  For Ellen, material security is irrelevant, spurning Eugene’s offer of support and proclaiming she cannot live as a pensioned mistress.  Only marriage will restore her honour and so she begs for the opportunity to be a dutiful wife: ‘I will smile when you smile—I will console you when you weep.  I will serve you—upon my knees will I serve you;—I will never weary of doing your bidding.’</w:t>
      </w:r>
      <w:r w:rsidRPr="00E16A3F">
        <w:rPr>
          <w:rStyle w:val="FootnoteReference"/>
          <w:rFonts w:ascii="Times New Roman" w:hAnsi="Times New Roman"/>
          <w:sz w:val="24"/>
          <w:szCs w:val="24"/>
        </w:rPr>
        <w:footnoteReference w:id="514"/>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 xml:space="preserve">Despite this acknowledgment of guilt, questions are allowed to remain.  Ellen’s remorse does not prevent signs of ‘latent vanity’ continuing to appear.  During the journey to </w:t>
      </w:r>
      <w:r w:rsidRPr="00E16A3F">
        <w:rPr>
          <w:rFonts w:ascii="Times New Roman" w:hAnsi="Times New Roman" w:cs="Times New Roman"/>
          <w:sz w:val="24"/>
          <w:szCs w:val="24"/>
        </w:rPr>
        <w:lastRenderedPageBreak/>
        <w:t>redemption, Reynolds constantly suggests Ellen’s character has been indelibly marked.  When later working on the stage, she admires herself in a looking glass, ‘a smile of triumph played upon her lips, and lent fire to her eyes’, while her performances are put in strongly sexualised terms as when ‘she literally wantoned in the gay and voluptuous dance’.</w:t>
      </w:r>
      <w:r w:rsidRPr="00E16A3F">
        <w:rPr>
          <w:rStyle w:val="FootnoteReference"/>
          <w:rFonts w:ascii="Times New Roman" w:hAnsi="Times New Roman"/>
          <w:sz w:val="24"/>
          <w:szCs w:val="24"/>
        </w:rPr>
        <w:t xml:space="preserve"> </w:t>
      </w:r>
      <w:r w:rsidRPr="00E16A3F">
        <w:rPr>
          <w:rStyle w:val="FootnoteReference"/>
          <w:rFonts w:ascii="Times New Roman" w:hAnsi="Times New Roman"/>
          <w:sz w:val="24"/>
          <w:szCs w:val="24"/>
        </w:rPr>
        <w:footnoteReference w:id="515"/>
      </w:r>
      <w:r w:rsidRPr="00E16A3F">
        <w:rPr>
          <w:rFonts w:ascii="Times New Roman" w:hAnsi="Times New Roman" w:cs="Times New Roman"/>
          <w:sz w:val="24"/>
          <w:szCs w:val="24"/>
        </w:rPr>
        <w:t xml:space="preserve">  The ambiguity of the situation is</w:t>
      </w:r>
      <w:r w:rsidRPr="00E16A3F">
        <w:rPr>
          <w:rFonts w:ascii="Times New Roman" w:hAnsi="Times New Roman" w:cs="Times New Roman"/>
          <w:b/>
          <w:sz w:val="24"/>
          <w:szCs w:val="24"/>
        </w:rPr>
        <w:t xml:space="preserve"> </w:t>
      </w:r>
      <w:r w:rsidRPr="00E16A3F">
        <w:rPr>
          <w:rFonts w:ascii="Times New Roman" w:hAnsi="Times New Roman" w:cs="Times New Roman"/>
          <w:sz w:val="24"/>
          <w:szCs w:val="24"/>
        </w:rPr>
        <w:t>emphasised by the fact she no longer needs money, her behaviour has other motivations:</w:t>
      </w:r>
    </w:p>
    <w:p w:rsidR="00BA19FC" w:rsidRPr="00E16A3F" w:rsidRDefault="00BA19FC" w:rsidP="00BA19FC">
      <w:pPr>
        <w:spacing w:after="240" w:line="240" w:lineRule="auto"/>
        <w:ind w:left="720"/>
        <w:rPr>
          <w:rFonts w:ascii="Times New Roman" w:hAnsi="Times New Roman" w:cs="Times New Roman"/>
          <w:sz w:val="24"/>
          <w:szCs w:val="24"/>
        </w:rPr>
      </w:pPr>
      <w:r w:rsidRPr="00E16A3F">
        <w:rPr>
          <w:rFonts w:ascii="Times New Roman" w:hAnsi="Times New Roman" w:cs="Times New Roman"/>
          <w:sz w:val="24"/>
          <w:szCs w:val="24"/>
        </w:rPr>
        <w:t>[B]ecause she really loved—ardently loved—the course upon which she had entered.  The applause of crowded audiences—the smiles of the manager—the adulation of the young nobles and gentlemen who, behind the scenes, complimented her upon her success, her talents, and her beauty,—these were delights which she would not very readily abandon.</w:t>
      </w:r>
      <w:r w:rsidRPr="00E16A3F">
        <w:rPr>
          <w:rStyle w:val="FootnoteReference"/>
          <w:rFonts w:ascii="Times New Roman" w:hAnsi="Times New Roman"/>
          <w:sz w:val="24"/>
          <w:szCs w:val="24"/>
        </w:rPr>
        <w:footnoteReference w:id="516"/>
      </w:r>
    </w:p>
    <w:p w:rsidR="00BA19FC" w:rsidRPr="00E16A3F" w:rsidRDefault="00BA19FC" w:rsidP="00BA19FC">
      <w:pPr>
        <w:spacing w:after="240" w:line="360" w:lineRule="auto"/>
        <w:rPr>
          <w:rFonts w:ascii="Times New Roman" w:eastAsia="Times New Roman" w:hAnsi="Times New Roman" w:cs="Times New Roman"/>
          <w:sz w:val="24"/>
          <w:szCs w:val="24"/>
        </w:rPr>
      </w:pPr>
      <w:r w:rsidRPr="00E16A3F">
        <w:rPr>
          <w:rFonts w:ascii="Times New Roman" w:hAnsi="Times New Roman" w:cs="Times New Roman"/>
          <w:sz w:val="24"/>
          <w:szCs w:val="24"/>
        </w:rPr>
        <w:t xml:space="preserve">The intensity of this moral shift drives the wish for popular adulation, a desire that is not an idle fancy but has become necessary to her.  While there is no suggestion of any physical relationship, she happily consorts with the idle rich in an environment notorious for lax </w:t>
      </w:r>
      <w:r w:rsidR="00F84C08" w:rsidRPr="009F78AC">
        <w:rPr>
          <w:rFonts w:ascii="Times New Roman" w:hAnsi="Times New Roman" w:cs="Times New Roman"/>
          <w:sz w:val="24"/>
          <w:szCs w:val="24"/>
        </w:rPr>
        <w:t>conduct</w:t>
      </w:r>
      <w:r w:rsidRPr="009F78AC">
        <w:rPr>
          <w:rFonts w:ascii="Times New Roman" w:hAnsi="Times New Roman" w:cs="Times New Roman"/>
          <w:sz w:val="24"/>
          <w:szCs w:val="24"/>
        </w:rPr>
        <w:t>.  Ellen’s decline</w:t>
      </w:r>
      <w:r w:rsidRPr="00E16A3F">
        <w:rPr>
          <w:rFonts w:ascii="Times New Roman" w:hAnsi="Times New Roman" w:cs="Times New Roman"/>
          <w:sz w:val="24"/>
          <w:szCs w:val="24"/>
        </w:rPr>
        <w:t xml:space="preserve"> leads to increasing deception.  Beginning when she kept the modelling jobs unknown to her father and Richard Markham by the time of the theatrical engagements it has developed into ‘a system of duplicity’.</w:t>
      </w:r>
      <w:r w:rsidRPr="00E16A3F">
        <w:rPr>
          <w:rStyle w:val="FootnoteReference"/>
          <w:rFonts w:ascii="Times New Roman" w:hAnsi="Times New Roman"/>
          <w:sz w:val="24"/>
          <w:szCs w:val="24"/>
        </w:rPr>
        <w:footnoteReference w:id="517"/>
      </w:r>
      <w:r w:rsidRPr="00E16A3F">
        <w:rPr>
          <w:rFonts w:ascii="Times New Roman" w:hAnsi="Times New Roman" w:cs="Times New Roman"/>
          <w:sz w:val="24"/>
          <w:szCs w:val="24"/>
        </w:rPr>
        <w:t xml:space="preserve">  Scenes where Reynolds rehabilitates Ellen through displays of motherly devotion are presented in surroundings that suggest the lingering stain.  This is noticeable </w:t>
      </w:r>
      <w:r w:rsidRPr="00E16A3F">
        <w:rPr>
          <w:rFonts w:ascii="Times New Roman" w:hAnsi="Times New Roman" w:cs="Times New Roman"/>
          <w:bCs/>
          <w:sz w:val="24"/>
          <w:szCs w:val="24"/>
        </w:rPr>
        <w:t xml:space="preserve">when she dotes on baby George while taking a bath before the prying eyes of Reverend Reginald Tracy. </w:t>
      </w:r>
      <w:r w:rsidRPr="00E16A3F">
        <w:rPr>
          <w:rFonts w:ascii="Times New Roman" w:eastAsia="Times New Roman" w:hAnsi="Times New Roman" w:cs="Times New Roman"/>
          <w:sz w:val="24"/>
          <w:szCs w:val="24"/>
        </w:rPr>
        <w:t xml:space="preserve"> The scene is streaked through with well-used tropes that tie her to the </w:t>
      </w:r>
      <w:r w:rsidRPr="00E16A3F">
        <w:rPr>
          <w:rFonts w:ascii="Times New Roman" w:hAnsi="Times New Roman" w:cs="Times New Roman"/>
          <w:sz w:val="24"/>
          <w:szCs w:val="24"/>
        </w:rPr>
        <w:t>conventional duties of motherhood</w:t>
      </w:r>
      <w:r w:rsidRPr="00E16A3F">
        <w:rPr>
          <w:rFonts w:ascii="Times New Roman" w:eastAsia="Times New Roman" w:hAnsi="Times New Roman" w:cs="Times New Roman"/>
          <w:sz w:val="24"/>
          <w:szCs w:val="24"/>
        </w:rPr>
        <w:t>, ‘speaking fondly’ and ‘warbling cheerfully’ to her child.</w:t>
      </w:r>
      <w:r w:rsidRPr="00E16A3F">
        <w:rPr>
          <w:rStyle w:val="FootnoteReference"/>
          <w:rFonts w:ascii="Times New Roman" w:hAnsi="Times New Roman"/>
          <w:sz w:val="24"/>
          <w:szCs w:val="24"/>
        </w:rPr>
        <w:footnoteReference w:id="518"/>
      </w:r>
      <w:r w:rsidRPr="00E16A3F">
        <w:rPr>
          <w:rFonts w:ascii="Times New Roman" w:eastAsia="Times New Roman" w:hAnsi="Times New Roman" w:cs="Times New Roman"/>
          <w:sz w:val="24"/>
          <w:szCs w:val="24"/>
        </w:rPr>
        <w:t xml:space="preserve">  On the other hand, her questionable sensuality is implied by the way she constantly avails herself of the ‘luxury of the bathing-room’ and the intense pleasure she gets from the heat of the water.  An additional note of exoticism is contained in the references to the cheval mirror, her ‘bewitching </w:t>
      </w:r>
      <w:r w:rsidRPr="00E16A3F">
        <w:rPr>
          <w:rFonts w:ascii="Times New Roman" w:eastAsia="Times New Roman" w:hAnsi="Times New Roman" w:cs="Times New Roman"/>
          <w:i/>
          <w:sz w:val="24"/>
          <w:szCs w:val="24"/>
        </w:rPr>
        <w:t>negligée</w:t>
      </w:r>
      <w:r w:rsidRPr="00E16A3F">
        <w:rPr>
          <w:rFonts w:ascii="Times New Roman" w:eastAsia="Times New Roman" w:hAnsi="Times New Roman" w:cs="Times New Roman"/>
          <w:sz w:val="24"/>
          <w:szCs w:val="24"/>
        </w:rPr>
        <w:t>’ and ‘buff morocco slippers’.</w:t>
      </w:r>
      <w:r w:rsidRPr="00E16A3F">
        <w:rPr>
          <w:rStyle w:val="FootnoteReference"/>
          <w:rFonts w:ascii="Times New Roman" w:hAnsi="Times New Roman"/>
          <w:sz w:val="24"/>
          <w:szCs w:val="24"/>
        </w:rPr>
        <w:footnoteReference w:id="519"/>
      </w:r>
      <w:r w:rsidRPr="00E16A3F">
        <w:rPr>
          <w:rFonts w:ascii="Times New Roman" w:eastAsia="Times New Roman" w:hAnsi="Times New Roman" w:cs="Times New Roman"/>
          <w:sz w:val="24"/>
          <w:szCs w:val="24"/>
        </w:rPr>
        <w:t xml:space="preserve">  Overall, the description is as evocative of an Eastern harem as of a London household.</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 xml:space="preserve">What is implicit in the portrayal of Ellen Monroe emerges openly with Julia Barnet in </w:t>
      </w:r>
      <w:r w:rsidRPr="00E16A3F">
        <w:rPr>
          <w:rFonts w:ascii="Times New Roman" w:hAnsi="Times New Roman" w:cs="Times New Roman"/>
          <w:i/>
          <w:iCs/>
          <w:sz w:val="24"/>
          <w:szCs w:val="24"/>
        </w:rPr>
        <w:t>The Seamstress</w:t>
      </w:r>
      <w:r w:rsidRPr="00E16A3F">
        <w:rPr>
          <w:rFonts w:ascii="Times New Roman" w:hAnsi="Times New Roman" w:cs="Times New Roman"/>
          <w:sz w:val="24"/>
          <w:szCs w:val="24"/>
        </w:rPr>
        <w:t xml:space="preserve"> (1850).  There are clear differences between the two.  Only by the strictest contemporary mores would Ellen be termed a prostitute, whereas Julia’s sexual activity for financial reward is central to her protest against injustice.  Reynolds’s disapproval arises </w:t>
      </w:r>
      <w:r w:rsidRPr="00E16A3F">
        <w:rPr>
          <w:rFonts w:ascii="Times New Roman" w:hAnsi="Times New Roman" w:cs="Times New Roman"/>
          <w:sz w:val="24"/>
          <w:szCs w:val="24"/>
        </w:rPr>
        <w:lastRenderedPageBreak/>
        <w:t>despite Julia’s career being the result of privation and ill-treatment when toiling as a seamstress.  In the early stages of the novel he allows her many positive qualities, seen in the two lengthy meetings with Virginia Mordaunt at Mrs Jackson’s lodging house.</w:t>
      </w:r>
      <w:r w:rsidRPr="00E16A3F">
        <w:rPr>
          <w:rStyle w:val="FootnoteReference"/>
          <w:rFonts w:ascii="Times New Roman" w:hAnsi="Times New Roman"/>
          <w:sz w:val="24"/>
          <w:szCs w:val="24"/>
        </w:rPr>
        <w:footnoteReference w:id="520"/>
      </w:r>
      <w:r w:rsidRPr="00E16A3F">
        <w:rPr>
          <w:rFonts w:ascii="Times New Roman" w:hAnsi="Times New Roman" w:cs="Times New Roman"/>
          <w:sz w:val="24"/>
          <w:szCs w:val="24"/>
        </w:rPr>
        <w:t xml:space="preserve">  It is during these, particularly the first, that Reynolds constructs the most interesting aspects of her dissent.  Julia has trodden the path being followed by Virginia and faced the same obstacles.  She possesses a sceptical awareness of how the labour market operates, an informed resentment that led her to escape the misery it imposed.  Virginia may be the novel’s heroine for retaining her spotless character in the face of unremitting oppression, but it is Julia who articulates social problems most profoundly.  Her knowledge concerning the system of exploitation is perhaps greater than that of any other figure among Reynolds’s industrious classes, a powerful confirmation of his argument for the strength of female intellect.  Julia is able to apply her perspective more generally, advising Virginia not to become a governess, warning how ‘the market is clogged with goods of that kind’, stripping away the surface gentility of the occupation and pointing to the underlying reality as being ‘the most horrible slavery’.</w:t>
      </w:r>
      <w:r w:rsidRPr="00E16A3F">
        <w:rPr>
          <w:rStyle w:val="FootnoteReference"/>
          <w:rFonts w:ascii="Times New Roman" w:hAnsi="Times New Roman"/>
          <w:sz w:val="24"/>
          <w:szCs w:val="24"/>
        </w:rPr>
        <w:footnoteReference w:id="521"/>
      </w:r>
      <w:r w:rsidRPr="00E16A3F">
        <w:rPr>
          <w:rFonts w:ascii="Times New Roman" w:hAnsi="Times New Roman" w:cs="Times New Roman"/>
          <w:sz w:val="24"/>
          <w:szCs w:val="24"/>
        </w:rPr>
        <w:t xml:space="preserve">  She bluntly states that the worker’s labour is a commodity paid for at the cheapest rate that can be imposed by the employer in line with the laws of supply and demand.  Virginia is aware of exploitation but it is Julia who explains the role of middle-women, existing as parasites upon the productive process and sharpening its competitiveness by supplying needlewomen at the lowest wages.  She describes the double-edged nature of their position as agents of the system while being trapped by the demands of large fashion houses who insist they inflict ever harsher terms.  The result is a pyramid of exploitation which grinds down the seamstresses who lie at its base.  In this role as social commentator, Julia functions as a mouthpiece for Reynolds, articulating the arguments presented in his journals at the time of the novel’s serialization.</w:t>
      </w:r>
      <w:r w:rsidRPr="00E16A3F">
        <w:rPr>
          <w:rStyle w:val="FootnoteReference"/>
          <w:rFonts w:ascii="Times New Roman" w:hAnsi="Times New Roman"/>
          <w:sz w:val="24"/>
          <w:szCs w:val="24"/>
        </w:rPr>
        <w:footnoteReference w:id="522"/>
      </w:r>
      <w:r w:rsidRPr="00E16A3F">
        <w:rPr>
          <w:rFonts w:ascii="Times New Roman" w:hAnsi="Times New Roman" w:cs="Times New Roman"/>
          <w:sz w:val="24"/>
          <w:szCs w:val="24"/>
        </w:rPr>
        <w:t xml:space="preserve">  In addition to this intellectual element of her protest, Julia has proved highly adaptable in the battle for survival, getting work directly from a forewoman in the West End to attain higher wages, skilfully holding the trade at arm’s length to provide both a respectable façade and financial back-up for her prostitution.  She also </w:t>
      </w:r>
      <w:r w:rsidRPr="00E16A3F">
        <w:rPr>
          <w:rFonts w:ascii="Times New Roman" w:hAnsi="Times New Roman" w:cs="Times New Roman"/>
          <w:sz w:val="24"/>
          <w:szCs w:val="24"/>
        </w:rPr>
        <w:lastRenderedPageBreak/>
        <w:t>displays strong camaraderie in wishing to support the oppressed, generously sharing her arrangement with Virginia, even though this means trusting a relative stranger to keep it secret.</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Ian Haywood has written it is ‘characteristic of Reynolds’s literary audacity that a prostitute should be the most radical character in the story’.</w:t>
      </w:r>
      <w:r w:rsidRPr="00E16A3F">
        <w:rPr>
          <w:rStyle w:val="FootnoteReference"/>
          <w:rFonts w:ascii="Times New Roman" w:hAnsi="Times New Roman"/>
          <w:sz w:val="24"/>
          <w:szCs w:val="24"/>
        </w:rPr>
        <w:footnoteReference w:id="523"/>
      </w:r>
      <w:r w:rsidRPr="00E16A3F">
        <w:rPr>
          <w:rFonts w:ascii="Times New Roman" w:hAnsi="Times New Roman" w:cs="Times New Roman"/>
          <w:sz w:val="24"/>
          <w:szCs w:val="24"/>
        </w:rPr>
        <w:t xml:space="preserve">  This is true, but it would have been more audacious had he not used her protest negatively to suggest that informed class perceptions by themselves are insufficient to lead to constructive action.  For Reynolds, Julia’s independence is irreparably damaged by a perspective that sees quick reward gained by immoral means as better than the acquirements of honest struggle, something apparent even from the first meeting with Virginia:</w:t>
      </w:r>
    </w:p>
    <w:p w:rsidR="00BA19FC" w:rsidRPr="00E16A3F" w:rsidRDefault="00BA19FC" w:rsidP="00BA19FC">
      <w:pPr>
        <w:ind w:left="720"/>
        <w:rPr>
          <w:rFonts w:ascii="Times New Roman" w:hAnsi="Times New Roman" w:cs="Times New Roman"/>
          <w:sz w:val="24"/>
          <w:szCs w:val="24"/>
        </w:rPr>
      </w:pPr>
      <w:r w:rsidRPr="00E16A3F">
        <w:rPr>
          <w:rFonts w:ascii="Times New Roman" w:hAnsi="Times New Roman" w:cs="Times New Roman"/>
          <w:sz w:val="24"/>
          <w:szCs w:val="24"/>
        </w:rPr>
        <w:t>Good-natured and generous-hearted she naturally was: but the mode of life which she had adopted, rendered her not only callous to virtuous principles, but even prompted her to look with contempt upon those who made them their rule of conduct.</w:t>
      </w:r>
      <w:r w:rsidRPr="00E16A3F">
        <w:rPr>
          <w:rStyle w:val="FootnoteReference"/>
          <w:rFonts w:ascii="Times New Roman" w:hAnsi="Times New Roman"/>
          <w:sz w:val="24"/>
          <w:szCs w:val="24"/>
        </w:rPr>
        <w:footnoteReference w:id="524"/>
      </w:r>
    </w:p>
    <w:p w:rsidR="00BA19FC" w:rsidRPr="00E16A3F" w:rsidRDefault="00BA19FC" w:rsidP="00BA19FC">
      <w:pPr>
        <w:spacing w:after="120" w:line="360" w:lineRule="auto"/>
        <w:rPr>
          <w:rFonts w:ascii="Times New Roman" w:hAnsi="Times New Roman" w:cs="Times New Roman"/>
          <w:sz w:val="24"/>
          <w:szCs w:val="24"/>
        </w:rPr>
      </w:pPr>
      <w:r w:rsidRPr="00E16A3F">
        <w:rPr>
          <w:rFonts w:ascii="Times New Roman" w:hAnsi="Times New Roman" w:cs="Times New Roman"/>
          <w:sz w:val="24"/>
          <w:szCs w:val="24"/>
        </w:rPr>
        <w:t xml:space="preserve">While superficially her good nature appears unaffected, she has been corrupted by the rejection of ‘virtuous principles’.  The livelihood chosen has warped her disposition with feelings of contempt for those she regards as obeying rules laid down by their oppressors, extending even to the sympathy for Virginia which is tainted by disdain for her innocence and purity.  Julia boastfully throws open a cupboard </w:t>
      </w:r>
      <w:r w:rsidRPr="009F78AC">
        <w:rPr>
          <w:rFonts w:ascii="Times New Roman" w:hAnsi="Times New Roman" w:cs="Times New Roman"/>
          <w:sz w:val="24"/>
          <w:szCs w:val="24"/>
        </w:rPr>
        <w:t>and large band-box to display her finery.</w:t>
      </w:r>
      <w:r w:rsidRPr="00E16A3F">
        <w:rPr>
          <w:rFonts w:ascii="Times New Roman" w:hAnsi="Times New Roman" w:cs="Times New Roman"/>
          <w:sz w:val="24"/>
          <w:szCs w:val="24"/>
        </w:rPr>
        <w:t xml:space="preserve">  She views these possessions with ‘joyous triumph’ since they largely determine her sense of happiness, with the claim of being able to dress as well as any ‘lady of quality’ suggesting how she measures social worth.</w:t>
      </w:r>
      <w:r w:rsidRPr="00E16A3F">
        <w:rPr>
          <w:rStyle w:val="FootnoteReference"/>
          <w:rFonts w:ascii="Times New Roman" w:hAnsi="Times New Roman"/>
          <w:sz w:val="24"/>
          <w:szCs w:val="24"/>
        </w:rPr>
        <w:footnoteReference w:id="525"/>
      </w:r>
      <w:r w:rsidRPr="00E16A3F">
        <w:rPr>
          <w:rFonts w:ascii="Times New Roman" w:hAnsi="Times New Roman" w:cs="Times New Roman"/>
          <w:sz w:val="24"/>
          <w:szCs w:val="24"/>
        </w:rPr>
        <w:t xml:space="preserve">  Reynolds rejects the methods that allow a level of active control in her life.  As with Ellen Monroe, success leads to scorn for honest toil expressed by her admission: ‘The truth is, I hate work—I can’t bear it’.</w:t>
      </w:r>
      <w:r w:rsidRPr="00E16A3F">
        <w:rPr>
          <w:rStyle w:val="FootnoteReference"/>
          <w:rFonts w:ascii="Times New Roman" w:hAnsi="Times New Roman"/>
          <w:sz w:val="24"/>
          <w:szCs w:val="24"/>
        </w:rPr>
        <w:t xml:space="preserve"> </w:t>
      </w:r>
      <w:r w:rsidRPr="00E16A3F">
        <w:rPr>
          <w:rStyle w:val="FootnoteReference"/>
          <w:rFonts w:ascii="Times New Roman" w:hAnsi="Times New Roman"/>
          <w:sz w:val="24"/>
          <w:szCs w:val="24"/>
        </w:rPr>
        <w:footnoteReference w:id="526"/>
      </w:r>
      <w:r w:rsidRPr="00E16A3F">
        <w:rPr>
          <w:rFonts w:ascii="Times New Roman" w:hAnsi="Times New Roman" w:cs="Times New Roman"/>
          <w:sz w:val="24"/>
          <w:szCs w:val="24"/>
        </w:rPr>
        <w:t xml:space="preserve">  Unlike Ellen, however, her vanity has developed to such an extent that there can be no return to respectability.</w:t>
      </w:r>
    </w:p>
    <w:p w:rsidR="00BA19FC" w:rsidRPr="00E16A3F" w:rsidRDefault="00BA19FC" w:rsidP="00BA19FC">
      <w:pPr>
        <w:spacing w:after="120" w:line="360" w:lineRule="auto"/>
        <w:rPr>
          <w:rFonts w:ascii="Times New Roman" w:hAnsi="Times New Roman" w:cs="Times New Roman"/>
          <w:bCs/>
          <w:sz w:val="24"/>
          <w:szCs w:val="24"/>
        </w:rPr>
      </w:pPr>
      <w:r w:rsidRPr="00E16A3F">
        <w:rPr>
          <w:rFonts w:ascii="Times New Roman" w:hAnsi="Times New Roman" w:cs="Times New Roman"/>
          <w:sz w:val="24"/>
          <w:szCs w:val="24"/>
        </w:rPr>
        <w:tab/>
        <w:t xml:space="preserve">In the second meeting, Reynolds develops the weaknesses of Julia’s dissent more fully.  The opening which accentuates </w:t>
      </w:r>
      <w:r w:rsidRPr="00E16A3F">
        <w:rPr>
          <w:rFonts w:ascii="Times New Roman" w:hAnsi="Times New Roman" w:cs="Times New Roman"/>
          <w:bCs/>
          <w:sz w:val="24"/>
          <w:szCs w:val="24"/>
        </w:rPr>
        <w:t>her physical disparity with Virginia</w:t>
      </w:r>
      <w:r w:rsidRPr="00E16A3F">
        <w:rPr>
          <w:rFonts w:ascii="Times New Roman" w:hAnsi="Times New Roman" w:cs="Times New Roman"/>
          <w:sz w:val="24"/>
          <w:szCs w:val="24"/>
        </w:rPr>
        <w:t xml:space="preserve"> sets them within his customary moral framework:</w:t>
      </w:r>
    </w:p>
    <w:p w:rsidR="00BA19FC" w:rsidRPr="00E16A3F" w:rsidRDefault="00BA19FC" w:rsidP="00BA19FC">
      <w:pPr>
        <w:ind w:left="720"/>
        <w:rPr>
          <w:rFonts w:ascii="Times New Roman" w:hAnsi="Times New Roman" w:cs="Times New Roman"/>
          <w:bCs/>
          <w:sz w:val="24"/>
          <w:szCs w:val="24"/>
        </w:rPr>
      </w:pPr>
      <w:r w:rsidRPr="00E16A3F">
        <w:rPr>
          <w:rFonts w:ascii="Times New Roman" w:hAnsi="Times New Roman" w:cs="Times New Roman"/>
          <w:bCs/>
          <w:sz w:val="24"/>
          <w:szCs w:val="24"/>
        </w:rPr>
        <w:t>The one was the personification of a luxurious sensuousness: the other was the impersonation of the tenderest sensibilities;</w:t>
      </w:r>
      <w:r w:rsidRPr="00E16A3F">
        <w:rPr>
          <w:rFonts w:ascii="Times New Roman" w:hAnsi="Times New Roman" w:cs="Times New Roman"/>
          <w:sz w:val="24"/>
          <w:szCs w:val="24"/>
        </w:rPr>
        <w:t>—</w:t>
      </w:r>
      <w:r w:rsidRPr="00E16A3F">
        <w:rPr>
          <w:rFonts w:ascii="Times New Roman" w:hAnsi="Times New Roman" w:cs="Times New Roman"/>
          <w:bCs/>
          <w:sz w:val="24"/>
          <w:szCs w:val="24"/>
        </w:rPr>
        <w:t xml:space="preserve">the one was a glowing, ardent, impassioned Hebe-like creature, whom the libertine would covet as a mistress: the </w:t>
      </w:r>
      <w:r w:rsidRPr="00E16A3F">
        <w:rPr>
          <w:rFonts w:ascii="Times New Roman" w:hAnsi="Times New Roman" w:cs="Times New Roman"/>
          <w:bCs/>
          <w:sz w:val="24"/>
          <w:szCs w:val="24"/>
        </w:rPr>
        <w:lastRenderedPageBreak/>
        <w:t>other was a retiring, bashful, ingenuous, and Sylphide being, whom the true admirer of woman’s angelic qualities would glory to make his wife:</w:t>
      </w:r>
      <w:r w:rsidRPr="00E16A3F">
        <w:rPr>
          <w:rFonts w:ascii="Times New Roman" w:hAnsi="Times New Roman" w:cs="Times New Roman"/>
          <w:sz w:val="24"/>
          <w:szCs w:val="24"/>
        </w:rPr>
        <w:t>—</w:t>
      </w:r>
      <w:r w:rsidRPr="00E16A3F">
        <w:rPr>
          <w:rFonts w:ascii="Times New Roman" w:hAnsi="Times New Roman" w:cs="Times New Roman"/>
          <w:bCs/>
          <w:sz w:val="24"/>
          <w:szCs w:val="24"/>
        </w:rPr>
        <w:t>the one was a true descendant of Eve after the fall, when the diadem of innocence and immortality had been dashed from the brow of the mother of the human race, leaving her the only charm of her external graces: but the other resembled Eve while yet in the garden of Eden and before the forbidden fruit had stained the virginal purity of her lips.</w:t>
      </w:r>
      <w:r w:rsidRPr="00E16A3F">
        <w:rPr>
          <w:rStyle w:val="FootnoteReference"/>
          <w:rFonts w:ascii="Times New Roman" w:hAnsi="Times New Roman"/>
          <w:sz w:val="24"/>
          <w:szCs w:val="24"/>
        </w:rPr>
        <w:footnoteReference w:id="527"/>
      </w:r>
    </w:p>
    <w:p w:rsidR="00BA19FC" w:rsidRPr="00E16A3F" w:rsidRDefault="00BA19FC" w:rsidP="00BA19FC">
      <w:pPr>
        <w:spacing w:after="120" w:line="360" w:lineRule="auto"/>
        <w:rPr>
          <w:rFonts w:ascii="Times New Roman" w:hAnsi="Times New Roman" w:cs="Times New Roman"/>
          <w:sz w:val="24"/>
          <w:szCs w:val="24"/>
        </w:rPr>
      </w:pPr>
      <w:r w:rsidRPr="00E16A3F">
        <w:rPr>
          <w:rFonts w:ascii="Times New Roman" w:hAnsi="Times New Roman" w:cs="Times New Roman"/>
          <w:bCs/>
          <w:sz w:val="24"/>
          <w:szCs w:val="24"/>
        </w:rPr>
        <w:t xml:space="preserve">There are clear implications in this comparison between mistress and wife.  The former offers passion and excitement but is inferior to the marital state which encompasses the most sublime emotions.  Previously, Reynolds indicated that Julia’s protest was the result of suffering.  Here the picture is more uncertain with strong suggestions that its form has largely been determined by her character, </w:t>
      </w:r>
      <w:r w:rsidRPr="00E16A3F">
        <w:rPr>
          <w:rFonts w:ascii="Times New Roman" w:hAnsi="Times New Roman" w:cs="Times New Roman"/>
          <w:sz w:val="24"/>
          <w:szCs w:val="24"/>
        </w:rPr>
        <w:t xml:space="preserve">particularly the impulsive desire for sensuous experiences.  Its degraded nature </w:t>
      </w:r>
      <w:r w:rsidRPr="00E16A3F">
        <w:rPr>
          <w:rFonts w:ascii="Times New Roman" w:hAnsi="Times New Roman" w:cs="Times New Roman"/>
          <w:bCs/>
          <w:sz w:val="24"/>
          <w:szCs w:val="24"/>
        </w:rPr>
        <w:t xml:space="preserve">is highlighted by the religious parallel of Eve and the fall of womanhood, the result of aspiring after ‘forbidden fruit’.  Virginia is born in innocence as Eve in Eden, while Julia is a descendant of Eve’s fallen state, her behaviour connected with original sin and disobedience to God’s ordained role for woman.  As the discussion continues, </w:t>
      </w:r>
      <w:r w:rsidRPr="00E16A3F">
        <w:rPr>
          <w:rFonts w:ascii="Times New Roman" w:hAnsi="Times New Roman" w:cs="Times New Roman"/>
          <w:sz w:val="24"/>
          <w:szCs w:val="24"/>
        </w:rPr>
        <w:t xml:space="preserve">Julia claims to have been a passive victim of oppression who once contemplated suicide and whose initial </w:t>
      </w:r>
      <w:r w:rsidRPr="009F78AC">
        <w:rPr>
          <w:rFonts w:ascii="Times New Roman" w:hAnsi="Times New Roman" w:cs="Times New Roman"/>
          <w:sz w:val="24"/>
          <w:szCs w:val="24"/>
        </w:rPr>
        <w:t xml:space="preserve">response </w:t>
      </w:r>
      <w:r w:rsidR="00F96EDD" w:rsidRPr="009F78AC">
        <w:rPr>
          <w:rFonts w:ascii="Times New Roman" w:hAnsi="Times New Roman" w:cs="Times New Roman"/>
          <w:sz w:val="24"/>
          <w:szCs w:val="24"/>
        </w:rPr>
        <w:t>was along</w:t>
      </w:r>
      <w:r w:rsidRPr="009F78AC">
        <w:rPr>
          <w:rFonts w:ascii="Times New Roman" w:hAnsi="Times New Roman" w:cs="Times New Roman"/>
          <w:sz w:val="24"/>
          <w:szCs w:val="24"/>
        </w:rPr>
        <w:t xml:space="preserve"> a different</w:t>
      </w:r>
      <w:r w:rsidRPr="00E16A3F">
        <w:rPr>
          <w:rFonts w:ascii="Times New Roman" w:hAnsi="Times New Roman" w:cs="Times New Roman"/>
          <w:sz w:val="24"/>
          <w:szCs w:val="24"/>
        </w:rPr>
        <w:t xml:space="preserve"> route:</w:t>
      </w:r>
    </w:p>
    <w:p w:rsidR="00BA19FC" w:rsidRPr="00E16A3F" w:rsidRDefault="00BA19FC" w:rsidP="00BA19FC">
      <w:pPr>
        <w:spacing w:after="240" w:line="240" w:lineRule="auto"/>
        <w:ind w:left="720"/>
        <w:rPr>
          <w:rFonts w:ascii="Times New Roman" w:hAnsi="Times New Roman" w:cs="Times New Roman"/>
          <w:sz w:val="24"/>
          <w:szCs w:val="24"/>
        </w:rPr>
      </w:pPr>
      <w:r w:rsidRPr="00E16A3F">
        <w:rPr>
          <w:rFonts w:ascii="Times New Roman" w:hAnsi="Times New Roman" w:cs="Times New Roman"/>
          <w:sz w:val="24"/>
          <w:szCs w:val="24"/>
        </w:rPr>
        <w:t>I stretched out my hand in the street to implore such alms as God might send me through some charitable person.  But the hand that was outstretched in the hope of receiving the pittance of benevolence was suddenly touched by the gold of the tempter.</w:t>
      </w:r>
      <w:r w:rsidRPr="00E16A3F">
        <w:rPr>
          <w:rStyle w:val="FootnoteReference"/>
          <w:rFonts w:ascii="Times New Roman" w:hAnsi="Times New Roman"/>
          <w:sz w:val="24"/>
          <w:szCs w:val="24"/>
        </w:rPr>
        <w:footnoteReference w:id="528"/>
      </w:r>
    </w:p>
    <w:p w:rsidR="00BA19FC" w:rsidRPr="00E16A3F" w:rsidRDefault="00BA19FC" w:rsidP="00BA19FC">
      <w:pPr>
        <w:spacing w:after="120" w:line="360" w:lineRule="auto"/>
        <w:rPr>
          <w:rFonts w:ascii="Times New Roman" w:hAnsi="Times New Roman" w:cs="Times New Roman"/>
          <w:sz w:val="24"/>
          <w:szCs w:val="24"/>
        </w:rPr>
      </w:pPr>
      <w:r w:rsidRPr="00E16A3F">
        <w:rPr>
          <w:rFonts w:ascii="Times New Roman" w:hAnsi="Times New Roman" w:cs="Times New Roman"/>
          <w:sz w:val="24"/>
          <w:szCs w:val="24"/>
        </w:rPr>
        <w:t>Desperation reduced her to public begging and conventional appeals to charity.  She took society’s rejection as a sign that providence forsook her and so patient struggle was exchanged for the embrace of prostitution.  This has provided a position of material independence from which she looks scornfully upon philanthropic gestures and the ‘pittance’ they provide.  Julia condemns those who run the clothing trade and the purchasers of its wares, regarding all as complicit in the suffering and degradation of the seamstresses:</w:t>
      </w:r>
    </w:p>
    <w:p w:rsidR="00BA19FC" w:rsidRPr="00E16A3F" w:rsidRDefault="00BA19FC" w:rsidP="00BA19FC">
      <w:pPr>
        <w:spacing w:after="240" w:line="240" w:lineRule="auto"/>
        <w:ind w:left="720"/>
        <w:rPr>
          <w:rFonts w:ascii="Times New Roman" w:hAnsi="Times New Roman" w:cs="Times New Roman"/>
          <w:sz w:val="24"/>
          <w:szCs w:val="24"/>
        </w:rPr>
      </w:pPr>
      <w:r w:rsidRPr="00E16A3F">
        <w:rPr>
          <w:rFonts w:ascii="Times New Roman" w:hAnsi="Times New Roman" w:cs="Times New Roman"/>
          <w:sz w:val="24"/>
          <w:szCs w:val="24"/>
        </w:rPr>
        <w:t>Let those who blame me, act justly and blame the system of society. I am one of its victims—not one of its modellers. The modellers of society are the rich, the wealthy and the indolent great;—and the poor miserable, starving workers are the victims.</w:t>
      </w:r>
      <w:r w:rsidRPr="00E16A3F">
        <w:rPr>
          <w:rStyle w:val="FootnoteReference"/>
          <w:rFonts w:ascii="Times New Roman" w:hAnsi="Times New Roman"/>
          <w:sz w:val="24"/>
          <w:szCs w:val="24"/>
        </w:rPr>
        <w:footnoteReference w:id="529"/>
      </w:r>
    </w:p>
    <w:p w:rsidR="00BA19FC" w:rsidRPr="00E16A3F" w:rsidRDefault="00BA19FC" w:rsidP="00BA19FC">
      <w:pPr>
        <w:spacing w:after="120" w:line="360" w:lineRule="auto"/>
        <w:rPr>
          <w:rFonts w:ascii="Times New Roman" w:hAnsi="Times New Roman" w:cs="Times New Roman"/>
          <w:sz w:val="24"/>
          <w:szCs w:val="24"/>
        </w:rPr>
      </w:pPr>
      <w:r w:rsidRPr="00E16A3F">
        <w:rPr>
          <w:rFonts w:ascii="Times New Roman" w:hAnsi="Times New Roman" w:cs="Times New Roman"/>
          <w:sz w:val="24"/>
          <w:szCs w:val="24"/>
        </w:rPr>
        <w:t xml:space="preserve">Knowledge of how the system works sees deep bitterness at the unfeeling enjoyment of luxury experienced by the upper classes: ‘say to yourself that the gorgeous robe and elegant dress of every high-born lady […] is stained by the life-blood and infected by the pollution of </w:t>
      </w:r>
      <w:r w:rsidRPr="00E16A3F">
        <w:rPr>
          <w:rFonts w:ascii="Times New Roman" w:hAnsi="Times New Roman" w:cs="Times New Roman"/>
          <w:sz w:val="24"/>
          <w:szCs w:val="24"/>
        </w:rPr>
        <w:lastRenderedPageBreak/>
        <w:t>the poor seamstresses who made them all!’.</w:t>
      </w:r>
      <w:r w:rsidRPr="00E16A3F">
        <w:rPr>
          <w:rStyle w:val="FootnoteReference"/>
          <w:rFonts w:ascii="Times New Roman" w:hAnsi="Times New Roman"/>
          <w:sz w:val="24"/>
          <w:szCs w:val="24"/>
        </w:rPr>
        <w:footnoteReference w:id="530"/>
      </w:r>
      <w:r w:rsidRPr="00E16A3F">
        <w:rPr>
          <w:rFonts w:ascii="Times New Roman" w:hAnsi="Times New Roman" w:cs="Times New Roman"/>
          <w:sz w:val="24"/>
          <w:szCs w:val="24"/>
        </w:rPr>
        <w:t xml:space="preserve">  Her words charge the pleasure of the wealthy as arising directly from the ill-health, disease and </w:t>
      </w:r>
      <w:r w:rsidRPr="00F8153E">
        <w:rPr>
          <w:rFonts w:ascii="Times New Roman" w:hAnsi="Times New Roman" w:cs="Times New Roman"/>
          <w:sz w:val="24"/>
          <w:szCs w:val="24"/>
        </w:rPr>
        <w:t>death of needlewomen.</w:t>
      </w:r>
      <w:r w:rsidRPr="00E16A3F">
        <w:rPr>
          <w:rFonts w:ascii="Times New Roman" w:hAnsi="Times New Roman" w:cs="Times New Roman"/>
          <w:sz w:val="24"/>
          <w:szCs w:val="24"/>
        </w:rPr>
        <w:t xml:space="preserve"> </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Amidst the social criticism, however, Julia repeatedly displays dangerous shortcomings.  Although her displays of generosity have the air of grand gestures, they are superficial because any better emotions they contain exist only fleetingly.  Consequently, when Virginia recounts what she believes to be the death of her mother, although Julia is ‘more deeply moved than ever she had been before’ it does not deflect her main aim which is to draw her friend into a dissolute career.</w:t>
      </w:r>
      <w:r w:rsidRPr="00E16A3F">
        <w:rPr>
          <w:rStyle w:val="FootnoteReference"/>
          <w:rFonts w:ascii="Times New Roman" w:hAnsi="Times New Roman"/>
          <w:sz w:val="24"/>
          <w:szCs w:val="24"/>
        </w:rPr>
        <w:footnoteReference w:id="531"/>
      </w:r>
      <w:r w:rsidRPr="00E16A3F">
        <w:rPr>
          <w:rFonts w:ascii="Times New Roman" w:hAnsi="Times New Roman" w:cs="Times New Roman"/>
          <w:sz w:val="24"/>
          <w:szCs w:val="24"/>
        </w:rPr>
        <w:t xml:space="preserve">  Throughout the second meeting she becomes a siren voice, using several methods in the endeavour to bring about this fall. There is the attempt to undermine the moral and psychological foundation that Reynolds views as vital for independent respectability when </w:t>
      </w:r>
      <w:r w:rsidRPr="00E16A3F">
        <w:rPr>
          <w:rFonts w:ascii="Times New Roman" w:hAnsi="Times New Roman" w:cs="Times New Roman"/>
          <w:bCs/>
          <w:sz w:val="24"/>
          <w:szCs w:val="24"/>
        </w:rPr>
        <w:t>she ridicules Virginia’s reservations, proclaiming, ‘I have learnt to laugh at shame and ridicule virtue</w:t>
      </w:r>
      <w:r w:rsidRPr="00E16A3F">
        <w:rPr>
          <w:rFonts w:ascii="Times New Roman" w:hAnsi="Times New Roman" w:cs="Times New Roman"/>
          <w:sz w:val="24"/>
          <w:szCs w:val="24"/>
        </w:rPr>
        <w:t>—</w:t>
      </w:r>
      <w:r w:rsidRPr="00E16A3F">
        <w:rPr>
          <w:rFonts w:ascii="Times New Roman" w:hAnsi="Times New Roman" w:cs="Times New Roman"/>
          <w:bCs/>
          <w:sz w:val="24"/>
          <w:szCs w:val="24"/>
        </w:rPr>
        <w:t>aye, and mistrust religion’.</w:t>
      </w:r>
      <w:r w:rsidRPr="00E16A3F">
        <w:rPr>
          <w:rStyle w:val="FootnoteReference"/>
          <w:rFonts w:ascii="Times New Roman" w:hAnsi="Times New Roman"/>
          <w:bCs/>
          <w:sz w:val="24"/>
          <w:szCs w:val="24"/>
        </w:rPr>
        <w:footnoteReference w:id="532"/>
      </w:r>
      <w:r w:rsidRPr="00E16A3F">
        <w:rPr>
          <w:rFonts w:ascii="Times New Roman" w:hAnsi="Times New Roman" w:cs="Times New Roman"/>
          <w:bCs/>
          <w:sz w:val="24"/>
          <w:szCs w:val="24"/>
        </w:rPr>
        <w:t xml:space="preserve">  Such </w:t>
      </w:r>
      <w:r w:rsidRPr="00E16A3F">
        <w:rPr>
          <w:rFonts w:ascii="Times New Roman" w:hAnsi="Times New Roman" w:cs="Times New Roman"/>
          <w:sz w:val="24"/>
          <w:szCs w:val="24"/>
        </w:rPr>
        <w:t xml:space="preserve">open statements that virtue can be lost without any sense of shame make all forms of activity acceptable, a degraded argument that effectively undermines her protest.  When referring to the fate of seamstresses who make dresses for the wealthy the image is introduced by the phrase ‘say to yourself’, an invitation for Virginia to feel anger at her plight and encourage thoughts that she has the right to abandon suffering by adopting any course she chooses.  </w:t>
      </w:r>
      <w:r w:rsidRPr="00E16A3F">
        <w:rPr>
          <w:rFonts w:ascii="Times New Roman" w:hAnsi="Times New Roman" w:cs="Times New Roman"/>
          <w:bCs/>
          <w:sz w:val="24"/>
          <w:szCs w:val="24"/>
        </w:rPr>
        <w:t xml:space="preserve">There is the constant attempt to lure her with material reward.  The only viable path is for </w:t>
      </w:r>
      <w:r w:rsidRPr="00E16A3F">
        <w:rPr>
          <w:rFonts w:ascii="Times New Roman" w:hAnsi="Times New Roman" w:cs="Times New Roman"/>
          <w:sz w:val="24"/>
          <w:szCs w:val="24"/>
        </w:rPr>
        <w:t>virtue to be sold as a commodity and that survival can be attained only through immoral means: ‘you carry a fortune in your countenance.  But with the needle alone——Oh! No—never—</w:t>
      </w:r>
      <w:r w:rsidRPr="00F8153E">
        <w:rPr>
          <w:rFonts w:ascii="Times New Roman" w:hAnsi="Times New Roman" w:cs="Times New Roman"/>
          <w:sz w:val="24"/>
          <w:szCs w:val="24"/>
        </w:rPr>
        <w:t>never!’.</w:t>
      </w:r>
      <w:r w:rsidRPr="00F8153E">
        <w:rPr>
          <w:rStyle w:val="FootnoteReference"/>
          <w:rFonts w:ascii="Times New Roman" w:hAnsi="Times New Roman"/>
          <w:sz w:val="24"/>
          <w:szCs w:val="24"/>
        </w:rPr>
        <w:footnoteReference w:id="533"/>
      </w:r>
      <w:r w:rsidRPr="00F8153E">
        <w:rPr>
          <w:rFonts w:ascii="Times New Roman" w:hAnsi="Times New Roman" w:cs="Times New Roman"/>
          <w:sz w:val="24"/>
          <w:szCs w:val="24"/>
        </w:rPr>
        <w:t xml:space="preserve">  </w:t>
      </w:r>
      <w:r w:rsidR="004F4F27" w:rsidRPr="00F8153E">
        <w:rPr>
          <w:rFonts w:ascii="Times New Roman" w:hAnsi="Times New Roman" w:cs="Times New Roman"/>
          <w:bCs/>
          <w:sz w:val="24"/>
          <w:szCs w:val="24"/>
        </w:rPr>
        <w:t>Julia</w:t>
      </w:r>
      <w:r w:rsidRPr="00F8153E">
        <w:rPr>
          <w:rFonts w:ascii="Times New Roman" w:hAnsi="Times New Roman" w:cs="Times New Roman"/>
          <w:bCs/>
          <w:sz w:val="24"/>
          <w:szCs w:val="24"/>
        </w:rPr>
        <w:t xml:space="preserve"> </w:t>
      </w:r>
      <w:r w:rsidRPr="00F8153E">
        <w:rPr>
          <w:rFonts w:ascii="Times New Roman" w:hAnsi="Times New Roman" w:cs="Times New Roman"/>
          <w:sz w:val="24"/>
          <w:szCs w:val="24"/>
        </w:rPr>
        <w:t xml:space="preserve">holds the word ‘fortune’ before the starving girl like a dangerous temptress.  </w:t>
      </w:r>
      <w:r w:rsidR="004F4F27" w:rsidRPr="00F8153E">
        <w:rPr>
          <w:rFonts w:ascii="Times New Roman" w:hAnsi="Times New Roman" w:cs="Times New Roman"/>
          <w:sz w:val="24"/>
          <w:szCs w:val="24"/>
        </w:rPr>
        <w:t>She</w:t>
      </w:r>
      <w:r w:rsidRPr="00F8153E">
        <w:rPr>
          <w:rFonts w:ascii="Times New Roman" w:hAnsi="Times New Roman" w:cs="Times New Roman"/>
          <w:sz w:val="24"/>
          <w:szCs w:val="24"/>
        </w:rPr>
        <w:t xml:space="preserve"> </w:t>
      </w:r>
      <w:r w:rsidRPr="00F8153E">
        <w:rPr>
          <w:rFonts w:ascii="Times New Roman" w:hAnsi="Times New Roman" w:cs="Times New Roman"/>
          <w:bCs/>
          <w:iCs/>
          <w:sz w:val="24"/>
          <w:szCs w:val="24"/>
        </w:rPr>
        <w:t xml:space="preserve">tells Virginia to forgo any optimism in honest industry and adopt an extreme cynicism towards benevolence and religious belief.  </w:t>
      </w:r>
      <w:r w:rsidRPr="00F8153E">
        <w:rPr>
          <w:rFonts w:ascii="Times New Roman" w:hAnsi="Times New Roman" w:cs="Times New Roman"/>
          <w:bCs/>
          <w:sz w:val="24"/>
          <w:szCs w:val="24"/>
        </w:rPr>
        <w:t xml:space="preserve">It becomes increasingly apparent that </w:t>
      </w:r>
      <w:r w:rsidR="004F4F27" w:rsidRPr="00F8153E">
        <w:rPr>
          <w:rFonts w:ascii="Times New Roman" w:hAnsi="Times New Roman" w:cs="Times New Roman"/>
          <w:bCs/>
          <w:sz w:val="24"/>
          <w:szCs w:val="24"/>
        </w:rPr>
        <w:t>the</w:t>
      </w:r>
      <w:r w:rsidRPr="00F8153E">
        <w:rPr>
          <w:rFonts w:ascii="Times New Roman" w:hAnsi="Times New Roman" w:cs="Times New Roman"/>
          <w:bCs/>
          <w:sz w:val="24"/>
          <w:szCs w:val="24"/>
        </w:rPr>
        <w:t xml:space="preserve"> sexual transgression which began in desperate need has developed into a poisonous fatalism she wishes others to share, with </w:t>
      </w:r>
      <w:r w:rsidRPr="00F8153E">
        <w:rPr>
          <w:rFonts w:ascii="Times New Roman" w:hAnsi="Times New Roman" w:cs="Times New Roman"/>
          <w:sz w:val="24"/>
          <w:szCs w:val="24"/>
        </w:rPr>
        <w:t xml:space="preserve">Reynolds writing she believes poverty will soon break down ‘every barrier that protected the </w:t>
      </w:r>
      <w:r w:rsidRPr="00F8153E">
        <w:rPr>
          <w:rFonts w:ascii="Times New Roman" w:hAnsi="Times New Roman" w:cs="Times New Roman"/>
          <w:i/>
          <w:sz w:val="24"/>
          <w:szCs w:val="24"/>
        </w:rPr>
        <w:t>virtue</w:t>
      </w:r>
      <w:r w:rsidRPr="00F8153E">
        <w:rPr>
          <w:rFonts w:ascii="Times New Roman" w:hAnsi="Times New Roman" w:cs="Times New Roman"/>
          <w:sz w:val="24"/>
          <w:szCs w:val="24"/>
        </w:rPr>
        <w:t>’ of Virginia.</w:t>
      </w:r>
      <w:r w:rsidRPr="00F8153E">
        <w:rPr>
          <w:rStyle w:val="FootnoteReference"/>
          <w:rFonts w:ascii="Times New Roman" w:hAnsi="Times New Roman"/>
          <w:sz w:val="24"/>
          <w:szCs w:val="24"/>
        </w:rPr>
        <w:footnoteReference w:id="534"/>
      </w:r>
      <w:r w:rsidRPr="00F8153E">
        <w:rPr>
          <w:rFonts w:ascii="Times New Roman" w:hAnsi="Times New Roman" w:cs="Times New Roman"/>
          <w:sz w:val="24"/>
          <w:szCs w:val="24"/>
        </w:rPr>
        <w:t xml:space="preserve">  Throughout the conversations there is a strong implication she wants this moral descent to happen because it would support the argument for the superiority of her own activity.  Beneath the surface friendship, Julia’s protest becomes a potential trap for those who would continue to struggle honestly.  T</w:t>
      </w:r>
      <w:r w:rsidRPr="00E16A3F">
        <w:rPr>
          <w:rFonts w:ascii="Times New Roman" w:hAnsi="Times New Roman" w:cs="Times New Roman"/>
          <w:sz w:val="24"/>
          <w:szCs w:val="24"/>
        </w:rPr>
        <w:t xml:space="preserve">he material advantage she has achieved is morally degraded, being used to ensnare her young </w:t>
      </w:r>
      <w:r w:rsidRPr="00E16A3F">
        <w:rPr>
          <w:rFonts w:ascii="Times New Roman" w:hAnsi="Times New Roman" w:cs="Times New Roman"/>
          <w:sz w:val="24"/>
          <w:szCs w:val="24"/>
        </w:rPr>
        <w:lastRenderedPageBreak/>
        <w:t>friend.  All these callous tendencies are summed up by their estrangement when it is discovered that Charles, Marquis of Arden, has a relationship with both of them.</w:t>
      </w:r>
      <w:r w:rsidRPr="00E16A3F">
        <w:rPr>
          <w:rStyle w:val="FootnoteReference"/>
          <w:rFonts w:ascii="Times New Roman" w:hAnsi="Times New Roman"/>
          <w:sz w:val="24"/>
          <w:szCs w:val="24"/>
        </w:rPr>
        <w:footnoteReference w:id="535"/>
      </w:r>
      <w:r w:rsidRPr="00E16A3F">
        <w:rPr>
          <w:rFonts w:ascii="Times New Roman" w:hAnsi="Times New Roman" w:cs="Times New Roman"/>
          <w:sz w:val="24"/>
          <w:szCs w:val="24"/>
        </w:rPr>
        <w:t xml:space="preserve">  On reading Virginia’s letter proclaiming innocence in the matter and announcing she has departed the lodgings, Julia acknowledges the truth of the words but only to toss the paper in the fire and prepare for bed.  The abruptness of her action, which closes a chapter, suggests she has cast off Virginia as decisively as she dispenses with the note.</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 xml:space="preserve">Reynolds presents a further harsh portrait of sexual transgression in </w:t>
      </w:r>
      <w:r w:rsidRPr="00E16A3F">
        <w:rPr>
          <w:rFonts w:ascii="Times New Roman" w:hAnsi="Times New Roman" w:cs="Times New Roman"/>
          <w:i/>
          <w:sz w:val="24"/>
          <w:szCs w:val="24"/>
        </w:rPr>
        <w:t>Mary Price</w:t>
      </w:r>
      <w:r w:rsidRPr="00E16A3F">
        <w:rPr>
          <w:rFonts w:ascii="Times New Roman" w:hAnsi="Times New Roman" w:cs="Times New Roman"/>
          <w:sz w:val="24"/>
          <w:szCs w:val="24"/>
        </w:rPr>
        <w:t xml:space="preserve"> (1851</w:t>
      </w:r>
      <w:r w:rsidRPr="00E16A3F">
        <w:rPr>
          <w:rFonts w:ascii="Times New Roman" w:hAnsi="Times New Roman" w:cs="Times New Roman"/>
          <w:color w:val="000000"/>
          <w:sz w:val="24"/>
          <w:szCs w:val="24"/>
        </w:rPr>
        <w:t>–53).</w:t>
      </w:r>
      <w:r w:rsidRPr="00E16A3F">
        <w:rPr>
          <w:rFonts w:ascii="Times New Roman" w:hAnsi="Times New Roman" w:cs="Times New Roman"/>
          <w:sz w:val="24"/>
          <w:szCs w:val="24"/>
        </w:rPr>
        <w:t xml:space="preserve"> Despite the narrative being written from the perspective of her elder sister, Graham Law points out that the heroine’s younger sister, Sarah, does not enjoy authorial sympathy.</w:t>
      </w:r>
      <w:r w:rsidRPr="00E16A3F">
        <w:rPr>
          <w:rStyle w:val="FootnoteReference"/>
          <w:rFonts w:ascii="Times New Roman" w:hAnsi="Times New Roman"/>
          <w:sz w:val="24"/>
          <w:szCs w:val="24"/>
        </w:rPr>
        <w:footnoteReference w:id="536"/>
      </w:r>
      <w:r w:rsidRPr="00E16A3F">
        <w:rPr>
          <w:rFonts w:ascii="Times New Roman" w:hAnsi="Times New Roman" w:cs="Times New Roman"/>
          <w:sz w:val="24"/>
          <w:szCs w:val="24"/>
        </w:rPr>
        <w:t xml:space="preserve">  Unlike Ellen Monroe and Julia Barnet, she is described as a child, allowing Reynolds to suggest more clearly how behaviour can result from pre-existing flaws of character.  When she is only eleven years of age, Mary refers to her as ‘selfish, vain, and prideful’.</w:t>
      </w:r>
      <w:r w:rsidRPr="00E16A3F">
        <w:rPr>
          <w:rStyle w:val="FootnoteReference"/>
          <w:rFonts w:ascii="Times New Roman" w:hAnsi="Times New Roman"/>
          <w:bCs/>
          <w:sz w:val="24"/>
          <w:szCs w:val="24"/>
        </w:rPr>
        <w:footnoteReference w:id="537"/>
      </w:r>
      <w:r w:rsidRPr="00E16A3F">
        <w:rPr>
          <w:rFonts w:ascii="Times New Roman" w:hAnsi="Times New Roman" w:cs="Times New Roman"/>
          <w:sz w:val="24"/>
          <w:szCs w:val="24"/>
        </w:rPr>
        <w:t xml:space="preserve">  An early indication of these qualities occurs after their mother’s death and Sarah is less affected than her siblings at being separated, when together with her sister Jane she is taken under the care of Mrs Whitfield, the ‘novelty of the proceeding’ having charm ‘for her young and inexperienced mind’.</w:t>
      </w:r>
      <w:r w:rsidRPr="00E16A3F">
        <w:rPr>
          <w:rStyle w:val="FootnoteReference"/>
          <w:rFonts w:ascii="Times New Roman" w:hAnsi="Times New Roman"/>
          <w:bCs/>
          <w:sz w:val="24"/>
          <w:szCs w:val="24"/>
        </w:rPr>
        <w:footnoteReference w:id="538"/>
      </w:r>
      <w:r w:rsidRPr="00E16A3F">
        <w:rPr>
          <w:rFonts w:ascii="Times New Roman" w:hAnsi="Times New Roman" w:cs="Times New Roman"/>
          <w:sz w:val="24"/>
          <w:szCs w:val="24"/>
        </w:rPr>
        <w:t xml:space="preserve">  Unfortunately, the new situation only encourages her worst tendencies, demonstrated in responses to Jane and Mary concerning Whitfield’s sudden paralysis.  To the former who is crying bitterly she says abruptly: ‘Don’t be such a silly girl, […] I dare say if Mrs Whitfield should die just now, she will leave us all her property.’</w:t>
      </w:r>
      <w:r w:rsidRPr="00E16A3F">
        <w:rPr>
          <w:rStyle w:val="FootnoteReference"/>
          <w:rFonts w:ascii="Times New Roman" w:hAnsi="Times New Roman"/>
          <w:bCs/>
          <w:sz w:val="24"/>
          <w:szCs w:val="24"/>
        </w:rPr>
        <w:footnoteReference w:id="539"/>
      </w:r>
      <w:r w:rsidRPr="00E16A3F">
        <w:rPr>
          <w:rFonts w:ascii="Times New Roman" w:hAnsi="Times New Roman" w:cs="Times New Roman"/>
          <w:sz w:val="24"/>
          <w:szCs w:val="24"/>
        </w:rPr>
        <w:t xml:space="preserve">  Jane is only twelve and grieving at the impending death of the kind, if eccentric, lady who has given them shelter and training.  Sarah disregards her sadness and displays an unfeeling attitude towards their guardian, with her first thought being of the financial benefits that might accrue.  She responds just as sharply when Mary protests:</w:t>
      </w:r>
    </w:p>
    <w:p w:rsidR="00BA19FC" w:rsidRPr="00E16A3F" w:rsidRDefault="00BA19FC" w:rsidP="00BA19FC">
      <w:pPr>
        <w:spacing w:after="240" w:line="240" w:lineRule="auto"/>
        <w:ind w:left="720"/>
        <w:rPr>
          <w:rFonts w:ascii="Times New Roman" w:hAnsi="Times New Roman" w:cs="Times New Roman"/>
          <w:sz w:val="24"/>
          <w:szCs w:val="24"/>
        </w:rPr>
      </w:pPr>
      <w:r w:rsidRPr="00E16A3F">
        <w:rPr>
          <w:rFonts w:ascii="Times New Roman" w:hAnsi="Times New Roman" w:cs="Times New Roman"/>
          <w:sz w:val="24"/>
          <w:szCs w:val="24"/>
        </w:rPr>
        <w:t>You must not think of lecturing me, Mary, although you are my eldest sister: because I have been educated at a young lady’s day-school, and have learnt many things that you know nothing about.  Therefore, though you are four years older than I am, you have no right to assume the superior.  It isn’t so much age—it’s knowledge and experience that regulate these kind of things.</w:t>
      </w:r>
      <w:r w:rsidRPr="00E16A3F">
        <w:rPr>
          <w:rStyle w:val="FootnoteReference"/>
          <w:rFonts w:ascii="Times New Roman" w:hAnsi="Times New Roman"/>
          <w:bCs/>
          <w:sz w:val="24"/>
          <w:szCs w:val="24"/>
        </w:rPr>
        <w:footnoteReference w:id="540"/>
      </w:r>
    </w:p>
    <w:p w:rsidR="00BA19FC" w:rsidRPr="00E16A3F" w:rsidRDefault="00BA19FC" w:rsidP="00BA19FC">
      <w:pPr>
        <w:spacing w:after="120" w:line="360" w:lineRule="auto"/>
        <w:rPr>
          <w:rFonts w:ascii="Times New Roman" w:hAnsi="Times New Roman" w:cs="Times New Roman"/>
          <w:sz w:val="24"/>
          <w:szCs w:val="24"/>
        </w:rPr>
      </w:pPr>
      <w:r w:rsidRPr="00E16A3F">
        <w:rPr>
          <w:rFonts w:ascii="Times New Roman" w:hAnsi="Times New Roman" w:cs="Times New Roman"/>
          <w:sz w:val="24"/>
          <w:szCs w:val="24"/>
        </w:rPr>
        <w:t xml:space="preserve">Sarah reveals an inflated opinion of her educational achievements, dismissing her elder sister with claims of intellectual superiority and greater knowledge of life.  Reynolds lays the </w:t>
      </w:r>
      <w:r w:rsidRPr="00E16A3F">
        <w:rPr>
          <w:rFonts w:ascii="Times New Roman" w:hAnsi="Times New Roman" w:cs="Times New Roman"/>
          <w:sz w:val="24"/>
          <w:szCs w:val="24"/>
        </w:rPr>
        <w:lastRenderedPageBreak/>
        <w:t>foundation for her displays of deception when she secretly looks for Mrs Whitfield’s missing gold in the wake of the woman’s death.  Although able to accept reproof when discovered, the effect of Mary’s reprimand proves temporary and any regret is soon forgotten.  Although pleased with her repentance, Mary’s description of the scene indicates an excess of emotions: ‘she threw her arms round my neck, weeping and sobbing upon my bosom’.</w:t>
      </w:r>
      <w:r w:rsidRPr="00E16A3F">
        <w:rPr>
          <w:rStyle w:val="FootnoteReference"/>
          <w:rFonts w:ascii="Times New Roman" w:hAnsi="Times New Roman"/>
          <w:bCs/>
          <w:sz w:val="24"/>
          <w:szCs w:val="24"/>
        </w:rPr>
        <w:footnoteReference w:id="541"/>
      </w:r>
      <w:r w:rsidRPr="00E16A3F">
        <w:rPr>
          <w:rFonts w:ascii="Times New Roman" w:hAnsi="Times New Roman" w:cs="Times New Roman"/>
          <w:sz w:val="24"/>
          <w:szCs w:val="24"/>
        </w:rPr>
        <w:t xml:space="preserve">  This selfishness and self-importance combined with increasing awareness of her </w:t>
      </w:r>
      <w:r w:rsidRPr="00F8153E">
        <w:rPr>
          <w:rFonts w:ascii="Times New Roman" w:hAnsi="Times New Roman" w:cs="Times New Roman"/>
          <w:sz w:val="24"/>
          <w:szCs w:val="24"/>
        </w:rPr>
        <w:t xml:space="preserve">beauty </w:t>
      </w:r>
      <w:r w:rsidR="00582B4B" w:rsidRPr="00F8153E">
        <w:rPr>
          <w:rFonts w:ascii="Times New Roman" w:hAnsi="Times New Roman" w:cs="Times New Roman"/>
          <w:sz w:val="24"/>
          <w:szCs w:val="24"/>
        </w:rPr>
        <w:t>provide</w:t>
      </w:r>
      <w:r w:rsidRPr="00E16A3F">
        <w:rPr>
          <w:rFonts w:ascii="Times New Roman" w:hAnsi="Times New Roman" w:cs="Times New Roman"/>
          <w:sz w:val="24"/>
          <w:szCs w:val="24"/>
        </w:rPr>
        <w:t xml:space="preserve"> the basis for later sexual indiscretions when she becomes nursemaid at Talbot Abbey, a development that Mary views with concern: ‘in my heart I wished that she was not half so handsome—for she was far from being unconscious of her charms, and having a good salary, was enabled to gratify her inclination for fine apparel’.</w:t>
      </w:r>
      <w:r w:rsidRPr="00E16A3F">
        <w:rPr>
          <w:rStyle w:val="FootnoteReference"/>
          <w:rFonts w:ascii="Times New Roman" w:hAnsi="Times New Roman"/>
          <w:sz w:val="24"/>
          <w:szCs w:val="24"/>
        </w:rPr>
        <w:footnoteReference w:id="542"/>
      </w:r>
      <w:r w:rsidRPr="00E16A3F">
        <w:rPr>
          <w:rFonts w:ascii="Times New Roman" w:hAnsi="Times New Roman" w:cs="Times New Roman"/>
          <w:sz w:val="24"/>
          <w:szCs w:val="24"/>
        </w:rPr>
        <w:t xml:space="preserve">  The dangers of lack of supervision are apparent when the sickly Lady Talbot and her older husband allow Sarah to exercise her independent spirit which left unchecked becomes more reprehensible.  At sixteen years of age, she chides Mary for interfering in her business, claiming as a nursery governess to be able to ‘almost look upon myself as a lady’.</w:t>
      </w:r>
      <w:r w:rsidRPr="00E16A3F">
        <w:rPr>
          <w:rStyle w:val="FootnoteReference"/>
          <w:rFonts w:ascii="Times New Roman" w:hAnsi="Times New Roman"/>
          <w:bCs/>
          <w:sz w:val="24"/>
          <w:szCs w:val="24"/>
        </w:rPr>
        <w:footnoteReference w:id="543"/>
      </w:r>
      <w:r w:rsidRPr="00E16A3F">
        <w:rPr>
          <w:rFonts w:ascii="Times New Roman" w:hAnsi="Times New Roman" w:cs="Times New Roman"/>
          <w:sz w:val="24"/>
          <w:szCs w:val="24"/>
        </w:rPr>
        <w:t xml:space="preserve">  She uses her authority to treat Fanny the servant-maid in a high-handed manner and be overly strict with the small children, smacking them when they fail to obey her commands.  These actions are different symptoms of the same underlying psychological shortcomings that make her vulnerable to sexual misadventure.  In a relaxed moral environment and aware of the lure of her beauty she aspires to marry Edgar Selden, Lady Talbot’s nephew, a handsome but impudent youth.</w:t>
      </w:r>
      <w:r w:rsidRPr="00E16A3F">
        <w:rPr>
          <w:rStyle w:val="FootnoteReference"/>
          <w:rFonts w:ascii="Times New Roman" w:hAnsi="Times New Roman"/>
          <w:bCs/>
          <w:sz w:val="24"/>
          <w:szCs w:val="24"/>
        </w:rPr>
        <w:footnoteReference w:id="544"/>
      </w:r>
      <w:r w:rsidRPr="00E16A3F">
        <w:rPr>
          <w:rFonts w:ascii="Times New Roman" w:hAnsi="Times New Roman" w:cs="Times New Roman"/>
          <w:sz w:val="24"/>
          <w:szCs w:val="24"/>
        </w:rPr>
        <w:t xml:space="preserve">  This convinces Mary to take a position in the household and maintain a watchful eye to ensure her sister behaves properly in any romantic affair.  Edgar boasts of being a person unafraid to ‘set the opinions of the world at defiance, and conduct to the altar just whomsoever they please’.</w:t>
      </w:r>
      <w:r w:rsidRPr="00E16A3F">
        <w:rPr>
          <w:rStyle w:val="FootnoteReference"/>
          <w:rFonts w:ascii="Times New Roman" w:hAnsi="Times New Roman"/>
          <w:bCs/>
          <w:sz w:val="24"/>
          <w:szCs w:val="24"/>
        </w:rPr>
        <w:footnoteReference w:id="545"/>
      </w:r>
      <w:r w:rsidRPr="00E16A3F">
        <w:rPr>
          <w:rFonts w:ascii="Times New Roman" w:hAnsi="Times New Roman" w:cs="Times New Roman"/>
          <w:sz w:val="24"/>
          <w:szCs w:val="24"/>
        </w:rPr>
        <w:t xml:space="preserve">  Mary justifiably mistrusts such freethinking ideas the mere pronouncement of which entails little responsibility.  Nevertheless, echoing Reynolds’s democratic perspectives, she does not dismiss the relationship upon the grounds of his higher social rank but requires it follow respectable conventions, suggesting that Edgar remain separated for two years to prove his faithfulness.  Such patience which marks Mary’s own engagement with Eustace Quentin, also of higher social standing, is abhorrent to her sister who becomes increasingly unstable, displaying many of the symptoms noted above as being associated with ‘female hysteria’.  When Mary takes a post at Talbot Abbey, Sarah’s outrage at the thought her freedom to flirt </w:t>
      </w:r>
      <w:r w:rsidRPr="00E16A3F">
        <w:rPr>
          <w:rFonts w:ascii="Times New Roman" w:hAnsi="Times New Roman" w:cs="Times New Roman"/>
          <w:sz w:val="24"/>
          <w:szCs w:val="24"/>
        </w:rPr>
        <w:lastRenderedPageBreak/>
        <w:t>with Edgar will be restricted quickly changes to displays of ‘forced’ friendliness, an assumed submissiveness that is no more than a deceitful cover for her intention to continue with her reckless behaviour.</w:t>
      </w:r>
      <w:r w:rsidRPr="00E16A3F">
        <w:rPr>
          <w:rStyle w:val="FootnoteReference"/>
          <w:rFonts w:ascii="Times New Roman" w:hAnsi="Times New Roman"/>
          <w:sz w:val="24"/>
          <w:szCs w:val="24"/>
        </w:rPr>
        <w:footnoteReference w:id="546"/>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The later scenes at Margaret Street where Sarah lives with Edgar in an unmarried state establish how such psychological ‘frailty’ can develop.  She obstinately rejects Mary’s warnings during her first visit and charges her with unfairness: ‘You ought to rejoice to see me thus happy with him whom I love, and surrounded by every comfort and luxury.’</w:t>
      </w:r>
      <w:r w:rsidRPr="00E16A3F">
        <w:rPr>
          <w:rStyle w:val="FootnoteReference"/>
          <w:rFonts w:ascii="Times New Roman" w:hAnsi="Times New Roman"/>
          <w:bCs/>
          <w:sz w:val="24"/>
          <w:szCs w:val="24"/>
        </w:rPr>
        <w:footnoteReference w:id="547"/>
      </w:r>
      <w:r w:rsidRPr="00E16A3F">
        <w:rPr>
          <w:rFonts w:ascii="Times New Roman" w:hAnsi="Times New Roman" w:cs="Times New Roman"/>
          <w:sz w:val="24"/>
          <w:szCs w:val="24"/>
        </w:rPr>
        <w:t xml:space="preserve">  These words express overwhelming belief in the right to ignore any advice about her conduct and to regard the ‘luxury’ with which she surrounds herself as being central to her well-being.  At this stage Mary’s words can still have an effect, particularly when she speaks of the disquiet Sarah is causing the innocent-minded Jane.  Sarah’s lips tremble and she displays anxiety but as Mary notes ‘that state of good feeling lasted only for a moment’.</w:t>
      </w:r>
      <w:r w:rsidRPr="00E16A3F">
        <w:rPr>
          <w:rStyle w:val="FootnoteReference"/>
          <w:rFonts w:ascii="Times New Roman" w:hAnsi="Times New Roman"/>
          <w:bCs/>
          <w:sz w:val="24"/>
          <w:szCs w:val="24"/>
        </w:rPr>
        <w:footnoteReference w:id="548"/>
      </w:r>
      <w:r w:rsidRPr="00E16A3F">
        <w:rPr>
          <w:rFonts w:ascii="Times New Roman" w:hAnsi="Times New Roman" w:cs="Times New Roman"/>
          <w:sz w:val="24"/>
          <w:szCs w:val="24"/>
        </w:rPr>
        <w:t xml:space="preserve">  Once it passes, Sarah assumes her customary boldness.  Mary’s second visit occurs in the midst of a furious argument that testifies to the deterioration of Sarah’s mental state as she smashes a vase, tears Edgar’s shirt and burst into sobs.  During the scene Edgar is not shown in a positive light, with a supercilious demeanour and determination to follow pursuits that leave Sarah to spend evenings alone.  Nevertheless, she is overly possessive holding unjust suspicions concerning his actions which are largely blameless.</w:t>
      </w:r>
      <w:r w:rsidRPr="00E16A3F">
        <w:rPr>
          <w:rStyle w:val="FootnoteReference"/>
          <w:rFonts w:ascii="Times New Roman" w:hAnsi="Times New Roman"/>
          <w:bCs/>
          <w:sz w:val="24"/>
          <w:szCs w:val="24"/>
        </w:rPr>
        <w:footnoteReference w:id="549"/>
      </w:r>
      <w:r w:rsidRPr="00E16A3F">
        <w:rPr>
          <w:rFonts w:ascii="Times New Roman" w:hAnsi="Times New Roman" w:cs="Times New Roman"/>
          <w:sz w:val="24"/>
          <w:szCs w:val="24"/>
        </w:rPr>
        <w:t xml:space="preserve">  Her instability is demonstrated when once the ‘storm of passion’ has subsided, she throws herself into Edgar’s arms, with Mary commenting that they ‘embraced and kissed each other most ardently’.</w:t>
      </w:r>
      <w:r w:rsidRPr="00E16A3F">
        <w:rPr>
          <w:rStyle w:val="FootnoteReference"/>
          <w:rFonts w:ascii="Times New Roman" w:hAnsi="Times New Roman"/>
          <w:bCs/>
          <w:sz w:val="24"/>
          <w:szCs w:val="24"/>
        </w:rPr>
        <w:footnoteReference w:id="550"/>
      </w:r>
      <w:r w:rsidRPr="00E16A3F">
        <w:rPr>
          <w:rFonts w:ascii="Times New Roman" w:hAnsi="Times New Roman" w:cs="Times New Roman"/>
          <w:sz w:val="24"/>
          <w:szCs w:val="24"/>
        </w:rPr>
        <w:t xml:space="preserve">  These scenes portray the transgressive female as headstrong, consumed with thoughts of material gratification and subject to continual mood shifts, </w:t>
      </w:r>
      <w:r w:rsidRPr="009F78AC">
        <w:rPr>
          <w:rFonts w:ascii="Times New Roman" w:hAnsi="Times New Roman" w:cs="Times New Roman"/>
          <w:sz w:val="24"/>
          <w:szCs w:val="24"/>
        </w:rPr>
        <w:t>violent when being denied</w:t>
      </w:r>
      <w:r w:rsidRPr="00E16A3F">
        <w:rPr>
          <w:rFonts w:ascii="Times New Roman" w:hAnsi="Times New Roman" w:cs="Times New Roman"/>
          <w:sz w:val="24"/>
          <w:szCs w:val="24"/>
        </w:rPr>
        <w:t xml:space="preserve"> her wishes, pouting and pettish at the thought she may attain them.</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A reflection of Reynolds’s outlook is how Mary always sees Sarah’s ‘escape’ in terms of marriage and that her sister must prove suitable for the role.  During the first visit at Margaret Street she repeats the term ‘legitimate title’ to emphasise that only the married state will make Sarah and Edgar’s relationship acceptable and until then they can only live by ‘detestable sophistries’.</w:t>
      </w:r>
      <w:r w:rsidRPr="00E16A3F">
        <w:rPr>
          <w:rStyle w:val="FootnoteReference"/>
          <w:rFonts w:ascii="Times New Roman" w:hAnsi="Times New Roman"/>
          <w:bCs/>
          <w:sz w:val="24"/>
          <w:szCs w:val="24"/>
        </w:rPr>
        <w:footnoteReference w:id="551"/>
      </w:r>
      <w:r w:rsidRPr="00E16A3F">
        <w:rPr>
          <w:rFonts w:ascii="Times New Roman" w:hAnsi="Times New Roman" w:cs="Times New Roman"/>
          <w:sz w:val="24"/>
          <w:szCs w:val="24"/>
        </w:rPr>
        <w:t xml:space="preserve">  In the fierce debate, Mary pursues the one charge Sarah makes that </w:t>
      </w:r>
      <w:r w:rsidRPr="00E16A3F">
        <w:rPr>
          <w:rFonts w:ascii="Times New Roman" w:hAnsi="Times New Roman" w:cs="Times New Roman"/>
          <w:sz w:val="24"/>
          <w:szCs w:val="24"/>
        </w:rPr>
        <w:lastRenderedPageBreak/>
        <w:t>she sees as valid, namely Edgar’s failure to fulfil his promise that they would marry at Gretna Green.  Marital status is presented as the remedy for all problems, something that will inspire Sarah with the ‘noble confidence of a trusting wife’.</w:t>
      </w:r>
      <w:r w:rsidRPr="00E16A3F">
        <w:rPr>
          <w:rStyle w:val="FootnoteReference"/>
          <w:rFonts w:ascii="Times New Roman" w:hAnsi="Times New Roman"/>
          <w:bCs/>
          <w:sz w:val="24"/>
          <w:szCs w:val="24"/>
        </w:rPr>
        <w:footnoteReference w:id="552"/>
      </w:r>
      <w:r w:rsidRPr="00E16A3F">
        <w:rPr>
          <w:rFonts w:ascii="Times New Roman" w:hAnsi="Times New Roman" w:cs="Times New Roman"/>
          <w:sz w:val="24"/>
          <w:szCs w:val="24"/>
        </w:rPr>
        <w:t xml:space="preserve">  If this can be attained, Mary appears to accept the patriarchal lifestyle that the couple lead.  Rather than amending Edgar’s selfish practices, marriage will condition Sarah to accept them.  Reynolds reinforces the sense of female frailty when Mary encounters Edgar in what is presented as a serious and realistic summary of the situation.  He admits entering the relationship rather frivolously before becoming attached to Sarah but her temperament makes marriage unlikely.  Mary largely concurs: ‘There had been much truth—alas! far too much, in Mr. Selden’s observations’, before stating that she also regards her sister’s temper as ‘ungovernable’.</w:t>
      </w:r>
      <w:r w:rsidRPr="00E16A3F">
        <w:rPr>
          <w:rStyle w:val="FootnoteReference"/>
          <w:rFonts w:ascii="Times New Roman" w:hAnsi="Times New Roman"/>
          <w:bCs/>
          <w:sz w:val="24"/>
          <w:szCs w:val="24"/>
        </w:rPr>
        <w:footnoteReference w:id="553"/>
      </w:r>
      <w:r w:rsidRPr="00E16A3F">
        <w:rPr>
          <w:rFonts w:ascii="Times New Roman" w:hAnsi="Times New Roman" w:cs="Times New Roman"/>
          <w:sz w:val="24"/>
          <w:szCs w:val="24"/>
        </w:rPr>
        <w:t xml:space="preserve">  Inevitably, Sarah’s instability increases when after leaving Edgar she associates with the villainous debauchee Captain Tollemache and Octavius Lapwing, whom Mary knows as a ‘reckless spendthrift’ and ‘unprincipled swindler’.</w:t>
      </w:r>
      <w:r w:rsidRPr="00E16A3F">
        <w:rPr>
          <w:rStyle w:val="FootnoteReference"/>
          <w:rFonts w:ascii="Times New Roman" w:hAnsi="Times New Roman"/>
          <w:bCs/>
          <w:sz w:val="24"/>
          <w:szCs w:val="24"/>
        </w:rPr>
        <w:footnoteReference w:id="554"/>
      </w:r>
      <w:r w:rsidRPr="00E16A3F">
        <w:rPr>
          <w:rFonts w:ascii="Times New Roman" w:hAnsi="Times New Roman" w:cs="Times New Roman"/>
          <w:sz w:val="24"/>
          <w:szCs w:val="24"/>
        </w:rPr>
        <w:t xml:space="preserve">  Attracted by a heady, disreputable lifestyle, Sarah adopts the attitudes of those who have brought about her downfall.  When Lapwing is imprisoned for disposing of unpaid goods at a pawnbroker’s shop, rather than taking it as a warning about their dissolute habits, she is found lolling on a sofa quaffing champagne and listening to the jokes of three visiting rakes.  Decline is confirmed when after thanking Mary for the many attempts to help she brushes aside her advice to return to respectable ways:</w:t>
      </w:r>
    </w:p>
    <w:p w:rsidR="00BA19FC" w:rsidRPr="00E16A3F" w:rsidRDefault="00BA19FC" w:rsidP="00BA19FC">
      <w:pPr>
        <w:spacing w:after="240" w:line="240" w:lineRule="auto"/>
        <w:ind w:left="720"/>
        <w:rPr>
          <w:rFonts w:ascii="Times New Roman" w:hAnsi="Times New Roman" w:cs="Times New Roman"/>
          <w:sz w:val="24"/>
          <w:szCs w:val="24"/>
        </w:rPr>
      </w:pPr>
      <w:r w:rsidRPr="00E16A3F">
        <w:rPr>
          <w:rFonts w:ascii="Times New Roman" w:hAnsi="Times New Roman" w:cs="Times New Roman"/>
          <w:sz w:val="24"/>
          <w:szCs w:val="24"/>
        </w:rPr>
        <w:t xml:space="preserve">But my destiny is fixed.  Oh! for me to settle down into a quiet life—to renounce all pursuits of gaiety——No, no—it is impossible!  Why, the adulation of men—their idle tittle-tattle—their frivolous nothings—their very impertinences and flippancies,—all these are as necessary to me as the air I breathe. […] Well do I understand myself—I know that I can only exist in the world of dissipation and pleasure.  </w:t>
      </w:r>
      <w:r w:rsidRPr="00E16A3F">
        <w:rPr>
          <w:rFonts w:ascii="Times New Roman" w:hAnsi="Times New Roman" w:cs="Times New Roman"/>
          <w:i/>
          <w:sz w:val="24"/>
          <w:szCs w:val="24"/>
        </w:rPr>
        <w:t>A short life and a merry one</w:t>
      </w:r>
      <w:r w:rsidRPr="00E16A3F">
        <w:rPr>
          <w:rFonts w:ascii="Times New Roman" w:hAnsi="Times New Roman" w:cs="Times New Roman"/>
          <w:sz w:val="24"/>
          <w:szCs w:val="24"/>
        </w:rPr>
        <w:t>—that is my maxim—not only my maxim, but the prophetic summing up of my history.</w:t>
      </w:r>
      <w:r w:rsidRPr="00E16A3F">
        <w:rPr>
          <w:rStyle w:val="FootnoteReference"/>
          <w:rFonts w:ascii="Times New Roman" w:hAnsi="Times New Roman"/>
          <w:bCs/>
          <w:sz w:val="24"/>
          <w:szCs w:val="24"/>
        </w:rPr>
        <w:footnoteReference w:id="555"/>
      </w:r>
    </w:p>
    <w:p w:rsidR="00BA19FC" w:rsidRPr="00E16A3F" w:rsidRDefault="00BA19FC" w:rsidP="00BA19FC">
      <w:pPr>
        <w:spacing w:after="120" w:line="360" w:lineRule="auto"/>
        <w:rPr>
          <w:rFonts w:ascii="Times New Roman" w:hAnsi="Times New Roman" w:cs="Times New Roman"/>
          <w:sz w:val="24"/>
          <w:szCs w:val="24"/>
        </w:rPr>
      </w:pPr>
      <w:r w:rsidRPr="00E16A3F">
        <w:rPr>
          <w:rFonts w:ascii="Times New Roman" w:hAnsi="Times New Roman" w:cs="Times New Roman"/>
          <w:sz w:val="24"/>
          <w:szCs w:val="24"/>
        </w:rPr>
        <w:t xml:space="preserve">The aim is to maintain an unbroken cycle of pleasure, even when recognizing that the rejection of domesticity for ‘frivolous nothings' is shallow and immoral.  Sarah realizes this situation is due to failings in her character that will not permit anything to disrupt the illusory enjoyment that has become necessary for her </w:t>
      </w:r>
      <w:r w:rsidRPr="009F78AC">
        <w:rPr>
          <w:rFonts w:ascii="Times New Roman" w:hAnsi="Times New Roman" w:cs="Times New Roman"/>
          <w:sz w:val="24"/>
          <w:szCs w:val="24"/>
        </w:rPr>
        <w:t xml:space="preserve">existence.  </w:t>
      </w:r>
      <w:r w:rsidR="00582B4B" w:rsidRPr="009F78AC">
        <w:rPr>
          <w:rFonts w:ascii="Times New Roman" w:hAnsi="Times New Roman" w:cs="Times New Roman"/>
          <w:sz w:val="24"/>
          <w:szCs w:val="24"/>
        </w:rPr>
        <w:t>P</w:t>
      </w:r>
      <w:r w:rsidRPr="009F78AC">
        <w:rPr>
          <w:rFonts w:ascii="Times New Roman" w:hAnsi="Times New Roman" w:cs="Times New Roman"/>
          <w:sz w:val="24"/>
          <w:szCs w:val="24"/>
        </w:rPr>
        <w:t>raise of</w:t>
      </w:r>
      <w:r w:rsidRPr="00E16A3F">
        <w:rPr>
          <w:rFonts w:ascii="Times New Roman" w:hAnsi="Times New Roman" w:cs="Times New Roman"/>
          <w:sz w:val="24"/>
          <w:szCs w:val="24"/>
        </w:rPr>
        <w:t xml:space="preserve"> all that is superficial is bounded by the phrases ‘my destiny is fixed’ and ‘the prophetic summing up of my history’, a confirmation that the rebellion against staid respectability has ended in unshakeable fatalism.  The proclamation ‘</w:t>
      </w:r>
      <w:r w:rsidRPr="00E16A3F">
        <w:rPr>
          <w:rFonts w:ascii="Times New Roman" w:hAnsi="Times New Roman" w:cs="Times New Roman"/>
          <w:i/>
          <w:sz w:val="24"/>
          <w:szCs w:val="24"/>
        </w:rPr>
        <w:t>A short life and a merry one</w:t>
      </w:r>
      <w:r w:rsidRPr="00E16A3F">
        <w:rPr>
          <w:rFonts w:ascii="Times New Roman" w:hAnsi="Times New Roman" w:cs="Times New Roman"/>
          <w:sz w:val="24"/>
          <w:szCs w:val="24"/>
        </w:rPr>
        <w:t xml:space="preserve">’ acknowledges she is on the path to </w:t>
      </w:r>
      <w:r w:rsidRPr="00E16A3F">
        <w:rPr>
          <w:rFonts w:ascii="Times New Roman" w:hAnsi="Times New Roman" w:cs="Times New Roman"/>
          <w:sz w:val="24"/>
          <w:szCs w:val="24"/>
        </w:rPr>
        <w:lastRenderedPageBreak/>
        <w:t>self-destruction.  Even news of the death of her brother Robert moves her only momentarily.  In certain respects, Sarah’s sexual transgression is more culpable than that of Julia Barnet, since she neither suffers the latter’s poverty or displays any class consciousness or sympathy for others.  She spurns the advantages of a close family, sisterly advice and a relatively comfortable life.  The later discovery of Mrs Whitfield’s will that leaves thousands of pounds to Jane and herself symbolizes the need to avoid such impulsive behaviour.</w:t>
      </w:r>
      <w:r w:rsidRPr="00E16A3F">
        <w:rPr>
          <w:rStyle w:val="FootnoteReference"/>
          <w:rFonts w:ascii="Times New Roman" w:hAnsi="Times New Roman"/>
          <w:sz w:val="24"/>
          <w:szCs w:val="24"/>
        </w:rPr>
        <w:footnoteReference w:id="556"/>
      </w:r>
      <w:r w:rsidRPr="00E16A3F">
        <w:rPr>
          <w:rFonts w:ascii="Times New Roman" w:hAnsi="Times New Roman" w:cs="Times New Roman"/>
          <w:sz w:val="24"/>
          <w:szCs w:val="24"/>
        </w:rPr>
        <w:t xml:space="preserve">  With patience and a commitment towards achieving respectable independence, Sarah would have acquired the wealth necessary to satisfy the aspiration to enter a higher sphere of society.  Instead, she ends her days repenting in a miserable furnished room in Camden Town.  The sparsely attended funeral, </w:t>
      </w:r>
      <w:r w:rsidRPr="00F8153E">
        <w:rPr>
          <w:rFonts w:ascii="Times New Roman" w:hAnsi="Times New Roman" w:cs="Times New Roman"/>
          <w:sz w:val="24"/>
          <w:szCs w:val="24"/>
        </w:rPr>
        <w:t xml:space="preserve">dispensed </w:t>
      </w:r>
      <w:r w:rsidR="009F78AC" w:rsidRPr="00F8153E">
        <w:rPr>
          <w:rFonts w:ascii="Times New Roman" w:hAnsi="Times New Roman" w:cs="Times New Roman"/>
          <w:sz w:val="24"/>
          <w:szCs w:val="24"/>
        </w:rPr>
        <w:t>with</w:t>
      </w:r>
      <w:r w:rsidRPr="00F8153E">
        <w:rPr>
          <w:rFonts w:ascii="Times New Roman" w:hAnsi="Times New Roman" w:cs="Times New Roman"/>
          <w:sz w:val="24"/>
          <w:szCs w:val="24"/>
        </w:rPr>
        <w:t xml:space="preserve"> in</w:t>
      </w:r>
      <w:r w:rsidRPr="00E16A3F">
        <w:rPr>
          <w:rFonts w:ascii="Times New Roman" w:hAnsi="Times New Roman" w:cs="Times New Roman"/>
          <w:sz w:val="24"/>
          <w:szCs w:val="24"/>
        </w:rPr>
        <w:t xml:space="preserve"> a short paragraph, highlights the ignominious failure of her protest.</w:t>
      </w:r>
      <w:r w:rsidRPr="00E16A3F">
        <w:rPr>
          <w:rStyle w:val="FootnoteReference"/>
          <w:rFonts w:ascii="Times New Roman" w:hAnsi="Times New Roman"/>
          <w:sz w:val="24"/>
          <w:szCs w:val="24"/>
        </w:rPr>
        <w:footnoteReference w:id="557"/>
      </w:r>
      <w:r w:rsidRPr="00E16A3F">
        <w:rPr>
          <w:rFonts w:ascii="Times New Roman" w:hAnsi="Times New Roman" w:cs="Times New Roman"/>
          <w:sz w:val="24"/>
          <w:szCs w:val="24"/>
        </w:rPr>
        <w:t xml:space="preserve"> </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 xml:space="preserve">The sense of Reynolds’s attitude not easing is reinforced in </w:t>
      </w:r>
      <w:r w:rsidRPr="00E16A3F">
        <w:rPr>
          <w:rFonts w:ascii="Times New Roman" w:hAnsi="Times New Roman" w:cs="Times New Roman"/>
          <w:i/>
          <w:sz w:val="24"/>
          <w:szCs w:val="24"/>
        </w:rPr>
        <w:t>Joseph Wilmot</w:t>
      </w:r>
      <w:r w:rsidRPr="00E16A3F">
        <w:rPr>
          <w:rFonts w:ascii="Times New Roman" w:hAnsi="Times New Roman" w:cs="Times New Roman"/>
          <w:sz w:val="24"/>
          <w:szCs w:val="24"/>
        </w:rPr>
        <w:t xml:space="preserve"> (1853–55) by his treatment of the minor character, Miss Dakin.  The errant Julia Barnet and Sarah Price are at least given a voice, something largely denied to Dakin.  She endures a miserable life at Myrtle Lodge as a kow-towing companion to the domineering Georgiana Tiverton.  Joseph’s comments regarding her ‘old-maidish look’ and it being unlikely she will find a husband suggest there is every reason to rebel against her abject position.</w:t>
      </w:r>
      <w:r w:rsidRPr="00E16A3F">
        <w:rPr>
          <w:rStyle w:val="FootnoteReference"/>
          <w:rFonts w:ascii="Times New Roman" w:hAnsi="Times New Roman"/>
          <w:sz w:val="24"/>
          <w:szCs w:val="24"/>
        </w:rPr>
        <w:footnoteReference w:id="558"/>
      </w:r>
      <w:r w:rsidRPr="00E16A3F">
        <w:rPr>
          <w:rFonts w:ascii="Times New Roman" w:hAnsi="Times New Roman" w:cs="Times New Roman"/>
          <w:sz w:val="24"/>
          <w:szCs w:val="24"/>
        </w:rPr>
        <w:t xml:space="preserve">  At thirty-five years of age, sexually frustrated and seemingly doomed to spinsterhood, she is trapped in a servile position every second of which must result in self-loathing and humiliation.  With little financial security or personal charm, she rightly fears her marriageable eligibility is slipping away.  The entrance of a handsome youth into this environment offers a gleam of hope.  Decorum and any sense of realism are discarded as she makes advances to a sixteen-year-old who seems to promise an alternative existence.  Her behaviour is sexually transgressive, particularly due to the discrepancy in their ages, but is also a fantasy-driven bid for freedom.  She </w:t>
      </w:r>
      <w:r w:rsidRPr="009F78AC">
        <w:rPr>
          <w:rFonts w:ascii="Times New Roman" w:hAnsi="Times New Roman" w:cs="Times New Roman"/>
          <w:sz w:val="24"/>
          <w:szCs w:val="24"/>
        </w:rPr>
        <w:t>fails to see Joseph’s contempt for her unprepossessing appearance and fawning manner</w:t>
      </w:r>
      <w:r w:rsidR="000F29EA" w:rsidRPr="009F78AC">
        <w:rPr>
          <w:rFonts w:ascii="Times New Roman" w:hAnsi="Times New Roman" w:cs="Times New Roman"/>
          <w:sz w:val="24"/>
          <w:szCs w:val="24"/>
        </w:rPr>
        <w:t>,</w:t>
      </w:r>
      <w:r w:rsidRPr="009F78AC">
        <w:rPr>
          <w:rFonts w:ascii="Times New Roman" w:hAnsi="Times New Roman" w:cs="Times New Roman"/>
          <w:sz w:val="24"/>
          <w:szCs w:val="24"/>
        </w:rPr>
        <w:t xml:space="preserve"> which leads him</w:t>
      </w:r>
      <w:r w:rsidRPr="00E16A3F">
        <w:rPr>
          <w:rFonts w:ascii="Times New Roman" w:hAnsi="Times New Roman" w:cs="Times New Roman"/>
          <w:sz w:val="24"/>
          <w:szCs w:val="24"/>
        </w:rPr>
        <w:t xml:space="preserve"> to view her as a ‘miserable grovelling toady’.</w:t>
      </w:r>
      <w:r w:rsidRPr="00E16A3F">
        <w:rPr>
          <w:rStyle w:val="FootnoteReference"/>
          <w:rFonts w:ascii="Times New Roman" w:hAnsi="Times New Roman"/>
          <w:sz w:val="24"/>
          <w:szCs w:val="24"/>
        </w:rPr>
        <w:footnoteReference w:id="559"/>
      </w:r>
      <w:r w:rsidRPr="00E16A3F">
        <w:rPr>
          <w:rFonts w:ascii="Times New Roman" w:hAnsi="Times New Roman" w:cs="Times New Roman"/>
          <w:sz w:val="24"/>
          <w:szCs w:val="24"/>
        </w:rPr>
        <w:t xml:space="preserve">  The clumsy approach, blushing and simpering, as she insists on tying his cravat with trembling hands that repeatedly touch his face make it clear Dakin is no practised temptress.  Everything bespeaks an amateurish attempt to construct a relationship that will break the monotonous life at the lodge.  Joseph’s blunt rejection leads to a violent reaction when she accosts him on the stairs:</w:t>
      </w:r>
    </w:p>
    <w:p w:rsidR="00BA19FC" w:rsidRPr="00E16A3F" w:rsidRDefault="00BA19FC" w:rsidP="00BA19FC">
      <w:pPr>
        <w:spacing w:after="240" w:line="240" w:lineRule="auto"/>
        <w:ind w:left="720"/>
        <w:rPr>
          <w:rFonts w:ascii="Times New Roman" w:hAnsi="Times New Roman" w:cs="Times New Roman"/>
          <w:sz w:val="24"/>
          <w:szCs w:val="24"/>
        </w:rPr>
      </w:pPr>
      <w:r w:rsidRPr="00E16A3F">
        <w:rPr>
          <w:rFonts w:ascii="Times New Roman" w:hAnsi="Times New Roman" w:cs="Times New Roman"/>
          <w:sz w:val="24"/>
          <w:szCs w:val="24"/>
        </w:rPr>
        <w:lastRenderedPageBreak/>
        <w:t>[S]he flew after me: she caught me by the arm—her fingers clasped my flesh as if with an iron vice; and still in that same low voice but deeply accentuated tone, she said, ‘Yes, I hate you—I abhor you!  I could have liked you—I could have loved you madly—I would have done anything for you——But——but——I hate you—and I will wreak all the vengeance of a woman’s bitterness upon you!’</w:t>
      </w:r>
      <w:r w:rsidRPr="00E16A3F">
        <w:rPr>
          <w:rStyle w:val="FootnoteReference"/>
          <w:rFonts w:ascii="Times New Roman" w:hAnsi="Times New Roman"/>
          <w:sz w:val="24"/>
          <w:szCs w:val="24"/>
        </w:rPr>
        <w:footnoteReference w:id="560"/>
      </w:r>
    </w:p>
    <w:p w:rsidR="00BA19FC" w:rsidRPr="00E16A3F" w:rsidRDefault="00BA19FC" w:rsidP="00BA19FC">
      <w:pPr>
        <w:spacing w:after="240" w:line="360" w:lineRule="auto"/>
        <w:rPr>
          <w:rFonts w:ascii="Times New Roman" w:hAnsi="Times New Roman" w:cs="Times New Roman"/>
          <w:sz w:val="24"/>
          <w:szCs w:val="24"/>
        </w:rPr>
      </w:pPr>
      <w:r w:rsidRPr="00E16A3F">
        <w:rPr>
          <w:rFonts w:ascii="Times New Roman" w:hAnsi="Times New Roman" w:cs="Times New Roman"/>
          <w:sz w:val="24"/>
          <w:szCs w:val="24"/>
        </w:rPr>
        <w:t>Her unstable emotions change rapidly between obsessive longing and virulent hatred.  The confession of previous feelings indicates she still needs Joseph and her words are a last despairing plea to claim him through offers of future devotion coupled with threats of vengeance.  The way she clasps his flesh like an ‘iron vice’ indicates the fervent nature of her wishes.  This is further suggested in the later vindictive attempt to have him punished by placing stolen spoons and a ring under his mattress, an action that sees the objects symbolize her hopes for domesticity and the married state while the location chosen for a hiding place points to the carnal aspect of her desires.</w:t>
      </w:r>
      <w:r w:rsidRPr="00E16A3F">
        <w:rPr>
          <w:rStyle w:val="FootnoteReference"/>
          <w:rFonts w:ascii="Times New Roman" w:hAnsi="Times New Roman"/>
          <w:sz w:val="24"/>
          <w:szCs w:val="24"/>
        </w:rPr>
        <w:footnoteReference w:id="561"/>
      </w:r>
      <w:r w:rsidRPr="00E16A3F">
        <w:rPr>
          <w:rFonts w:ascii="Times New Roman" w:hAnsi="Times New Roman" w:cs="Times New Roman"/>
          <w:sz w:val="24"/>
          <w:szCs w:val="24"/>
        </w:rPr>
        <w:t xml:space="preserve">  Dakin’s advances </w:t>
      </w:r>
      <w:r w:rsidRPr="009F78AC">
        <w:rPr>
          <w:rFonts w:ascii="Times New Roman" w:hAnsi="Times New Roman" w:cs="Times New Roman"/>
          <w:sz w:val="24"/>
          <w:szCs w:val="24"/>
        </w:rPr>
        <w:t xml:space="preserve">and </w:t>
      </w:r>
      <w:r w:rsidR="000F29EA" w:rsidRPr="009F78AC">
        <w:rPr>
          <w:rFonts w:ascii="Times New Roman" w:hAnsi="Times New Roman" w:cs="Times New Roman"/>
          <w:sz w:val="24"/>
          <w:szCs w:val="24"/>
        </w:rPr>
        <w:t>consequent</w:t>
      </w:r>
      <w:r w:rsidRPr="009F78AC">
        <w:rPr>
          <w:rFonts w:ascii="Times New Roman" w:hAnsi="Times New Roman" w:cs="Times New Roman"/>
          <w:sz w:val="24"/>
          <w:szCs w:val="24"/>
        </w:rPr>
        <w:t xml:space="preserve"> reaction lack</w:t>
      </w:r>
      <w:r w:rsidRPr="00E16A3F">
        <w:rPr>
          <w:rFonts w:ascii="Times New Roman" w:hAnsi="Times New Roman" w:cs="Times New Roman"/>
          <w:sz w:val="24"/>
          <w:szCs w:val="24"/>
        </w:rPr>
        <w:t xml:space="preserve"> propriety but are understandable.  Joseph shatters her illusions so that rather than being a path to freedom he becomes part of the oppressive world that has consigned her to misery.  However, little sympathy is shown in the writing of the older Wilmot, for whom the benefit of hindsight does not appear to soften the harsh thoughts he held as a moralistic sixteen-year-old.</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 xml:space="preserve">On rare occasions Reynolds allows women from the industrious classes to hold a pragmatic attitude towards sexual transgression without it adversely affecting their character.  In </w:t>
      </w:r>
      <w:r w:rsidRPr="00E16A3F">
        <w:rPr>
          <w:rFonts w:ascii="Times New Roman" w:hAnsi="Times New Roman" w:cs="Times New Roman"/>
          <w:i/>
          <w:sz w:val="24"/>
          <w:szCs w:val="24"/>
        </w:rPr>
        <w:t>The Seamstress</w:t>
      </w:r>
      <w:r w:rsidRPr="00E16A3F">
        <w:rPr>
          <w:rFonts w:ascii="Times New Roman" w:hAnsi="Times New Roman" w:cs="Times New Roman"/>
          <w:sz w:val="24"/>
          <w:szCs w:val="24"/>
        </w:rPr>
        <w:t>, the servant Jane provides a balanced picture, as one who accepts prostitution while realizing it is undesirable and indeed impossible for figures like Virginia Mordaunt.  Jane is introduced as a ‘slatternly servant-girl’ when they meet in the kitchen of the lodging house but there is also suggestion of a better nature in that her ‘indifferent’ replies are ‘not insolently given’.</w:t>
      </w:r>
      <w:r w:rsidRPr="00E16A3F">
        <w:rPr>
          <w:rStyle w:val="FootnoteReference"/>
          <w:rFonts w:ascii="Times New Roman" w:hAnsi="Times New Roman"/>
          <w:bCs/>
          <w:sz w:val="24"/>
          <w:szCs w:val="24"/>
        </w:rPr>
        <w:footnoteReference w:id="562"/>
      </w:r>
      <w:r w:rsidRPr="00E16A3F">
        <w:rPr>
          <w:rFonts w:ascii="Times New Roman" w:hAnsi="Times New Roman" w:cs="Times New Roman"/>
          <w:sz w:val="24"/>
          <w:szCs w:val="24"/>
        </w:rPr>
        <w:t xml:space="preserve">  She sympathizes with Virginia for her heavy workload:</w:t>
      </w:r>
    </w:p>
    <w:p w:rsidR="00BA19FC" w:rsidRPr="00E16A3F" w:rsidRDefault="00BA19FC" w:rsidP="00BA19FC">
      <w:pPr>
        <w:spacing w:after="240" w:line="240" w:lineRule="auto"/>
        <w:ind w:left="720"/>
        <w:rPr>
          <w:rFonts w:ascii="Times New Roman" w:hAnsi="Times New Roman" w:cs="Times New Roman"/>
          <w:sz w:val="24"/>
          <w:szCs w:val="24"/>
        </w:rPr>
      </w:pPr>
      <w:r w:rsidRPr="00E16A3F">
        <w:rPr>
          <w:rFonts w:ascii="Times New Roman" w:hAnsi="Times New Roman" w:cs="Times New Roman"/>
          <w:sz w:val="24"/>
          <w:szCs w:val="24"/>
        </w:rPr>
        <w:t>But you won’t keep it up long, Miss—you’ll see you won’t.  It will kill you right off in a few years if you do.  Well, it’s a pity—a great pity, such a sweet pretty creature as you are—and quite a lady too: but your fate is fixed, as the saying is—and in a short time you’ll be glad to take it easy as Miss Barnet does.</w:t>
      </w:r>
      <w:r w:rsidRPr="00E16A3F">
        <w:rPr>
          <w:rStyle w:val="FootnoteReference"/>
          <w:rFonts w:ascii="Times New Roman" w:hAnsi="Times New Roman"/>
          <w:bCs/>
          <w:sz w:val="24"/>
          <w:szCs w:val="24"/>
        </w:rPr>
        <w:footnoteReference w:id="563"/>
      </w:r>
    </w:p>
    <w:p w:rsidR="00BA19FC" w:rsidRPr="00E16A3F" w:rsidRDefault="00BA19FC" w:rsidP="00BA19FC">
      <w:pPr>
        <w:spacing w:after="120" w:line="360" w:lineRule="auto"/>
        <w:rPr>
          <w:rFonts w:ascii="Times New Roman" w:hAnsi="Times New Roman" w:cs="Times New Roman"/>
          <w:sz w:val="24"/>
          <w:szCs w:val="24"/>
        </w:rPr>
      </w:pPr>
      <w:r w:rsidRPr="00E16A3F">
        <w:rPr>
          <w:rFonts w:ascii="Times New Roman" w:hAnsi="Times New Roman" w:cs="Times New Roman"/>
          <w:sz w:val="24"/>
          <w:szCs w:val="24"/>
        </w:rPr>
        <w:t xml:space="preserve">Jane displays compassion and the ability to see beyond her own straitened circumstances.  Virginia is looked down upon by many, such as the ‘petticoat-authority’ Mrs Dulcimer at Madame Duplessy’s establishment, but Jane does not see in her an easy target to vent </w:t>
      </w:r>
      <w:r w:rsidRPr="00E16A3F">
        <w:rPr>
          <w:rFonts w:ascii="Times New Roman" w:hAnsi="Times New Roman" w:cs="Times New Roman"/>
          <w:sz w:val="24"/>
          <w:szCs w:val="24"/>
        </w:rPr>
        <w:lastRenderedPageBreak/>
        <w:t>frustrations upon and neither is she jealous of her beauty and ladylike demeanour.  Initially she advises Virginia to emulate Julia Barnet and suspects her ignorance regarding the prostitute is mere affectation.  However, on realizing this is not the case Jane’s attitude becomes one of ‘deepest commiseration’ and she abruptly abandons the conversation by apparently relapsing into her ‘wonted sullenness and reserve’.</w:t>
      </w:r>
      <w:r w:rsidRPr="00E16A3F">
        <w:rPr>
          <w:rStyle w:val="FootnoteReference"/>
          <w:rFonts w:ascii="Times New Roman" w:hAnsi="Times New Roman"/>
          <w:bCs/>
          <w:sz w:val="24"/>
          <w:szCs w:val="24"/>
        </w:rPr>
        <w:footnoteReference w:id="564"/>
      </w:r>
      <w:r w:rsidRPr="00E16A3F">
        <w:rPr>
          <w:rFonts w:ascii="Times New Roman" w:hAnsi="Times New Roman" w:cs="Times New Roman"/>
          <w:sz w:val="24"/>
          <w:szCs w:val="24"/>
        </w:rPr>
        <w:t xml:space="preserve">  The attempt to prevent the uncaring landlady, Mrs Drake, from encouraging Virginia to follow Julia’s path as a means of paying the rent earns a harsh rebuke, suggesting the risk she has taken in making the intervention and how precariously she is situated when it comes to retaining even a poorly paid occupation.  The task of treating Jane even-handedly is made easier because Reynolds leaves her moral standing uncertain when writing that her ‘experience was such that she had little left to learn’, the concluding words leaving it an open question as to whether she has ‘fallen’.</w:t>
      </w:r>
      <w:r w:rsidRPr="00E16A3F">
        <w:rPr>
          <w:rStyle w:val="FootnoteReference"/>
          <w:rFonts w:ascii="Times New Roman" w:hAnsi="Times New Roman"/>
          <w:bCs/>
          <w:sz w:val="24"/>
          <w:szCs w:val="24"/>
        </w:rPr>
        <w:footnoteReference w:id="565"/>
      </w:r>
      <w:r w:rsidRPr="00E16A3F">
        <w:rPr>
          <w:rFonts w:ascii="Times New Roman" w:hAnsi="Times New Roman" w:cs="Times New Roman"/>
          <w:sz w:val="24"/>
          <w:szCs w:val="24"/>
        </w:rPr>
        <w:t xml:space="preserve">  Furthermore, although lacking angelic qualities, there is always the sense of her respectability being signalled by the honest labour she performs.  The superiority of her resigned pragmatism over Julia’s desire for material gratification is demonstrated in their encounter after Virginia has departed:</w:t>
      </w:r>
    </w:p>
    <w:p w:rsidR="00BA19FC" w:rsidRPr="00E16A3F" w:rsidRDefault="00BA19FC" w:rsidP="00BA19FC">
      <w:pPr>
        <w:spacing w:after="240" w:line="240" w:lineRule="auto"/>
        <w:ind w:left="720"/>
        <w:rPr>
          <w:rFonts w:ascii="Times New Roman" w:hAnsi="Times New Roman" w:cs="Times New Roman"/>
          <w:sz w:val="24"/>
          <w:szCs w:val="24"/>
        </w:rPr>
      </w:pPr>
      <w:r w:rsidRPr="00E16A3F">
        <w:rPr>
          <w:rFonts w:ascii="Times New Roman" w:hAnsi="Times New Roman" w:cs="Times New Roman"/>
          <w:sz w:val="24"/>
          <w:szCs w:val="24"/>
        </w:rPr>
        <w:t>‘On bidding me good bye,’ said Jane, the servant-girl, ‘she cried very much, poor thing!  I asked her if anything unpleasant had occurred: but she sobbed so, that I thought her heart would break.  She could not find words to give me any explanation, even if she had intended: but she pressed my hand warmly, and hurried away, carrying her few necessaries in a little bundle.  Ah! Poor girl—she quite made my heart bleed for her!’ added the servant, with tears running down her cheeks.’</w:t>
      </w:r>
      <w:r w:rsidRPr="00E16A3F">
        <w:rPr>
          <w:rStyle w:val="FootnoteReference"/>
          <w:rFonts w:ascii="Times New Roman" w:hAnsi="Times New Roman"/>
          <w:bCs/>
          <w:sz w:val="24"/>
          <w:szCs w:val="24"/>
        </w:rPr>
        <w:footnoteReference w:id="566"/>
      </w:r>
    </w:p>
    <w:p w:rsidR="00BA19FC" w:rsidRPr="00E16A3F" w:rsidRDefault="00BA19FC" w:rsidP="00BA19FC">
      <w:pPr>
        <w:spacing w:after="120" w:line="360" w:lineRule="auto"/>
        <w:rPr>
          <w:rFonts w:ascii="Times New Roman" w:hAnsi="Times New Roman" w:cs="Times New Roman"/>
          <w:bCs/>
          <w:sz w:val="24"/>
          <w:szCs w:val="24"/>
        </w:rPr>
      </w:pPr>
      <w:r w:rsidRPr="00E16A3F">
        <w:rPr>
          <w:rFonts w:ascii="Times New Roman" w:hAnsi="Times New Roman" w:cs="Times New Roman"/>
          <w:sz w:val="24"/>
          <w:szCs w:val="24"/>
        </w:rPr>
        <w:t xml:space="preserve">Jane’s sorrow is no fleeting sentiment, her reply emphasising Virginia’s lack of possessions and deep concern at the circumstances that made her leave.  She is gratified for the slight token of affection shown in the pressing of her hand and remembrance of the meeting brings tears to her eyes and thoughts of the dangers that will now be faced: ‘“Ah! She is a thoroughly honest and good girl,” added the servant, with a </w:t>
      </w:r>
      <w:r w:rsidRPr="009F78AC">
        <w:rPr>
          <w:rFonts w:ascii="Times New Roman" w:hAnsi="Times New Roman" w:cs="Times New Roman"/>
          <w:sz w:val="24"/>
          <w:szCs w:val="24"/>
        </w:rPr>
        <w:t>profound sigh.  “But——”’</w:t>
      </w:r>
      <w:r w:rsidR="000F29EA" w:rsidRPr="009F78AC">
        <w:rPr>
          <w:rFonts w:ascii="Times New Roman" w:hAnsi="Times New Roman" w:cs="Times New Roman"/>
          <w:sz w:val="24"/>
          <w:szCs w:val="24"/>
        </w:rPr>
        <w:t>.</w:t>
      </w:r>
      <w:r w:rsidRPr="009F78AC">
        <w:rPr>
          <w:rStyle w:val="FootnoteReference"/>
          <w:rFonts w:ascii="Times New Roman" w:hAnsi="Times New Roman"/>
          <w:bCs/>
          <w:sz w:val="24"/>
          <w:szCs w:val="24"/>
        </w:rPr>
        <w:footnoteReference w:id="567"/>
      </w:r>
      <w:r w:rsidRPr="00E16A3F">
        <w:rPr>
          <w:rFonts w:ascii="Times New Roman" w:hAnsi="Times New Roman" w:cs="Times New Roman"/>
          <w:sz w:val="24"/>
          <w:szCs w:val="24"/>
        </w:rPr>
        <w:t xml:space="preserve">  Jane’s sympathy for Virginia’s virtuous lifestyle is blended with ominous doubts as to whether it can continue.  Although displaying the same fatalism as many of Reynolds’s working class, with Jane it leads to great sadness because she understands that immoral alternatives offer no escape to someone of Virginia’s character.  For Julia, such virtue is folly: ‘Miss Barnet, whose feelings as a jealous woman of narrow mind prevented her from sharing </w:t>
      </w:r>
      <w:r w:rsidRPr="00E16A3F">
        <w:rPr>
          <w:rFonts w:ascii="Times New Roman" w:hAnsi="Times New Roman" w:cs="Times New Roman"/>
          <w:sz w:val="24"/>
          <w:szCs w:val="24"/>
        </w:rPr>
        <w:lastRenderedPageBreak/>
        <w:t>in the sympathy that the servant-girl experienced for the unhappy seamstress’.</w:t>
      </w:r>
      <w:r w:rsidRPr="00E16A3F">
        <w:rPr>
          <w:rStyle w:val="FootnoteReference"/>
          <w:rFonts w:ascii="Times New Roman" w:hAnsi="Times New Roman"/>
          <w:bCs/>
          <w:sz w:val="24"/>
          <w:szCs w:val="24"/>
        </w:rPr>
        <w:footnoteReference w:id="568"/>
      </w:r>
      <w:r w:rsidRPr="00E16A3F">
        <w:rPr>
          <w:rFonts w:ascii="Times New Roman" w:hAnsi="Times New Roman" w:cs="Times New Roman"/>
          <w:sz w:val="24"/>
          <w:szCs w:val="24"/>
        </w:rPr>
        <w:t xml:space="preserve">  In this scene, Reynolds reverses the earlier status of the seemingly apolitical, ‘slatternly’ servant and the beautiful, socially aware temptress</w:t>
      </w:r>
      <w:r w:rsidRPr="00E16A3F">
        <w:rPr>
          <w:rFonts w:ascii="Times New Roman" w:hAnsi="Times New Roman" w:cs="Times New Roman"/>
          <w:bCs/>
          <w:sz w:val="24"/>
          <w:szCs w:val="24"/>
        </w:rPr>
        <w:t xml:space="preserve">.  The latter’s decline persists as </w:t>
      </w:r>
      <w:r w:rsidRPr="00E16A3F">
        <w:rPr>
          <w:rFonts w:ascii="Times New Roman" w:hAnsi="Times New Roman" w:cs="Times New Roman"/>
          <w:sz w:val="24"/>
          <w:szCs w:val="24"/>
        </w:rPr>
        <w:t xml:space="preserve">her self-serving rebellion becomes more melodramatic and her </w:t>
      </w:r>
      <w:r w:rsidRPr="00E16A3F">
        <w:rPr>
          <w:rFonts w:ascii="Times New Roman" w:hAnsi="Times New Roman" w:cs="Times New Roman"/>
          <w:bCs/>
          <w:sz w:val="24"/>
          <w:szCs w:val="24"/>
        </w:rPr>
        <w:t xml:space="preserve">sexual </w:t>
      </w:r>
      <w:r w:rsidRPr="00E16A3F">
        <w:rPr>
          <w:rFonts w:ascii="Times New Roman" w:hAnsi="Times New Roman" w:cs="Times New Roman"/>
          <w:sz w:val="24"/>
          <w:szCs w:val="24"/>
        </w:rPr>
        <w:t>activities no more than commercial transactions</w:t>
      </w:r>
      <w:r w:rsidRPr="00E16A3F">
        <w:rPr>
          <w:rFonts w:ascii="Times New Roman" w:hAnsi="Times New Roman" w:cs="Times New Roman"/>
          <w:bCs/>
          <w:sz w:val="24"/>
          <w:szCs w:val="24"/>
        </w:rPr>
        <w:t xml:space="preserve">.  </w:t>
      </w:r>
      <w:r w:rsidRPr="00E16A3F">
        <w:rPr>
          <w:rFonts w:ascii="Times New Roman" w:hAnsi="Times New Roman" w:cs="Times New Roman"/>
          <w:sz w:val="24"/>
          <w:szCs w:val="24"/>
        </w:rPr>
        <w:t>After a lengthy absence from the narrative she is reintroduced as mistress to the rake ‘Captain’ Tom Lovel, having had a string of paramours.</w:t>
      </w:r>
      <w:r w:rsidRPr="00E16A3F">
        <w:rPr>
          <w:rStyle w:val="FootnoteReference"/>
          <w:rFonts w:ascii="Times New Roman" w:hAnsi="Times New Roman"/>
          <w:bCs/>
          <w:sz w:val="24"/>
          <w:szCs w:val="24"/>
        </w:rPr>
        <w:footnoteReference w:id="569"/>
      </w:r>
      <w:r w:rsidRPr="00E16A3F">
        <w:rPr>
          <w:rFonts w:ascii="Times New Roman" w:hAnsi="Times New Roman" w:cs="Times New Roman"/>
          <w:sz w:val="24"/>
          <w:szCs w:val="24"/>
        </w:rPr>
        <w:t xml:space="preserve">  After he is arrested in Paris for forgery and later sent to the quicksilver mines of Idria, Julia returns to England adding to ‘the frightful catalogue of lost females who ply their ‘loathsome trade in the streets of London’.</w:t>
      </w:r>
      <w:r w:rsidRPr="00E16A3F">
        <w:rPr>
          <w:rStyle w:val="FootnoteReference"/>
          <w:rFonts w:ascii="Times New Roman" w:hAnsi="Times New Roman"/>
          <w:bCs/>
          <w:sz w:val="24"/>
          <w:szCs w:val="24"/>
        </w:rPr>
        <w:footnoteReference w:id="570"/>
      </w:r>
      <w:r w:rsidRPr="00E16A3F">
        <w:rPr>
          <w:rFonts w:ascii="Times New Roman" w:hAnsi="Times New Roman" w:cs="Times New Roman"/>
          <w:sz w:val="24"/>
          <w:szCs w:val="24"/>
        </w:rPr>
        <w:t xml:space="preserve">  It is a destiny that w</w:t>
      </w:r>
      <w:r w:rsidRPr="00E16A3F">
        <w:rPr>
          <w:rFonts w:ascii="Times New Roman" w:hAnsi="Times New Roman" w:cs="Times New Roman"/>
          <w:bCs/>
          <w:sz w:val="24"/>
          <w:szCs w:val="24"/>
        </w:rPr>
        <w:t xml:space="preserve">as largely foretold in the early appearances at Mrs Drake’s lodging house, the fruit of her excessive </w:t>
      </w:r>
      <w:r w:rsidRPr="00E16A3F">
        <w:rPr>
          <w:rFonts w:ascii="Times New Roman" w:hAnsi="Times New Roman" w:cs="Times New Roman"/>
          <w:sz w:val="24"/>
          <w:szCs w:val="24"/>
        </w:rPr>
        <w:t>sensuality</w:t>
      </w:r>
      <w:r w:rsidRPr="00E16A3F">
        <w:rPr>
          <w:rFonts w:ascii="Times New Roman" w:hAnsi="Times New Roman" w:cs="Times New Roman"/>
          <w:bCs/>
          <w:sz w:val="24"/>
          <w:szCs w:val="24"/>
        </w:rPr>
        <w:t>.</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 xml:space="preserve">Reynolds invariably accompanies these portrayals with much authorial disapproval, setting them against an unrealistic image of womanhood, an example of which is voiced in </w:t>
      </w:r>
      <w:r w:rsidRPr="00E16A3F">
        <w:rPr>
          <w:rFonts w:ascii="Times New Roman" w:hAnsi="Times New Roman" w:cs="Times New Roman"/>
          <w:i/>
          <w:sz w:val="24"/>
          <w:szCs w:val="24"/>
        </w:rPr>
        <w:t>The Mysteries of London</w:t>
      </w:r>
      <w:r w:rsidRPr="00E16A3F">
        <w:rPr>
          <w:rFonts w:ascii="Times New Roman" w:hAnsi="Times New Roman" w:cs="Times New Roman"/>
          <w:sz w:val="24"/>
          <w:szCs w:val="24"/>
        </w:rPr>
        <w:t xml:space="preserve"> by Lord Arthur Ellingham: ‘My ideas—my sentiments, concerning woman and her mission here, have always been of the loftiest kind: but now I am led to recognise something angelic—something heavenly in her disposition.’</w:t>
      </w:r>
      <w:r w:rsidRPr="00E16A3F">
        <w:rPr>
          <w:rStyle w:val="FootnoteReference"/>
          <w:rFonts w:ascii="Times New Roman" w:hAnsi="Times New Roman"/>
          <w:sz w:val="24"/>
          <w:szCs w:val="24"/>
        </w:rPr>
        <w:footnoteReference w:id="571"/>
      </w:r>
      <w:r w:rsidRPr="00E16A3F">
        <w:rPr>
          <w:rFonts w:ascii="Times New Roman" w:hAnsi="Times New Roman" w:cs="Times New Roman"/>
          <w:sz w:val="24"/>
          <w:szCs w:val="24"/>
        </w:rPr>
        <w:t xml:space="preserve">  Here the ‘mission’ suggests female confinement to a predefined role which has been conjured up in the vague, semi-mystical musings of male figures. The standard to emulate is set by those like Lucy Lonsdale in </w:t>
      </w:r>
      <w:r w:rsidRPr="00E16A3F">
        <w:rPr>
          <w:rFonts w:ascii="Times New Roman" w:hAnsi="Times New Roman" w:cs="Times New Roman"/>
          <w:i/>
          <w:sz w:val="24"/>
          <w:szCs w:val="24"/>
        </w:rPr>
        <w:t>The Soldier’s Wife</w:t>
      </w:r>
      <w:r w:rsidRPr="00E16A3F">
        <w:rPr>
          <w:rFonts w:ascii="Times New Roman" w:hAnsi="Times New Roman" w:cs="Times New Roman"/>
          <w:sz w:val="24"/>
          <w:szCs w:val="24"/>
        </w:rPr>
        <w:t xml:space="preserve">.  When describing her in young </w:t>
      </w:r>
      <w:r w:rsidRPr="009F78AC">
        <w:rPr>
          <w:rFonts w:ascii="Times New Roman" w:hAnsi="Times New Roman" w:cs="Times New Roman"/>
          <w:sz w:val="24"/>
          <w:szCs w:val="24"/>
        </w:rPr>
        <w:t>motherhood, Reynolds</w:t>
      </w:r>
      <w:r w:rsidR="00F044D7" w:rsidRPr="009F78AC">
        <w:rPr>
          <w:rFonts w:ascii="Times New Roman" w:hAnsi="Times New Roman" w:cs="Times New Roman"/>
          <w:sz w:val="24"/>
          <w:szCs w:val="24"/>
        </w:rPr>
        <w:t xml:space="preserve"> </w:t>
      </w:r>
      <w:r w:rsidRPr="009F78AC">
        <w:rPr>
          <w:rFonts w:ascii="Times New Roman" w:hAnsi="Times New Roman" w:cs="Times New Roman"/>
          <w:sz w:val="24"/>
          <w:szCs w:val="24"/>
        </w:rPr>
        <w:t>inserts</w:t>
      </w:r>
      <w:r w:rsidRPr="00E16A3F">
        <w:rPr>
          <w:rFonts w:ascii="Times New Roman" w:hAnsi="Times New Roman" w:cs="Times New Roman"/>
          <w:sz w:val="24"/>
          <w:szCs w:val="24"/>
        </w:rPr>
        <w:t xml:space="preserve"> the following paean to female virtue:</w:t>
      </w:r>
    </w:p>
    <w:p w:rsidR="00BA19FC" w:rsidRPr="00E16A3F" w:rsidRDefault="00BA19FC" w:rsidP="00BA19FC">
      <w:pPr>
        <w:spacing w:after="240" w:line="240" w:lineRule="auto"/>
        <w:ind w:left="720"/>
        <w:rPr>
          <w:rFonts w:ascii="Times New Roman" w:hAnsi="Times New Roman" w:cs="Times New Roman"/>
          <w:sz w:val="24"/>
          <w:szCs w:val="24"/>
        </w:rPr>
      </w:pPr>
      <w:r w:rsidRPr="00E16A3F">
        <w:rPr>
          <w:rFonts w:ascii="Times New Roman" w:hAnsi="Times New Roman" w:cs="Times New Roman"/>
          <w:sz w:val="24"/>
          <w:szCs w:val="24"/>
        </w:rPr>
        <w:t>Last at the cross and earliest at the grave of the Saviour, she teaches to the sincere Christian some of the sweetest and holiest morals of his faith; and thus is the name of Woman hallowed by religion likewise as well as sanctified by love.</w:t>
      </w:r>
      <w:r w:rsidRPr="00E16A3F">
        <w:rPr>
          <w:rStyle w:val="FootnoteReference"/>
          <w:rFonts w:ascii="Times New Roman" w:hAnsi="Times New Roman"/>
          <w:sz w:val="24"/>
          <w:szCs w:val="24"/>
        </w:rPr>
        <w:footnoteReference w:id="572"/>
      </w:r>
    </w:p>
    <w:p w:rsidR="00BA19FC" w:rsidRPr="00E16A3F" w:rsidRDefault="00BA19FC" w:rsidP="00BA19FC">
      <w:pPr>
        <w:spacing w:after="120" w:line="360" w:lineRule="auto"/>
        <w:rPr>
          <w:rFonts w:ascii="Times New Roman" w:hAnsi="Times New Roman" w:cs="Times New Roman"/>
          <w:sz w:val="24"/>
          <w:szCs w:val="24"/>
        </w:rPr>
      </w:pPr>
      <w:r w:rsidRPr="00E16A3F">
        <w:rPr>
          <w:rFonts w:ascii="Times New Roman" w:hAnsi="Times New Roman" w:cs="Times New Roman"/>
          <w:sz w:val="24"/>
          <w:szCs w:val="24"/>
        </w:rPr>
        <w:t>Echoing the religious overtones of Ellingham’s thoughts about the ‘angelic’ and ‘heavenly’ nature of the female disposition, this invocation of the crucifixion, reinforcing references to ‘celestial purity’ and ‘unvarying constancy’, commits women to sacrifice and resignation.</w:t>
      </w:r>
      <w:r w:rsidRPr="00E16A3F">
        <w:rPr>
          <w:rStyle w:val="FootnoteReference"/>
          <w:rFonts w:ascii="Times New Roman" w:hAnsi="Times New Roman"/>
          <w:sz w:val="24"/>
          <w:szCs w:val="24"/>
        </w:rPr>
        <w:footnoteReference w:id="573"/>
      </w:r>
      <w:r w:rsidRPr="00E16A3F">
        <w:rPr>
          <w:rFonts w:ascii="Times New Roman" w:hAnsi="Times New Roman" w:cs="Times New Roman"/>
          <w:sz w:val="24"/>
          <w:szCs w:val="24"/>
        </w:rPr>
        <w:t xml:space="preserve">  When Lucy is at Carlisle, fearing the capture of her husband Frederick for desertion and the consequences it will have for their baby Freddy, Reynolds comments that ‘woman’ being readier to think of misfortune and calamity allows her to ‘better fulfil her heavenly mission of man’s consoler’.</w:t>
      </w:r>
      <w:r w:rsidRPr="00E16A3F">
        <w:rPr>
          <w:rStyle w:val="FootnoteReference"/>
          <w:rFonts w:ascii="Times New Roman" w:hAnsi="Times New Roman"/>
          <w:sz w:val="24"/>
          <w:szCs w:val="24"/>
        </w:rPr>
        <w:footnoteReference w:id="574"/>
      </w:r>
      <w:r w:rsidRPr="00E16A3F">
        <w:rPr>
          <w:rFonts w:ascii="Times New Roman" w:hAnsi="Times New Roman" w:cs="Times New Roman"/>
          <w:sz w:val="24"/>
          <w:szCs w:val="24"/>
        </w:rPr>
        <w:t xml:space="preserve">  This is notable for turning female ability to think more deeply and clearly </w:t>
      </w:r>
      <w:r w:rsidRPr="00E16A3F">
        <w:rPr>
          <w:rFonts w:ascii="Times New Roman" w:hAnsi="Times New Roman" w:cs="Times New Roman"/>
          <w:sz w:val="24"/>
          <w:szCs w:val="24"/>
        </w:rPr>
        <w:lastRenderedPageBreak/>
        <w:t>about certain situations into a reason for her continued subordination.  Such devotion is buttressed by trust in providence.</w:t>
      </w:r>
      <w:r w:rsidRPr="00E16A3F">
        <w:rPr>
          <w:rStyle w:val="FootnoteReference"/>
          <w:rFonts w:ascii="Times New Roman" w:hAnsi="Times New Roman"/>
          <w:sz w:val="24"/>
          <w:szCs w:val="24"/>
        </w:rPr>
        <w:footnoteReference w:id="575"/>
      </w:r>
      <w:r w:rsidRPr="00E16A3F">
        <w:rPr>
          <w:rFonts w:ascii="Times New Roman" w:hAnsi="Times New Roman" w:cs="Times New Roman"/>
          <w:sz w:val="24"/>
          <w:szCs w:val="24"/>
        </w:rPr>
        <w:t xml:space="preserve">  This ensures there can be no equivocation regarding matters of sexual conduct, even in the most extreme circumstances.  Lucy confirms this by her response to the libertine Captain Wyndham when pleading a less severe punishment for Frederick.  She will not cede to any advances despite his cruel stress on the suffering endured in a flogging.  Among all the troubles faced, the thought of sexual transgression has perhaps the deepest impact upon her, to the extent she temporarily questions providence, wondering ‘how it was that heaven thus suffered her to be so tortured’.</w:t>
      </w:r>
      <w:r w:rsidRPr="00E16A3F">
        <w:rPr>
          <w:rStyle w:val="FootnoteReference"/>
          <w:rFonts w:ascii="Times New Roman" w:hAnsi="Times New Roman"/>
          <w:sz w:val="24"/>
          <w:szCs w:val="24"/>
        </w:rPr>
        <w:footnoteReference w:id="576"/>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The strict rules Reynolds enforces are observable even for those like Ellen Monroe whose behaviour is most defensible.  However, where she fails his test of ideal womanhood Kate Wilmot succeeds.  When introduced she is sixteen and living in the notorious district of Saint Giles.  Despite being surrounded by vice, we are told of her caring attitude towards neighbours, her domesticity and modesty.  Margaret Dalziel writes: ‘A very important rule of behaviour was that a woman did not allow herself to love till she knew she was beloved.’</w:t>
      </w:r>
      <w:r w:rsidRPr="00E16A3F">
        <w:rPr>
          <w:rStyle w:val="FootnoteReference"/>
          <w:rFonts w:ascii="Times New Roman" w:hAnsi="Times New Roman"/>
          <w:sz w:val="24"/>
          <w:szCs w:val="24"/>
        </w:rPr>
        <w:footnoteReference w:id="577"/>
      </w:r>
      <w:r w:rsidRPr="00E16A3F">
        <w:rPr>
          <w:rFonts w:ascii="Times New Roman" w:hAnsi="Times New Roman" w:cs="Times New Roman"/>
          <w:sz w:val="24"/>
          <w:szCs w:val="24"/>
        </w:rPr>
        <w:t xml:space="preserve">  Reynolds’s young heroines are unable to properly understand their sexual emotions and need them to be explained.  This is typified in Kate’s exchange with Ellen when she awkwardly reveals how she has seen a ‘handsome stranger’ while out walking: ‘Our eyes met—and I passed hastily on.  I felt myself blushing—I knew not why—to the very verge of my forehead.  And yet I had done no wrong.’</w:t>
      </w:r>
      <w:r w:rsidRPr="00E16A3F">
        <w:rPr>
          <w:rStyle w:val="FootnoteReference"/>
          <w:rFonts w:ascii="Times New Roman" w:hAnsi="Times New Roman"/>
          <w:sz w:val="24"/>
          <w:szCs w:val="24"/>
        </w:rPr>
        <w:footnoteReference w:id="578"/>
      </w:r>
      <w:r w:rsidRPr="00E16A3F">
        <w:rPr>
          <w:rFonts w:ascii="Times New Roman" w:hAnsi="Times New Roman" w:cs="Times New Roman"/>
          <w:sz w:val="24"/>
          <w:szCs w:val="24"/>
        </w:rPr>
        <w:t xml:space="preserve">  The stranger is the Italian Mario Bazzano, whom she will later marry, in line with the perfect Victorian heroine for whom such romantic thoughts are generally confined to one male figure.  It is necessary for Ellen to explain the meaning of these feelings which she does in a gently mocking way.  The difference between ideal and tarnished heroine is evident in the illustration where the two are </w:t>
      </w:r>
      <w:r w:rsidRPr="00135C13">
        <w:rPr>
          <w:rFonts w:ascii="Times New Roman" w:hAnsi="Times New Roman" w:cs="Times New Roman"/>
          <w:sz w:val="24"/>
          <w:szCs w:val="24"/>
        </w:rPr>
        <w:t>together (</w:t>
      </w:r>
      <w:r w:rsidR="00F8153E" w:rsidRPr="00135C13">
        <w:rPr>
          <w:rFonts w:ascii="Times New Roman" w:hAnsi="Times New Roman" w:cs="Times New Roman"/>
          <w:sz w:val="24"/>
          <w:szCs w:val="24"/>
        </w:rPr>
        <w:t>s</w:t>
      </w:r>
      <w:r w:rsidRPr="00135C13">
        <w:rPr>
          <w:rFonts w:ascii="Times New Roman" w:hAnsi="Times New Roman" w:cs="Times New Roman"/>
          <w:sz w:val="24"/>
          <w:szCs w:val="24"/>
        </w:rPr>
        <w:t xml:space="preserve">ee Appendix </w:t>
      </w:r>
      <w:r w:rsidR="00F8153E" w:rsidRPr="00135C13">
        <w:rPr>
          <w:rFonts w:ascii="Times New Roman" w:hAnsi="Times New Roman" w:cs="Times New Roman"/>
          <w:sz w:val="24"/>
          <w:szCs w:val="24"/>
        </w:rPr>
        <w:t>F</w:t>
      </w:r>
      <w:r w:rsidRPr="00135C13">
        <w:rPr>
          <w:rFonts w:ascii="Times New Roman" w:hAnsi="Times New Roman" w:cs="Times New Roman"/>
          <w:sz w:val="24"/>
          <w:szCs w:val="24"/>
        </w:rPr>
        <w:t>).</w:t>
      </w:r>
      <w:r w:rsidRPr="00E16A3F">
        <w:rPr>
          <w:rFonts w:ascii="Times New Roman" w:hAnsi="Times New Roman" w:cs="Times New Roman"/>
          <w:sz w:val="24"/>
          <w:szCs w:val="24"/>
        </w:rPr>
        <w:t xml:space="preserve">  When Ellen undresses she admires herself in the mirror but as Kate disrobes she has no thought of approaching the glass, seemingly oblivious to her own beauty.  Ellen reclines provocatively in her chair, with a sense of abandonment accentuated by the loose coil of hair that rests upon her shoulder.  Despite her restored status she seemingly retains a taint upon her character suggestive of her earlier vanity.  In contrast, Kate stands modestly by with her hands covering her chest.  A similar role is given to the artless Agnes Vernon, brought up in </w:t>
      </w:r>
      <w:r w:rsidRPr="00E16A3F">
        <w:rPr>
          <w:rFonts w:ascii="Times New Roman" w:hAnsi="Times New Roman" w:cs="Times New Roman"/>
          <w:sz w:val="24"/>
          <w:szCs w:val="24"/>
        </w:rPr>
        <w:lastRenderedPageBreak/>
        <w:t>seclusion by the Marquis of Delmour who believes her to be his daughter.</w:t>
      </w:r>
      <w:r w:rsidRPr="00E16A3F">
        <w:rPr>
          <w:rStyle w:val="FootnoteReference"/>
          <w:rFonts w:ascii="Times New Roman" w:hAnsi="Times New Roman"/>
          <w:sz w:val="24"/>
          <w:szCs w:val="24"/>
        </w:rPr>
        <w:footnoteReference w:id="579"/>
      </w:r>
      <w:r w:rsidRPr="00E16A3F">
        <w:rPr>
          <w:rFonts w:ascii="Times New Roman" w:hAnsi="Times New Roman" w:cs="Times New Roman"/>
          <w:sz w:val="24"/>
          <w:szCs w:val="24"/>
        </w:rPr>
        <w:t xml:space="preserve">  Reynolds writes that at nineteen she has the ‘charming ingenuousness of manner which denoted the pure child of nature, untainted by the artificial formalities of a vitiated state of society’.</w:t>
      </w:r>
      <w:r w:rsidRPr="00E16A3F">
        <w:rPr>
          <w:rStyle w:val="FootnoteReference"/>
          <w:rFonts w:ascii="Times New Roman" w:hAnsi="Times New Roman"/>
          <w:sz w:val="24"/>
          <w:szCs w:val="24"/>
        </w:rPr>
        <w:footnoteReference w:id="580"/>
      </w:r>
      <w:r w:rsidRPr="00E16A3F">
        <w:rPr>
          <w:rFonts w:ascii="Times New Roman" w:hAnsi="Times New Roman" w:cs="Times New Roman"/>
          <w:sz w:val="24"/>
          <w:szCs w:val="24"/>
        </w:rPr>
        <w:t xml:space="preserve">  Agnes’s sexual awareness seems governed by her reading of romantic novels, particularly </w:t>
      </w:r>
      <w:r w:rsidRPr="00E16A3F">
        <w:rPr>
          <w:rFonts w:ascii="Times New Roman" w:hAnsi="Times New Roman" w:cs="Times New Roman"/>
          <w:i/>
          <w:sz w:val="24"/>
          <w:szCs w:val="24"/>
        </w:rPr>
        <w:t>Ivanhoe</w:t>
      </w:r>
      <w:r w:rsidRPr="00E16A3F">
        <w:rPr>
          <w:rFonts w:ascii="Times New Roman" w:hAnsi="Times New Roman" w:cs="Times New Roman"/>
          <w:sz w:val="24"/>
          <w:szCs w:val="24"/>
        </w:rPr>
        <w:t>.</w:t>
      </w:r>
      <w:r w:rsidRPr="00E16A3F">
        <w:rPr>
          <w:rStyle w:val="FootnoteReference"/>
          <w:rFonts w:ascii="Times New Roman" w:hAnsi="Times New Roman"/>
          <w:sz w:val="24"/>
          <w:szCs w:val="24"/>
        </w:rPr>
        <w:footnoteReference w:id="581"/>
      </w:r>
      <w:r w:rsidRPr="00E16A3F">
        <w:rPr>
          <w:rFonts w:ascii="Times New Roman" w:hAnsi="Times New Roman" w:cs="Times New Roman"/>
          <w:sz w:val="24"/>
          <w:szCs w:val="24"/>
        </w:rPr>
        <w:t xml:space="preserve">  When enamoured with Sir William Trevelyan she is confused and unable to understand her emotions.  On being told he will visit again, ‘Agnes blushed and cast down her eyes—she scarcely knew why’.</w:t>
      </w:r>
      <w:r w:rsidRPr="00E16A3F">
        <w:rPr>
          <w:rStyle w:val="FootnoteReference"/>
          <w:rFonts w:ascii="Times New Roman" w:hAnsi="Times New Roman"/>
          <w:sz w:val="24"/>
          <w:szCs w:val="24"/>
        </w:rPr>
        <w:footnoteReference w:id="582"/>
      </w:r>
      <w:r w:rsidRPr="00E16A3F">
        <w:rPr>
          <w:rFonts w:ascii="Times New Roman" w:hAnsi="Times New Roman" w:cs="Times New Roman"/>
          <w:sz w:val="24"/>
          <w:szCs w:val="24"/>
        </w:rPr>
        <w:t xml:space="preserve">  As Margaret Dalziel notes, Agnes might be placed in ‘the tradition of what at times one is tempted to call the lovely imbecile’.</w:t>
      </w:r>
      <w:r w:rsidRPr="00E16A3F">
        <w:rPr>
          <w:rStyle w:val="FootnoteReference"/>
          <w:rFonts w:ascii="Times New Roman" w:hAnsi="Times New Roman"/>
          <w:sz w:val="24"/>
          <w:szCs w:val="24"/>
        </w:rPr>
        <w:footnoteReference w:id="583"/>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 xml:space="preserve">The regularity of this image of female purity arises because Reynolds persists in visualising arguments for female advancement within the framework of the prevailing family structure.  He reinforces this view with lengthy citations, such as that from the </w:t>
      </w:r>
      <w:r w:rsidRPr="00E16A3F">
        <w:rPr>
          <w:rFonts w:ascii="Times New Roman" w:hAnsi="Times New Roman" w:cs="Times New Roman"/>
          <w:bCs/>
          <w:sz w:val="24"/>
          <w:szCs w:val="24"/>
        </w:rPr>
        <w:t>lectures of Thomas Beggs, Secretary of the National Temperance Society, which protested: ‘</w:t>
      </w:r>
      <w:r w:rsidRPr="00E16A3F">
        <w:rPr>
          <w:rFonts w:ascii="Times New Roman" w:hAnsi="Times New Roman" w:cs="Times New Roman"/>
          <w:bCs/>
          <w:i/>
          <w:sz w:val="24"/>
          <w:szCs w:val="24"/>
        </w:rPr>
        <w:t>It is an unnatural and invidious tyranny which excludes woman from the graver pursuits of the stronger sex</w:t>
      </w:r>
      <w:r w:rsidRPr="00E16A3F">
        <w:rPr>
          <w:rFonts w:ascii="Times New Roman" w:hAnsi="Times New Roman" w:cs="Times New Roman"/>
          <w:bCs/>
          <w:sz w:val="24"/>
          <w:szCs w:val="24"/>
        </w:rPr>
        <w:t>.’</w:t>
      </w:r>
      <w:r w:rsidRPr="00E16A3F">
        <w:rPr>
          <w:rStyle w:val="FootnoteReference"/>
          <w:rFonts w:ascii="Times New Roman" w:hAnsi="Times New Roman"/>
          <w:sz w:val="24"/>
          <w:szCs w:val="24"/>
        </w:rPr>
        <w:footnoteReference w:id="584"/>
      </w:r>
      <w:r w:rsidRPr="00E16A3F">
        <w:rPr>
          <w:rFonts w:ascii="Times New Roman" w:hAnsi="Times New Roman" w:cs="Times New Roman"/>
          <w:bCs/>
          <w:sz w:val="24"/>
          <w:szCs w:val="24"/>
        </w:rPr>
        <w:t xml:space="preserve">  Beggs rails against the shortcomings of female education that failed them physically and intellectually.  However, this radical sounding complaint ends by arguing that changes are required to improve the ability of females to perform their main duty of raising the young.  Reynolds is tied to the same perspective and so he cannot regard sexual transgression as offering a path to liberty, summed up in </w:t>
      </w:r>
      <w:r w:rsidRPr="00E16A3F">
        <w:rPr>
          <w:rFonts w:ascii="Times New Roman" w:hAnsi="Times New Roman" w:cs="Times New Roman"/>
          <w:sz w:val="24"/>
          <w:szCs w:val="24"/>
        </w:rPr>
        <w:t>Mary Price’s accusatory words to Edgar Selden concerning her sister’s downfall: ‘Had you espoused her—had you made her your wife, I feel convinced that it would all have been very different.’</w:t>
      </w:r>
      <w:r w:rsidRPr="00E16A3F">
        <w:rPr>
          <w:rStyle w:val="FootnoteReference"/>
          <w:rFonts w:ascii="Times New Roman" w:hAnsi="Times New Roman"/>
          <w:sz w:val="24"/>
          <w:szCs w:val="24"/>
        </w:rPr>
        <w:footnoteReference w:id="585"/>
      </w:r>
      <w:r w:rsidRPr="00E16A3F">
        <w:rPr>
          <w:rFonts w:ascii="Times New Roman" w:hAnsi="Times New Roman" w:cs="Times New Roman"/>
          <w:sz w:val="24"/>
          <w:szCs w:val="24"/>
        </w:rPr>
        <w:t xml:space="preserve">  Mary always sees marriage as the essential state for Sarah’s salvation.  The importance of this theme for Reynolds is signified by how he largely repeats the experiences of the Price sisters with those of Violet and Annabel Lanover in </w:t>
      </w:r>
      <w:r w:rsidRPr="00E16A3F">
        <w:rPr>
          <w:rFonts w:ascii="Times New Roman" w:hAnsi="Times New Roman" w:cs="Times New Roman"/>
          <w:i/>
          <w:sz w:val="24"/>
          <w:szCs w:val="24"/>
        </w:rPr>
        <w:t>Joseph Wilmot</w:t>
      </w:r>
      <w:r w:rsidRPr="00E16A3F">
        <w:rPr>
          <w:rFonts w:ascii="Times New Roman" w:hAnsi="Times New Roman" w:cs="Times New Roman"/>
          <w:sz w:val="24"/>
          <w:szCs w:val="24"/>
        </w:rPr>
        <w:t xml:space="preserve">.  Although Violet has a lesser claim to be from the industrious classes, her sexual activity, like that of Sarah Price, is based upon extreme impulsiveness, displayed in furious arguments with her step-father, abandonment of </w:t>
      </w:r>
      <w:r w:rsidRPr="00E16A3F">
        <w:rPr>
          <w:rFonts w:ascii="Times New Roman" w:hAnsi="Times New Roman" w:cs="Times New Roman"/>
          <w:sz w:val="24"/>
          <w:szCs w:val="24"/>
        </w:rPr>
        <w:lastRenderedPageBreak/>
        <w:t>school to join an acting troupe and subsequent liaison with the dissolute Baronet, Sir Malcolm Wavenham, which ends in her young death during childbirth.</w:t>
      </w:r>
      <w:r w:rsidRPr="00E16A3F">
        <w:rPr>
          <w:rStyle w:val="FootnoteReference"/>
          <w:rFonts w:ascii="Times New Roman" w:hAnsi="Times New Roman"/>
          <w:sz w:val="24"/>
          <w:szCs w:val="24"/>
        </w:rPr>
        <w:footnoteReference w:id="586"/>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When dealing with female sexual transgression, Reynolds largely continued to present what Gilbert and Gubar called the male constructed images of ‘angel’ and ‘monster’.</w:t>
      </w:r>
      <w:r w:rsidRPr="00E16A3F">
        <w:rPr>
          <w:rStyle w:val="FootnoteReference"/>
          <w:rFonts w:ascii="Times New Roman" w:hAnsi="Times New Roman"/>
          <w:sz w:val="24"/>
          <w:szCs w:val="24"/>
        </w:rPr>
        <w:footnoteReference w:id="587"/>
      </w:r>
      <w:r w:rsidRPr="00E16A3F">
        <w:rPr>
          <w:rFonts w:ascii="Times New Roman" w:hAnsi="Times New Roman" w:cs="Times New Roman"/>
          <w:sz w:val="24"/>
          <w:szCs w:val="24"/>
        </w:rPr>
        <w:t xml:space="preserve">  On one side stand ‘angels’ such as Kate Wilmot while on the other are ‘monsters’ typified by Julia Barnet.  Anna Clark writes that developing visions of respectability in the nineteenth century restricted working-</w:t>
      </w:r>
      <w:r w:rsidRPr="009F78AC">
        <w:rPr>
          <w:rFonts w:ascii="Times New Roman" w:hAnsi="Times New Roman" w:cs="Times New Roman"/>
          <w:sz w:val="24"/>
          <w:szCs w:val="24"/>
        </w:rPr>
        <w:t>class women into passive, unchallenging domesticity.</w:t>
      </w:r>
      <w:r w:rsidRPr="009F78AC">
        <w:rPr>
          <w:rStyle w:val="FootnoteReference"/>
          <w:rFonts w:ascii="Times New Roman" w:hAnsi="Times New Roman"/>
          <w:sz w:val="24"/>
          <w:szCs w:val="24"/>
        </w:rPr>
        <w:footnoteReference w:id="588"/>
      </w:r>
      <w:r w:rsidRPr="009F78AC">
        <w:rPr>
          <w:rFonts w:ascii="Times New Roman" w:hAnsi="Times New Roman" w:cs="Times New Roman"/>
          <w:sz w:val="24"/>
          <w:szCs w:val="24"/>
        </w:rPr>
        <w:t xml:space="preserve">  Reynolds’s depictions, heavily</w:t>
      </w:r>
      <w:r w:rsidRPr="00E16A3F">
        <w:rPr>
          <w:rFonts w:ascii="Times New Roman" w:hAnsi="Times New Roman" w:cs="Times New Roman"/>
          <w:sz w:val="24"/>
          <w:szCs w:val="24"/>
        </w:rPr>
        <w:t xml:space="preserve"> influenced by these visions, led to severe judgment upon those whose protest broke his rules of sexual propriety.  Any uncertainty over whether it resulted primarily from social circumstances or moral weakness was a secondary matter because in either case he remained unprepared to accept it as being justified.  He was not without sympathy for those driven by necessity, evoked in Ellen Monroe’s complaint to Eugene Markham that woman’s poverty is exploited by rich men: ‘If there were no such voluptuaries — such heartless libertines as you in this world, would there be so many unhappy creatures like me?’.</w:t>
      </w:r>
      <w:r w:rsidRPr="00E16A3F">
        <w:rPr>
          <w:rStyle w:val="FootnoteReference"/>
          <w:rFonts w:ascii="Times New Roman" w:hAnsi="Times New Roman"/>
          <w:sz w:val="24"/>
          <w:szCs w:val="24"/>
        </w:rPr>
        <w:footnoteReference w:id="589"/>
      </w:r>
      <w:r w:rsidRPr="00E16A3F">
        <w:rPr>
          <w:rFonts w:ascii="Times New Roman" w:hAnsi="Times New Roman" w:cs="Times New Roman"/>
          <w:sz w:val="24"/>
          <w:szCs w:val="24"/>
        </w:rPr>
        <w:t xml:space="preserve">  However, social and economic aspects are subordinated to the moral one.  Following convention, chastity becomes the crowning glory of pre-marital females, the attribute to be retained above all others.  Julia Barnet’s shortcomings are expressed in the detestation of ‘anyone who was really enviable in the possession of that diadem of purity which had fallen from her own brow’.</w:t>
      </w:r>
      <w:r w:rsidRPr="00E16A3F">
        <w:rPr>
          <w:rStyle w:val="FootnoteReference"/>
          <w:rFonts w:ascii="Times New Roman" w:hAnsi="Times New Roman"/>
          <w:sz w:val="24"/>
          <w:szCs w:val="24"/>
        </w:rPr>
        <w:footnoteReference w:id="590"/>
      </w:r>
      <w:r w:rsidRPr="00E16A3F">
        <w:rPr>
          <w:rFonts w:ascii="Times New Roman" w:hAnsi="Times New Roman" w:cs="Times New Roman"/>
          <w:sz w:val="24"/>
          <w:szCs w:val="24"/>
        </w:rPr>
        <w:t xml:space="preserve">  Her generosity, independence and awareness of social injustice are undermined by a protest dominated by immoral desires and a sense of superiority over those prepared to toil honestly.</w:t>
      </w:r>
    </w:p>
    <w:p w:rsidR="00BA19FC" w:rsidRPr="00E16A3F" w:rsidRDefault="00BA19FC" w:rsidP="00BA19FC">
      <w:pPr>
        <w:spacing w:after="120" w:line="360" w:lineRule="auto"/>
        <w:ind w:firstLine="720"/>
        <w:rPr>
          <w:rFonts w:ascii="Times New Roman" w:hAnsi="Times New Roman" w:cs="Times New Roman"/>
          <w:bCs/>
          <w:sz w:val="24"/>
          <w:szCs w:val="24"/>
          <w:u w:val="single"/>
        </w:rPr>
      </w:pPr>
      <w:r w:rsidRPr="00E16A3F">
        <w:rPr>
          <w:rFonts w:ascii="Times New Roman" w:hAnsi="Times New Roman" w:cs="Times New Roman"/>
          <w:iCs/>
          <w:sz w:val="24"/>
          <w:szCs w:val="24"/>
        </w:rPr>
        <w:t xml:space="preserve">Writing of hysteria, Helen Small points to ‘the extraordinary flexibility of its symptomatology’ and that for much of the nineteenth century it could claim to be the ‘feminine performative disease </w:t>
      </w:r>
      <w:r w:rsidRPr="00E16A3F">
        <w:rPr>
          <w:rFonts w:ascii="Times New Roman" w:hAnsi="Times New Roman" w:cs="Times New Roman"/>
          <w:i/>
          <w:sz w:val="24"/>
          <w:szCs w:val="24"/>
        </w:rPr>
        <w:t>par excellence</w:t>
      </w:r>
      <w:r w:rsidRPr="00E16A3F">
        <w:rPr>
          <w:rFonts w:ascii="Times New Roman" w:hAnsi="Times New Roman" w:cs="Times New Roman"/>
          <w:iCs/>
          <w:sz w:val="24"/>
          <w:szCs w:val="24"/>
        </w:rPr>
        <w:t>’.</w:t>
      </w:r>
      <w:r w:rsidRPr="00E16A3F">
        <w:rPr>
          <w:rStyle w:val="FootnoteReference"/>
          <w:rFonts w:ascii="Times New Roman" w:hAnsi="Times New Roman"/>
          <w:iCs/>
          <w:sz w:val="24"/>
          <w:szCs w:val="24"/>
        </w:rPr>
        <w:footnoteReference w:id="591"/>
      </w:r>
      <w:r w:rsidRPr="00E16A3F">
        <w:rPr>
          <w:rFonts w:ascii="Times New Roman" w:hAnsi="Times New Roman" w:cs="Times New Roman"/>
          <w:iCs/>
          <w:sz w:val="24"/>
          <w:szCs w:val="24"/>
        </w:rPr>
        <w:t xml:space="preserve">  Reynolds follows this perspective by incorporating many of these symptoms in his portrayals.  Although to differing levels, the same traits are observable in all transgressors.  Ellen, Julia and Sarah are tainted by deceitfulness, vanity, desire for material gratification and fatalism.  Sarah is also marked by loss of self-control and mental instability.  In each case, their activities are the </w:t>
      </w:r>
      <w:r w:rsidRPr="00E16A3F">
        <w:rPr>
          <w:rFonts w:ascii="Times New Roman" w:hAnsi="Times New Roman" w:cs="Times New Roman"/>
          <w:sz w:val="24"/>
          <w:szCs w:val="24"/>
        </w:rPr>
        <w:t xml:space="preserve">outcome of </w:t>
      </w:r>
      <w:r w:rsidRPr="00E16A3F">
        <w:rPr>
          <w:rFonts w:ascii="Times New Roman" w:hAnsi="Times New Roman" w:cs="Times New Roman"/>
          <w:sz w:val="24"/>
          <w:szCs w:val="24"/>
        </w:rPr>
        <w:lastRenderedPageBreak/>
        <w:t>innate weaknesses that lead to the rejection of high moral principles.  Margaret Dalziel: writes how authors would generally ‘hunt down the fallen woman with remorseless tenacity’.</w:t>
      </w:r>
      <w:r w:rsidRPr="00E16A3F">
        <w:rPr>
          <w:rStyle w:val="FootnoteReference"/>
          <w:rFonts w:ascii="Times New Roman" w:hAnsi="Times New Roman"/>
          <w:sz w:val="24"/>
          <w:szCs w:val="24"/>
        </w:rPr>
        <w:footnoteReference w:id="592"/>
      </w:r>
      <w:r w:rsidRPr="00E16A3F">
        <w:rPr>
          <w:rFonts w:ascii="Times New Roman" w:hAnsi="Times New Roman" w:cs="Times New Roman"/>
          <w:sz w:val="24"/>
          <w:szCs w:val="24"/>
        </w:rPr>
        <w:t xml:space="preserve">  This is relevant to Reynolds, </w:t>
      </w:r>
      <w:r w:rsidRPr="00E16A3F">
        <w:rPr>
          <w:rFonts w:ascii="Times New Roman" w:hAnsi="Times New Roman" w:cs="Times New Roman"/>
          <w:bCs/>
          <w:sz w:val="24"/>
          <w:szCs w:val="24"/>
        </w:rPr>
        <w:t>exemplified by his having those who ‘fall’ associating their activity with contamination.  When Ellen demands Eugene marry her she rejects his embrace with the command, ‘lay not a finger on me</w:t>
      </w:r>
      <w:r w:rsidRPr="00E16A3F">
        <w:rPr>
          <w:rFonts w:ascii="Times New Roman" w:hAnsi="Times New Roman" w:cs="Times New Roman"/>
          <w:sz w:val="24"/>
          <w:szCs w:val="24"/>
        </w:rPr>
        <w:t>—defile me not—let my sorrows make my person sacred!’.</w:t>
      </w:r>
      <w:r w:rsidRPr="00E16A3F">
        <w:rPr>
          <w:rStyle w:val="FootnoteReference"/>
          <w:rFonts w:ascii="Times New Roman" w:hAnsi="Times New Roman"/>
          <w:sz w:val="24"/>
          <w:szCs w:val="24"/>
        </w:rPr>
        <w:t xml:space="preserve"> </w:t>
      </w:r>
      <w:r w:rsidRPr="00E16A3F">
        <w:rPr>
          <w:rStyle w:val="FootnoteReference"/>
          <w:rFonts w:ascii="Times New Roman" w:hAnsi="Times New Roman"/>
          <w:sz w:val="24"/>
          <w:szCs w:val="24"/>
        </w:rPr>
        <w:footnoteReference w:id="593"/>
      </w:r>
      <w:r w:rsidRPr="00E16A3F">
        <w:rPr>
          <w:rFonts w:ascii="Times New Roman" w:hAnsi="Times New Roman" w:cs="Times New Roman"/>
          <w:sz w:val="24"/>
          <w:szCs w:val="24"/>
        </w:rPr>
        <w:t xml:space="preserve">  </w:t>
      </w:r>
      <w:r w:rsidRPr="00E16A3F">
        <w:rPr>
          <w:rFonts w:ascii="Times New Roman" w:hAnsi="Times New Roman" w:cs="Times New Roman"/>
          <w:bCs/>
          <w:sz w:val="24"/>
          <w:szCs w:val="24"/>
        </w:rPr>
        <w:t>Julia Barnet refers to the dresses of the wealthy as ‘</w:t>
      </w:r>
      <w:r w:rsidRPr="00E16A3F">
        <w:rPr>
          <w:rFonts w:ascii="Times New Roman" w:hAnsi="Times New Roman" w:cs="Times New Roman"/>
          <w:sz w:val="24"/>
          <w:szCs w:val="24"/>
        </w:rPr>
        <w:t>stained by the life-blood and infected by the pollution of the poor seamstresses who made them all!’.</w:t>
      </w:r>
      <w:r w:rsidRPr="00E16A3F">
        <w:rPr>
          <w:rStyle w:val="FootnoteReference"/>
          <w:rFonts w:ascii="Times New Roman" w:hAnsi="Times New Roman"/>
          <w:sz w:val="24"/>
          <w:szCs w:val="24"/>
        </w:rPr>
        <w:footnoteReference w:id="594"/>
      </w:r>
      <w:r w:rsidRPr="00E16A3F">
        <w:rPr>
          <w:rFonts w:ascii="Times New Roman" w:hAnsi="Times New Roman" w:cs="Times New Roman"/>
          <w:bCs/>
          <w:sz w:val="24"/>
          <w:szCs w:val="24"/>
        </w:rPr>
        <w:t xml:space="preserve">  Her words point to the physical suffering they endure but equally implicit is their entrance into prostitution.  Sarah Price’s self-condemnation is complete when she lies on her deathbed and welcomes Mary by confessing to feelings of humiliation: ‘I was ashamed to see your face</w:t>
      </w:r>
      <w:r w:rsidRPr="00E16A3F">
        <w:rPr>
          <w:rFonts w:ascii="Times New Roman" w:hAnsi="Times New Roman" w:cs="Times New Roman"/>
          <w:sz w:val="24"/>
          <w:szCs w:val="24"/>
        </w:rPr>
        <w:t>—you so good, so pure, so virtuous—I a loathly, lost, polluted creature!’.</w:t>
      </w:r>
      <w:r w:rsidRPr="00E16A3F">
        <w:rPr>
          <w:rStyle w:val="FootnoteReference"/>
          <w:rFonts w:ascii="Times New Roman" w:hAnsi="Times New Roman"/>
          <w:sz w:val="24"/>
          <w:szCs w:val="24"/>
        </w:rPr>
        <w:footnoteReference w:id="595"/>
      </w:r>
      <w:r w:rsidRPr="00E16A3F">
        <w:rPr>
          <w:rFonts w:ascii="Times New Roman" w:hAnsi="Times New Roman" w:cs="Times New Roman"/>
          <w:sz w:val="24"/>
          <w:szCs w:val="24"/>
        </w:rPr>
        <w:t xml:space="preserve">  </w:t>
      </w:r>
      <w:r w:rsidRPr="00E16A3F">
        <w:rPr>
          <w:rFonts w:ascii="Times New Roman" w:hAnsi="Times New Roman" w:cs="Times New Roman"/>
          <w:bCs/>
          <w:sz w:val="24"/>
          <w:szCs w:val="24"/>
        </w:rPr>
        <w:t>It was necessary for Reynolds to not only express authorial disapproval but to have victims confess their degradation, all seeing their actions in terms of disease, defilement or pollution, with Ellen the least culpable desperately wishing to recover her former sanctity through contrition.</w:t>
      </w:r>
    </w:p>
    <w:p w:rsidR="00BA19FC" w:rsidRPr="00E16A3F" w:rsidRDefault="00BA19FC" w:rsidP="00BA19FC">
      <w:pPr>
        <w:spacing w:after="120" w:line="360" w:lineRule="auto"/>
        <w:ind w:firstLine="720"/>
        <w:rPr>
          <w:rFonts w:ascii="Times New Roman" w:hAnsi="Times New Roman" w:cs="Times New Roman"/>
          <w:sz w:val="24"/>
          <w:szCs w:val="24"/>
        </w:rPr>
      </w:pPr>
      <w:r w:rsidRPr="00E16A3F">
        <w:rPr>
          <w:rFonts w:ascii="Times New Roman" w:hAnsi="Times New Roman" w:cs="Times New Roman"/>
          <w:sz w:val="24"/>
          <w:szCs w:val="24"/>
        </w:rPr>
        <w:t xml:space="preserve">Warnings about the pitfalls of female sexual transgression were valid concerning the risk it posed for loss of employment and descent into prostitution and the dangerous classes.  However, Reynolds’s promotion of marriage followed conventional lines, in many ways pointing to when he wrote in the </w:t>
      </w:r>
      <w:r w:rsidRPr="00E16A3F">
        <w:rPr>
          <w:rFonts w:ascii="Times New Roman" w:hAnsi="Times New Roman" w:cs="Times New Roman"/>
          <w:i/>
          <w:sz w:val="24"/>
          <w:szCs w:val="24"/>
        </w:rPr>
        <w:t xml:space="preserve">London </w:t>
      </w:r>
      <w:r w:rsidRPr="00135C13">
        <w:rPr>
          <w:rFonts w:ascii="Times New Roman" w:hAnsi="Times New Roman" w:cs="Times New Roman"/>
          <w:i/>
          <w:sz w:val="24"/>
          <w:szCs w:val="24"/>
        </w:rPr>
        <w:t>Journal</w:t>
      </w:r>
      <w:r w:rsidRPr="00135C13">
        <w:rPr>
          <w:rFonts w:ascii="Times New Roman" w:hAnsi="Times New Roman" w:cs="Times New Roman"/>
          <w:sz w:val="24"/>
          <w:szCs w:val="24"/>
        </w:rPr>
        <w:t xml:space="preserve"> </w:t>
      </w:r>
      <w:r w:rsidR="00F8153E" w:rsidRPr="00135C13">
        <w:rPr>
          <w:rFonts w:ascii="Times New Roman" w:hAnsi="Times New Roman" w:cs="Times New Roman"/>
          <w:sz w:val="24"/>
          <w:szCs w:val="24"/>
        </w:rPr>
        <w:t>that</w:t>
      </w:r>
      <w:r w:rsidRPr="00135C13">
        <w:rPr>
          <w:rFonts w:ascii="Times New Roman" w:hAnsi="Times New Roman" w:cs="Times New Roman"/>
          <w:sz w:val="24"/>
          <w:szCs w:val="24"/>
        </w:rPr>
        <w:t xml:space="preserve"> rules of conduct </w:t>
      </w:r>
      <w:r w:rsidR="00F8153E" w:rsidRPr="00135C13">
        <w:rPr>
          <w:rFonts w:ascii="Times New Roman" w:hAnsi="Times New Roman" w:cs="Times New Roman"/>
          <w:sz w:val="24"/>
          <w:szCs w:val="24"/>
        </w:rPr>
        <w:t>were</w:t>
      </w:r>
      <w:r w:rsidRPr="00135C13">
        <w:rPr>
          <w:rFonts w:ascii="Times New Roman" w:hAnsi="Times New Roman" w:cs="Times New Roman"/>
          <w:sz w:val="24"/>
          <w:szCs w:val="24"/>
        </w:rPr>
        <w:t xml:space="preserve"> the</w:t>
      </w:r>
      <w:r w:rsidRPr="00E16A3F">
        <w:rPr>
          <w:rFonts w:ascii="Times New Roman" w:hAnsi="Times New Roman" w:cs="Times New Roman"/>
          <w:sz w:val="24"/>
          <w:szCs w:val="24"/>
        </w:rPr>
        <w:t xml:space="preserve"> cement of society.  Most important were those regarding sexual propriety and marriage.  He reinforces his argument with the relationship of Virginia Mordaunt and Julia Barnet.  Their forms of protest can only co-exist due to Virginia’s uncertainty about Julia’s livelihood and discovery must lead to open conflict.  The reaction is ‘akin to disgust’ when the sentiment of ‘her pure soul’ sheds light upon her comprehension ‘to enable her to understand and appreciate all that there was revolting, indelicate, and repulsive in the idea of a young female decking herself out with meretricious gaiety to receive the man who pensioned her’.</w:t>
      </w:r>
      <w:r w:rsidRPr="00E16A3F">
        <w:rPr>
          <w:rStyle w:val="FootnoteReference"/>
          <w:rFonts w:ascii="Times New Roman" w:hAnsi="Times New Roman"/>
          <w:sz w:val="24"/>
          <w:szCs w:val="24"/>
        </w:rPr>
        <w:footnoteReference w:id="596"/>
      </w:r>
      <w:r w:rsidRPr="00E16A3F">
        <w:rPr>
          <w:rFonts w:ascii="Times New Roman" w:hAnsi="Times New Roman" w:cs="Times New Roman"/>
          <w:sz w:val="24"/>
          <w:szCs w:val="24"/>
        </w:rPr>
        <w:t xml:space="preserve">  When Reynolds writes that it is sentiment emanating from her soul that enlightens her knowledge, it points to individual morality taking precedence over material experience in determining one’s perspective, and in this case it sees him condemn female transgression unreservedly.  The degree to which Reynolds lagged behind others can be seen when his portrayal is compared </w:t>
      </w:r>
      <w:r w:rsidRPr="00E16A3F">
        <w:rPr>
          <w:rFonts w:ascii="Times New Roman" w:hAnsi="Times New Roman" w:cs="Times New Roman"/>
          <w:sz w:val="24"/>
          <w:szCs w:val="24"/>
        </w:rPr>
        <w:lastRenderedPageBreak/>
        <w:t xml:space="preserve">with that of contemporary </w:t>
      </w:r>
      <w:r w:rsidRPr="009F78AC">
        <w:rPr>
          <w:rFonts w:ascii="Times New Roman" w:hAnsi="Times New Roman" w:cs="Times New Roman"/>
          <w:sz w:val="24"/>
          <w:szCs w:val="24"/>
        </w:rPr>
        <w:t>William Acton</w:t>
      </w:r>
      <w:r w:rsidR="000C4D23" w:rsidRPr="009F78AC">
        <w:rPr>
          <w:rFonts w:ascii="Times New Roman" w:hAnsi="Times New Roman" w:cs="Times New Roman"/>
          <w:sz w:val="24"/>
          <w:szCs w:val="24"/>
        </w:rPr>
        <w:t>.</w:t>
      </w:r>
      <w:r w:rsidRPr="009F78AC">
        <w:rPr>
          <w:rStyle w:val="FootnoteReference"/>
          <w:rFonts w:ascii="Times New Roman" w:hAnsi="Times New Roman"/>
          <w:sz w:val="24"/>
          <w:szCs w:val="24"/>
        </w:rPr>
        <w:footnoteReference w:id="597"/>
      </w:r>
      <w:r w:rsidRPr="00E16A3F">
        <w:rPr>
          <w:rFonts w:ascii="Times New Roman" w:hAnsi="Times New Roman" w:cs="Times New Roman"/>
          <w:sz w:val="24"/>
          <w:szCs w:val="24"/>
        </w:rPr>
        <w:t xml:space="preserve">  Nina Auerbach writes that Acton elevated ‘many fallen women from practitioners of a dismal trade to apprentices at the nobler profession of marriage’, an approach that saw him display ‘sanguine common sense’.</w:t>
      </w:r>
      <w:r w:rsidRPr="00E16A3F">
        <w:rPr>
          <w:rStyle w:val="FootnoteReference"/>
          <w:rFonts w:ascii="Times New Roman" w:hAnsi="Times New Roman"/>
          <w:sz w:val="24"/>
          <w:szCs w:val="24"/>
        </w:rPr>
        <w:footnoteReference w:id="598"/>
      </w:r>
      <w:r w:rsidRPr="00E16A3F">
        <w:rPr>
          <w:rFonts w:ascii="Times New Roman" w:hAnsi="Times New Roman" w:cs="Times New Roman"/>
          <w:sz w:val="24"/>
          <w:szCs w:val="24"/>
        </w:rPr>
        <w:t xml:space="preserve">  For Auerbach, Reynolds’s fallen women were ‘artificial creations of the tyranny of the patriarchal family […] outcasts from domesticity’.</w:t>
      </w:r>
      <w:r w:rsidRPr="00E16A3F">
        <w:rPr>
          <w:rStyle w:val="FootnoteReference"/>
          <w:rFonts w:ascii="Times New Roman" w:hAnsi="Times New Roman"/>
          <w:sz w:val="24"/>
          <w:szCs w:val="24"/>
        </w:rPr>
        <w:footnoteReference w:id="599"/>
      </w:r>
      <w:r w:rsidRPr="00E16A3F">
        <w:rPr>
          <w:rFonts w:ascii="Times New Roman" w:hAnsi="Times New Roman" w:cs="Times New Roman"/>
          <w:sz w:val="24"/>
          <w:szCs w:val="24"/>
        </w:rPr>
        <w:t xml:space="preserve">  While he may allow female characters a degree of space to be self-creating, he rigidly excludes from that space any activity involving sexual transgression.  Acton stands in sharp contrast.  While not denying there were problems with prostitution, he views it pragmatically, dividing practitioners into different sectors of the trade and acknowledging some display the behaviour Reynolds warns about but that these are exceptions.</w:t>
      </w:r>
      <w:r w:rsidRPr="00E16A3F">
        <w:rPr>
          <w:rStyle w:val="FootnoteReference"/>
          <w:rFonts w:ascii="Times New Roman" w:hAnsi="Times New Roman"/>
          <w:sz w:val="24"/>
          <w:szCs w:val="24"/>
        </w:rPr>
        <w:footnoteReference w:id="600"/>
      </w:r>
      <w:r w:rsidRPr="00E16A3F">
        <w:rPr>
          <w:rFonts w:ascii="Times New Roman" w:hAnsi="Times New Roman" w:cs="Times New Roman"/>
          <w:sz w:val="24"/>
          <w:szCs w:val="24"/>
        </w:rPr>
        <w:t xml:space="preserve">  Acton disputes contemporary opinion that the ‘constitutional ravages’ of prostitution exceed those that result from years of slavery ‘in the over-heated laboratories of fashion’.</w:t>
      </w:r>
      <w:r w:rsidRPr="00E16A3F">
        <w:rPr>
          <w:rStyle w:val="FootnoteReference"/>
          <w:rFonts w:ascii="Times New Roman" w:hAnsi="Times New Roman"/>
          <w:sz w:val="24"/>
          <w:szCs w:val="24"/>
        </w:rPr>
        <w:footnoteReference w:id="601"/>
      </w:r>
      <w:r w:rsidRPr="00E16A3F">
        <w:rPr>
          <w:rFonts w:ascii="Times New Roman" w:hAnsi="Times New Roman" w:cs="Times New Roman"/>
          <w:sz w:val="24"/>
          <w:szCs w:val="24"/>
        </w:rPr>
        <w:t xml:space="preserve">   In view of his own exposure of the slop trade, Reynolds may well have agreed with this claim, but he lacked the open-minded approach Acton employed on the moral plane.  For the latter it was often a commercial decision: ‘The greatest amount of income procurable with the least amount of exertion, is with them, as with society, the grand gauge of position’.</w:t>
      </w:r>
      <w:r w:rsidRPr="00E16A3F">
        <w:rPr>
          <w:rStyle w:val="FootnoteReference"/>
          <w:rFonts w:ascii="Times New Roman" w:hAnsi="Times New Roman"/>
          <w:sz w:val="24"/>
          <w:szCs w:val="24"/>
        </w:rPr>
        <w:footnoteReference w:id="602"/>
      </w:r>
      <w:r w:rsidRPr="00E16A3F">
        <w:rPr>
          <w:rFonts w:ascii="Times New Roman" w:hAnsi="Times New Roman" w:cs="Times New Roman"/>
          <w:sz w:val="24"/>
          <w:szCs w:val="24"/>
        </w:rPr>
        <w:t xml:space="preserve">  From this perspective, characters such as Julia Barnet are no worse than those who would toil respectably.  Furthermore, success is not the preserve of a fortunate few who inhabit the decadent circles of the aristocracy.  Acton points to substantial numbers who act with great decency:</w:t>
      </w:r>
    </w:p>
    <w:p w:rsidR="00BA19FC" w:rsidRPr="00E16A3F" w:rsidRDefault="00BA19FC" w:rsidP="00BA19FC">
      <w:pPr>
        <w:spacing w:after="240" w:line="240" w:lineRule="auto"/>
        <w:ind w:left="720"/>
        <w:rPr>
          <w:rFonts w:ascii="Times New Roman" w:hAnsi="Times New Roman" w:cs="Times New Roman"/>
          <w:sz w:val="24"/>
          <w:szCs w:val="24"/>
        </w:rPr>
      </w:pPr>
      <w:r w:rsidRPr="00E16A3F">
        <w:rPr>
          <w:rFonts w:ascii="Times New Roman" w:hAnsi="Times New Roman" w:cs="Times New Roman"/>
          <w:sz w:val="24"/>
          <w:szCs w:val="24"/>
        </w:rPr>
        <w:t>Among the promiscuous prostitutes of the milder order will be found a numerous band […]  Sober, genteelly dressed, well ordered, often elegant in person – such girls have the taste and the power to select their acquaintances from among the most truly eligible men whom the present false state of society debars from marriage.</w:t>
      </w:r>
      <w:r w:rsidRPr="00E16A3F">
        <w:rPr>
          <w:rStyle w:val="FootnoteReference"/>
          <w:rFonts w:ascii="Times New Roman" w:hAnsi="Times New Roman"/>
          <w:sz w:val="24"/>
          <w:szCs w:val="24"/>
        </w:rPr>
        <w:footnoteReference w:id="603"/>
      </w:r>
    </w:p>
    <w:p w:rsidR="00BA19FC" w:rsidRPr="00E16A3F" w:rsidRDefault="00BA19FC" w:rsidP="00BA19FC">
      <w:pPr>
        <w:spacing w:after="120" w:line="360" w:lineRule="auto"/>
        <w:rPr>
          <w:rFonts w:ascii="Times New Roman" w:hAnsi="Times New Roman" w:cs="Times New Roman"/>
          <w:sz w:val="24"/>
          <w:szCs w:val="24"/>
        </w:rPr>
      </w:pPr>
      <w:r w:rsidRPr="00E16A3F">
        <w:rPr>
          <w:rFonts w:ascii="Times New Roman" w:hAnsi="Times New Roman" w:cs="Times New Roman"/>
          <w:sz w:val="24"/>
          <w:szCs w:val="24"/>
        </w:rPr>
        <w:t xml:space="preserve">His words indicate widespread good behaviour.  Furthermore, he allows them a great deal of empowerment, agents in directing their lives, dressing well, acting in </w:t>
      </w:r>
      <w:r w:rsidRPr="00135C13">
        <w:rPr>
          <w:rFonts w:ascii="Times New Roman" w:hAnsi="Times New Roman" w:cs="Times New Roman"/>
          <w:sz w:val="24"/>
          <w:szCs w:val="24"/>
        </w:rPr>
        <w:t xml:space="preserve">accord with the highest levels of etiquette, and able to choose their paramours.  </w:t>
      </w:r>
      <w:r w:rsidR="009F78AC" w:rsidRPr="00135C13">
        <w:rPr>
          <w:rFonts w:ascii="Times New Roman" w:hAnsi="Times New Roman" w:cs="Times New Roman"/>
          <w:sz w:val="24"/>
          <w:szCs w:val="24"/>
        </w:rPr>
        <w:t>There is the suggestion</w:t>
      </w:r>
      <w:r w:rsidRPr="00135C13">
        <w:rPr>
          <w:rFonts w:ascii="Times New Roman" w:hAnsi="Times New Roman" w:cs="Times New Roman"/>
          <w:sz w:val="24"/>
          <w:szCs w:val="24"/>
        </w:rPr>
        <w:t xml:space="preserve"> th</w:t>
      </w:r>
      <w:r w:rsidR="00F8153E" w:rsidRPr="00135C13">
        <w:rPr>
          <w:rFonts w:ascii="Times New Roman" w:hAnsi="Times New Roman" w:cs="Times New Roman"/>
          <w:sz w:val="24"/>
          <w:szCs w:val="24"/>
        </w:rPr>
        <w:t>at</w:t>
      </w:r>
      <w:r w:rsidRPr="00F8153E">
        <w:rPr>
          <w:rFonts w:ascii="Times New Roman" w:hAnsi="Times New Roman" w:cs="Times New Roman"/>
          <w:sz w:val="24"/>
          <w:szCs w:val="24"/>
        </w:rPr>
        <w:t xml:space="preserve"> money saved allow</w:t>
      </w:r>
      <w:r w:rsidR="009F78AC" w:rsidRPr="00F8153E">
        <w:rPr>
          <w:rFonts w:ascii="Times New Roman" w:hAnsi="Times New Roman" w:cs="Times New Roman"/>
          <w:sz w:val="24"/>
          <w:szCs w:val="24"/>
        </w:rPr>
        <w:t xml:space="preserve">s </w:t>
      </w:r>
      <w:r w:rsidRPr="00F8153E">
        <w:rPr>
          <w:rFonts w:ascii="Times New Roman" w:hAnsi="Times New Roman" w:cs="Times New Roman"/>
          <w:sz w:val="24"/>
          <w:szCs w:val="24"/>
        </w:rPr>
        <w:t>them to establish small businesses and to ‘work their</w:t>
      </w:r>
      <w:r w:rsidRPr="00E16A3F">
        <w:rPr>
          <w:rFonts w:ascii="Times New Roman" w:hAnsi="Times New Roman" w:cs="Times New Roman"/>
          <w:sz w:val="24"/>
          <w:szCs w:val="24"/>
        </w:rPr>
        <w:t xml:space="preserve"> own reclamation as </w:t>
      </w:r>
      <w:r w:rsidRPr="00E16A3F">
        <w:rPr>
          <w:rFonts w:ascii="Times New Roman" w:hAnsi="Times New Roman" w:cs="Times New Roman"/>
          <w:sz w:val="24"/>
          <w:szCs w:val="24"/>
        </w:rPr>
        <w:lastRenderedPageBreak/>
        <w:t>established milliners, small shop-keepers, and lodging-house keepers’.</w:t>
      </w:r>
      <w:r w:rsidRPr="00E16A3F">
        <w:rPr>
          <w:rStyle w:val="FootnoteReference"/>
          <w:rFonts w:ascii="Times New Roman" w:hAnsi="Times New Roman"/>
          <w:sz w:val="24"/>
          <w:szCs w:val="24"/>
        </w:rPr>
        <w:footnoteReference w:id="604"/>
      </w:r>
      <w:r w:rsidRPr="00E16A3F">
        <w:rPr>
          <w:rFonts w:ascii="Times New Roman" w:hAnsi="Times New Roman" w:cs="Times New Roman"/>
          <w:sz w:val="24"/>
          <w:szCs w:val="24"/>
        </w:rPr>
        <w:t xml:space="preserve">  Most do not enter a spiral of moral descent, rather the trade teaches them worthy habits, so that from their relationships they learn the ‘value of repose and thrift’.</w:t>
      </w:r>
      <w:r w:rsidRPr="00E16A3F">
        <w:rPr>
          <w:rStyle w:val="FootnoteReference"/>
          <w:rFonts w:ascii="Times New Roman" w:hAnsi="Times New Roman"/>
          <w:sz w:val="24"/>
          <w:szCs w:val="24"/>
        </w:rPr>
        <w:footnoteReference w:id="605"/>
      </w:r>
      <w:r w:rsidRPr="00E16A3F">
        <w:rPr>
          <w:rFonts w:ascii="Times New Roman" w:hAnsi="Times New Roman" w:cs="Times New Roman"/>
          <w:sz w:val="24"/>
          <w:szCs w:val="24"/>
        </w:rPr>
        <w:t xml:space="preserve">  Neither does their activity result in disowning those they are closest to but rather it may enhance family ties.</w:t>
      </w:r>
      <w:r w:rsidRPr="00E16A3F">
        <w:rPr>
          <w:rStyle w:val="FootnoteReference"/>
          <w:rFonts w:ascii="Times New Roman" w:hAnsi="Times New Roman"/>
          <w:sz w:val="24"/>
          <w:szCs w:val="24"/>
        </w:rPr>
        <w:footnoteReference w:id="606"/>
      </w:r>
      <w:r w:rsidRPr="00E16A3F">
        <w:rPr>
          <w:rFonts w:ascii="Times New Roman" w:hAnsi="Times New Roman" w:cs="Times New Roman"/>
          <w:sz w:val="24"/>
          <w:szCs w:val="24"/>
        </w:rPr>
        <w:t xml:space="preserve">  Ultimately, Acton sees prostitution as a ‘transitory state’, embarked upon by ‘an untold number of British women’ and one that is passed through by most on the journey to respectable marriage.  It is when set alongside such pragmatic, largely non-judgmental perspectives that Reynolds’s conformist presentation of those who rebel through sexual transgression can be seen as one of the most conservative elements of his cautious radicalism.</w:t>
      </w:r>
    </w:p>
    <w:p w:rsidR="00690DF3" w:rsidRDefault="00690DF3" w:rsidP="00690DF3">
      <w:pPr>
        <w:spacing w:after="120" w:line="360" w:lineRule="auto"/>
        <w:ind w:firstLine="720"/>
        <w:rPr>
          <w:rFonts w:ascii="Times New Roman" w:hAnsi="Times New Roman" w:cs="Times New Roman"/>
          <w:bCs/>
          <w:sz w:val="24"/>
          <w:szCs w:val="24"/>
        </w:rPr>
      </w:pPr>
    </w:p>
    <w:p w:rsidR="00690DF3" w:rsidRDefault="00690DF3" w:rsidP="00690DF3">
      <w:pPr>
        <w:rPr>
          <w:rFonts w:ascii="Times New Roman" w:hAnsi="Times New Roman" w:cs="Times New Roman"/>
          <w:bCs/>
          <w:sz w:val="24"/>
          <w:szCs w:val="24"/>
        </w:rPr>
        <w:sectPr w:rsidR="00690DF3">
          <w:footnotePr>
            <w:numRestart w:val="eachSect"/>
          </w:footnotePr>
          <w:pgSz w:w="11906" w:h="16838"/>
          <w:pgMar w:top="1440" w:right="1440" w:bottom="1440" w:left="1440" w:header="708" w:footer="708" w:gutter="0"/>
          <w:cols w:space="708"/>
          <w:docGrid w:linePitch="360"/>
        </w:sectPr>
      </w:pPr>
    </w:p>
    <w:p w:rsidR="00DD46EC" w:rsidRPr="00AA1FDF" w:rsidRDefault="00DD46EC" w:rsidP="00DD46EC">
      <w:pPr>
        <w:spacing w:after="240" w:line="360" w:lineRule="auto"/>
        <w:jc w:val="center"/>
        <w:rPr>
          <w:rFonts w:ascii="Times New Roman" w:eastAsia="Times New Roman" w:hAnsi="Times New Roman" w:cs="Times New Roman"/>
          <w:b/>
          <w:sz w:val="24"/>
          <w:szCs w:val="24"/>
          <w:u w:val="single"/>
          <w:lang w:eastAsia="en-GB"/>
        </w:rPr>
      </w:pPr>
      <w:r w:rsidRPr="00AA1FDF">
        <w:rPr>
          <w:rFonts w:ascii="Times New Roman" w:eastAsia="Times New Roman" w:hAnsi="Times New Roman" w:cs="Times New Roman"/>
          <w:b/>
          <w:sz w:val="24"/>
          <w:szCs w:val="24"/>
          <w:u w:val="single"/>
          <w:lang w:eastAsia="en-GB"/>
        </w:rPr>
        <w:lastRenderedPageBreak/>
        <w:t>Chapter 5:</w:t>
      </w:r>
      <w:r w:rsidRPr="00AA1FDF">
        <w:rPr>
          <w:rFonts w:ascii="Times New Roman" w:eastAsia="Times New Roman" w:hAnsi="Times New Roman" w:cs="Times New Roman"/>
          <w:b/>
          <w:sz w:val="24"/>
          <w:szCs w:val="24"/>
          <w:u w:val="single"/>
          <w:lang w:eastAsia="en-GB"/>
        </w:rPr>
        <w:tab/>
        <w:t>The Dangerous Classes: Self-mythologizing and Looking to the Past</w:t>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 xml:space="preserve">Reynolds’s depiction of the </w:t>
      </w:r>
      <w:r w:rsidRPr="009F78AC">
        <w:rPr>
          <w:rFonts w:ascii="Times New Roman" w:hAnsi="Times New Roman" w:cs="Times New Roman"/>
          <w:sz w:val="24"/>
          <w:szCs w:val="24"/>
        </w:rPr>
        <w:t>dangerous</w:t>
      </w:r>
      <w:r w:rsidRPr="00AA1FDF">
        <w:rPr>
          <w:rFonts w:ascii="Times New Roman" w:hAnsi="Times New Roman" w:cs="Times New Roman"/>
          <w:sz w:val="24"/>
          <w:szCs w:val="24"/>
        </w:rPr>
        <w:t xml:space="preserve"> classes in many ways continued the investigatory work of social commentators in the 1830s such as James Grant whose writings delved into the lower strata of </w:t>
      </w:r>
      <w:r w:rsidRPr="009F78AC">
        <w:rPr>
          <w:rFonts w:ascii="Times New Roman" w:hAnsi="Times New Roman" w:cs="Times New Roman"/>
          <w:sz w:val="24"/>
          <w:szCs w:val="24"/>
        </w:rPr>
        <w:t>the capit</w:t>
      </w:r>
      <w:r w:rsidR="00EB402A" w:rsidRPr="009F78AC">
        <w:rPr>
          <w:rFonts w:ascii="Times New Roman" w:hAnsi="Times New Roman" w:cs="Times New Roman"/>
          <w:sz w:val="24"/>
          <w:szCs w:val="24"/>
        </w:rPr>
        <w:t>a</w:t>
      </w:r>
      <w:r w:rsidRPr="009F78AC">
        <w:rPr>
          <w:rFonts w:ascii="Times New Roman" w:hAnsi="Times New Roman" w:cs="Times New Roman"/>
          <w:sz w:val="24"/>
          <w:szCs w:val="24"/>
        </w:rPr>
        <w:t>l’s population</w:t>
      </w:r>
      <w:r w:rsidRPr="00AA1FDF">
        <w:rPr>
          <w:rFonts w:ascii="Times New Roman" w:hAnsi="Times New Roman" w:cs="Times New Roman"/>
          <w:sz w:val="24"/>
          <w:szCs w:val="24"/>
        </w:rPr>
        <w:t>.</w:t>
      </w:r>
      <w:r w:rsidRPr="00AA1FDF">
        <w:rPr>
          <w:rStyle w:val="FootnoteReference"/>
          <w:rFonts w:ascii="Times New Roman" w:hAnsi="Times New Roman" w:cs="Times New Roman"/>
          <w:sz w:val="24"/>
          <w:szCs w:val="24"/>
        </w:rPr>
        <w:footnoteReference w:id="607"/>
      </w:r>
      <w:r w:rsidRPr="00AA1FDF">
        <w:rPr>
          <w:rFonts w:ascii="Times New Roman" w:hAnsi="Times New Roman" w:cs="Times New Roman"/>
          <w:sz w:val="24"/>
          <w:szCs w:val="24"/>
        </w:rPr>
        <w:t xml:space="preserve">  Charles Horace Wall wrote there was ‘a distinct body of thieves, whose life and business it is to follow up a determined warfare against the constituted authorities, by living in idleness and on plunder’.</w:t>
      </w:r>
      <w:r w:rsidRPr="00AA1FDF">
        <w:rPr>
          <w:rStyle w:val="FootnoteReference"/>
          <w:rFonts w:ascii="Times New Roman" w:hAnsi="Times New Roman" w:cs="Times New Roman"/>
          <w:sz w:val="24"/>
          <w:szCs w:val="24"/>
        </w:rPr>
        <w:footnoteReference w:id="608"/>
      </w:r>
      <w:r w:rsidRPr="00AA1FDF">
        <w:rPr>
          <w:rFonts w:ascii="Times New Roman" w:hAnsi="Times New Roman" w:cs="Times New Roman"/>
          <w:sz w:val="24"/>
          <w:szCs w:val="24"/>
        </w:rPr>
        <w:t xml:space="preserve">  The most famous fictional portrayal was probably Dickens’s </w:t>
      </w:r>
      <w:r w:rsidRPr="00AA1FDF">
        <w:rPr>
          <w:rFonts w:ascii="Times New Roman" w:hAnsi="Times New Roman" w:cs="Times New Roman"/>
          <w:i/>
          <w:sz w:val="24"/>
          <w:szCs w:val="24"/>
        </w:rPr>
        <w:t>Oliver Twist</w:t>
      </w:r>
      <w:r w:rsidRPr="00AA1FDF">
        <w:rPr>
          <w:rFonts w:ascii="Times New Roman" w:hAnsi="Times New Roman" w:cs="Times New Roman"/>
          <w:sz w:val="24"/>
          <w:szCs w:val="24"/>
        </w:rPr>
        <w:t xml:space="preserve"> (1838) that Reynolds acknowledged as a fine work.</w:t>
      </w:r>
      <w:r w:rsidRPr="00AA1FDF">
        <w:rPr>
          <w:rStyle w:val="FootnoteReference"/>
          <w:rFonts w:ascii="Times New Roman" w:hAnsi="Times New Roman" w:cs="Times New Roman"/>
          <w:sz w:val="24"/>
          <w:szCs w:val="24"/>
        </w:rPr>
        <w:footnoteReference w:id="609"/>
      </w:r>
      <w:r w:rsidRPr="00AA1FDF">
        <w:rPr>
          <w:rFonts w:ascii="Times New Roman" w:hAnsi="Times New Roman" w:cs="Times New Roman"/>
          <w:sz w:val="24"/>
          <w:szCs w:val="24"/>
        </w:rPr>
        <w:t xml:space="preserve">  Like Henry Mayhew, he saw the refusal to perform honest work as an important factor in determining membership of the dangerous classes, where individuals prospered through criminal pursuits in a manner that largely separated them from those who protested disreputably but grudgingly accepted workplace disciplines.  This chapter argues that for Reynolds these people created the most problematic form of dissent, which Helen Hauser highlights by discussing the opening illustration to </w:t>
      </w:r>
      <w:r w:rsidRPr="00AA1FDF">
        <w:rPr>
          <w:rFonts w:ascii="Times New Roman" w:hAnsi="Times New Roman" w:cs="Times New Roman"/>
          <w:i/>
          <w:iCs/>
          <w:sz w:val="24"/>
          <w:szCs w:val="24"/>
        </w:rPr>
        <w:t xml:space="preserve">The </w:t>
      </w:r>
      <w:r w:rsidRPr="00AA1FDF">
        <w:rPr>
          <w:rFonts w:ascii="Times New Roman" w:hAnsi="Times New Roman" w:cs="Times New Roman"/>
          <w:i/>
          <w:sz w:val="24"/>
          <w:szCs w:val="24"/>
        </w:rPr>
        <w:t>Mysteries of London</w:t>
      </w:r>
      <w:r w:rsidRPr="00AA1FDF">
        <w:rPr>
          <w:rFonts w:ascii="Times New Roman" w:hAnsi="Times New Roman" w:cs="Times New Roman"/>
          <w:sz w:val="24"/>
          <w:szCs w:val="24"/>
        </w:rPr>
        <w:t xml:space="preserve"> (1844–48) (see </w:t>
      </w:r>
      <w:r w:rsidRPr="00890E3F">
        <w:rPr>
          <w:rFonts w:ascii="Times New Roman" w:hAnsi="Times New Roman" w:cs="Times New Roman"/>
          <w:sz w:val="24"/>
          <w:szCs w:val="24"/>
        </w:rPr>
        <w:t>Appendix G</w:t>
      </w:r>
      <w:r w:rsidRPr="00AA1FDF">
        <w:rPr>
          <w:rFonts w:ascii="Times New Roman" w:hAnsi="Times New Roman" w:cs="Times New Roman"/>
          <w:sz w:val="24"/>
          <w:szCs w:val="24"/>
        </w:rPr>
        <w:t>).  The middle-class Eliza Sydney, in flamboyant male clothing, walks through the rough neighbourhood of Smithfield-market.  She is surrounded by slum dwellers that Reynolds should sympathise with but, as Hauser points out, they include a man carrying a club, a group of horse dealers standing around an emaciated horse and an ill-favoured woman holding a baby.  All glower at the stranger walking in their midst.  While the reader is aware of their poverty, they inspire more fear than compassion.</w:t>
      </w:r>
      <w:r w:rsidRPr="00AA1FDF">
        <w:rPr>
          <w:rStyle w:val="FootnoteReference"/>
          <w:rFonts w:ascii="Times New Roman" w:hAnsi="Times New Roman" w:cs="Times New Roman"/>
          <w:sz w:val="24"/>
          <w:szCs w:val="24"/>
        </w:rPr>
        <w:footnoteReference w:id="610"/>
      </w:r>
      <w:r w:rsidRPr="00AA1FDF">
        <w:rPr>
          <w:rFonts w:ascii="Times New Roman" w:hAnsi="Times New Roman" w:cs="Times New Roman"/>
          <w:sz w:val="24"/>
          <w:szCs w:val="24"/>
        </w:rPr>
        <w:t xml:space="preserve">  This chapter will begin by indicating why the activity of such figures should be included as part of Reynolds’s portrayal of the discontent of the industrious classes.  It analyses how they defy the behavioural norms of society at large, creating alternative economic structures and confidently asserting superiority over the honest mass of the population.  While he agreed this dissent contained a deep vein of opposition to the encroachments of an authoritarian state, he rejected it as morally flawed, challenging its boastful self-mythologizing and exposing its inability to provide a viable path for social advancement.  Although focus is placed upon criminal gangs, the discussion ranges more broadly to demonstrate that for the author these </w:t>
      </w:r>
      <w:r w:rsidRPr="00AA1FDF">
        <w:rPr>
          <w:rFonts w:ascii="Times New Roman" w:hAnsi="Times New Roman" w:cs="Times New Roman"/>
          <w:sz w:val="24"/>
          <w:szCs w:val="24"/>
        </w:rPr>
        <w:lastRenderedPageBreak/>
        <w:t>tight-knit groups formed just one element in a more complex picture of this ‘dangerous’ protest.</w:t>
      </w:r>
      <w:r w:rsidRPr="00AA1FDF">
        <w:rPr>
          <w:rStyle w:val="FootnoteReference"/>
          <w:rFonts w:ascii="Times New Roman" w:hAnsi="Times New Roman" w:cs="Times New Roman"/>
          <w:sz w:val="24"/>
          <w:szCs w:val="24"/>
        </w:rPr>
        <w:footnoteReference w:id="611"/>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 xml:space="preserve">In early writings, Reynolds shows much concern for the problems of the industrious poor but gives less consideration to those engaged in law-breaking, typified by the following passage from </w:t>
      </w:r>
      <w:r w:rsidRPr="00AA1FDF">
        <w:rPr>
          <w:rFonts w:ascii="Times New Roman" w:hAnsi="Times New Roman" w:cs="Times New Roman"/>
          <w:i/>
          <w:sz w:val="24"/>
          <w:szCs w:val="24"/>
        </w:rPr>
        <w:t>Pickwick Abroad</w:t>
      </w:r>
      <w:r w:rsidRPr="00AA1FDF">
        <w:rPr>
          <w:rFonts w:ascii="Times New Roman" w:hAnsi="Times New Roman" w:cs="Times New Roman"/>
          <w:sz w:val="24"/>
          <w:szCs w:val="24"/>
        </w:rPr>
        <w:t xml:space="preserve"> (1838–39):</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[T]he English metropolis is at this moment infested by a race of young men who are of no earthly use either to society or to themselves.  They probably fly from their creditors, or from the still more dreaded presence of starvation, hasten to join any military expedition which the rulers, or would-be rulers of foreign nations are carrying on against their neighbours or their subjects, desert from one side to another, return to England, and are deservedly shunned by all upright and good men for their conduct.</w:t>
      </w:r>
      <w:r w:rsidRPr="00AA1FDF">
        <w:rPr>
          <w:rStyle w:val="FootnoteReference"/>
          <w:rFonts w:ascii="Times New Roman" w:hAnsi="Times New Roman" w:cs="Times New Roman"/>
          <w:sz w:val="24"/>
          <w:szCs w:val="24"/>
        </w:rPr>
        <w:footnoteReference w:id="612"/>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 xml:space="preserve">Despite referring to the ‘dreadful presence of starvation’, the main emphasis is that the people involved usually inhabit their position through choice, ne’er-do-wells of unspecified social origins who spend money recklessly and flee abroad, often undertaking military service where their dishonest conduct continues with treachery and desertion.  On returning to England, they employ their physical prowess as bullies to abuse the weak and gullible who have been lured into brothels or gambling dens.  Reynolds believes they deserve the treadmill, displaying a lack of sympathy that confirms his view of the self-inflicted nature of their decline.  A similar portrait appeared soon after in </w:t>
      </w:r>
      <w:r w:rsidRPr="00AA1FDF">
        <w:rPr>
          <w:rFonts w:ascii="Times New Roman" w:hAnsi="Times New Roman" w:cs="Times New Roman"/>
          <w:i/>
          <w:sz w:val="24"/>
          <w:szCs w:val="24"/>
        </w:rPr>
        <w:t>The Steam Packet</w:t>
      </w:r>
      <w:r w:rsidRPr="00AA1FDF">
        <w:rPr>
          <w:rFonts w:ascii="Times New Roman" w:hAnsi="Times New Roman" w:cs="Times New Roman"/>
          <w:sz w:val="24"/>
          <w:szCs w:val="24"/>
        </w:rPr>
        <w:t xml:space="preserve"> (1840) with the activities of Philip Dakins’s gang at Calais.</w:t>
      </w:r>
      <w:r w:rsidRPr="00AA1FDF">
        <w:rPr>
          <w:rStyle w:val="FootnoteReference"/>
          <w:rFonts w:ascii="Times New Roman" w:hAnsi="Times New Roman" w:cs="Times New Roman"/>
          <w:sz w:val="24"/>
          <w:szCs w:val="24"/>
        </w:rPr>
        <w:footnoteReference w:id="613"/>
      </w:r>
      <w:r w:rsidRPr="00AA1FDF">
        <w:rPr>
          <w:rFonts w:ascii="Times New Roman" w:hAnsi="Times New Roman" w:cs="Times New Roman"/>
          <w:sz w:val="24"/>
          <w:szCs w:val="24"/>
        </w:rPr>
        <w:t xml:space="preserve">  </w:t>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 xml:space="preserve">Treatment of the subject changes significantly in </w:t>
      </w:r>
      <w:r w:rsidRPr="00AA1FDF">
        <w:rPr>
          <w:rFonts w:ascii="Times New Roman" w:hAnsi="Times New Roman" w:cs="Times New Roman"/>
          <w:i/>
          <w:iCs/>
          <w:sz w:val="24"/>
          <w:szCs w:val="24"/>
        </w:rPr>
        <w:t xml:space="preserve">The </w:t>
      </w:r>
      <w:r w:rsidRPr="00AA1FDF">
        <w:rPr>
          <w:rFonts w:ascii="Times New Roman" w:hAnsi="Times New Roman" w:cs="Times New Roman"/>
          <w:i/>
          <w:sz w:val="24"/>
          <w:szCs w:val="24"/>
        </w:rPr>
        <w:t>Mysteries of London</w:t>
      </w:r>
      <w:r w:rsidRPr="00AA1FDF">
        <w:rPr>
          <w:rFonts w:ascii="Times New Roman" w:hAnsi="Times New Roman" w:cs="Times New Roman"/>
          <w:sz w:val="24"/>
          <w:szCs w:val="24"/>
        </w:rPr>
        <w:t xml:space="preserve">, particularly through the personal histories of gang members that describe many emanating from the industrious classes and being forced into crime.  While they may be regarded as unreliable witnesses, the wider narrative of injustice inflicted upon the population lends credibility to their claims.  Anthony Tidkins, the Resurrection Man, provides a valuable starting point.  </w:t>
      </w:r>
      <w:r w:rsidRPr="00AA1FDF">
        <w:rPr>
          <w:rFonts w:ascii="Times New Roman" w:eastAsia="Times New Roman" w:hAnsi="Times New Roman" w:cs="Times New Roman"/>
          <w:sz w:val="24"/>
          <w:szCs w:val="24"/>
          <w:lang w:eastAsia="en-GB"/>
        </w:rPr>
        <w:t>Louis James indicates that he sets out as ‘a well-intentioned youth’.</w:t>
      </w:r>
      <w:r w:rsidRPr="00AA1FDF">
        <w:rPr>
          <w:rStyle w:val="FootnoteReference"/>
          <w:rFonts w:ascii="Times New Roman" w:hAnsi="Times New Roman" w:cs="Times New Roman"/>
          <w:sz w:val="24"/>
          <w:szCs w:val="24"/>
        </w:rPr>
        <w:footnoteReference w:id="614"/>
      </w:r>
      <w:r w:rsidRPr="00AA1FDF">
        <w:rPr>
          <w:rFonts w:ascii="Times New Roman" w:hAnsi="Times New Roman" w:cs="Times New Roman"/>
          <w:sz w:val="24"/>
          <w:szCs w:val="24"/>
        </w:rPr>
        <w:t xml:space="preserve">  Decline commences after his shopkeeper father is socially ostracised by local elites after being caught </w:t>
      </w:r>
      <w:r w:rsidRPr="00AA1FDF">
        <w:rPr>
          <w:rFonts w:ascii="Times New Roman" w:hAnsi="Times New Roman" w:cs="Times New Roman"/>
          <w:sz w:val="24"/>
          <w:szCs w:val="24"/>
        </w:rPr>
        <w:lastRenderedPageBreak/>
        <w:t>for smuggling activities that they have encouraged him to perform.  From this background, Tidkins seeks employment but is rejected by fashionable society.</w:t>
      </w:r>
      <w:r w:rsidRPr="00AA1FDF">
        <w:rPr>
          <w:rStyle w:val="FootnoteReference"/>
          <w:rFonts w:ascii="Times New Roman" w:hAnsi="Times New Roman" w:cs="Times New Roman"/>
          <w:sz w:val="24"/>
          <w:szCs w:val="24"/>
        </w:rPr>
        <w:footnoteReference w:id="615"/>
      </w:r>
      <w:r w:rsidRPr="00AA1FDF">
        <w:rPr>
          <w:rFonts w:ascii="Times New Roman" w:hAnsi="Times New Roman" w:cs="Times New Roman"/>
          <w:sz w:val="24"/>
          <w:szCs w:val="24"/>
        </w:rPr>
        <w:t xml:space="preserve">  In despair, he turns to the poorer tradespeople:</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 xml:space="preserve">By these miserable creatures I was received with compassionate interest; and my case was fully comprehended by them.  Some even gave me a few halfpence; and one made me sit down and dine with him, his wife, and his children.  They, however, one and all declared </w:t>
      </w:r>
      <w:r w:rsidRPr="00AA1FDF">
        <w:rPr>
          <w:rFonts w:ascii="Times New Roman" w:hAnsi="Times New Roman" w:cs="Times New Roman"/>
          <w:i/>
          <w:sz w:val="24"/>
          <w:szCs w:val="24"/>
        </w:rPr>
        <w:t>that they could not take me into their service, for, if they did, they would be sure to offend all their customers</w:t>
      </w:r>
      <w:r w:rsidRPr="00AA1FDF">
        <w:rPr>
          <w:rFonts w:ascii="Times New Roman" w:hAnsi="Times New Roman" w:cs="Times New Roman"/>
          <w:sz w:val="24"/>
          <w:szCs w:val="24"/>
        </w:rPr>
        <w:t>.  Thus was it that the overbearing conduct and atrocious tyranny of the more wealthy part of the community, compelled the poorer portion to smother all sympathy in my behalf.</w:t>
      </w:r>
      <w:r w:rsidRPr="00AA1FDF">
        <w:rPr>
          <w:rStyle w:val="FootnoteReference"/>
          <w:rFonts w:ascii="Times New Roman" w:hAnsi="Times New Roman" w:cs="Times New Roman"/>
          <w:sz w:val="24"/>
          <w:szCs w:val="24"/>
        </w:rPr>
        <w:footnoteReference w:id="616"/>
      </w:r>
    </w:p>
    <w:p w:rsidR="00DD46EC" w:rsidRPr="00AA1FDF" w:rsidRDefault="00DD46EC" w:rsidP="00DD46EC">
      <w:pPr>
        <w:spacing w:after="120" w:line="360" w:lineRule="auto"/>
        <w:rPr>
          <w:rFonts w:ascii="Times New Roman" w:hAnsi="Times New Roman" w:cs="Times New Roman"/>
          <w:bCs/>
          <w:sz w:val="24"/>
          <w:szCs w:val="24"/>
        </w:rPr>
      </w:pPr>
      <w:r w:rsidRPr="00AA1FDF">
        <w:rPr>
          <w:rFonts w:ascii="Times New Roman" w:hAnsi="Times New Roman" w:cs="Times New Roman"/>
          <w:sz w:val="24"/>
          <w:szCs w:val="24"/>
        </w:rPr>
        <w:t xml:space="preserve">There is no animosity towards those </w:t>
      </w:r>
      <w:r w:rsidRPr="00922887">
        <w:rPr>
          <w:rFonts w:ascii="Times New Roman" w:hAnsi="Times New Roman" w:cs="Times New Roman"/>
          <w:sz w:val="24"/>
          <w:szCs w:val="24"/>
        </w:rPr>
        <w:t>who r</w:t>
      </w:r>
      <w:r w:rsidR="002A2AC9" w:rsidRPr="00922887">
        <w:rPr>
          <w:rFonts w:ascii="Times New Roman" w:hAnsi="Times New Roman" w:cs="Times New Roman"/>
          <w:sz w:val="24"/>
          <w:szCs w:val="24"/>
        </w:rPr>
        <w:t>un</w:t>
      </w:r>
      <w:r w:rsidRPr="00922887">
        <w:rPr>
          <w:rFonts w:ascii="Times New Roman" w:hAnsi="Times New Roman" w:cs="Times New Roman"/>
          <w:sz w:val="24"/>
          <w:szCs w:val="24"/>
        </w:rPr>
        <w:t xml:space="preserve"> small</w:t>
      </w:r>
      <w:r w:rsidRPr="00AA1FDF">
        <w:rPr>
          <w:rFonts w:ascii="Times New Roman" w:hAnsi="Times New Roman" w:cs="Times New Roman"/>
          <w:sz w:val="24"/>
          <w:szCs w:val="24"/>
        </w:rPr>
        <w:t xml:space="preserve"> businesses, like his father they are presented as ‘miserable creatures’ cowed by aristocratic tyranny.  Rather, he acknowledges their kindness, realizing subservience to local dignitaries limits any help they can give, and directs his rage against the wealthy hypocrites who have caused the family’s downfall and denied him the opportunity to earn an honest living.  These experiences are echoed by others.  Crankey Jem’s father was also a shopkeeper, although of a more questionable type, earning extra money from dubious preaching practices.  After he dies, Jem is put on the streets by his step-mother and forced into begging when unable to find work.  Sent to gaol for being poor, he associates with young inmates and on being released joins a criminal gang.</w:t>
      </w:r>
      <w:r w:rsidRPr="00AA1FDF">
        <w:rPr>
          <w:rStyle w:val="FootnoteReference"/>
          <w:rFonts w:ascii="Times New Roman" w:hAnsi="Times New Roman" w:cs="Times New Roman"/>
          <w:sz w:val="24"/>
          <w:szCs w:val="24"/>
        </w:rPr>
        <w:footnoteReference w:id="617"/>
      </w:r>
      <w:r w:rsidRPr="00AA1FDF">
        <w:rPr>
          <w:rFonts w:ascii="Times New Roman" w:hAnsi="Times New Roman" w:cs="Times New Roman"/>
          <w:sz w:val="24"/>
          <w:szCs w:val="24"/>
        </w:rPr>
        <w:t xml:space="preserve">  Tim Splint, an associate of Benjamin Bones, has a respectable childhood until his father, an independent farmer, is propelled down the social ladder after falling foul of the local squirearchy.  Later he is denied employment by farmers in the area because his friend George Dalton has been in prison and the pair end up at a chalk-pit where they work steadily and get on well with the owner.</w:t>
      </w:r>
      <w:r w:rsidRPr="00AA1FDF">
        <w:rPr>
          <w:rStyle w:val="FootnoteReference"/>
          <w:rFonts w:ascii="Times New Roman" w:hAnsi="Times New Roman" w:cs="Times New Roman"/>
          <w:sz w:val="24"/>
          <w:szCs w:val="24"/>
        </w:rPr>
        <w:footnoteReference w:id="618"/>
      </w:r>
      <w:r w:rsidRPr="00AA1FDF">
        <w:rPr>
          <w:rFonts w:ascii="Times New Roman" w:hAnsi="Times New Roman" w:cs="Times New Roman"/>
          <w:sz w:val="24"/>
          <w:szCs w:val="24"/>
        </w:rPr>
        <w:t xml:space="preserve">  However, the unjust execution of George leads Tim to believe the industrious classes are ‘tortured on earth’ and he abandons his honest intentions: ‘From that moment I determined to do as I saw the world doing around me.’</w:t>
      </w:r>
      <w:r w:rsidRPr="00AA1FDF">
        <w:rPr>
          <w:rStyle w:val="FootnoteReference"/>
          <w:rFonts w:ascii="Times New Roman" w:hAnsi="Times New Roman" w:cs="Times New Roman"/>
          <w:sz w:val="24"/>
          <w:szCs w:val="24"/>
        </w:rPr>
        <w:footnoteReference w:id="619"/>
      </w:r>
      <w:r w:rsidRPr="00AA1FDF">
        <w:rPr>
          <w:rFonts w:ascii="Times New Roman" w:hAnsi="Times New Roman" w:cs="Times New Roman"/>
          <w:sz w:val="24"/>
          <w:szCs w:val="24"/>
        </w:rPr>
        <w:t xml:space="preserve">  Others come from more clearly working-class backgrounds.  The parents of Meg Flathers, ‘the Rattlesnake’, are miners.</w:t>
      </w:r>
      <w:r w:rsidRPr="00AA1FDF">
        <w:rPr>
          <w:rStyle w:val="FootnoteReference"/>
          <w:rFonts w:ascii="Times New Roman" w:hAnsi="Times New Roman" w:cs="Times New Roman"/>
          <w:sz w:val="24"/>
          <w:szCs w:val="24"/>
        </w:rPr>
        <w:footnoteReference w:id="620"/>
      </w:r>
      <w:r w:rsidRPr="00AA1FDF">
        <w:rPr>
          <w:rFonts w:ascii="Times New Roman" w:hAnsi="Times New Roman" w:cs="Times New Roman"/>
          <w:sz w:val="24"/>
          <w:szCs w:val="24"/>
        </w:rPr>
        <w:t xml:space="preserve">  Matilda Briggs and her parents toil as country labourers, the inescapable drudgery of which leaves her easily tempted by the dissolute lifestyle she witnesses at a cheap lodging house.</w:t>
      </w:r>
      <w:r w:rsidRPr="00AA1FDF">
        <w:rPr>
          <w:rStyle w:val="FootnoteReference"/>
          <w:rFonts w:ascii="Times New Roman" w:hAnsi="Times New Roman" w:cs="Times New Roman"/>
          <w:b/>
          <w:sz w:val="24"/>
          <w:szCs w:val="24"/>
        </w:rPr>
        <w:footnoteReference w:id="621"/>
      </w:r>
      <w:r w:rsidRPr="00AA1FDF">
        <w:rPr>
          <w:rFonts w:ascii="Times New Roman" w:hAnsi="Times New Roman" w:cs="Times New Roman"/>
          <w:sz w:val="24"/>
          <w:szCs w:val="24"/>
        </w:rPr>
        <w:t xml:space="preserve">  </w:t>
      </w:r>
      <w:r w:rsidRPr="00AA1FDF">
        <w:rPr>
          <w:rFonts w:ascii="Times New Roman" w:hAnsi="Times New Roman" w:cs="Times New Roman"/>
          <w:sz w:val="24"/>
          <w:szCs w:val="24"/>
        </w:rPr>
        <w:lastRenderedPageBreak/>
        <w:t>Some histories suggest personality traits play a greater part in this decline.  John Wicks, ‘the Buffer’, acknowledges that when young he enjoyed the excitement of gambling.</w:t>
      </w:r>
      <w:r w:rsidRPr="00AA1FDF">
        <w:rPr>
          <w:rStyle w:val="FootnoteReference"/>
          <w:rFonts w:ascii="Times New Roman" w:hAnsi="Times New Roman" w:cs="Times New Roman"/>
          <w:sz w:val="24"/>
          <w:szCs w:val="24"/>
        </w:rPr>
        <w:footnoteReference w:id="622"/>
      </w:r>
      <w:r w:rsidRPr="00AA1FDF">
        <w:rPr>
          <w:rFonts w:ascii="Times New Roman" w:hAnsi="Times New Roman" w:cs="Times New Roman"/>
          <w:sz w:val="24"/>
          <w:szCs w:val="24"/>
        </w:rPr>
        <w:t xml:space="preserve">  John Jeffreys admits to being deceitful from an early age.</w:t>
      </w:r>
      <w:r w:rsidRPr="00AA1FDF">
        <w:rPr>
          <w:rStyle w:val="FootnoteReference"/>
          <w:rFonts w:ascii="Times New Roman" w:hAnsi="Times New Roman" w:cs="Times New Roman"/>
          <w:sz w:val="24"/>
          <w:szCs w:val="24"/>
        </w:rPr>
        <w:footnoteReference w:id="623"/>
      </w:r>
      <w:r w:rsidRPr="00AA1FDF">
        <w:rPr>
          <w:rFonts w:ascii="Times New Roman" w:hAnsi="Times New Roman" w:cs="Times New Roman"/>
          <w:sz w:val="24"/>
          <w:szCs w:val="24"/>
        </w:rPr>
        <w:t xml:space="preserve">  The parents of the Buffer keep a coal and potato </w:t>
      </w:r>
      <w:r w:rsidRPr="00922887">
        <w:rPr>
          <w:rFonts w:ascii="Times New Roman" w:hAnsi="Times New Roman" w:cs="Times New Roman"/>
          <w:sz w:val="24"/>
          <w:szCs w:val="24"/>
        </w:rPr>
        <w:t>shed</w:t>
      </w:r>
      <w:r w:rsidR="00842955" w:rsidRPr="00922887">
        <w:rPr>
          <w:rFonts w:ascii="Times New Roman" w:hAnsi="Times New Roman" w:cs="Times New Roman"/>
          <w:sz w:val="24"/>
          <w:szCs w:val="24"/>
        </w:rPr>
        <w:t>, hiring</w:t>
      </w:r>
      <w:r w:rsidRPr="00922887">
        <w:rPr>
          <w:rFonts w:ascii="Times New Roman" w:hAnsi="Times New Roman" w:cs="Times New Roman"/>
          <w:sz w:val="24"/>
          <w:szCs w:val="24"/>
        </w:rPr>
        <w:t xml:space="preserve"> barrows to costermongers</w:t>
      </w:r>
      <w:r w:rsidR="00842955" w:rsidRPr="00922887">
        <w:rPr>
          <w:rFonts w:ascii="Times New Roman" w:hAnsi="Times New Roman" w:cs="Times New Roman"/>
          <w:sz w:val="24"/>
          <w:szCs w:val="24"/>
        </w:rPr>
        <w:t>,</w:t>
      </w:r>
      <w:r w:rsidRPr="00AA1FDF">
        <w:rPr>
          <w:rFonts w:ascii="Times New Roman" w:hAnsi="Times New Roman" w:cs="Times New Roman"/>
          <w:sz w:val="24"/>
          <w:szCs w:val="24"/>
        </w:rPr>
        <w:t xml:space="preserve"> while those of Jeffreys are honest and hardworking.  They are fond of their children but cannot prevent the development of their shortcomings.  This picture is in line with the personal accounts provided by Henry Mayhew, which suggested that even those who refused to labour had received some education and their parents worked honestly.</w:t>
      </w:r>
      <w:r w:rsidRPr="00AA1FDF">
        <w:rPr>
          <w:rStyle w:val="FootnoteReference"/>
          <w:rFonts w:ascii="Times New Roman" w:hAnsi="Times New Roman" w:cs="Times New Roman"/>
          <w:sz w:val="24"/>
          <w:szCs w:val="24"/>
        </w:rPr>
        <w:footnoteReference w:id="624"/>
      </w:r>
      <w:r w:rsidRPr="00AA1FDF">
        <w:rPr>
          <w:rFonts w:ascii="Times New Roman" w:hAnsi="Times New Roman" w:cs="Times New Roman"/>
          <w:sz w:val="24"/>
          <w:szCs w:val="24"/>
        </w:rPr>
        <w:t xml:space="preserve">  They suggest his reference to the urban poor as ‘a large body of persons, of whom the public had less knowledge than that of the most distant tribes of the earth’ was not meant literally.</w:t>
      </w:r>
      <w:r w:rsidRPr="00AA1FDF">
        <w:rPr>
          <w:rStyle w:val="FootnoteReference"/>
          <w:rFonts w:ascii="Times New Roman" w:hAnsi="Times New Roman" w:cs="Times New Roman"/>
          <w:sz w:val="24"/>
          <w:szCs w:val="24"/>
        </w:rPr>
        <w:footnoteReference w:id="625"/>
      </w:r>
      <w:r w:rsidRPr="00AA1FDF">
        <w:rPr>
          <w:rFonts w:ascii="Times New Roman" w:hAnsi="Times New Roman" w:cs="Times New Roman"/>
          <w:sz w:val="24"/>
          <w:szCs w:val="24"/>
        </w:rPr>
        <w:t xml:space="preserve">  </w:t>
      </w:r>
      <w:r w:rsidRPr="00AA1FDF">
        <w:rPr>
          <w:rFonts w:ascii="Times New Roman" w:hAnsi="Times New Roman" w:cs="Times New Roman"/>
          <w:bCs/>
          <w:sz w:val="24"/>
          <w:szCs w:val="24"/>
        </w:rPr>
        <w:t xml:space="preserve">Because of the origins of these characters, their protest is included in the study, even though </w:t>
      </w:r>
      <w:r w:rsidRPr="00842955">
        <w:rPr>
          <w:rFonts w:ascii="Times New Roman" w:hAnsi="Times New Roman" w:cs="Times New Roman"/>
          <w:bCs/>
          <w:sz w:val="24"/>
          <w:szCs w:val="24"/>
        </w:rPr>
        <w:t>it le</w:t>
      </w:r>
      <w:r w:rsidR="002C2B06" w:rsidRPr="00842955">
        <w:rPr>
          <w:rFonts w:ascii="Times New Roman" w:hAnsi="Times New Roman" w:cs="Times New Roman"/>
          <w:bCs/>
          <w:sz w:val="24"/>
          <w:szCs w:val="24"/>
        </w:rPr>
        <w:t>ads</w:t>
      </w:r>
      <w:r w:rsidRPr="00842955">
        <w:rPr>
          <w:rFonts w:ascii="Times New Roman" w:hAnsi="Times New Roman" w:cs="Times New Roman"/>
          <w:bCs/>
          <w:sz w:val="24"/>
          <w:szCs w:val="24"/>
        </w:rPr>
        <w:t xml:space="preserve"> many to remove themselves from the main sections of the industrious classes.  For Reynolds its analysis was a central element in the education of his readership concerning the question of appropriate conduct.  </w:t>
      </w:r>
      <w:r w:rsidRPr="00842955">
        <w:rPr>
          <w:rFonts w:ascii="Times New Roman" w:hAnsi="Times New Roman" w:cs="Times New Roman"/>
          <w:sz w:val="24"/>
          <w:szCs w:val="24"/>
        </w:rPr>
        <w:t xml:space="preserve">The histories of his gang members are characterised by several themes.  They </w:t>
      </w:r>
      <w:r w:rsidR="00EB402A" w:rsidRPr="00842955">
        <w:rPr>
          <w:rFonts w:ascii="Times New Roman" w:hAnsi="Times New Roman" w:cs="Times New Roman"/>
          <w:sz w:val="24"/>
          <w:szCs w:val="24"/>
        </w:rPr>
        <w:t xml:space="preserve">often </w:t>
      </w:r>
      <w:r w:rsidRPr="00842955">
        <w:rPr>
          <w:rFonts w:ascii="Times New Roman" w:hAnsi="Times New Roman" w:cs="Times New Roman"/>
          <w:sz w:val="24"/>
          <w:szCs w:val="24"/>
        </w:rPr>
        <w:t>originate from</w:t>
      </w:r>
      <w:r w:rsidR="002C2B06" w:rsidRPr="00842955">
        <w:rPr>
          <w:rFonts w:ascii="Times New Roman" w:hAnsi="Times New Roman" w:cs="Times New Roman"/>
          <w:sz w:val="24"/>
          <w:szCs w:val="24"/>
        </w:rPr>
        <w:t xml:space="preserve"> diligent</w:t>
      </w:r>
      <w:r w:rsidRPr="00842955">
        <w:rPr>
          <w:rFonts w:ascii="Times New Roman" w:hAnsi="Times New Roman" w:cs="Times New Roman"/>
          <w:sz w:val="24"/>
          <w:szCs w:val="24"/>
        </w:rPr>
        <w:t xml:space="preserve"> families and wish to perform honest toil until rejection by respectable society makes their position intolerable.  They display strong class perceptions about the nature of their plight and initially sympathise with the suffering of the poor.  It is social </w:t>
      </w:r>
      <w:r w:rsidRPr="00842955">
        <w:rPr>
          <w:rFonts w:ascii="Times New Roman" w:hAnsi="Times New Roman" w:cs="Times New Roman"/>
          <w:bCs/>
          <w:sz w:val="24"/>
          <w:szCs w:val="24"/>
        </w:rPr>
        <w:t xml:space="preserve">injustice rather than </w:t>
      </w:r>
      <w:r w:rsidRPr="00842955">
        <w:rPr>
          <w:rFonts w:ascii="Times New Roman" w:hAnsi="Times New Roman" w:cs="Times New Roman"/>
          <w:sz w:val="24"/>
          <w:szCs w:val="24"/>
        </w:rPr>
        <w:t>disposition of character</w:t>
      </w:r>
      <w:r w:rsidRPr="00842955">
        <w:rPr>
          <w:rFonts w:ascii="Times New Roman" w:hAnsi="Times New Roman" w:cs="Times New Roman"/>
          <w:bCs/>
          <w:sz w:val="24"/>
          <w:szCs w:val="24"/>
        </w:rPr>
        <w:t xml:space="preserve"> </w:t>
      </w:r>
      <w:r w:rsidRPr="00842955">
        <w:rPr>
          <w:rFonts w:ascii="Times New Roman" w:hAnsi="Times New Roman" w:cs="Times New Roman"/>
          <w:sz w:val="24"/>
          <w:szCs w:val="24"/>
        </w:rPr>
        <w:t xml:space="preserve">that drives most </w:t>
      </w:r>
      <w:r w:rsidRPr="00842955">
        <w:rPr>
          <w:rFonts w:ascii="Times New Roman" w:hAnsi="Times New Roman" w:cs="Times New Roman"/>
          <w:bCs/>
          <w:sz w:val="24"/>
          <w:szCs w:val="24"/>
        </w:rPr>
        <w:t xml:space="preserve">to </w:t>
      </w:r>
      <w:r w:rsidRPr="00842955">
        <w:rPr>
          <w:rFonts w:ascii="Times New Roman" w:hAnsi="Times New Roman" w:cs="Times New Roman"/>
          <w:sz w:val="24"/>
          <w:szCs w:val="24"/>
        </w:rPr>
        <w:t>crime, at which point they diverge from the more regular forms of protest used by</w:t>
      </w:r>
      <w:r w:rsidR="002C2B06" w:rsidRPr="00842955">
        <w:rPr>
          <w:rFonts w:ascii="Times New Roman" w:hAnsi="Times New Roman" w:cs="Times New Roman"/>
          <w:sz w:val="24"/>
          <w:szCs w:val="24"/>
        </w:rPr>
        <w:t xml:space="preserve"> those who remain</w:t>
      </w:r>
      <w:r w:rsidRPr="00AA1FDF">
        <w:rPr>
          <w:rFonts w:ascii="Times New Roman" w:hAnsi="Times New Roman" w:cs="Times New Roman"/>
          <w:sz w:val="24"/>
          <w:szCs w:val="24"/>
        </w:rPr>
        <w:t xml:space="preserve"> industrious</w:t>
      </w:r>
      <w:r w:rsidRPr="00AA1FDF">
        <w:rPr>
          <w:rFonts w:ascii="Times New Roman" w:hAnsi="Times New Roman" w:cs="Times New Roman"/>
          <w:bCs/>
          <w:sz w:val="24"/>
          <w:szCs w:val="24"/>
        </w:rPr>
        <w:t xml:space="preserve">. </w:t>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While the individuals Reynolds describes in detail show considerable diversity of background, on a broader level he presents the dangerous classes emerging mainly from what R. S. Neale terms the ‘working-class (B) stratum’, largely comprised of agricultural labourers, low-paid non-factory urban labourers, domestic servants and the urban poor.</w:t>
      </w:r>
      <w:r w:rsidRPr="00AA1FDF">
        <w:rPr>
          <w:rStyle w:val="FootnoteReference"/>
          <w:rFonts w:ascii="Times New Roman" w:hAnsi="Times New Roman" w:cs="Times New Roman"/>
          <w:sz w:val="24"/>
          <w:szCs w:val="24"/>
        </w:rPr>
        <w:footnoteReference w:id="626"/>
      </w:r>
      <w:r w:rsidRPr="00AA1FDF">
        <w:rPr>
          <w:rFonts w:ascii="Times New Roman" w:hAnsi="Times New Roman" w:cs="Times New Roman"/>
          <w:sz w:val="24"/>
          <w:szCs w:val="24"/>
        </w:rPr>
        <w:t xml:space="preserve">  Emphasis is placed upon the roughest occupations when reference is made to customers at notorious boozing-kens like that on Saffron Hill: ‘Old clothesmen, sweeps, dustmen, knackers, crimps, and women of the town’.</w:t>
      </w:r>
      <w:r w:rsidRPr="00AA1FDF">
        <w:rPr>
          <w:rStyle w:val="FootnoteReference"/>
          <w:rFonts w:ascii="Times New Roman" w:hAnsi="Times New Roman" w:cs="Times New Roman"/>
          <w:sz w:val="24"/>
          <w:szCs w:val="24"/>
        </w:rPr>
        <w:footnoteReference w:id="627"/>
      </w:r>
      <w:r w:rsidRPr="00AA1FDF">
        <w:rPr>
          <w:rFonts w:ascii="Times New Roman" w:hAnsi="Times New Roman" w:cs="Times New Roman"/>
          <w:sz w:val="24"/>
          <w:szCs w:val="24"/>
        </w:rPr>
        <w:t xml:space="preserve">  Descriptions of slum areas like the Mint reinforce the picture of how honest and dishonest livelihoods seem to mix almost naturally: ‘people follow trades as a blind to avert suspicions relative to their real calling: for they are actually housebreakers or </w:t>
      </w:r>
      <w:r w:rsidRPr="00AA1FDF">
        <w:rPr>
          <w:rFonts w:ascii="Times New Roman" w:hAnsi="Times New Roman" w:cs="Times New Roman"/>
          <w:sz w:val="24"/>
          <w:szCs w:val="24"/>
        </w:rPr>
        <w:lastRenderedPageBreak/>
        <w:t>thieves themselves, or else the companions and abettors of such villains’.</w:t>
      </w:r>
      <w:r w:rsidRPr="00AA1FDF">
        <w:rPr>
          <w:rStyle w:val="FootnoteReference"/>
          <w:rFonts w:ascii="Times New Roman" w:hAnsi="Times New Roman" w:cs="Times New Roman"/>
          <w:sz w:val="24"/>
          <w:szCs w:val="24"/>
        </w:rPr>
        <w:footnoteReference w:id="628"/>
      </w:r>
      <w:r w:rsidRPr="00AA1FDF">
        <w:rPr>
          <w:rFonts w:ascii="Times New Roman" w:hAnsi="Times New Roman" w:cs="Times New Roman"/>
          <w:sz w:val="24"/>
          <w:szCs w:val="24"/>
        </w:rPr>
        <w:t xml:space="preserve">  Reynolds suggests how many live a dual existence that sees contact with the dangerous classes through personal friendship or participation in crime, frequently blurring if not eliminating the social boundary between the two.</w:t>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 xml:space="preserve">An important aspect of dangerous protest is how its most enthusiastic proponents, the gang members, set it within an historical narrative that underpins a confident vision of themselves.  Reynolds allows this perspective some credibility in </w:t>
      </w:r>
      <w:r w:rsidRPr="00AA1FDF">
        <w:rPr>
          <w:rFonts w:ascii="Times New Roman" w:hAnsi="Times New Roman" w:cs="Times New Roman"/>
          <w:i/>
          <w:iCs/>
          <w:sz w:val="24"/>
          <w:szCs w:val="24"/>
        </w:rPr>
        <w:t>The Days of Hogarth</w:t>
      </w:r>
      <w:r w:rsidRPr="00AA1FDF">
        <w:rPr>
          <w:rFonts w:ascii="Times New Roman" w:hAnsi="Times New Roman" w:cs="Times New Roman"/>
          <w:sz w:val="24"/>
          <w:szCs w:val="24"/>
        </w:rPr>
        <w:t xml:space="preserve"> (1847–48), set in London during the 1720s.  The debauched </w:t>
      </w:r>
      <w:r w:rsidRPr="00AA1FDF">
        <w:rPr>
          <w:rFonts w:ascii="Times New Roman" w:hAnsi="Times New Roman" w:cs="Times New Roman"/>
          <w:bCs/>
          <w:sz w:val="24"/>
          <w:szCs w:val="24"/>
        </w:rPr>
        <w:t>Colonel Charteris expresses the fear of the upper classes when complaining about Jem Ruffles’s formidable</w:t>
      </w:r>
      <w:r w:rsidRPr="00AA1FDF">
        <w:rPr>
          <w:rFonts w:ascii="Times New Roman" w:hAnsi="Times New Roman" w:cs="Times New Roman"/>
          <w:sz w:val="24"/>
          <w:szCs w:val="24"/>
        </w:rPr>
        <w:t xml:space="preserve"> Black-boy gang </w:t>
      </w:r>
      <w:r w:rsidRPr="002C2B06">
        <w:rPr>
          <w:rFonts w:ascii="Times New Roman" w:hAnsi="Times New Roman" w:cs="Times New Roman"/>
          <w:sz w:val="24"/>
          <w:szCs w:val="24"/>
        </w:rPr>
        <w:t>that ‘constables do not</w:t>
      </w:r>
      <w:r w:rsidRPr="00AA1FDF">
        <w:rPr>
          <w:rFonts w:ascii="Times New Roman" w:hAnsi="Times New Roman" w:cs="Times New Roman"/>
          <w:sz w:val="24"/>
          <w:szCs w:val="24"/>
        </w:rPr>
        <w:t xml:space="preserve"> seem to be able to capture any of its members’.</w:t>
      </w:r>
      <w:r w:rsidRPr="00AA1FDF">
        <w:rPr>
          <w:rStyle w:val="FootnoteReference"/>
          <w:rFonts w:ascii="Times New Roman" w:hAnsi="Times New Roman" w:cs="Times New Roman"/>
          <w:sz w:val="24"/>
          <w:szCs w:val="24"/>
        </w:rPr>
        <w:footnoteReference w:id="629"/>
      </w:r>
      <w:r w:rsidRPr="00AA1FDF">
        <w:rPr>
          <w:rFonts w:ascii="Times New Roman" w:hAnsi="Times New Roman" w:cs="Times New Roman"/>
          <w:sz w:val="24"/>
          <w:szCs w:val="24"/>
        </w:rPr>
        <w:t xml:space="preserve">  Reynolds’s suggestion of the state’s inability to control areas such as the Mint during this earlier period was a view widely held among contemporaries.</w:t>
      </w:r>
      <w:r w:rsidRPr="00AA1FDF">
        <w:rPr>
          <w:rStyle w:val="FootnoteReference"/>
          <w:rFonts w:ascii="Times New Roman" w:hAnsi="Times New Roman" w:cs="Times New Roman"/>
          <w:sz w:val="24"/>
          <w:szCs w:val="24"/>
        </w:rPr>
        <w:footnoteReference w:id="630"/>
      </w:r>
      <w:r w:rsidRPr="00AA1FDF">
        <w:rPr>
          <w:rFonts w:ascii="Times New Roman" w:hAnsi="Times New Roman" w:cs="Times New Roman"/>
          <w:sz w:val="24"/>
          <w:szCs w:val="24"/>
        </w:rPr>
        <w:t xml:space="preserve">  When Ruffles flees from Bow-Street officers in St Giles, the warning shout ‘The traps!’ arouses the community:</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The moment it was raised by those who sympathised with the fugitive Ruffles, the cry was taken up by a myriad of voices; and the dwellings instantaneously vomited forth numbers of desperate men, all ripe for a row—most of them armed with bludgeons or other formidable weapons—and all showing by their ferocious looks how ready they were to make common cause against the officers of justice.  Wrapping their loathsome rags around their half-naked forms, sturdy beggars emerged from their lurking-places, like wild beasts from their lairs: burglars, coiners, and thieves sprang forth into the street;—and the poor Irish labourers rushed from their cellars, brandishing shillalahs and ready to strike friend or foe.</w:t>
      </w:r>
      <w:r w:rsidRPr="00AA1FDF">
        <w:rPr>
          <w:rStyle w:val="FootnoteReference"/>
          <w:rFonts w:ascii="Times New Roman" w:hAnsi="Times New Roman" w:cs="Times New Roman"/>
          <w:sz w:val="24"/>
          <w:szCs w:val="24"/>
        </w:rPr>
        <w:footnoteReference w:id="631"/>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 xml:space="preserve">The passage emphasises the anti-authoritarianism that exists among the local population.  The inclusiveness of the protest is reinforced by its cross-gendered aspect, with women sharing in the </w:t>
      </w:r>
      <w:r w:rsidRPr="00842955">
        <w:rPr>
          <w:rFonts w:ascii="Times New Roman" w:hAnsi="Times New Roman" w:cs="Times New Roman"/>
          <w:sz w:val="24"/>
          <w:szCs w:val="24"/>
        </w:rPr>
        <w:t>ex</w:t>
      </w:r>
      <w:r w:rsidR="00EA2C03" w:rsidRPr="00842955">
        <w:rPr>
          <w:rFonts w:ascii="Times New Roman" w:hAnsi="Times New Roman" w:cs="Times New Roman"/>
          <w:sz w:val="24"/>
          <w:szCs w:val="24"/>
        </w:rPr>
        <w:t>hilaration</w:t>
      </w:r>
      <w:r w:rsidRPr="00842955">
        <w:rPr>
          <w:rFonts w:ascii="Times New Roman" w:hAnsi="Times New Roman" w:cs="Times New Roman"/>
          <w:sz w:val="24"/>
          <w:szCs w:val="24"/>
        </w:rPr>
        <w:t xml:space="preserve"> with</w:t>
      </w:r>
      <w:r w:rsidRPr="00AA1FDF">
        <w:rPr>
          <w:rFonts w:ascii="Times New Roman" w:hAnsi="Times New Roman" w:cs="Times New Roman"/>
          <w:sz w:val="24"/>
          <w:szCs w:val="24"/>
        </w:rPr>
        <w:t xml:space="preserve"> ‘fierce looks and glaring eyes […] shocking imprecations and language of the most dreadful </w:t>
      </w:r>
      <w:r w:rsidRPr="00922887">
        <w:rPr>
          <w:rFonts w:ascii="Times New Roman" w:hAnsi="Times New Roman" w:cs="Times New Roman"/>
          <w:sz w:val="24"/>
          <w:szCs w:val="24"/>
        </w:rPr>
        <w:t>description’.</w:t>
      </w:r>
      <w:r w:rsidRPr="00922887">
        <w:rPr>
          <w:rStyle w:val="FootnoteReference"/>
          <w:rFonts w:ascii="Times New Roman" w:hAnsi="Times New Roman" w:cs="Times New Roman"/>
          <w:sz w:val="24"/>
          <w:szCs w:val="24"/>
        </w:rPr>
        <w:t xml:space="preserve"> </w:t>
      </w:r>
      <w:r w:rsidRPr="00922887">
        <w:rPr>
          <w:rStyle w:val="FootnoteReference"/>
          <w:rFonts w:ascii="Times New Roman" w:hAnsi="Times New Roman" w:cs="Times New Roman"/>
          <w:sz w:val="24"/>
          <w:szCs w:val="24"/>
        </w:rPr>
        <w:footnoteReference w:id="632"/>
      </w:r>
      <w:r w:rsidRPr="00922887">
        <w:rPr>
          <w:rFonts w:ascii="Times New Roman" w:hAnsi="Times New Roman" w:cs="Times New Roman"/>
          <w:sz w:val="24"/>
          <w:szCs w:val="24"/>
        </w:rPr>
        <w:t xml:space="preserve">  At </w:t>
      </w:r>
      <w:r w:rsidR="00842955" w:rsidRPr="00922887">
        <w:rPr>
          <w:rFonts w:ascii="Times New Roman" w:hAnsi="Times New Roman" w:cs="Times New Roman"/>
          <w:sz w:val="24"/>
          <w:szCs w:val="24"/>
        </w:rPr>
        <w:t>the</w:t>
      </w:r>
      <w:r w:rsidRPr="00922887">
        <w:rPr>
          <w:rFonts w:ascii="Times New Roman" w:hAnsi="Times New Roman" w:cs="Times New Roman"/>
          <w:sz w:val="24"/>
          <w:szCs w:val="24"/>
        </w:rPr>
        <w:t xml:space="preserve"> lowest level it expresses a craving for excitement in the indiscriminate violence </w:t>
      </w:r>
      <w:r w:rsidR="00842955" w:rsidRPr="00922887">
        <w:rPr>
          <w:rFonts w:ascii="Times New Roman" w:hAnsi="Times New Roman" w:cs="Times New Roman"/>
          <w:sz w:val="24"/>
          <w:szCs w:val="24"/>
        </w:rPr>
        <w:t>by</w:t>
      </w:r>
      <w:r w:rsidRPr="00922887">
        <w:rPr>
          <w:rFonts w:ascii="Times New Roman" w:hAnsi="Times New Roman" w:cs="Times New Roman"/>
          <w:sz w:val="24"/>
          <w:szCs w:val="24"/>
        </w:rPr>
        <w:t xml:space="preserve"> Irish labourers, their </w:t>
      </w:r>
      <w:r w:rsidRPr="00922887">
        <w:rPr>
          <w:rFonts w:ascii="Times New Roman" w:hAnsi="Times New Roman" w:cs="Times New Roman"/>
          <w:bCs/>
          <w:sz w:val="24"/>
          <w:szCs w:val="24"/>
        </w:rPr>
        <w:t xml:space="preserve">involvement significant for confirming how the behaviour of the roughest sections of the industrious classes is indistinguishable </w:t>
      </w:r>
      <w:r w:rsidRPr="00922887">
        <w:rPr>
          <w:rFonts w:ascii="Times New Roman" w:hAnsi="Times New Roman" w:cs="Times New Roman"/>
          <w:sz w:val="24"/>
          <w:szCs w:val="24"/>
        </w:rPr>
        <w:t>from criminal elements, with all determined to inflict chastisement upon any who would curtail their liberties.  Ruffles can rely upon this powerful resistance, a substantial and spontaneous reaction to a recogni</w:t>
      </w:r>
      <w:r w:rsidR="00842955" w:rsidRPr="00922887">
        <w:rPr>
          <w:rFonts w:ascii="Times New Roman" w:hAnsi="Times New Roman" w:cs="Times New Roman"/>
          <w:sz w:val="24"/>
          <w:szCs w:val="24"/>
        </w:rPr>
        <w:t>z</w:t>
      </w:r>
      <w:r w:rsidRPr="00922887">
        <w:rPr>
          <w:rFonts w:ascii="Times New Roman" w:hAnsi="Times New Roman" w:cs="Times New Roman"/>
          <w:sz w:val="24"/>
          <w:szCs w:val="24"/>
        </w:rPr>
        <w:t>ed signal</w:t>
      </w:r>
      <w:r w:rsidRPr="00AA1FDF">
        <w:rPr>
          <w:rFonts w:ascii="Times New Roman" w:hAnsi="Times New Roman" w:cs="Times New Roman"/>
          <w:sz w:val="24"/>
          <w:szCs w:val="24"/>
        </w:rPr>
        <w:t xml:space="preserve"> where a single shout acts like a tocsin, resulting </w:t>
      </w:r>
      <w:r w:rsidRPr="00AA1FDF">
        <w:rPr>
          <w:rFonts w:ascii="Times New Roman" w:hAnsi="Times New Roman" w:cs="Times New Roman"/>
          <w:sz w:val="24"/>
          <w:szCs w:val="24"/>
        </w:rPr>
        <w:lastRenderedPageBreak/>
        <w:t>in the overturn of the official agents of government</w:t>
      </w:r>
      <w:r w:rsidRPr="00AA1FDF">
        <w:rPr>
          <w:rFonts w:ascii="Times New Roman" w:hAnsi="Times New Roman" w:cs="Times New Roman"/>
          <w:b/>
          <w:bCs/>
          <w:sz w:val="24"/>
          <w:szCs w:val="24"/>
        </w:rPr>
        <w:t>.</w:t>
      </w:r>
      <w:r w:rsidRPr="00AA1FDF">
        <w:rPr>
          <w:rFonts w:ascii="Times New Roman" w:hAnsi="Times New Roman" w:cs="Times New Roman"/>
          <w:sz w:val="24"/>
          <w:szCs w:val="24"/>
        </w:rPr>
        <w:t xml:space="preserve">  Catherine Hays of the Black-boy gang voices the belief of the common people about the power they hold to the recently turned thief Harry Hemmings:</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Never mind!—you have no cause for alarm here, […] In the first place, it would be as much as the gentleman’s life was worth to come along, in search of you, into this neighbourhood;—and secondly, if he came with a host of constables at his back, the old people who keep the house would raise such an outcry that all the inhabitants of White Street would muster to repulse the officials.  Oh! You don’t know the advantages of living in such a quarter as this.</w:t>
      </w:r>
      <w:r w:rsidRPr="00AA1FDF">
        <w:rPr>
          <w:rStyle w:val="FootnoteReference"/>
          <w:rFonts w:ascii="Times New Roman" w:hAnsi="Times New Roman" w:cs="Times New Roman"/>
          <w:sz w:val="24"/>
          <w:szCs w:val="24"/>
        </w:rPr>
        <w:footnoteReference w:id="633"/>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Her words exude confidence as she tells him not to worry about pursuit in the Grub Street Quarter where they have met.  In such areas, with the population constantly ready to take up arms, the rules concerning possession of property as determined by the wealthy cannot be enforced.  The districts form networks of mutual economic and social bonds supported by localised militias.  Even the elderly who would otherwise be defenceless can rely upon neighbourhood ‘physical force’ to protect them against state intrusion.</w:t>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 xml:space="preserve">For Reynolds, this communal opposition continues a century later among the dangerous classes who realize their </w:t>
      </w:r>
      <w:r w:rsidRPr="002C2B06">
        <w:rPr>
          <w:rFonts w:ascii="Times New Roman" w:hAnsi="Times New Roman" w:cs="Times New Roman"/>
          <w:sz w:val="24"/>
          <w:szCs w:val="24"/>
        </w:rPr>
        <w:t>protest relies upon the capit</w:t>
      </w:r>
      <w:r w:rsidR="00EB402A" w:rsidRPr="002C2B06">
        <w:rPr>
          <w:rFonts w:ascii="Times New Roman" w:hAnsi="Times New Roman" w:cs="Times New Roman"/>
          <w:sz w:val="24"/>
          <w:szCs w:val="24"/>
        </w:rPr>
        <w:t>a</w:t>
      </w:r>
      <w:r w:rsidRPr="002C2B06">
        <w:rPr>
          <w:rFonts w:ascii="Times New Roman" w:hAnsi="Times New Roman" w:cs="Times New Roman"/>
          <w:sz w:val="24"/>
          <w:szCs w:val="24"/>
        </w:rPr>
        <w:t>l’s urban geographical</w:t>
      </w:r>
      <w:r w:rsidRPr="00AA1FDF">
        <w:rPr>
          <w:rFonts w:ascii="Times New Roman" w:hAnsi="Times New Roman" w:cs="Times New Roman"/>
          <w:sz w:val="24"/>
          <w:szCs w:val="24"/>
        </w:rPr>
        <w:t xml:space="preserve"> structures from an earlier age.</w:t>
      </w:r>
      <w:r w:rsidRPr="00AA1FDF">
        <w:rPr>
          <w:rStyle w:val="FootnoteReference"/>
          <w:rFonts w:ascii="Times New Roman" w:hAnsi="Times New Roman" w:cs="Times New Roman"/>
          <w:sz w:val="24"/>
          <w:szCs w:val="24"/>
        </w:rPr>
        <w:footnoteReference w:id="634"/>
      </w:r>
      <w:r w:rsidRPr="00AA1FDF">
        <w:rPr>
          <w:rFonts w:ascii="Times New Roman" w:hAnsi="Times New Roman" w:cs="Times New Roman"/>
          <w:sz w:val="24"/>
          <w:szCs w:val="24"/>
        </w:rPr>
        <w:t xml:space="preserve">  A waiter a</w:t>
      </w:r>
      <w:r w:rsidRPr="00922887">
        <w:rPr>
          <w:rFonts w:ascii="Times New Roman" w:hAnsi="Times New Roman" w:cs="Times New Roman"/>
          <w:sz w:val="24"/>
          <w:szCs w:val="24"/>
        </w:rPr>
        <w:t>t the boozing-ken on Saffron Hill observes</w:t>
      </w:r>
      <w:r w:rsidR="00842955" w:rsidRPr="00922887">
        <w:rPr>
          <w:rFonts w:ascii="Times New Roman" w:hAnsi="Times New Roman" w:cs="Times New Roman"/>
          <w:sz w:val="24"/>
          <w:szCs w:val="24"/>
        </w:rPr>
        <w:t xml:space="preserve"> to Tidkins and his associate Tom the Cracksman:</w:t>
      </w:r>
      <w:r w:rsidRPr="00AA1FDF">
        <w:rPr>
          <w:rFonts w:ascii="Times New Roman" w:hAnsi="Times New Roman" w:cs="Times New Roman"/>
          <w:sz w:val="24"/>
          <w:szCs w:val="24"/>
        </w:rPr>
        <w:t xml:space="preserve"> </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 xml:space="preserve">Ah! London’s a wonderful place—a wonderful place! […] Look, for instance, what a blessed thing it is that the authorities seldom or never attempt to alter what they call the </w:t>
      </w:r>
      <w:r w:rsidRPr="00AA1FDF">
        <w:rPr>
          <w:rFonts w:ascii="Times New Roman" w:hAnsi="Times New Roman" w:cs="Times New Roman"/>
          <w:i/>
          <w:sz w:val="24"/>
          <w:szCs w:val="24"/>
        </w:rPr>
        <w:t>low neighbourhoods:</w:t>
      </w:r>
      <w:r w:rsidRPr="00AA1FDF">
        <w:rPr>
          <w:rFonts w:ascii="Times New Roman" w:hAnsi="Times New Roman" w:cs="Times New Roman"/>
          <w:sz w:val="24"/>
          <w:szCs w:val="24"/>
        </w:rPr>
        <w:t xml:space="preserve"> why, it’s the low neighbourhoods that make such gentlemen as you two, and affords you a means of concealment, and existence, and occupation and every thing else.  Supposing there was no boozing-kens, and patter-cribs like this, how would such gentlemen as you two get on?  Ah! London is a fine place—a very fine place; and I hope I shall never live to see the day when it will be spoilt by improvement!</w:t>
      </w:r>
      <w:r w:rsidRPr="00AA1FDF">
        <w:rPr>
          <w:rStyle w:val="FootnoteReference"/>
          <w:rFonts w:ascii="Times New Roman" w:hAnsi="Times New Roman" w:cs="Times New Roman"/>
          <w:sz w:val="24"/>
          <w:szCs w:val="24"/>
        </w:rPr>
        <w:t xml:space="preserve"> </w:t>
      </w:r>
      <w:r w:rsidRPr="00AA1FDF">
        <w:rPr>
          <w:rStyle w:val="FootnoteReference"/>
          <w:rFonts w:ascii="Times New Roman" w:hAnsi="Times New Roman" w:cs="Times New Roman"/>
          <w:sz w:val="24"/>
          <w:szCs w:val="24"/>
        </w:rPr>
        <w:footnoteReference w:id="635"/>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 xml:space="preserve">He stands in awe of the vision of London conjured up, a place seemingly blessed in its freedom from state interference.  As J. </w:t>
      </w:r>
      <w:r w:rsidRPr="00AA1FDF">
        <w:rPr>
          <w:rFonts w:ascii="Times New Roman" w:hAnsi="Times New Roman" w:cs="Times New Roman"/>
          <w:bCs/>
          <w:sz w:val="24"/>
          <w:szCs w:val="24"/>
        </w:rPr>
        <w:t>Entrikin writes,</w:t>
      </w:r>
      <w:r w:rsidRPr="00AA1FDF">
        <w:rPr>
          <w:rFonts w:ascii="Times New Roman" w:hAnsi="Times New Roman" w:cs="Times New Roman"/>
          <w:sz w:val="24"/>
          <w:szCs w:val="24"/>
        </w:rPr>
        <w:t xml:space="preserve"> in this type of mythical thought locations are seen in a holistic manner so that ‘the subjective and the objective are weakly delineated.  Places take on the meanings of events and objects that occur there, and their descriptions are fused with human goals, values and intentions’.</w:t>
      </w:r>
      <w:r w:rsidRPr="00AA1FDF">
        <w:rPr>
          <w:rStyle w:val="FootnoteReference"/>
          <w:rFonts w:ascii="Times New Roman" w:hAnsi="Times New Roman" w:cs="Times New Roman"/>
          <w:sz w:val="24"/>
          <w:szCs w:val="24"/>
        </w:rPr>
        <w:footnoteReference w:id="636"/>
      </w:r>
      <w:r w:rsidRPr="00AA1FDF">
        <w:rPr>
          <w:rFonts w:ascii="Times New Roman" w:hAnsi="Times New Roman" w:cs="Times New Roman"/>
          <w:sz w:val="24"/>
          <w:szCs w:val="24"/>
        </w:rPr>
        <w:t xml:space="preserve">  So it is with the waiter </w:t>
      </w:r>
      <w:r w:rsidRPr="00AA1FDF">
        <w:rPr>
          <w:rFonts w:ascii="Times New Roman" w:hAnsi="Times New Roman" w:cs="Times New Roman"/>
          <w:sz w:val="24"/>
          <w:szCs w:val="24"/>
        </w:rPr>
        <w:lastRenderedPageBreak/>
        <w:t>who combines the physical qualities of low neighbourhoods with the activities that take place.  In his imagining, thugs like Tidkins and the Cracksman become ‘</w:t>
      </w:r>
      <w:r w:rsidRPr="00EA2C03">
        <w:rPr>
          <w:rFonts w:ascii="Times New Roman" w:hAnsi="Times New Roman" w:cs="Times New Roman"/>
          <w:sz w:val="24"/>
          <w:szCs w:val="24"/>
        </w:rPr>
        <w:t xml:space="preserve">gentlemen’ who </w:t>
      </w:r>
      <w:r w:rsidR="00EB402A" w:rsidRPr="00EA2C03">
        <w:rPr>
          <w:rFonts w:ascii="Times New Roman" w:hAnsi="Times New Roman" w:cs="Times New Roman"/>
          <w:sz w:val="24"/>
          <w:szCs w:val="24"/>
        </w:rPr>
        <w:t>‘</w:t>
      </w:r>
      <w:r w:rsidRPr="00EA2C03">
        <w:rPr>
          <w:rFonts w:ascii="Times New Roman" w:hAnsi="Times New Roman" w:cs="Times New Roman"/>
          <w:sz w:val="24"/>
          <w:szCs w:val="24"/>
        </w:rPr>
        <w:t>get on’</w:t>
      </w:r>
      <w:r w:rsidRPr="00AA1FDF">
        <w:rPr>
          <w:rFonts w:ascii="Times New Roman" w:hAnsi="Times New Roman" w:cs="Times New Roman"/>
          <w:sz w:val="24"/>
          <w:szCs w:val="24"/>
        </w:rPr>
        <w:t xml:space="preserve"> in the world, with their activities in the boozing-kens and patter-cribs being a valid alternative to respectable work.  The listening Tidkins is enthralled, congratulating the man for a ‘fine speech’ and buying him a drink.</w:t>
      </w:r>
      <w:r w:rsidRPr="00AA1FDF">
        <w:rPr>
          <w:rStyle w:val="FootnoteReference"/>
          <w:rFonts w:ascii="Times New Roman" w:hAnsi="Times New Roman" w:cs="Times New Roman"/>
          <w:sz w:val="24"/>
          <w:szCs w:val="24"/>
        </w:rPr>
        <w:footnoteReference w:id="637"/>
      </w:r>
      <w:r w:rsidRPr="00AA1FDF">
        <w:rPr>
          <w:rFonts w:ascii="Times New Roman" w:hAnsi="Times New Roman" w:cs="Times New Roman"/>
          <w:sz w:val="24"/>
          <w:szCs w:val="24"/>
        </w:rPr>
        <w:t xml:space="preserve">  His strength of feeling is clear when with what seems almost childlike enthusiasm he gives avid approval to </w:t>
      </w:r>
      <w:r w:rsidR="00842955" w:rsidRPr="00DD6A63">
        <w:rPr>
          <w:rFonts w:ascii="Times New Roman" w:hAnsi="Times New Roman" w:cs="Times New Roman"/>
          <w:sz w:val="24"/>
          <w:szCs w:val="24"/>
        </w:rPr>
        <w:t>Tom</w:t>
      </w:r>
      <w:r w:rsidRPr="00DD6A63">
        <w:rPr>
          <w:rFonts w:ascii="Times New Roman" w:hAnsi="Times New Roman" w:cs="Times New Roman"/>
          <w:sz w:val="24"/>
          <w:szCs w:val="24"/>
        </w:rPr>
        <w:t>:</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 xml:space="preserve">I never heard any thing more true than what that fellow has just said, […] Only suppose, now, that all Saint Giles’s, Clerkenwell, Bethnal Green, and the Mint were </w:t>
      </w:r>
      <w:r w:rsidRPr="00AA1FDF">
        <w:rPr>
          <w:rFonts w:ascii="Times New Roman" w:hAnsi="Times New Roman" w:cs="Times New Roman"/>
          <w:i/>
          <w:sz w:val="24"/>
          <w:szCs w:val="24"/>
        </w:rPr>
        <w:t>improved</w:t>
      </w:r>
      <w:r w:rsidRPr="00AA1FDF">
        <w:rPr>
          <w:rFonts w:ascii="Times New Roman" w:hAnsi="Times New Roman" w:cs="Times New Roman"/>
          <w:sz w:val="24"/>
          <w:szCs w:val="24"/>
        </w:rPr>
        <w:t>, as they call it, where the devil would crime take refuge?—for no-one knows better than you and me that we would uncommon soon have to give up business if we hadn’t dark and narrow streets to operate in, cribs like this ken to meet and plan in, and the low courts and alleys to conceal ourselves in.  Lord!  What indeed would London be to us if it was all like the West-End?</w:t>
      </w:r>
      <w:r w:rsidRPr="00AA1FDF">
        <w:rPr>
          <w:rStyle w:val="FootnoteReference"/>
          <w:rFonts w:ascii="Times New Roman" w:hAnsi="Times New Roman" w:cs="Times New Roman"/>
          <w:sz w:val="24"/>
          <w:szCs w:val="24"/>
        </w:rPr>
        <w:t xml:space="preserve"> </w:t>
      </w:r>
      <w:r w:rsidRPr="00AA1FDF">
        <w:rPr>
          <w:rStyle w:val="FootnoteReference"/>
          <w:rFonts w:ascii="Times New Roman" w:hAnsi="Times New Roman" w:cs="Times New Roman"/>
          <w:sz w:val="24"/>
          <w:szCs w:val="24"/>
        </w:rPr>
        <w:footnoteReference w:id="638"/>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His attachment echoes the mythmaking qualities of the waiter.  These places are unique symbols of resistance to the centralized state.  They do not simply offer a framework within which to conduct his activities, rather he has helped create them and they are seen as expressions of his very being.  Tidkins refers fondly to several districts that form the heartland of the dangerous classes, a dark underworld ideally designed to carry out their schemes and evade authority.</w:t>
      </w:r>
      <w:r w:rsidRPr="00AA1FDF">
        <w:rPr>
          <w:rStyle w:val="FootnoteReference"/>
          <w:rFonts w:ascii="Times New Roman" w:hAnsi="Times New Roman" w:cs="Times New Roman"/>
          <w:sz w:val="24"/>
          <w:szCs w:val="24"/>
        </w:rPr>
        <w:footnoteReference w:id="639"/>
      </w:r>
      <w:r w:rsidRPr="00AA1FDF">
        <w:rPr>
          <w:rFonts w:ascii="Times New Roman" w:hAnsi="Times New Roman" w:cs="Times New Roman"/>
          <w:sz w:val="24"/>
          <w:szCs w:val="24"/>
        </w:rPr>
        <w:t xml:space="preserve">  He and the waiter do not argue that current developments are harming the general population; rather they make their stand against how such ‘improvement’ will </w:t>
      </w:r>
      <w:r w:rsidR="00842955" w:rsidRPr="00DD6A63">
        <w:rPr>
          <w:rFonts w:ascii="Times New Roman" w:hAnsi="Times New Roman" w:cs="Times New Roman"/>
          <w:sz w:val="24"/>
          <w:szCs w:val="24"/>
        </w:rPr>
        <w:t xml:space="preserve">specifically </w:t>
      </w:r>
      <w:r w:rsidRPr="00DD6A63">
        <w:rPr>
          <w:rFonts w:ascii="Times New Roman" w:hAnsi="Times New Roman" w:cs="Times New Roman"/>
          <w:sz w:val="24"/>
          <w:szCs w:val="24"/>
        </w:rPr>
        <w:t>affect them</w:t>
      </w:r>
      <w:r w:rsidR="00842955" w:rsidRPr="00DD6A63">
        <w:rPr>
          <w:rFonts w:ascii="Times New Roman" w:hAnsi="Times New Roman" w:cs="Times New Roman"/>
          <w:sz w:val="24"/>
          <w:szCs w:val="24"/>
        </w:rPr>
        <w:t>selves</w:t>
      </w:r>
      <w:r w:rsidRPr="00DD6A63">
        <w:rPr>
          <w:rFonts w:ascii="Times New Roman" w:hAnsi="Times New Roman" w:cs="Times New Roman"/>
          <w:sz w:val="24"/>
          <w:szCs w:val="24"/>
        </w:rPr>
        <w:t>.</w:t>
      </w:r>
      <w:r w:rsidRPr="00AA1FDF">
        <w:rPr>
          <w:rFonts w:ascii="Times New Roman" w:hAnsi="Times New Roman" w:cs="Times New Roman"/>
          <w:sz w:val="24"/>
          <w:szCs w:val="24"/>
        </w:rPr>
        <w:t xml:space="preserve">  The final rhetorical question emphasises a belief that if they become like respectable areas the criminal communities will be broken.  The West End may be a golden goose to pluck but it remains another world.  This explains his outrage when the disguised policeman enters soon after.  The intruder’s quiet manner causes concern for all present: ‘the least appearance of ambiguity to them was an instantaneous omen of danger’.</w:t>
      </w:r>
      <w:r w:rsidRPr="00AA1FDF">
        <w:rPr>
          <w:rStyle w:val="FootnoteReference"/>
          <w:rFonts w:ascii="Times New Roman" w:hAnsi="Times New Roman" w:cs="Times New Roman"/>
          <w:sz w:val="24"/>
          <w:szCs w:val="24"/>
        </w:rPr>
        <w:footnoteReference w:id="640"/>
      </w:r>
      <w:r w:rsidRPr="00AA1FDF">
        <w:rPr>
          <w:rFonts w:ascii="Times New Roman" w:hAnsi="Times New Roman" w:cs="Times New Roman"/>
          <w:sz w:val="24"/>
          <w:szCs w:val="24"/>
        </w:rPr>
        <w:t xml:space="preserve">  However, Tidkins’s reaction suggests something more.  When the Cracksman expresses anxiety, the usually ultra-suspicious Resurrection Man throws caution to the wind saying the man is just a passing visitor.  When</w:t>
      </w:r>
      <w:r w:rsidRPr="00AA1FDF">
        <w:rPr>
          <w:rFonts w:ascii="Times New Roman" w:hAnsi="Times New Roman" w:cs="Times New Roman"/>
          <w:bCs/>
          <w:sz w:val="24"/>
          <w:szCs w:val="24"/>
        </w:rPr>
        <w:t xml:space="preserve"> Tom</w:t>
      </w:r>
      <w:r w:rsidRPr="00AA1FDF">
        <w:rPr>
          <w:rFonts w:ascii="Times New Roman" w:hAnsi="Times New Roman" w:cs="Times New Roman"/>
          <w:b/>
          <w:sz w:val="24"/>
          <w:szCs w:val="24"/>
        </w:rPr>
        <w:t xml:space="preserve"> </w:t>
      </w:r>
      <w:r w:rsidRPr="00AA1FDF">
        <w:rPr>
          <w:rFonts w:ascii="Times New Roman" w:hAnsi="Times New Roman" w:cs="Times New Roman"/>
          <w:sz w:val="24"/>
          <w:szCs w:val="24"/>
        </w:rPr>
        <w:t>persists, he becomes violent: ‘Do you take me for a child that’s frightened of a shadow’.</w:t>
      </w:r>
      <w:r w:rsidRPr="00AA1FDF">
        <w:rPr>
          <w:rStyle w:val="FootnoteReference"/>
          <w:rFonts w:ascii="Times New Roman" w:hAnsi="Times New Roman" w:cs="Times New Roman"/>
          <w:sz w:val="24"/>
          <w:szCs w:val="24"/>
        </w:rPr>
        <w:footnoteReference w:id="641"/>
      </w:r>
      <w:r w:rsidRPr="00AA1FDF">
        <w:rPr>
          <w:rFonts w:ascii="Times New Roman" w:hAnsi="Times New Roman" w:cs="Times New Roman"/>
          <w:sz w:val="24"/>
          <w:szCs w:val="24"/>
        </w:rPr>
        <w:t xml:space="preserve">  His fury echoes Entrikin’s argument that ‘the ability to control the meanings of such settings is an important expression of power’.</w:t>
      </w:r>
      <w:r w:rsidRPr="00AA1FDF">
        <w:rPr>
          <w:rStyle w:val="FootnoteReference"/>
          <w:rFonts w:ascii="Times New Roman" w:hAnsi="Times New Roman" w:cs="Times New Roman"/>
          <w:sz w:val="24"/>
          <w:szCs w:val="24"/>
        </w:rPr>
        <w:footnoteReference w:id="642"/>
      </w:r>
      <w:r w:rsidRPr="00AA1FDF">
        <w:rPr>
          <w:rFonts w:ascii="Times New Roman" w:hAnsi="Times New Roman" w:cs="Times New Roman"/>
          <w:sz w:val="24"/>
          <w:szCs w:val="24"/>
        </w:rPr>
        <w:t xml:space="preserve">  His first </w:t>
      </w:r>
      <w:r w:rsidRPr="00AA1FDF">
        <w:rPr>
          <w:rFonts w:ascii="Times New Roman" w:hAnsi="Times New Roman" w:cs="Times New Roman"/>
          <w:sz w:val="24"/>
          <w:szCs w:val="24"/>
        </w:rPr>
        <w:lastRenderedPageBreak/>
        <w:t>response suggests confidence that outsiders would not dare enter his domain while the second expresses anger that he might be thought scared on his own territory.  The pub is a symbol of power and to acknowledge any threat within it is an assault upon his identity and standing, and more broadly that of the criminal gangs, as constructed from his perspective of the slum districts.</w:t>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 xml:space="preserve">The dangerous classes are not restricted to the rookeries but frequently invade the properties of the wealthy.  Tidkins and the potboy Henry Holford break into Buckingham Palace, the former to steal plate from the kitchen pantry and the latter to pry upon the activities of the aristocracy.  In </w:t>
      </w:r>
      <w:r w:rsidRPr="00AA1FDF">
        <w:rPr>
          <w:rFonts w:ascii="Times New Roman" w:hAnsi="Times New Roman" w:cs="Times New Roman"/>
          <w:i/>
          <w:sz w:val="24"/>
          <w:szCs w:val="24"/>
        </w:rPr>
        <w:t xml:space="preserve">The </w:t>
      </w:r>
      <w:r w:rsidRPr="00AA1FDF">
        <w:rPr>
          <w:rFonts w:ascii="Times New Roman" w:hAnsi="Times New Roman" w:cs="Times New Roman"/>
          <w:i/>
          <w:iCs/>
          <w:sz w:val="24"/>
          <w:szCs w:val="24"/>
        </w:rPr>
        <w:t>Mysteries of the Court of London</w:t>
      </w:r>
      <w:r w:rsidRPr="00AA1FDF">
        <w:rPr>
          <w:rFonts w:ascii="Times New Roman" w:hAnsi="Times New Roman" w:cs="Times New Roman"/>
          <w:sz w:val="24"/>
          <w:szCs w:val="24"/>
        </w:rPr>
        <w:t xml:space="preserve"> (1848–56), the villainous hangman Daniel Coffin enters the palatial Leveson House.  However, they are interlopers for whom discovery may lead to humiliating ejection or severe punishment.  The well-to-do streets where they acquire much wealth are often close to their own neighbourhoods but impose limitations upon how they operate.  Benjamin Bones and Jacob Smith track Esther de Medina by merging with the crowds in Southampton Row and Fetter Lane before successfully obtaining her correspondence to Thomas Rainford.</w:t>
      </w:r>
      <w:r w:rsidRPr="00AA1FDF">
        <w:rPr>
          <w:rStyle w:val="FootnoteReference"/>
          <w:rFonts w:ascii="Times New Roman" w:hAnsi="Times New Roman" w:cs="Times New Roman"/>
          <w:sz w:val="24"/>
          <w:szCs w:val="24"/>
        </w:rPr>
        <w:footnoteReference w:id="643"/>
      </w:r>
      <w:r w:rsidRPr="00AA1FDF">
        <w:rPr>
          <w:rFonts w:ascii="Times New Roman" w:hAnsi="Times New Roman" w:cs="Times New Roman"/>
          <w:sz w:val="24"/>
          <w:szCs w:val="24"/>
        </w:rPr>
        <w:t xml:space="preserve">  However, they have much less control of the enterprise, unable to make a direct physical attack and reliant upon cab drivers and shop staff who are willing to take bribes.</w:t>
      </w:r>
      <w:r w:rsidRPr="00AA1FDF">
        <w:rPr>
          <w:rStyle w:val="FootnoteReference"/>
          <w:rFonts w:ascii="Times New Roman" w:hAnsi="Times New Roman" w:cs="Times New Roman"/>
          <w:sz w:val="24"/>
          <w:szCs w:val="24"/>
        </w:rPr>
        <w:footnoteReference w:id="644"/>
      </w:r>
      <w:r w:rsidRPr="00AA1FDF">
        <w:rPr>
          <w:rFonts w:ascii="Times New Roman" w:hAnsi="Times New Roman" w:cs="Times New Roman"/>
          <w:sz w:val="24"/>
          <w:szCs w:val="24"/>
        </w:rPr>
        <w:t xml:space="preserve">  In contrast, the physical obscurity of the slum districts gives great advantages.  Richard Maxwell points out that in the labyrinth of ‘narrow, winding alleys […] the visitor who is not a native may well feel mystified’.</w:t>
      </w:r>
      <w:r w:rsidRPr="00AA1FDF">
        <w:rPr>
          <w:rStyle w:val="FootnoteReference"/>
          <w:rFonts w:ascii="Times New Roman" w:hAnsi="Times New Roman" w:cs="Times New Roman"/>
          <w:sz w:val="24"/>
          <w:szCs w:val="24"/>
        </w:rPr>
        <w:footnoteReference w:id="645"/>
      </w:r>
      <w:r w:rsidRPr="00AA1FDF">
        <w:rPr>
          <w:rFonts w:ascii="Times New Roman" w:hAnsi="Times New Roman" w:cs="Times New Roman"/>
          <w:sz w:val="24"/>
          <w:szCs w:val="24"/>
        </w:rPr>
        <w:t xml:space="preserve">  This is exemplified by the fear of Richard Markham as he walks through Spitalfields and Bethnal Green:</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Richard was bewildered; and—to speak truly—he began to be alarmed.  He remembered to have read of the mysterious disappearance of persons in the east end of the metropolis, and also of certain fell deeds of crime which had been lately brought to light in the very district where he was now wandering;—and he could not help wishing that he was in some more secure and less gloomy region.</w:t>
      </w:r>
      <w:r w:rsidRPr="00AA1FDF">
        <w:rPr>
          <w:rStyle w:val="FootnoteReference"/>
          <w:rFonts w:ascii="Times New Roman" w:hAnsi="Times New Roman" w:cs="Times New Roman"/>
          <w:sz w:val="24"/>
          <w:szCs w:val="24"/>
        </w:rPr>
        <w:footnoteReference w:id="646"/>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 xml:space="preserve">Markham knows about the criminality in these areas but only through rumour and report so that his immediate desire is for escape to an area where he is no longer a vulnerable outsider.  Darkness and the absence of anyone who might intervene add to the danger for respectable passers-by.  In contrast, Tidkins possesses intimate knowledge of the ‘labyrinth’, the courts </w:t>
      </w:r>
      <w:r w:rsidRPr="00AA1FDF">
        <w:rPr>
          <w:rFonts w:ascii="Times New Roman" w:hAnsi="Times New Roman" w:cs="Times New Roman"/>
          <w:sz w:val="24"/>
          <w:szCs w:val="24"/>
        </w:rPr>
        <w:lastRenderedPageBreak/>
        <w:t xml:space="preserve">and alleyways which provide an environment in which to effectively waylay victims and imprison them at places like his den </w:t>
      </w:r>
      <w:r w:rsidRPr="00DD6A63">
        <w:rPr>
          <w:rFonts w:ascii="Times New Roman" w:hAnsi="Times New Roman" w:cs="Times New Roman"/>
          <w:sz w:val="24"/>
          <w:szCs w:val="24"/>
        </w:rPr>
        <w:t>in Bird</w:t>
      </w:r>
      <w:r w:rsidR="00842955" w:rsidRPr="00DD6A63">
        <w:rPr>
          <w:rFonts w:ascii="Times New Roman" w:hAnsi="Times New Roman" w:cs="Times New Roman"/>
          <w:sz w:val="24"/>
          <w:szCs w:val="24"/>
        </w:rPr>
        <w:t>-</w:t>
      </w:r>
      <w:r w:rsidRPr="00DD6A63">
        <w:rPr>
          <w:rFonts w:ascii="Times New Roman" w:hAnsi="Times New Roman" w:cs="Times New Roman"/>
          <w:sz w:val="24"/>
          <w:szCs w:val="24"/>
        </w:rPr>
        <w:t>cage</w:t>
      </w:r>
      <w:r w:rsidRPr="00AA1FDF">
        <w:rPr>
          <w:rFonts w:ascii="Times New Roman" w:hAnsi="Times New Roman" w:cs="Times New Roman"/>
          <w:sz w:val="24"/>
          <w:szCs w:val="24"/>
        </w:rPr>
        <w:t xml:space="preserve"> Walk.</w:t>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 xml:space="preserve">The old physical structures of </w:t>
      </w:r>
      <w:r w:rsidRPr="00EA2C03">
        <w:rPr>
          <w:rFonts w:ascii="Times New Roman" w:hAnsi="Times New Roman" w:cs="Times New Roman"/>
          <w:sz w:val="24"/>
          <w:szCs w:val="24"/>
        </w:rPr>
        <w:t>the capit</w:t>
      </w:r>
      <w:r w:rsidR="009524D7" w:rsidRPr="00EA2C03">
        <w:rPr>
          <w:rFonts w:ascii="Times New Roman" w:hAnsi="Times New Roman" w:cs="Times New Roman"/>
          <w:sz w:val="24"/>
          <w:szCs w:val="24"/>
        </w:rPr>
        <w:t>a</w:t>
      </w:r>
      <w:r w:rsidRPr="00EA2C03">
        <w:rPr>
          <w:rFonts w:ascii="Times New Roman" w:hAnsi="Times New Roman" w:cs="Times New Roman"/>
          <w:sz w:val="24"/>
          <w:szCs w:val="24"/>
        </w:rPr>
        <w:t>l are</w:t>
      </w:r>
      <w:r w:rsidRPr="00AA1FDF">
        <w:rPr>
          <w:rFonts w:ascii="Times New Roman" w:hAnsi="Times New Roman" w:cs="Times New Roman"/>
          <w:sz w:val="24"/>
          <w:szCs w:val="24"/>
        </w:rPr>
        <w:t xml:space="preserve"> not restricted to providing cover for violent practices and safe harbour from authority.  The protest of the dangerous classes shapes them into an econ</w:t>
      </w:r>
      <w:r w:rsidRPr="00DD6A63">
        <w:rPr>
          <w:rFonts w:ascii="Times New Roman" w:hAnsi="Times New Roman" w:cs="Times New Roman"/>
          <w:sz w:val="24"/>
          <w:szCs w:val="24"/>
        </w:rPr>
        <w:t xml:space="preserve">omic </w:t>
      </w:r>
      <w:r w:rsidR="00842955" w:rsidRPr="00DD6A63">
        <w:rPr>
          <w:rFonts w:ascii="Times New Roman" w:hAnsi="Times New Roman" w:cs="Times New Roman"/>
          <w:sz w:val="24"/>
          <w:szCs w:val="24"/>
        </w:rPr>
        <w:t>edifice</w:t>
      </w:r>
      <w:r w:rsidRPr="00DD6A63">
        <w:rPr>
          <w:rFonts w:ascii="Times New Roman" w:hAnsi="Times New Roman" w:cs="Times New Roman"/>
          <w:sz w:val="24"/>
          <w:szCs w:val="24"/>
        </w:rPr>
        <w:t xml:space="preserve"> involving</w:t>
      </w:r>
      <w:r w:rsidRPr="00AA1FDF">
        <w:rPr>
          <w:rFonts w:ascii="Times New Roman" w:hAnsi="Times New Roman" w:cs="Times New Roman"/>
          <w:sz w:val="24"/>
          <w:szCs w:val="24"/>
        </w:rPr>
        <w:t xml:space="preserve"> large amounts of property and a vast, clandestine network of social contacts.</w:t>
      </w:r>
      <w:r w:rsidR="00DD6A63">
        <w:rPr>
          <w:rFonts w:ascii="Times New Roman" w:hAnsi="Times New Roman" w:cs="Times New Roman"/>
          <w:sz w:val="24"/>
          <w:szCs w:val="24"/>
        </w:rPr>
        <w:t xml:space="preserve"> </w:t>
      </w:r>
      <w:r w:rsidRPr="00AA1FDF">
        <w:rPr>
          <w:rFonts w:ascii="Times New Roman" w:hAnsi="Times New Roman" w:cs="Times New Roman"/>
          <w:sz w:val="24"/>
          <w:szCs w:val="24"/>
        </w:rPr>
        <w:t xml:space="preserve"> The picture of Turnmill Street points to the shady dealings that stand beyond the law:</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Some of the old clothes-shops in the thoroughfare which we are describing, are strikingly characteristic of the neighbourhood; for you cannot gaze a minute upon the silk handkerchiefs, the bonnets, the shirts, the gowns, the coats, the trousers, and the waistcoats, and other articles hanging outside the windows, or suspended to nails stuck into the walls, without being able to form a pretty accurate computation of the proportion which has been stolen, and that which has been obtained by legitimate purchase.</w:t>
      </w:r>
      <w:r w:rsidRPr="00AA1FDF">
        <w:rPr>
          <w:rStyle w:val="FootnoteReference"/>
          <w:rFonts w:ascii="Times New Roman" w:hAnsi="Times New Roman" w:cs="Times New Roman"/>
          <w:sz w:val="24"/>
          <w:szCs w:val="24"/>
        </w:rPr>
        <w:footnoteReference w:id="647"/>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 xml:space="preserve">An alternative black economy exists among the rag-shops and marine-stores, stocked with property much of which has been taken from the wealthy.  Reynolds dispassionately observes how such an area can openly display goods at variance with its social status.  The items mentioned indicate how this provides employment for juvenile pickpockets who steal handkerchiefs to experienced housebreakers who purloin a wide range of merchandise.  Such complex organisation is apparent among the youthful </w:t>
      </w:r>
      <w:r w:rsidRPr="00AA1FDF">
        <w:rPr>
          <w:rFonts w:ascii="Times New Roman" w:hAnsi="Times New Roman" w:cs="Times New Roman"/>
          <w:iCs/>
          <w:sz w:val="24"/>
          <w:szCs w:val="24"/>
        </w:rPr>
        <w:t>Forty Thieves for whom a</w:t>
      </w:r>
      <w:r w:rsidRPr="00AA1FDF">
        <w:rPr>
          <w:rFonts w:ascii="Times New Roman" w:hAnsi="Times New Roman" w:cs="Times New Roman"/>
          <w:sz w:val="24"/>
          <w:szCs w:val="24"/>
        </w:rPr>
        <w:t xml:space="preserve"> house in the Mint acts as a fortnightly meeting place, a residence for their leader, the Bully Grand, and a depot for stolen goods.  Like older colleagues, they base their power upon geographical knowledge and carefully co-ordinated work patterns which see London divided into districts that are plundered in rotation.  For the criminal fraternity and their customers, such activities have a far greater claim to be democratizing society than the seemingly abstract parliamentary system.  The former makes goods that are officially the preserve of the upper classes available to all while the latter offers nothing.  These employments see the dangerous classes find niches within respectable society through associating with tradespeople and professionals.  Receivers of stolen goods like Bones’s accomplice Tidmarsh play a key role in expanding the network, as when he rents a house to Dr Lascelles as a laboratory for medical investigations on bodies supplied by resurrection men, something that would be impossible at his official residence.  Such c</w:t>
      </w:r>
      <w:r w:rsidRPr="00AA1FDF">
        <w:rPr>
          <w:rFonts w:ascii="Times New Roman" w:hAnsi="Times New Roman" w:cs="Times New Roman"/>
          <w:bCs/>
          <w:sz w:val="24"/>
          <w:szCs w:val="24"/>
        </w:rPr>
        <w:t>ontacts provide useful skills, with m</w:t>
      </w:r>
      <w:r w:rsidRPr="00AA1FDF">
        <w:rPr>
          <w:rFonts w:ascii="Times New Roman" w:hAnsi="Times New Roman" w:cs="Times New Roman"/>
          <w:sz w:val="24"/>
          <w:szCs w:val="24"/>
        </w:rPr>
        <w:t>oney always the determining factor.  W</w:t>
      </w:r>
      <w:r w:rsidRPr="00AA1FDF">
        <w:rPr>
          <w:rFonts w:ascii="Times New Roman" w:hAnsi="Times New Roman" w:cs="Times New Roman"/>
          <w:bCs/>
          <w:sz w:val="24"/>
          <w:szCs w:val="24"/>
        </w:rPr>
        <w:t xml:space="preserve">hen Jack Rily loses an eye fighting Vitriol Bob on Shooter’s Hill, </w:t>
      </w:r>
      <w:r w:rsidRPr="00AA1FDF">
        <w:rPr>
          <w:rFonts w:ascii="Times New Roman" w:hAnsi="Times New Roman" w:cs="Times New Roman"/>
          <w:bCs/>
          <w:sz w:val="24"/>
          <w:szCs w:val="24"/>
        </w:rPr>
        <w:lastRenderedPageBreak/>
        <w:t>he is tended by a doctor who ‘did not ask any questions so long as he was well paid’.</w:t>
      </w:r>
      <w:r w:rsidRPr="00AA1FDF">
        <w:rPr>
          <w:rStyle w:val="FootnoteReference"/>
          <w:rFonts w:ascii="Times New Roman" w:hAnsi="Times New Roman" w:cs="Times New Roman"/>
          <w:bCs/>
          <w:sz w:val="24"/>
          <w:szCs w:val="24"/>
        </w:rPr>
        <w:footnoteReference w:id="648"/>
      </w:r>
      <w:r w:rsidRPr="00AA1FDF">
        <w:rPr>
          <w:rFonts w:ascii="Times New Roman" w:hAnsi="Times New Roman" w:cs="Times New Roman"/>
          <w:bCs/>
          <w:sz w:val="24"/>
          <w:szCs w:val="24"/>
        </w:rPr>
        <w:t xml:space="preserve">  </w:t>
      </w:r>
      <w:r w:rsidRPr="00AA1FDF">
        <w:rPr>
          <w:rFonts w:ascii="Times New Roman" w:hAnsi="Times New Roman" w:cs="Times New Roman"/>
          <w:sz w:val="24"/>
          <w:szCs w:val="24"/>
        </w:rPr>
        <w:t>In this system of exchange, valuable goods and services pass in both directions between different classes.  These activities bring tangible rewards.</w:t>
      </w:r>
      <w:r w:rsidRPr="00AA1FDF">
        <w:rPr>
          <w:rStyle w:val="FootnoteReference"/>
          <w:rFonts w:ascii="Times New Roman" w:hAnsi="Times New Roman" w:cs="Times New Roman"/>
          <w:sz w:val="24"/>
          <w:szCs w:val="24"/>
        </w:rPr>
        <w:footnoteReference w:id="649"/>
      </w:r>
      <w:r w:rsidRPr="00AA1FDF">
        <w:rPr>
          <w:rFonts w:ascii="Times New Roman" w:hAnsi="Times New Roman" w:cs="Times New Roman"/>
          <w:sz w:val="24"/>
          <w:szCs w:val="24"/>
        </w:rPr>
        <w:t xml:space="preserve">  Gertrude Himmelfarb writes how Reynolds portrays slum dwellings where the inhabitants are well dressed and have plenty to eat and drink.</w:t>
      </w:r>
      <w:r w:rsidRPr="00AA1FDF">
        <w:rPr>
          <w:rStyle w:val="FootnoteReference"/>
          <w:rFonts w:ascii="Times New Roman" w:hAnsi="Times New Roman" w:cs="Times New Roman"/>
          <w:sz w:val="24"/>
          <w:szCs w:val="24"/>
        </w:rPr>
        <w:footnoteReference w:id="650"/>
      </w:r>
      <w:r w:rsidRPr="00AA1FDF">
        <w:rPr>
          <w:rFonts w:ascii="Times New Roman" w:hAnsi="Times New Roman" w:cs="Times New Roman"/>
          <w:sz w:val="24"/>
          <w:szCs w:val="24"/>
        </w:rPr>
        <w:t xml:space="preserve">  At the Rat’s Castle lodging house in Saint Giles, the visiting policeman comments upon these benefits:</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Look at them men and women blowing their hides out with all that good meat; and now look at the pots of porter that’s coming in.  Every soul there has sworn a hundred times during the day that he hasn’t tasted food for forty-eight hours, and they will repeat the same story to-morrow.  But they all had good suppers here last night, and good breakfasts here this morning; and you see how they are faring this evening.</w:t>
      </w:r>
      <w:r w:rsidRPr="00AA1FDF">
        <w:rPr>
          <w:rStyle w:val="FootnoteReference"/>
          <w:rFonts w:ascii="Times New Roman" w:hAnsi="Times New Roman" w:cs="Times New Roman"/>
          <w:sz w:val="24"/>
          <w:szCs w:val="24"/>
        </w:rPr>
        <w:footnoteReference w:id="651"/>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 xml:space="preserve">His words suggest </w:t>
      </w:r>
      <w:r w:rsidRPr="00842955">
        <w:rPr>
          <w:rFonts w:ascii="Times New Roman" w:hAnsi="Times New Roman" w:cs="Times New Roman"/>
          <w:sz w:val="24"/>
          <w:szCs w:val="24"/>
        </w:rPr>
        <w:t>how their lifestyle relies upon self-perpetuating deceit,</w:t>
      </w:r>
      <w:r w:rsidR="00EA2C03" w:rsidRPr="00842955">
        <w:rPr>
          <w:rFonts w:ascii="Times New Roman" w:hAnsi="Times New Roman" w:cs="Times New Roman"/>
          <w:sz w:val="24"/>
          <w:szCs w:val="24"/>
        </w:rPr>
        <w:t xml:space="preserve"> with</w:t>
      </w:r>
      <w:r w:rsidRPr="00842955">
        <w:rPr>
          <w:rFonts w:ascii="Times New Roman" w:hAnsi="Times New Roman" w:cs="Times New Roman"/>
          <w:sz w:val="24"/>
          <w:szCs w:val="24"/>
        </w:rPr>
        <w:t xml:space="preserve"> continued success mak</w:t>
      </w:r>
      <w:r w:rsidR="00EA2C03" w:rsidRPr="00842955">
        <w:rPr>
          <w:rFonts w:ascii="Times New Roman" w:hAnsi="Times New Roman" w:cs="Times New Roman"/>
          <w:sz w:val="24"/>
          <w:szCs w:val="24"/>
        </w:rPr>
        <w:t>ing</w:t>
      </w:r>
      <w:r w:rsidRPr="00842955">
        <w:rPr>
          <w:rFonts w:ascii="Times New Roman" w:hAnsi="Times New Roman" w:cs="Times New Roman"/>
          <w:sz w:val="24"/>
          <w:szCs w:val="24"/>
        </w:rPr>
        <w:t xml:space="preserve"> the prospect of engaging in honest employment ever more remote.  The dangerous classes are capable of</w:t>
      </w:r>
      <w:r w:rsidRPr="00AA1FDF">
        <w:rPr>
          <w:rFonts w:ascii="Times New Roman" w:hAnsi="Times New Roman" w:cs="Times New Roman"/>
          <w:sz w:val="24"/>
          <w:szCs w:val="24"/>
        </w:rPr>
        <w:t xml:space="preserve"> accepting routines of ‘work’ but only ones chosen by themselves that provide enjoyment and comfort rather than the drudgery suffered by the many who toil in the households and factories of the rich.</w:t>
      </w:r>
    </w:p>
    <w:p w:rsidR="00DD46EC" w:rsidRPr="00AA1FDF" w:rsidRDefault="00DD46EC" w:rsidP="00DD46EC">
      <w:pPr>
        <w:spacing w:after="120" w:line="360" w:lineRule="auto"/>
        <w:ind w:firstLine="720"/>
        <w:rPr>
          <w:rFonts w:ascii="Times New Roman" w:hAnsi="Times New Roman" w:cs="Times New Roman"/>
          <w:bCs/>
          <w:sz w:val="24"/>
          <w:szCs w:val="24"/>
        </w:rPr>
      </w:pPr>
      <w:r w:rsidRPr="00AA1FDF">
        <w:rPr>
          <w:rFonts w:ascii="Times New Roman" w:hAnsi="Times New Roman" w:cs="Times New Roman"/>
          <w:sz w:val="24"/>
          <w:szCs w:val="24"/>
        </w:rPr>
        <w:t>However, Reynolds’s depiction of this murky economy focuses not only upon its debased aspects but includes seemingly worthier features</w:t>
      </w:r>
      <w:r w:rsidRPr="00AA1FDF">
        <w:rPr>
          <w:rFonts w:ascii="Times New Roman" w:hAnsi="Times New Roman" w:cs="Times New Roman"/>
          <w:bCs/>
          <w:sz w:val="24"/>
          <w:szCs w:val="24"/>
        </w:rPr>
        <w:t>.  Those involved</w:t>
      </w:r>
      <w:r w:rsidRPr="00AA1FDF">
        <w:rPr>
          <w:rFonts w:ascii="Times New Roman" w:hAnsi="Times New Roman" w:cs="Times New Roman"/>
          <w:sz w:val="24"/>
          <w:szCs w:val="24"/>
        </w:rPr>
        <w:t xml:space="preserve"> display admirable skills which they refuse to employ in honest endeavour, something </w:t>
      </w:r>
      <w:r w:rsidRPr="00AA1FDF">
        <w:rPr>
          <w:rFonts w:ascii="Times New Roman" w:hAnsi="Times New Roman" w:cs="Times New Roman"/>
          <w:bCs/>
          <w:sz w:val="24"/>
          <w:szCs w:val="24"/>
        </w:rPr>
        <w:t>typified by Tidkins in the bodysnatching scenes at Shoreditch Church and the cemetery near Globe Lane:</w:t>
      </w:r>
    </w:p>
    <w:p w:rsidR="00DD46EC" w:rsidRPr="00AA1FDF" w:rsidRDefault="00DD46EC" w:rsidP="00DD46EC">
      <w:pPr>
        <w:spacing w:after="240" w:line="240" w:lineRule="auto"/>
        <w:ind w:left="720"/>
        <w:rPr>
          <w:rFonts w:ascii="Times New Roman" w:hAnsi="Times New Roman" w:cs="Times New Roman"/>
          <w:bCs/>
          <w:sz w:val="24"/>
          <w:szCs w:val="24"/>
        </w:rPr>
      </w:pPr>
      <w:r w:rsidRPr="00AA1FDF">
        <w:rPr>
          <w:rFonts w:ascii="Times New Roman" w:hAnsi="Times New Roman" w:cs="Times New Roman"/>
          <w:bCs/>
          <w:sz w:val="24"/>
          <w:szCs w:val="24"/>
        </w:rPr>
        <w:t>He then carefully, and with surprising rapidity, examined the joints of the large flag-stone which was to be removed, and on which no inscription had yet been engraved.  He observed the manner in which the mortar was laid down, and noticed even the places where it spread a little over the adjoining stones or where it was slightly deficient.</w:t>
      </w:r>
      <w:r w:rsidRPr="00AA1FDF">
        <w:rPr>
          <w:rStyle w:val="FootnoteReference"/>
          <w:rFonts w:ascii="Times New Roman" w:hAnsi="Times New Roman" w:cs="Times New Roman"/>
          <w:bCs/>
          <w:sz w:val="24"/>
          <w:szCs w:val="24"/>
        </w:rPr>
        <w:footnoteReference w:id="652"/>
      </w:r>
    </w:p>
    <w:p w:rsidR="00DD46EC" w:rsidRPr="00AA1FDF" w:rsidRDefault="00DD46EC" w:rsidP="00DD46EC">
      <w:pPr>
        <w:spacing w:after="240" w:line="240" w:lineRule="auto"/>
        <w:ind w:left="720"/>
        <w:rPr>
          <w:rFonts w:ascii="Times New Roman" w:hAnsi="Times New Roman" w:cs="Times New Roman"/>
          <w:bCs/>
          <w:sz w:val="24"/>
          <w:szCs w:val="24"/>
        </w:rPr>
      </w:pPr>
      <w:r w:rsidRPr="00AA1FDF">
        <w:rPr>
          <w:rFonts w:ascii="Times New Roman" w:hAnsi="Times New Roman" w:cs="Times New Roman"/>
          <w:bCs/>
          <w:sz w:val="24"/>
          <w:szCs w:val="24"/>
        </w:rPr>
        <w:t>He measured a distance of five paces from the head of the grave.  At the point thus marked he took a long iron rod and drove it in an oblique direction through the ground towards one end of the coffin.  So accurate were his calculations relative to the precise spot in which the coffin was embedded in the earth, that the iron rod struck against it the very first time he thus sounded the soil.</w:t>
      </w:r>
      <w:r w:rsidRPr="00AA1FDF">
        <w:rPr>
          <w:rStyle w:val="FootnoteReference"/>
          <w:rFonts w:ascii="Times New Roman" w:hAnsi="Times New Roman" w:cs="Times New Roman"/>
          <w:bCs/>
          <w:sz w:val="24"/>
          <w:szCs w:val="24"/>
        </w:rPr>
        <w:footnoteReference w:id="653"/>
      </w:r>
    </w:p>
    <w:p w:rsidR="00DD46EC" w:rsidRPr="00AA1FDF" w:rsidRDefault="00DD46EC" w:rsidP="00DD46EC">
      <w:pPr>
        <w:spacing w:after="120" w:line="360" w:lineRule="auto"/>
        <w:rPr>
          <w:rFonts w:ascii="Times New Roman" w:hAnsi="Times New Roman" w:cs="Times New Roman"/>
          <w:bCs/>
          <w:sz w:val="24"/>
          <w:szCs w:val="24"/>
        </w:rPr>
      </w:pPr>
      <w:r w:rsidRPr="00AA1FDF">
        <w:rPr>
          <w:rFonts w:ascii="Times New Roman" w:hAnsi="Times New Roman" w:cs="Times New Roman"/>
          <w:bCs/>
          <w:sz w:val="24"/>
          <w:szCs w:val="24"/>
        </w:rPr>
        <w:lastRenderedPageBreak/>
        <w:t>In each case he carefully considers all facets of the task at hand.  His judgments are accurate with each element of the business executed to the highest standard.  The stone flag in Shoreditch Church is replaced so expertly as to evade notice during the first police investigation.  Reynolds emphasises the technical nature of the activity, meticulously detailing excavations that use mallets, chisels, ropes, saws and levers.  The precision and efficiency of the gang is striking with the Buffer showing ‘equal ardour and ability’.</w:t>
      </w:r>
      <w:r w:rsidRPr="00AA1FDF">
        <w:rPr>
          <w:rStyle w:val="FootnoteReference"/>
          <w:rFonts w:ascii="Times New Roman" w:hAnsi="Times New Roman" w:cs="Times New Roman"/>
          <w:bCs/>
          <w:sz w:val="24"/>
          <w:szCs w:val="24"/>
        </w:rPr>
        <w:footnoteReference w:id="654"/>
      </w:r>
      <w:r w:rsidRPr="00AA1FDF">
        <w:rPr>
          <w:rFonts w:ascii="Times New Roman" w:hAnsi="Times New Roman" w:cs="Times New Roman"/>
          <w:bCs/>
          <w:sz w:val="24"/>
          <w:szCs w:val="24"/>
        </w:rPr>
        <w:t xml:space="preserve">  They share duties without argument, overcoming difficult conditions and performing tasks in a manner that Reynolds writes would astonish even professionals like their associate Jones the grave-digger.  In this respect at least, they are justified in regarding themselves as skilled workmen.  The emotion felt by the watching surgeon who has hired them hints at the uncertain qualities of their </w:t>
      </w:r>
      <w:r w:rsidRPr="00DD6A63">
        <w:rPr>
          <w:rFonts w:ascii="Times New Roman" w:hAnsi="Times New Roman" w:cs="Times New Roman"/>
          <w:bCs/>
          <w:sz w:val="24"/>
          <w:szCs w:val="24"/>
        </w:rPr>
        <w:t>labour</w:t>
      </w:r>
      <w:r w:rsidR="00842955" w:rsidRPr="00DD6A63">
        <w:rPr>
          <w:rFonts w:ascii="Times New Roman" w:hAnsi="Times New Roman" w:cs="Times New Roman"/>
          <w:bCs/>
          <w:sz w:val="24"/>
          <w:szCs w:val="24"/>
        </w:rPr>
        <w:t>:</w:t>
      </w:r>
    </w:p>
    <w:p w:rsidR="00DD46EC" w:rsidRPr="00AA1FDF" w:rsidRDefault="00DD46EC" w:rsidP="00DD46EC">
      <w:pPr>
        <w:spacing w:after="240" w:line="240" w:lineRule="auto"/>
        <w:ind w:left="720"/>
        <w:rPr>
          <w:rFonts w:ascii="Times New Roman" w:hAnsi="Times New Roman" w:cs="Times New Roman"/>
          <w:bCs/>
          <w:sz w:val="24"/>
          <w:szCs w:val="24"/>
        </w:rPr>
      </w:pPr>
      <w:r w:rsidRPr="00AA1FDF">
        <w:rPr>
          <w:rFonts w:ascii="Times New Roman" w:hAnsi="Times New Roman" w:cs="Times New Roman"/>
          <w:bCs/>
          <w:sz w:val="24"/>
          <w:szCs w:val="24"/>
        </w:rPr>
        <w:t>It suddenly appeared to him as if he beheld those three men for the first time.  That continuation of regular and systematic movements – that silent perseverance, faintly shadowed forth amidst the obscurity of the night, at length assumed so singular a character, that the surgeon felt as if he beheld three demons disinterring a doomed one to carry him off to hell!</w:t>
      </w:r>
      <w:r w:rsidRPr="00AA1FDF">
        <w:rPr>
          <w:rStyle w:val="FootnoteReference"/>
          <w:rFonts w:ascii="Times New Roman" w:hAnsi="Times New Roman" w:cs="Times New Roman"/>
          <w:bCs/>
          <w:sz w:val="24"/>
          <w:szCs w:val="24"/>
        </w:rPr>
        <w:footnoteReference w:id="655"/>
      </w:r>
    </w:p>
    <w:p w:rsidR="00DD46EC" w:rsidRPr="00AA1FDF" w:rsidRDefault="00DD46EC" w:rsidP="00DD46EC">
      <w:pPr>
        <w:spacing w:after="120" w:line="360" w:lineRule="auto"/>
        <w:rPr>
          <w:rFonts w:ascii="Times New Roman" w:hAnsi="Times New Roman" w:cs="Times New Roman"/>
          <w:bCs/>
          <w:sz w:val="24"/>
          <w:szCs w:val="24"/>
        </w:rPr>
      </w:pPr>
      <w:r w:rsidRPr="00AA1FDF">
        <w:rPr>
          <w:rFonts w:ascii="Times New Roman" w:hAnsi="Times New Roman" w:cs="Times New Roman"/>
          <w:bCs/>
          <w:sz w:val="24"/>
          <w:szCs w:val="24"/>
        </w:rPr>
        <w:t>The terms ‘expeditiously’ and ‘regular and systematic’ suggest his thoughts initially focus upon their proficiency, before veering away to the horrific aspect of their employment, reinforced by reference to their ‘sacrilegious hands’.</w:t>
      </w:r>
      <w:r w:rsidRPr="00AA1FDF">
        <w:rPr>
          <w:rStyle w:val="FootnoteReference"/>
          <w:rFonts w:ascii="Times New Roman" w:hAnsi="Times New Roman" w:cs="Times New Roman"/>
          <w:bCs/>
          <w:sz w:val="24"/>
          <w:szCs w:val="24"/>
        </w:rPr>
        <w:footnoteReference w:id="656"/>
      </w:r>
      <w:r w:rsidRPr="00AA1FDF">
        <w:rPr>
          <w:rFonts w:ascii="Times New Roman" w:hAnsi="Times New Roman" w:cs="Times New Roman"/>
          <w:bCs/>
          <w:sz w:val="24"/>
          <w:szCs w:val="24"/>
        </w:rPr>
        <w:t xml:space="preserve">  His response is symptomatic of the dual nature of their work, which combines skill and usefulness with immorality.</w:t>
      </w:r>
      <w:r w:rsidRPr="00AA1FDF">
        <w:rPr>
          <w:rStyle w:val="FootnoteReference"/>
          <w:rFonts w:ascii="Times New Roman" w:hAnsi="Times New Roman" w:cs="Times New Roman"/>
          <w:bCs/>
          <w:sz w:val="24"/>
          <w:szCs w:val="24"/>
        </w:rPr>
        <w:footnoteReference w:id="657"/>
      </w:r>
      <w:r w:rsidRPr="00AA1FDF">
        <w:rPr>
          <w:rFonts w:ascii="Times New Roman" w:hAnsi="Times New Roman" w:cs="Times New Roman"/>
          <w:bCs/>
          <w:sz w:val="24"/>
          <w:szCs w:val="24"/>
        </w:rPr>
        <w:t xml:space="preserve">  Although he is ultimately concerned with the latter, it leaves the implied question of how these people might have developed had society not rejected them.  To this extent the protest of the dangerous classes, as manifested in some of their criminal activity, holds up a picture of wasted talents.</w:t>
      </w:r>
    </w:p>
    <w:p w:rsidR="00DD46EC" w:rsidRPr="00AA1FDF" w:rsidRDefault="00DD46EC" w:rsidP="00DD46EC">
      <w:pPr>
        <w:spacing w:after="120" w:line="360" w:lineRule="auto"/>
        <w:ind w:firstLine="720"/>
        <w:rPr>
          <w:rFonts w:ascii="Times New Roman" w:hAnsi="Times New Roman" w:cs="Times New Roman"/>
          <w:bCs/>
          <w:sz w:val="24"/>
          <w:szCs w:val="24"/>
        </w:rPr>
      </w:pPr>
      <w:r w:rsidRPr="00DD6A63">
        <w:rPr>
          <w:rFonts w:ascii="Times New Roman" w:hAnsi="Times New Roman" w:cs="Times New Roman"/>
          <w:bCs/>
          <w:sz w:val="24"/>
          <w:szCs w:val="24"/>
        </w:rPr>
        <w:t>Alongside these technical skills, a business-like attitude is evident, seen in Tidkins’s reply to the Cracksman</w:t>
      </w:r>
      <w:r w:rsidRPr="00AA1FDF">
        <w:rPr>
          <w:rFonts w:ascii="Times New Roman" w:hAnsi="Times New Roman" w:cs="Times New Roman"/>
          <w:bCs/>
          <w:sz w:val="24"/>
          <w:szCs w:val="24"/>
        </w:rPr>
        <w:t xml:space="preserve"> when informed of the Shoreditch job: ‘he is too good a customer to</w:t>
      </w:r>
      <w:r w:rsidRPr="00AA1FDF">
        <w:rPr>
          <w:rFonts w:ascii="Times New Roman" w:hAnsi="Times New Roman" w:cs="Times New Roman"/>
          <w:sz w:val="24"/>
          <w:szCs w:val="24"/>
        </w:rPr>
        <w:t xml:space="preserve"> </w:t>
      </w:r>
      <w:r w:rsidRPr="00AA1FDF">
        <w:rPr>
          <w:rFonts w:ascii="Times New Roman" w:hAnsi="Times New Roman" w:cs="Times New Roman"/>
          <w:bCs/>
          <w:sz w:val="24"/>
          <w:szCs w:val="24"/>
        </w:rPr>
        <w:t>disappoint:</w:t>
      </w:r>
      <w:r w:rsidRPr="00AA1FDF">
        <w:rPr>
          <w:rFonts w:ascii="Times New Roman" w:hAnsi="Times New Roman" w:cs="Times New Roman"/>
          <w:sz w:val="24"/>
          <w:szCs w:val="24"/>
        </w:rPr>
        <w:t xml:space="preserve">  </w:t>
      </w:r>
      <w:r w:rsidRPr="00AA1FDF">
        <w:rPr>
          <w:rFonts w:ascii="Times New Roman" w:hAnsi="Times New Roman" w:cs="Times New Roman"/>
          <w:bCs/>
          <w:sz w:val="24"/>
          <w:szCs w:val="24"/>
        </w:rPr>
        <w:t>We must be off at once.’</w:t>
      </w:r>
      <w:r w:rsidRPr="00AA1FDF">
        <w:rPr>
          <w:rStyle w:val="FootnoteReference"/>
          <w:rFonts w:ascii="Times New Roman" w:hAnsi="Times New Roman" w:cs="Times New Roman"/>
          <w:bCs/>
          <w:sz w:val="24"/>
          <w:szCs w:val="24"/>
        </w:rPr>
        <w:footnoteReference w:id="658"/>
      </w:r>
      <w:r w:rsidRPr="00AA1FDF">
        <w:rPr>
          <w:rFonts w:ascii="Times New Roman" w:hAnsi="Times New Roman" w:cs="Times New Roman"/>
          <w:bCs/>
          <w:sz w:val="24"/>
          <w:szCs w:val="24"/>
        </w:rPr>
        <w:t xml:space="preserve">  He accepts they have a responsibility to provide services whenever required, particularly to their best clients.  The surgeon is ill-equipped for the conditions they meet, groping his way in the dark and shivering with the cold, but Tidkins remains respectful, befitting his role as a paid employee: ‘Well and good, sir, […] You </w:t>
      </w:r>
      <w:r w:rsidRPr="00AA1FDF">
        <w:rPr>
          <w:rFonts w:ascii="Times New Roman" w:hAnsi="Times New Roman" w:cs="Times New Roman"/>
          <w:bCs/>
          <w:sz w:val="24"/>
          <w:szCs w:val="24"/>
        </w:rPr>
        <w:lastRenderedPageBreak/>
        <w:t>command</w:t>
      </w:r>
      <w:r w:rsidRPr="00AA1FDF">
        <w:rPr>
          <w:rFonts w:ascii="Times New Roman" w:hAnsi="Times New Roman" w:cs="Times New Roman"/>
          <w:sz w:val="24"/>
          <w:szCs w:val="24"/>
        </w:rPr>
        <w:t>—</w:t>
      </w:r>
      <w:r w:rsidRPr="00AA1FDF">
        <w:rPr>
          <w:rFonts w:ascii="Times New Roman" w:hAnsi="Times New Roman" w:cs="Times New Roman"/>
          <w:bCs/>
          <w:sz w:val="24"/>
          <w:szCs w:val="24"/>
        </w:rPr>
        <w:t>we obey.’</w:t>
      </w:r>
      <w:r w:rsidRPr="00AA1FDF">
        <w:rPr>
          <w:rStyle w:val="FootnoteReference"/>
          <w:rFonts w:ascii="Times New Roman" w:hAnsi="Times New Roman" w:cs="Times New Roman"/>
          <w:bCs/>
          <w:sz w:val="24"/>
          <w:szCs w:val="24"/>
        </w:rPr>
        <w:footnoteReference w:id="659"/>
      </w:r>
      <w:r w:rsidRPr="00AA1FDF">
        <w:rPr>
          <w:rFonts w:ascii="Times New Roman" w:hAnsi="Times New Roman" w:cs="Times New Roman"/>
          <w:bCs/>
          <w:sz w:val="24"/>
          <w:szCs w:val="24"/>
        </w:rPr>
        <w:t xml:space="preserve">  This sense of professionalism continues </w:t>
      </w:r>
      <w:r w:rsidRPr="00DD6A63">
        <w:rPr>
          <w:rFonts w:ascii="Times New Roman" w:hAnsi="Times New Roman" w:cs="Times New Roman"/>
          <w:bCs/>
          <w:sz w:val="24"/>
          <w:szCs w:val="24"/>
        </w:rPr>
        <w:t xml:space="preserve">when </w:t>
      </w:r>
      <w:r w:rsidR="00A37C76" w:rsidRPr="00DD6A63">
        <w:rPr>
          <w:rFonts w:ascii="Times New Roman" w:hAnsi="Times New Roman" w:cs="Times New Roman"/>
          <w:bCs/>
          <w:sz w:val="24"/>
          <w:szCs w:val="24"/>
        </w:rPr>
        <w:t>they</w:t>
      </w:r>
      <w:r w:rsidRPr="00DD6A63">
        <w:rPr>
          <w:rFonts w:ascii="Times New Roman" w:hAnsi="Times New Roman" w:cs="Times New Roman"/>
          <w:bCs/>
          <w:sz w:val="24"/>
          <w:szCs w:val="24"/>
        </w:rPr>
        <w:t xml:space="preserve"> are</w:t>
      </w:r>
      <w:r w:rsidRPr="00AA1FDF">
        <w:rPr>
          <w:rFonts w:ascii="Times New Roman" w:hAnsi="Times New Roman" w:cs="Times New Roman"/>
          <w:bCs/>
          <w:sz w:val="24"/>
          <w:szCs w:val="24"/>
        </w:rPr>
        <w:t xml:space="preserve"> paid by Robert Stephens to waylay Eugene Markham who by coincidence had hired the Cracksman the previous night:</w:t>
      </w:r>
    </w:p>
    <w:p w:rsidR="00DD46EC" w:rsidRPr="00AA1FDF" w:rsidRDefault="00DD46EC" w:rsidP="00DD46EC">
      <w:pPr>
        <w:spacing w:after="240" w:line="240" w:lineRule="auto"/>
        <w:ind w:left="720"/>
        <w:rPr>
          <w:rFonts w:ascii="Times New Roman" w:hAnsi="Times New Roman" w:cs="Times New Roman"/>
          <w:bCs/>
          <w:sz w:val="24"/>
          <w:szCs w:val="24"/>
        </w:rPr>
      </w:pPr>
      <w:r w:rsidRPr="00AA1FDF">
        <w:rPr>
          <w:rFonts w:ascii="Times New Roman" w:hAnsi="Times New Roman" w:cs="Times New Roman"/>
          <w:bCs/>
          <w:sz w:val="24"/>
          <w:szCs w:val="24"/>
        </w:rPr>
        <w:t xml:space="preserve">‘The deuce!’ exclaimed the burglar in a low and subdued tone: ‘this is a rum go!  Working </w:t>
      </w:r>
      <w:r w:rsidRPr="00AA1FDF">
        <w:rPr>
          <w:rFonts w:ascii="Times New Roman" w:hAnsi="Times New Roman" w:cs="Times New Roman"/>
          <w:bCs/>
          <w:i/>
          <w:iCs/>
          <w:sz w:val="24"/>
          <w:szCs w:val="24"/>
        </w:rPr>
        <w:t>for</w:t>
      </w:r>
      <w:r w:rsidRPr="00AA1FDF">
        <w:rPr>
          <w:rFonts w:ascii="Times New Roman" w:hAnsi="Times New Roman" w:cs="Times New Roman"/>
          <w:bCs/>
          <w:sz w:val="24"/>
          <w:szCs w:val="24"/>
        </w:rPr>
        <w:t xml:space="preserve"> you last night, and </w:t>
      </w:r>
      <w:r w:rsidRPr="00AA1FDF">
        <w:rPr>
          <w:rFonts w:ascii="Times New Roman" w:hAnsi="Times New Roman" w:cs="Times New Roman"/>
          <w:bCs/>
          <w:i/>
          <w:sz w:val="24"/>
          <w:szCs w:val="24"/>
        </w:rPr>
        <w:t>against</w:t>
      </w:r>
      <w:r w:rsidRPr="00AA1FDF">
        <w:rPr>
          <w:rFonts w:ascii="Times New Roman" w:hAnsi="Times New Roman" w:cs="Times New Roman"/>
          <w:bCs/>
          <w:sz w:val="24"/>
          <w:szCs w:val="24"/>
        </w:rPr>
        <w:t xml:space="preserve"> you to-night!  But, never mind: we must fulfil our agreement, let it be what it will.  I can however tell you for your satisfaction that we don’t mean to hurt you.  So come along quiet; and all will be right.’</w:t>
      </w:r>
      <w:r w:rsidRPr="00AA1FDF">
        <w:rPr>
          <w:rStyle w:val="FootnoteReference"/>
          <w:rFonts w:ascii="Times New Roman" w:hAnsi="Times New Roman" w:cs="Times New Roman"/>
          <w:bCs/>
          <w:sz w:val="24"/>
          <w:szCs w:val="24"/>
        </w:rPr>
        <w:footnoteReference w:id="660"/>
      </w:r>
    </w:p>
    <w:p w:rsidR="00DD46EC" w:rsidRPr="00AA1FDF" w:rsidRDefault="00DD46EC" w:rsidP="00DD46EC">
      <w:pPr>
        <w:spacing w:after="120" w:line="360" w:lineRule="auto"/>
        <w:rPr>
          <w:rFonts w:ascii="Times New Roman" w:hAnsi="Times New Roman" w:cs="Times New Roman"/>
          <w:bCs/>
          <w:sz w:val="24"/>
          <w:szCs w:val="24"/>
        </w:rPr>
      </w:pPr>
      <w:r w:rsidRPr="00AA1FDF">
        <w:rPr>
          <w:rFonts w:ascii="Times New Roman" w:hAnsi="Times New Roman" w:cs="Times New Roman"/>
          <w:bCs/>
          <w:sz w:val="24"/>
          <w:szCs w:val="24"/>
        </w:rPr>
        <w:t xml:space="preserve">The surprised Cracksman displays embarrassment at accosting a former employer.  However, he instantly casts it aside by emphasising the need to carry out an agreed contract.  His concluding words contain an implied semi-apology that while unable to free Eugene they will cause no harm.  When meeting Stephens </w:t>
      </w:r>
      <w:r w:rsidRPr="00DD6A63">
        <w:rPr>
          <w:rFonts w:ascii="Times New Roman" w:hAnsi="Times New Roman" w:cs="Times New Roman"/>
          <w:bCs/>
          <w:sz w:val="24"/>
          <w:szCs w:val="24"/>
        </w:rPr>
        <w:t xml:space="preserve">later, </w:t>
      </w:r>
      <w:r w:rsidR="00A37C76" w:rsidRPr="00DD6A63">
        <w:rPr>
          <w:rFonts w:ascii="Times New Roman" w:hAnsi="Times New Roman" w:cs="Times New Roman"/>
          <w:bCs/>
          <w:sz w:val="24"/>
          <w:szCs w:val="24"/>
        </w:rPr>
        <w:t>Tom</w:t>
      </w:r>
      <w:r w:rsidRPr="00AA1FDF">
        <w:rPr>
          <w:rFonts w:ascii="Times New Roman" w:hAnsi="Times New Roman" w:cs="Times New Roman"/>
          <w:bCs/>
          <w:sz w:val="24"/>
          <w:szCs w:val="24"/>
        </w:rPr>
        <w:t xml:space="preserve"> refuses to enlighten him about any prior relationship with their latest captive:</w:t>
      </w:r>
    </w:p>
    <w:p w:rsidR="00DD46EC" w:rsidRPr="00AA1FDF" w:rsidRDefault="00DD46EC" w:rsidP="00DD46EC">
      <w:pPr>
        <w:spacing w:after="240" w:line="240" w:lineRule="auto"/>
        <w:ind w:left="720"/>
        <w:rPr>
          <w:rFonts w:ascii="Times New Roman" w:hAnsi="Times New Roman" w:cs="Times New Roman"/>
          <w:bCs/>
          <w:sz w:val="24"/>
          <w:szCs w:val="24"/>
        </w:rPr>
      </w:pPr>
      <w:r w:rsidRPr="00AA1FDF">
        <w:rPr>
          <w:rFonts w:ascii="Times New Roman" w:hAnsi="Times New Roman" w:cs="Times New Roman"/>
          <w:bCs/>
          <w:sz w:val="24"/>
          <w:szCs w:val="24"/>
        </w:rPr>
        <w:t>We don’t tell secrets out of school, ’cos if we did, there’d be no reliance put in us; and we does a great many pretty little jobs now and then for the swell folks.  But here is your bird</w:t>
      </w:r>
      <w:r w:rsidRPr="00AA1FDF">
        <w:rPr>
          <w:rFonts w:ascii="Times New Roman" w:hAnsi="Times New Roman" w:cs="Times New Roman"/>
          <w:sz w:val="24"/>
          <w:szCs w:val="24"/>
        </w:rPr>
        <w:t>—</w:t>
      </w:r>
      <w:r w:rsidRPr="00AA1FDF">
        <w:rPr>
          <w:rFonts w:ascii="Times New Roman" w:hAnsi="Times New Roman" w:cs="Times New Roman"/>
          <w:bCs/>
          <w:sz w:val="24"/>
          <w:szCs w:val="24"/>
        </w:rPr>
        <w:t>delivered at this werry spot accordin’ to agreement.</w:t>
      </w:r>
      <w:r w:rsidRPr="00AA1FDF">
        <w:rPr>
          <w:rStyle w:val="FootnoteReference"/>
          <w:rFonts w:ascii="Times New Roman" w:hAnsi="Times New Roman" w:cs="Times New Roman"/>
          <w:bCs/>
          <w:sz w:val="24"/>
          <w:szCs w:val="24"/>
        </w:rPr>
        <w:footnoteReference w:id="661"/>
      </w:r>
    </w:p>
    <w:p w:rsidR="00DD46EC" w:rsidRPr="00AA1FDF" w:rsidRDefault="00DD46EC" w:rsidP="00DD46EC">
      <w:pPr>
        <w:spacing w:after="120" w:line="360" w:lineRule="auto"/>
        <w:rPr>
          <w:rFonts w:ascii="Times New Roman" w:hAnsi="Times New Roman" w:cs="Times New Roman"/>
          <w:bCs/>
          <w:sz w:val="24"/>
          <w:szCs w:val="24"/>
        </w:rPr>
      </w:pPr>
      <w:r w:rsidRPr="00AA1FDF">
        <w:rPr>
          <w:rFonts w:ascii="Times New Roman" w:hAnsi="Times New Roman" w:cs="Times New Roman"/>
          <w:bCs/>
          <w:sz w:val="24"/>
          <w:szCs w:val="24"/>
        </w:rPr>
        <w:t>The words are spoken confidently as befits one who sees himself discussing business and having an obligation to fulfil contracts, particularly as they involve engaging extensively with ‘swells’.  He expresses a sense of honour in rejecting any request for information as it would undermine their reputation for reliability, pointing to how this professionalism is being extended to Stephens with the task completed ‘accordin’ to agreement’, and that it is the middle-class customer who is breaking the respectable rules of commerce while the ‘dangerous’ contractors maintain them.</w:t>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 xml:space="preserve">This choice of work gives empowerment.  Richard Maxwell writes that crime gives a unifying atmosphere across the otherwise </w:t>
      </w:r>
      <w:r w:rsidRPr="00EA2C03">
        <w:rPr>
          <w:rFonts w:ascii="Times New Roman" w:hAnsi="Times New Roman" w:cs="Times New Roman"/>
          <w:sz w:val="24"/>
          <w:szCs w:val="24"/>
        </w:rPr>
        <w:t>fragmented environment of Reynolds’s capit</w:t>
      </w:r>
      <w:r w:rsidR="009524D7" w:rsidRPr="00EA2C03">
        <w:rPr>
          <w:rFonts w:ascii="Times New Roman" w:hAnsi="Times New Roman" w:cs="Times New Roman"/>
          <w:sz w:val="24"/>
          <w:szCs w:val="24"/>
        </w:rPr>
        <w:t>a</w:t>
      </w:r>
      <w:r w:rsidRPr="00EA2C03">
        <w:rPr>
          <w:rFonts w:ascii="Times New Roman" w:hAnsi="Times New Roman" w:cs="Times New Roman"/>
          <w:sz w:val="24"/>
          <w:szCs w:val="24"/>
        </w:rPr>
        <w:t>l: ‘Everybody gets into the act, but some plotters prove more accomplished than others.’</w:t>
      </w:r>
      <w:r w:rsidRPr="00EA2C03">
        <w:rPr>
          <w:rStyle w:val="FootnoteReference"/>
          <w:rFonts w:ascii="Times New Roman" w:hAnsi="Times New Roman" w:cs="Times New Roman"/>
          <w:sz w:val="24"/>
          <w:szCs w:val="24"/>
        </w:rPr>
        <w:footnoteReference w:id="662"/>
      </w:r>
      <w:r w:rsidRPr="00AA1FDF">
        <w:rPr>
          <w:rFonts w:ascii="Times New Roman" w:hAnsi="Times New Roman" w:cs="Times New Roman"/>
          <w:sz w:val="24"/>
          <w:szCs w:val="24"/>
        </w:rPr>
        <w:t xml:space="preserve">  Since their association with the wealthy invariably revolves around crime, it places the dangerous classes in a strong position.  Superior knowledge of such matters allows them to talk on equal terms and even over-rule their paymasters.  Tidkins’s dealing with the unscrupulous Gilbert Vernon, who aims to acquire the title of his elder brother Lord Ravensworth by foul means, exemplifies this levelling effect.</w:t>
      </w:r>
      <w:r w:rsidRPr="00AA1FDF">
        <w:rPr>
          <w:rStyle w:val="FootnoteReference"/>
          <w:rFonts w:ascii="Times New Roman" w:hAnsi="Times New Roman" w:cs="Times New Roman"/>
          <w:sz w:val="24"/>
          <w:szCs w:val="24"/>
        </w:rPr>
        <w:footnoteReference w:id="663"/>
      </w:r>
      <w:r w:rsidRPr="00AA1FDF">
        <w:rPr>
          <w:rFonts w:ascii="Times New Roman" w:hAnsi="Times New Roman" w:cs="Times New Roman"/>
          <w:sz w:val="24"/>
          <w:szCs w:val="24"/>
        </w:rPr>
        <w:t xml:space="preserve">   When they meet at a public </w:t>
      </w:r>
      <w:r w:rsidRPr="00AA1FDF">
        <w:rPr>
          <w:rFonts w:ascii="Times New Roman" w:hAnsi="Times New Roman" w:cs="Times New Roman"/>
          <w:sz w:val="24"/>
          <w:szCs w:val="24"/>
        </w:rPr>
        <w:lastRenderedPageBreak/>
        <w:t>house in Pedlar’s Acre, Vernon is repeatedly reprimanded for the naivety of his plan that would deny Ravensworth a legitimate male heir, with the Resurrection Man demanding it be replaced with his own scheme or he will wash his hands of the affair.</w:t>
      </w:r>
      <w:r w:rsidRPr="00AA1FDF">
        <w:rPr>
          <w:rStyle w:val="FootnoteReference"/>
          <w:rFonts w:ascii="Times New Roman" w:hAnsi="Times New Roman" w:cs="Times New Roman"/>
          <w:sz w:val="24"/>
          <w:szCs w:val="24"/>
        </w:rPr>
        <w:footnoteReference w:id="664"/>
      </w:r>
      <w:r w:rsidRPr="00AA1FDF">
        <w:rPr>
          <w:rFonts w:ascii="Times New Roman" w:hAnsi="Times New Roman" w:cs="Times New Roman"/>
          <w:sz w:val="24"/>
          <w:szCs w:val="24"/>
        </w:rPr>
        <w:t xml:space="preserve">  The conversation sees social barriers eroded and any respectful façade abandoned,</w:t>
      </w:r>
      <w:r w:rsidRPr="00AA1FDF">
        <w:rPr>
          <w:rFonts w:ascii="Times New Roman" w:hAnsi="Times New Roman" w:cs="Times New Roman"/>
          <w:color w:val="002060"/>
          <w:sz w:val="24"/>
          <w:szCs w:val="24"/>
        </w:rPr>
        <w:t xml:space="preserve"> </w:t>
      </w:r>
      <w:r w:rsidRPr="00AA1FDF">
        <w:rPr>
          <w:rFonts w:ascii="Times New Roman" w:hAnsi="Times New Roman" w:cs="Times New Roman"/>
          <w:sz w:val="24"/>
          <w:szCs w:val="24"/>
        </w:rPr>
        <w:t>making it a psychological and economic triumph for Tidkins who can assuage his anger through berating a representative of the class who once humiliated him, while receiving three thousand pounds for giving advice that will bring the demise of one of their number.  Such collaborations allow the dangerous classes to establish themselves financially and temporarily exert their dominance.</w:t>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 xml:space="preserve">Throughout </w:t>
      </w:r>
      <w:r w:rsidRPr="00AA1FDF">
        <w:rPr>
          <w:rFonts w:ascii="Times New Roman" w:hAnsi="Times New Roman" w:cs="Times New Roman"/>
          <w:i/>
          <w:sz w:val="24"/>
          <w:szCs w:val="24"/>
        </w:rPr>
        <w:t>The Mysteries of London</w:t>
      </w:r>
      <w:r w:rsidRPr="00AA1FDF">
        <w:rPr>
          <w:rFonts w:ascii="Times New Roman" w:hAnsi="Times New Roman" w:cs="Times New Roman"/>
          <w:sz w:val="24"/>
          <w:szCs w:val="24"/>
        </w:rPr>
        <w:t>, public houses are focal points of opposition to authority.</w:t>
      </w:r>
      <w:r w:rsidRPr="00AA1FDF">
        <w:rPr>
          <w:rStyle w:val="FootnoteReference"/>
          <w:rFonts w:ascii="Times New Roman" w:hAnsi="Times New Roman" w:cs="Times New Roman"/>
          <w:sz w:val="24"/>
          <w:szCs w:val="24"/>
        </w:rPr>
        <w:footnoteReference w:id="665"/>
      </w:r>
      <w:r w:rsidRPr="00AA1FDF">
        <w:rPr>
          <w:rFonts w:ascii="Times New Roman" w:hAnsi="Times New Roman" w:cs="Times New Roman"/>
          <w:sz w:val="24"/>
          <w:szCs w:val="24"/>
        </w:rPr>
        <w:t xml:space="preserve">  They are key locations for the dangerous classes to transact business.  Among many examples, Dick Flairer and Bill Bolter engage the Cracksman at Saffron Hill for a burglary in Upper Clapton, while Thomas Rainford visits a pub in White Hart Street to pass banknotes from a robbery for Benjamin Bones to launder.</w:t>
      </w:r>
      <w:r w:rsidRPr="00AA1FDF">
        <w:rPr>
          <w:rStyle w:val="FootnoteReference"/>
          <w:rFonts w:ascii="Times New Roman" w:hAnsi="Times New Roman" w:cs="Times New Roman"/>
          <w:sz w:val="24"/>
          <w:szCs w:val="24"/>
        </w:rPr>
        <w:footnoteReference w:id="666"/>
      </w:r>
      <w:r w:rsidRPr="00AA1FDF">
        <w:rPr>
          <w:rFonts w:ascii="Times New Roman" w:hAnsi="Times New Roman" w:cs="Times New Roman"/>
          <w:sz w:val="24"/>
          <w:szCs w:val="24"/>
        </w:rPr>
        <w:t xml:space="preserve">  They provide ideal surroundings to recruit youngsters.  When Bones buys Jacob Smith a ‘whole glass’ of grog in Lock’s Fields he continues the boy’s introduction to crime that </w:t>
      </w:r>
      <w:r w:rsidRPr="00DD6A63">
        <w:rPr>
          <w:rFonts w:ascii="Times New Roman" w:hAnsi="Times New Roman" w:cs="Times New Roman"/>
          <w:sz w:val="24"/>
          <w:szCs w:val="24"/>
        </w:rPr>
        <w:t xml:space="preserve">began when </w:t>
      </w:r>
      <w:r w:rsidR="00A37C76" w:rsidRPr="00DD6A63">
        <w:rPr>
          <w:rFonts w:ascii="Times New Roman" w:hAnsi="Times New Roman" w:cs="Times New Roman"/>
          <w:sz w:val="24"/>
          <w:szCs w:val="24"/>
        </w:rPr>
        <w:t>given</w:t>
      </w:r>
      <w:r w:rsidRPr="00DD6A63">
        <w:rPr>
          <w:rFonts w:ascii="Times New Roman" w:hAnsi="Times New Roman" w:cs="Times New Roman"/>
          <w:sz w:val="24"/>
          <w:szCs w:val="24"/>
        </w:rPr>
        <w:t xml:space="preserve"> money to</w:t>
      </w:r>
      <w:r w:rsidRPr="00AA1FDF">
        <w:rPr>
          <w:rFonts w:ascii="Times New Roman" w:hAnsi="Times New Roman" w:cs="Times New Roman"/>
          <w:sz w:val="24"/>
          <w:szCs w:val="24"/>
        </w:rPr>
        <w:t xml:space="preserve"> spend in taverns and associate with like-minded youths, for whom the gaudy surroundings and convivial atmosphere give the illusion that they are on the path to a comfortable life denied them by respectable society.</w:t>
      </w:r>
      <w:r w:rsidRPr="00AA1FDF">
        <w:rPr>
          <w:rStyle w:val="FootnoteReference"/>
          <w:rFonts w:ascii="Times New Roman" w:hAnsi="Times New Roman" w:cs="Times New Roman"/>
          <w:sz w:val="24"/>
          <w:szCs w:val="24"/>
        </w:rPr>
        <w:footnoteReference w:id="667"/>
      </w:r>
      <w:r w:rsidRPr="00AA1FDF">
        <w:rPr>
          <w:rFonts w:ascii="Times New Roman" w:hAnsi="Times New Roman" w:cs="Times New Roman"/>
          <w:sz w:val="24"/>
          <w:szCs w:val="24"/>
        </w:rPr>
        <w:t xml:space="preserve">  Since boozing-kens contribute so much to the economic foundation of the dangerous classes it is unsurprising the cultural superstructure that emerges from them should display the same oppositional characteristics.  This is reflected by how the tavern is simultaneously public and non-public space, since any person may enter but most feel prevented by the air of physical threat and social separation that exists.  Such scenes suggest a level of security unavailable elsewhere.  Places like </w:t>
      </w:r>
      <w:r w:rsidRPr="00AA1FDF">
        <w:rPr>
          <w:rFonts w:ascii="Times New Roman" w:hAnsi="Times New Roman" w:cs="Times New Roman"/>
          <w:bCs/>
          <w:sz w:val="24"/>
          <w:szCs w:val="24"/>
        </w:rPr>
        <w:t>the ‘</w:t>
      </w:r>
      <w:r w:rsidRPr="00AA1FDF">
        <w:rPr>
          <w:rFonts w:ascii="Times New Roman" w:hAnsi="Times New Roman" w:cs="Times New Roman"/>
          <w:bCs/>
          <w:iCs/>
          <w:sz w:val="24"/>
          <w:szCs w:val="24"/>
        </w:rPr>
        <w:t>Dark-House’</w:t>
      </w:r>
      <w:r w:rsidRPr="00AA1FDF">
        <w:rPr>
          <w:rFonts w:ascii="Times New Roman" w:hAnsi="Times New Roman" w:cs="Times New Roman"/>
          <w:sz w:val="24"/>
          <w:szCs w:val="24"/>
        </w:rPr>
        <w:t xml:space="preserve"> allow</w:t>
      </w:r>
      <w:r w:rsidRPr="00AA1FDF">
        <w:rPr>
          <w:rFonts w:ascii="Times New Roman" w:hAnsi="Times New Roman" w:cs="Times New Roman"/>
          <w:bCs/>
          <w:sz w:val="24"/>
          <w:szCs w:val="24"/>
        </w:rPr>
        <w:t xml:space="preserve"> discussion of activities with none thinking it worthwhile ‘to shroud his real occupation beneath an air of false modesty’.</w:t>
      </w:r>
      <w:r w:rsidRPr="00AA1FDF">
        <w:rPr>
          <w:rStyle w:val="FootnoteReference"/>
          <w:rFonts w:ascii="Times New Roman" w:hAnsi="Times New Roman" w:cs="Times New Roman"/>
          <w:bCs/>
          <w:sz w:val="24"/>
          <w:szCs w:val="24"/>
        </w:rPr>
        <w:footnoteReference w:id="668"/>
      </w:r>
      <w:r w:rsidRPr="00AA1FDF">
        <w:rPr>
          <w:rFonts w:ascii="Times New Roman" w:hAnsi="Times New Roman" w:cs="Times New Roman"/>
          <w:bCs/>
          <w:sz w:val="24"/>
          <w:szCs w:val="24"/>
        </w:rPr>
        <w:t xml:space="preserve">  T</w:t>
      </w:r>
      <w:r w:rsidRPr="00AA1FDF">
        <w:rPr>
          <w:rFonts w:ascii="Times New Roman" w:hAnsi="Times New Roman" w:cs="Times New Roman"/>
          <w:sz w:val="24"/>
          <w:szCs w:val="24"/>
        </w:rPr>
        <w:t xml:space="preserve">he use of the term ‘false modesty’ suggests the pride felt in this ‘work’, as talk </w:t>
      </w:r>
      <w:r w:rsidRPr="00AA1FDF">
        <w:rPr>
          <w:rFonts w:ascii="Times New Roman" w:hAnsi="Times New Roman" w:cs="Times New Roman"/>
          <w:bCs/>
          <w:sz w:val="24"/>
          <w:szCs w:val="24"/>
        </w:rPr>
        <w:t xml:space="preserve">turns upon ‘the tricks and exploits of the thieves frequenting the </w:t>
      </w:r>
      <w:r w:rsidRPr="00AA1FDF">
        <w:rPr>
          <w:rFonts w:ascii="Times New Roman" w:hAnsi="Times New Roman" w:cs="Times New Roman"/>
          <w:bCs/>
          <w:sz w:val="24"/>
          <w:szCs w:val="24"/>
        </w:rPr>
        <w:lastRenderedPageBreak/>
        <w:t>place’.</w:t>
      </w:r>
      <w:r w:rsidRPr="00AA1FDF">
        <w:rPr>
          <w:rStyle w:val="FootnoteReference"/>
          <w:rFonts w:ascii="Times New Roman" w:hAnsi="Times New Roman" w:cs="Times New Roman"/>
          <w:bCs/>
          <w:sz w:val="24"/>
          <w:szCs w:val="24"/>
        </w:rPr>
        <w:footnoteReference w:id="669"/>
      </w:r>
      <w:r w:rsidRPr="00AA1FDF">
        <w:rPr>
          <w:rFonts w:ascii="Times New Roman" w:hAnsi="Times New Roman" w:cs="Times New Roman"/>
          <w:sz w:val="24"/>
          <w:szCs w:val="24"/>
        </w:rPr>
        <w:t xml:space="preserve">  Reynolds allows that t</w:t>
      </w:r>
      <w:r w:rsidRPr="00AA1FDF">
        <w:rPr>
          <w:rFonts w:ascii="Times New Roman" w:hAnsi="Times New Roman" w:cs="Times New Roman"/>
          <w:bCs/>
          <w:sz w:val="24"/>
          <w:szCs w:val="24"/>
        </w:rPr>
        <w:t xml:space="preserve">his atmosphere </w:t>
      </w:r>
      <w:r w:rsidRPr="00AA1FDF">
        <w:rPr>
          <w:rFonts w:ascii="Times New Roman" w:hAnsi="Times New Roman" w:cs="Times New Roman"/>
          <w:sz w:val="24"/>
          <w:szCs w:val="24"/>
        </w:rPr>
        <w:t>encapsulates values that express class-consciousness but only in its crudest forms.  The boasting inevitably extends to attacking the hated thrift and good manners preached by the middle class, with the pub displaying a boisterous camaraderie whereby those ‘flush of money’ treat others who have none.</w:t>
      </w:r>
      <w:r w:rsidRPr="00AA1FDF">
        <w:rPr>
          <w:rStyle w:val="FootnoteReference"/>
          <w:rFonts w:ascii="Times New Roman" w:hAnsi="Times New Roman" w:cs="Times New Roman"/>
          <w:sz w:val="24"/>
          <w:szCs w:val="24"/>
        </w:rPr>
        <w:footnoteReference w:id="670"/>
      </w:r>
      <w:r w:rsidRPr="00AA1FDF">
        <w:rPr>
          <w:rFonts w:ascii="Times New Roman" w:hAnsi="Times New Roman" w:cs="Times New Roman"/>
          <w:sz w:val="24"/>
          <w:szCs w:val="24"/>
        </w:rPr>
        <w:t xml:space="preserve">  This behaviour enacts their image of a free-and-easy lifestyle in which excessive drinking becomes an expression of personal liberty.  Here, they exercise their slang most vigorously, a further means to exclude respectable society and demonstrate that they stand apart </w:t>
      </w:r>
      <w:r w:rsidRPr="00EA2C03">
        <w:rPr>
          <w:rFonts w:ascii="Times New Roman" w:hAnsi="Times New Roman" w:cs="Times New Roman"/>
          <w:sz w:val="24"/>
          <w:szCs w:val="24"/>
        </w:rPr>
        <w:t>from it.</w:t>
      </w:r>
      <w:r w:rsidRPr="00EA2C03">
        <w:rPr>
          <w:rStyle w:val="FootnoteReference"/>
          <w:rFonts w:ascii="Times New Roman" w:hAnsi="Times New Roman" w:cs="Times New Roman"/>
          <w:sz w:val="24"/>
          <w:szCs w:val="24"/>
        </w:rPr>
        <w:footnoteReference w:id="671"/>
      </w:r>
      <w:r w:rsidRPr="00EA2C03">
        <w:rPr>
          <w:rFonts w:ascii="Times New Roman" w:hAnsi="Times New Roman" w:cs="Times New Roman"/>
          <w:b/>
          <w:sz w:val="24"/>
          <w:szCs w:val="24"/>
        </w:rPr>
        <w:t xml:space="preserve"> </w:t>
      </w:r>
      <w:r w:rsidRPr="00EA2C03">
        <w:rPr>
          <w:rFonts w:ascii="Times New Roman" w:hAnsi="Times New Roman" w:cs="Times New Roman"/>
          <w:sz w:val="24"/>
          <w:szCs w:val="24"/>
        </w:rPr>
        <w:t xml:space="preserve"> Pubs</w:t>
      </w:r>
      <w:r w:rsidRPr="00AA1FDF">
        <w:rPr>
          <w:rFonts w:ascii="Times New Roman" w:hAnsi="Times New Roman" w:cs="Times New Roman"/>
          <w:sz w:val="24"/>
          <w:szCs w:val="24"/>
        </w:rPr>
        <w:t xml:space="preserve"> and safe dens, therefore, are the most natural locations for popular song, with its humour, boastfulness and resentment embodying the most ostentatious aspects of dangerous protest, allowing performers to celebrate the excitement and superiority of a criminal existence.</w:t>
      </w:r>
      <w:r w:rsidRPr="00AA1FDF">
        <w:rPr>
          <w:rStyle w:val="FootnoteReference"/>
          <w:rFonts w:ascii="Times New Roman" w:hAnsi="Times New Roman" w:cs="Times New Roman"/>
          <w:sz w:val="24"/>
          <w:szCs w:val="24"/>
        </w:rPr>
        <w:footnoteReference w:id="672"/>
      </w:r>
      <w:r w:rsidRPr="00AA1FDF">
        <w:rPr>
          <w:rFonts w:ascii="Times New Roman" w:hAnsi="Times New Roman" w:cs="Times New Roman"/>
          <w:sz w:val="24"/>
          <w:szCs w:val="24"/>
        </w:rPr>
        <w:t xml:space="preserve">  At Chick Lane, the Cracksman recites ‘The Thieves’ Alphabet’, a hotchpotch of suggestions about flouting the law but just as important is the chorus after each quatrain:</w:t>
      </w:r>
    </w:p>
    <w:p w:rsidR="00DD46EC" w:rsidRPr="00AA1FDF" w:rsidRDefault="00DD46EC" w:rsidP="00DD46EC">
      <w:pPr>
        <w:spacing w:after="0" w:line="240" w:lineRule="auto"/>
        <w:ind w:firstLine="720"/>
        <w:rPr>
          <w:rFonts w:ascii="Times New Roman" w:hAnsi="Times New Roman" w:cs="Times New Roman"/>
          <w:sz w:val="24"/>
          <w:szCs w:val="24"/>
        </w:rPr>
      </w:pPr>
      <w:r w:rsidRPr="00AA1FDF">
        <w:rPr>
          <w:rFonts w:ascii="Times New Roman" w:hAnsi="Times New Roman" w:cs="Times New Roman"/>
          <w:sz w:val="24"/>
          <w:szCs w:val="24"/>
        </w:rPr>
        <w:t>For we are rollicking chaps,</w:t>
      </w:r>
    </w:p>
    <w:p w:rsidR="00DD46EC" w:rsidRPr="00AA1FDF" w:rsidRDefault="00DD46EC" w:rsidP="00DD46EC">
      <w:pPr>
        <w:spacing w:after="0" w:line="240" w:lineRule="auto"/>
        <w:ind w:firstLine="907"/>
        <w:rPr>
          <w:rFonts w:ascii="Times New Roman" w:hAnsi="Times New Roman" w:cs="Times New Roman"/>
          <w:sz w:val="24"/>
          <w:szCs w:val="24"/>
        </w:rPr>
      </w:pPr>
      <w:r w:rsidRPr="00AA1FDF">
        <w:rPr>
          <w:rFonts w:ascii="Times New Roman" w:hAnsi="Times New Roman" w:cs="Times New Roman"/>
          <w:sz w:val="24"/>
          <w:szCs w:val="24"/>
        </w:rPr>
        <w:t>All smoking, singing, boozing;</w:t>
      </w:r>
    </w:p>
    <w:p w:rsidR="00DD46EC" w:rsidRPr="00AA1FDF" w:rsidRDefault="00DD46EC" w:rsidP="00DD46EC">
      <w:pPr>
        <w:spacing w:after="0" w:line="240" w:lineRule="auto"/>
        <w:ind w:firstLine="720"/>
        <w:rPr>
          <w:rFonts w:ascii="Times New Roman" w:hAnsi="Times New Roman" w:cs="Times New Roman"/>
          <w:sz w:val="24"/>
          <w:szCs w:val="24"/>
        </w:rPr>
      </w:pPr>
      <w:r w:rsidRPr="00AA1FDF">
        <w:rPr>
          <w:rFonts w:ascii="Times New Roman" w:hAnsi="Times New Roman" w:cs="Times New Roman"/>
          <w:sz w:val="24"/>
          <w:szCs w:val="24"/>
        </w:rPr>
        <w:t>We care not for the traps,</w:t>
      </w:r>
    </w:p>
    <w:p w:rsidR="00DD46EC" w:rsidRPr="00AA1FDF" w:rsidRDefault="00DD46EC" w:rsidP="00DD46EC">
      <w:pPr>
        <w:spacing w:after="240" w:line="360" w:lineRule="auto"/>
        <w:ind w:firstLine="907"/>
        <w:rPr>
          <w:rFonts w:ascii="Times New Roman" w:hAnsi="Times New Roman" w:cs="Times New Roman"/>
          <w:sz w:val="24"/>
          <w:szCs w:val="24"/>
        </w:rPr>
      </w:pPr>
      <w:r w:rsidRPr="00AA1FDF">
        <w:rPr>
          <w:rFonts w:ascii="Times New Roman" w:hAnsi="Times New Roman" w:cs="Times New Roman"/>
          <w:sz w:val="24"/>
          <w:szCs w:val="24"/>
        </w:rPr>
        <w:t>But pass the night carousing!</w:t>
      </w:r>
      <w:r w:rsidRPr="00AA1FDF">
        <w:rPr>
          <w:rStyle w:val="FootnoteReference"/>
          <w:rFonts w:ascii="Times New Roman" w:hAnsi="Times New Roman" w:cs="Times New Roman"/>
          <w:sz w:val="24"/>
          <w:szCs w:val="24"/>
        </w:rPr>
        <w:footnoteReference w:id="673"/>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The key feature is that life is for adventure and immediate gratification, unconstrained by bourgeois values.  Success and retribution are treated with a devil-may-care attitude</w:t>
      </w:r>
      <w:r w:rsidRPr="00AA1FDF">
        <w:rPr>
          <w:rFonts w:ascii="Times New Roman" w:hAnsi="Times New Roman" w:cs="Times New Roman"/>
          <w:b/>
          <w:sz w:val="24"/>
          <w:szCs w:val="24"/>
        </w:rPr>
        <w:t xml:space="preserve"> </w:t>
      </w:r>
      <w:r w:rsidRPr="00AA1FDF">
        <w:rPr>
          <w:rFonts w:ascii="Times New Roman" w:hAnsi="Times New Roman" w:cs="Times New Roman"/>
          <w:sz w:val="24"/>
          <w:szCs w:val="24"/>
        </w:rPr>
        <w:t>and the law with contempt.  ‘Flare Up’, sung at a squalid tavern in Clements’ Lane, opens with a rousing call that contains ambiguous connotations of celebration and incendiarism.  The verse that begins and closes the song with a litany of references to ‘jolly’, ‘gaily’, merry’ and ‘fun’ suggests how pursuit of enjoyment is a rule of life.  Removing themselves from respectable society has lost them nothing, the belief they have learnt more by doing so is highlighted in the boast that the knowledge of Oxford University ‘Can’t beat the Floating College’.</w:t>
      </w:r>
      <w:r w:rsidRPr="00AA1FDF">
        <w:rPr>
          <w:rStyle w:val="FootnoteReference"/>
          <w:rFonts w:ascii="Times New Roman" w:hAnsi="Times New Roman" w:cs="Times New Roman"/>
          <w:sz w:val="24"/>
          <w:szCs w:val="24"/>
        </w:rPr>
        <w:footnoteReference w:id="674"/>
      </w:r>
      <w:r w:rsidRPr="00AA1FDF">
        <w:rPr>
          <w:rFonts w:ascii="Times New Roman" w:hAnsi="Times New Roman" w:cs="Times New Roman"/>
          <w:sz w:val="24"/>
          <w:szCs w:val="24"/>
        </w:rPr>
        <w:t xml:space="preserve">  Defiance to authority again takes centre stage:</w:t>
      </w:r>
    </w:p>
    <w:p w:rsidR="00DD46EC" w:rsidRPr="00AA1FDF" w:rsidRDefault="00DD46EC" w:rsidP="00DD46EC">
      <w:pPr>
        <w:spacing w:after="120" w:line="240" w:lineRule="auto"/>
        <w:ind w:left="720"/>
        <w:rPr>
          <w:rFonts w:ascii="Times New Roman" w:hAnsi="Times New Roman" w:cs="Times New Roman"/>
          <w:sz w:val="24"/>
          <w:szCs w:val="24"/>
        </w:rPr>
      </w:pPr>
      <w:r w:rsidRPr="00AA1FDF">
        <w:rPr>
          <w:rFonts w:ascii="Times New Roman" w:hAnsi="Times New Roman" w:cs="Times New Roman"/>
          <w:sz w:val="24"/>
          <w:szCs w:val="24"/>
        </w:rPr>
        <w:t>Who cares a rap if all this ends</w:t>
      </w:r>
      <w:r w:rsidRPr="00AA1FDF">
        <w:rPr>
          <w:rFonts w:ascii="Times New Roman" w:hAnsi="Times New Roman" w:cs="Times New Roman"/>
          <w:sz w:val="24"/>
          <w:szCs w:val="24"/>
        </w:rPr>
        <w:br/>
        <w:t>Some morn at the Old Bailey!’</w:t>
      </w:r>
    </w:p>
    <w:p w:rsidR="00DD46EC" w:rsidRPr="00AA1FDF" w:rsidRDefault="00DD46EC" w:rsidP="00DD46EC">
      <w:pPr>
        <w:spacing w:after="120" w:line="240" w:lineRule="auto"/>
        <w:ind w:left="720"/>
        <w:rPr>
          <w:rFonts w:ascii="Times New Roman" w:hAnsi="Times New Roman" w:cs="Times New Roman"/>
          <w:sz w:val="24"/>
          <w:szCs w:val="24"/>
        </w:rPr>
      </w:pPr>
      <w:r w:rsidRPr="00AA1FDF">
        <w:rPr>
          <w:rFonts w:ascii="Times New Roman" w:hAnsi="Times New Roman" w:cs="Times New Roman"/>
          <w:sz w:val="24"/>
          <w:szCs w:val="24"/>
        </w:rPr>
        <w:lastRenderedPageBreak/>
        <w:t>[…]</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What matters whether we must die</w:t>
      </w:r>
      <w:r w:rsidRPr="00AA1FDF">
        <w:rPr>
          <w:rFonts w:ascii="Times New Roman" w:hAnsi="Times New Roman" w:cs="Times New Roman"/>
          <w:sz w:val="24"/>
          <w:szCs w:val="24"/>
        </w:rPr>
        <w:br/>
        <w:t>In bed or on the scaffold?’</w:t>
      </w:r>
      <w:r w:rsidRPr="00AA1FDF">
        <w:rPr>
          <w:rStyle w:val="FootnoteReference"/>
          <w:rFonts w:ascii="Times New Roman" w:hAnsi="Times New Roman" w:cs="Times New Roman"/>
          <w:sz w:val="24"/>
          <w:szCs w:val="24"/>
        </w:rPr>
        <w:footnoteReference w:id="675"/>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 xml:space="preserve">Officialdom and its punishments hold no fear.  Thoughts of death are not permitted to restrain their passions or prevent them from enjoying life to the full.  This self-assurance is apparent with the </w:t>
      </w:r>
      <w:r w:rsidRPr="00AA1FDF">
        <w:rPr>
          <w:rFonts w:ascii="Times New Roman" w:hAnsi="Times New Roman" w:cs="Times New Roman"/>
          <w:iCs/>
          <w:sz w:val="24"/>
          <w:szCs w:val="24"/>
        </w:rPr>
        <w:t>Forty Thieves</w:t>
      </w:r>
      <w:r w:rsidRPr="00AA1FDF">
        <w:rPr>
          <w:rFonts w:ascii="Times New Roman" w:hAnsi="Times New Roman" w:cs="Times New Roman"/>
          <w:sz w:val="24"/>
          <w:szCs w:val="24"/>
        </w:rPr>
        <w:t xml:space="preserve"> when they carouse at their headquarters in the Mint. ‘The Sign of the Fiddle’ may pay homage to the public house but above all it is a paean of praise to themselves, since the main charm is not the alcohol and tobacco on offer but ‘that friends of the light-fingered craft are all nigh’.</w:t>
      </w:r>
      <w:r w:rsidRPr="00AA1FDF">
        <w:rPr>
          <w:rStyle w:val="FootnoteReference"/>
          <w:rFonts w:ascii="Times New Roman" w:hAnsi="Times New Roman" w:cs="Times New Roman"/>
          <w:sz w:val="24"/>
          <w:szCs w:val="24"/>
        </w:rPr>
        <w:footnoteReference w:id="676"/>
      </w:r>
      <w:r w:rsidRPr="00AA1FDF">
        <w:rPr>
          <w:rFonts w:ascii="Times New Roman" w:hAnsi="Times New Roman" w:cs="Times New Roman"/>
          <w:sz w:val="24"/>
          <w:szCs w:val="24"/>
        </w:rPr>
        <w:t xml:space="preserve">  ‘The Last Oath’, recited with great alacrity by Master Diggs, promotes the criminal as romantic hero: ‘He cursed the parson and Jack Ketch, | And he coolly damned them both.’</w:t>
      </w:r>
      <w:r w:rsidRPr="00AA1FDF">
        <w:rPr>
          <w:rStyle w:val="FootnoteReference"/>
          <w:rFonts w:ascii="Times New Roman" w:hAnsi="Times New Roman" w:cs="Times New Roman"/>
          <w:sz w:val="24"/>
          <w:szCs w:val="24"/>
        </w:rPr>
        <w:footnoteReference w:id="677"/>
      </w:r>
      <w:r w:rsidRPr="00AA1FDF">
        <w:rPr>
          <w:rFonts w:ascii="Times New Roman" w:hAnsi="Times New Roman" w:cs="Times New Roman"/>
          <w:sz w:val="24"/>
          <w:szCs w:val="24"/>
        </w:rPr>
        <w:t xml:space="preserve">  Here the condemned felon remains bold to the end, rejecting any religious balm offered by the Church and sneering at the penalty inflicted by the state. His self-importance is increased by those gathered before the scaffold, something the poem confirms in having him mourned by a devoted mistress while the massive crowd sigh at his demise.  The conclusion summons everyone to gaze upon the ‘bravest robber that has been’.</w:t>
      </w:r>
      <w:r w:rsidRPr="00AA1FDF">
        <w:rPr>
          <w:rStyle w:val="FootnoteReference"/>
          <w:rFonts w:ascii="Times New Roman" w:hAnsi="Times New Roman" w:cs="Times New Roman"/>
          <w:sz w:val="24"/>
          <w:szCs w:val="24"/>
        </w:rPr>
        <w:footnoteReference w:id="678"/>
      </w:r>
      <w:r w:rsidRPr="00AA1FDF">
        <w:rPr>
          <w:rFonts w:ascii="Times New Roman" w:hAnsi="Times New Roman" w:cs="Times New Roman"/>
          <w:sz w:val="24"/>
          <w:szCs w:val="24"/>
        </w:rPr>
        <w:t xml:space="preserve">  All who participate are encouraged to see themselves as this hero, joining the pantheon of figures that includes Dick Turpin and Jonathan Wild.</w:t>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Songs provide the opportunity to interweave a personal sense of injustice with expressions of sympathy for the poor and hatred for the rich.  Tidkins’s recitation of ‘The Incendiary’s Song’ reads like a response to his experience at the hands of respectable society when it touches upon piteous appeals for bread being rejected by ‘the purse proud squire and the tyrant peer’.</w:t>
      </w:r>
      <w:r w:rsidRPr="00AA1FDF">
        <w:rPr>
          <w:rStyle w:val="FootnoteReference"/>
          <w:rFonts w:ascii="Times New Roman" w:hAnsi="Times New Roman" w:cs="Times New Roman"/>
          <w:sz w:val="24"/>
          <w:szCs w:val="24"/>
        </w:rPr>
        <w:footnoteReference w:id="679"/>
      </w:r>
      <w:r w:rsidRPr="00AA1FDF">
        <w:rPr>
          <w:rFonts w:ascii="Times New Roman" w:hAnsi="Times New Roman" w:cs="Times New Roman"/>
          <w:sz w:val="24"/>
          <w:szCs w:val="24"/>
        </w:rPr>
        <w:t xml:space="preserve">  References to the game laws and the burning of ‘barn and thatch’ introduce suggestions of popular rural anger against privileged landowners.  Echoing his own acts of revenge, the poem portrays unanswered pleas for help turning to violence with the refrain that whatever force the wealthy use to maintain their oppressive rule ‘they cannot snatch the Lucifer-match | From </w:t>
      </w:r>
      <w:r w:rsidRPr="00EA2C03">
        <w:rPr>
          <w:rFonts w:ascii="Times New Roman" w:hAnsi="Times New Roman" w:cs="Times New Roman"/>
          <w:sz w:val="24"/>
          <w:szCs w:val="24"/>
        </w:rPr>
        <w:t>the hand of the desperate poor!’</w:t>
      </w:r>
      <w:r w:rsidR="003E47B2" w:rsidRPr="00EA2C03">
        <w:rPr>
          <w:rFonts w:ascii="Times New Roman" w:hAnsi="Times New Roman" w:cs="Times New Roman"/>
          <w:sz w:val="24"/>
          <w:szCs w:val="24"/>
        </w:rPr>
        <w:t>.</w:t>
      </w:r>
      <w:r w:rsidRPr="00EA2C03">
        <w:rPr>
          <w:rStyle w:val="FootnoteReference"/>
          <w:rFonts w:ascii="Times New Roman" w:hAnsi="Times New Roman" w:cs="Times New Roman"/>
          <w:sz w:val="24"/>
          <w:szCs w:val="24"/>
        </w:rPr>
        <w:footnoteReference w:id="680"/>
      </w:r>
      <w:r w:rsidRPr="00EA2C03">
        <w:rPr>
          <w:rFonts w:ascii="Times New Roman" w:hAnsi="Times New Roman" w:cs="Times New Roman"/>
          <w:sz w:val="24"/>
          <w:szCs w:val="24"/>
        </w:rPr>
        <w:t xml:space="preserve">  The Buffer resumes this autobiographical theme with his performance of ‘The Song of the Workhouse’</w:t>
      </w:r>
      <w:r w:rsidRPr="00AA1FDF">
        <w:rPr>
          <w:rFonts w:ascii="Times New Roman" w:hAnsi="Times New Roman" w:cs="Times New Roman"/>
          <w:sz w:val="24"/>
          <w:szCs w:val="24"/>
        </w:rPr>
        <w:t xml:space="preserve"> which relates the history of an elderly couple losing their property to robbers who overrun the town and when unable to pay rent the pitiless landowner has a bailiff enforce eviction.</w:t>
      </w:r>
      <w:r w:rsidRPr="00AA1FDF">
        <w:rPr>
          <w:rStyle w:val="FootnoteReference"/>
          <w:rFonts w:ascii="Times New Roman" w:hAnsi="Times New Roman" w:cs="Times New Roman"/>
          <w:sz w:val="24"/>
          <w:szCs w:val="24"/>
        </w:rPr>
        <w:footnoteReference w:id="681"/>
      </w:r>
      <w:r w:rsidRPr="00AA1FDF">
        <w:rPr>
          <w:rFonts w:ascii="Times New Roman" w:hAnsi="Times New Roman" w:cs="Times New Roman"/>
          <w:sz w:val="24"/>
          <w:szCs w:val="24"/>
        </w:rPr>
        <w:t xml:space="preserve">  The </w:t>
      </w:r>
      <w:r w:rsidRPr="00AA1FDF">
        <w:rPr>
          <w:rFonts w:ascii="Times New Roman" w:hAnsi="Times New Roman" w:cs="Times New Roman"/>
          <w:sz w:val="24"/>
          <w:szCs w:val="24"/>
        </w:rPr>
        <w:lastRenderedPageBreak/>
        <w:t>authorities separate them at the workhouse and cruelly refuse the woman permission to see her husband when he lies dying.  For the Buffer, the song evokes memories of what he endured when attempting to live honestly which resulted in him returning to a life of crime.  Popular verse allows contradictory emotions to commingle, where pride at the thought of continuing the heroic resistance of romantic outlaws merges with a burning sense of subjugation, a powerful combination of feelings to vindicate their activity.</w:t>
      </w:r>
    </w:p>
    <w:p w:rsidR="00DD46EC" w:rsidRPr="00A37C76"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bCs/>
          <w:sz w:val="24"/>
          <w:szCs w:val="24"/>
        </w:rPr>
        <w:t>These songs point to a more socially conscious aspect of their protest which is important when considering Reynolds’s</w:t>
      </w:r>
      <w:r w:rsidR="00A37C76">
        <w:rPr>
          <w:rFonts w:ascii="Times New Roman" w:hAnsi="Times New Roman" w:cs="Times New Roman"/>
          <w:bCs/>
          <w:sz w:val="24"/>
          <w:szCs w:val="24"/>
        </w:rPr>
        <w:t xml:space="preserve"> </w:t>
      </w:r>
      <w:r w:rsidR="00A37C76" w:rsidRPr="00DD6A63">
        <w:rPr>
          <w:rFonts w:ascii="Times New Roman" w:hAnsi="Times New Roman" w:cs="Times New Roman"/>
          <w:bCs/>
          <w:sz w:val="24"/>
          <w:szCs w:val="24"/>
        </w:rPr>
        <w:t>more general</w:t>
      </w:r>
      <w:r w:rsidRPr="00DD6A63">
        <w:rPr>
          <w:rFonts w:ascii="Times New Roman" w:hAnsi="Times New Roman" w:cs="Times New Roman"/>
          <w:bCs/>
          <w:sz w:val="24"/>
          <w:szCs w:val="24"/>
        </w:rPr>
        <w:t xml:space="preserve"> portrayals of</w:t>
      </w:r>
      <w:r w:rsidRPr="00AA1FDF">
        <w:rPr>
          <w:rFonts w:ascii="Times New Roman" w:hAnsi="Times New Roman" w:cs="Times New Roman"/>
          <w:bCs/>
          <w:sz w:val="24"/>
          <w:szCs w:val="24"/>
        </w:rPr>
        <w:t xml:space="preserve"> those who frequent the boozing-kens.  Often these figures are not specified as being from the dangerous classes, but the description of clienteles indicates this is the case.  The ‘Dark-House’ is described as ‘a notorious resort for thieves and persons of the worst character’,</w:t>
      </w:r>
      <w:r w:rsidRPr="00AA1FDF">
        <w:rPr>
          <w:rFonts w:ascii="Times New Roman" w:hAnsi="Times New Roman" w:cs="Times New Roman"/>
          <w:sz w:val="24"/>
          <w:szCs w:val="24"/>
        </w:rPr>
        <w:t xml:space="preserve"> while supporters of the ‘</w:t>
      </w:r>
      <w:r w:rsidRPr="00AA1FDF">
        <w:rPr>
          <w:rFonts w:ascii="Times New Roman" w:hAnsi="Times New Roman" w:cs="Times New Roman"/>
          <w:iCs/>
          <w:sz w:val="24"/>
          <w:szCs w:val="24"/>
        </w:rPr>
        <w:t>Stout House’</w:t>
      </w:r>
      <w:r w:rsidRPr="00AA1FDF">
        <w:rPr>
          <w:rFonts w:ascii="Times New Roman" w:hAnsi="Times New Roman" w:cs="Times New Roman"/>
          <w:sz w:val="24"/>
          <w:szCs w:val="24"/>
        </w:rPr>
        <w:t xml:space="preserve"> are ‘Prostitutes and thieves—old procuresses and house-breakers—dissolute married women, and notorious coiners’.</w:t>
      </w:r>
      <w:r w:rsidRPr="00AA1FDF">
        <w:rPr>
          <w:rStyle w:val="FootnoteReference"/>
          <w:rFonts w:ascii="Times New Roman" w:hAnsi="Times New Roman" w:cs="Times New Roman"/>
          <w:sz w:val="24"/>
          <w:szCs w:val="24"/>
        </w:rPr>
        <w:footnoteReference w:id="682"/>
      </w:r>
      <w:r w:rsidRPr="00AA1FDF">
        <w:rPr>
          <w:rFonts w:ascii="Times New Roman" w:hAnsi="Times New Roman" w:cs="Times New Roman"/>
          <w:sz w:val="24"/>
          <w:szCs w:val="24"/>
        </w:rPr>
        <w:t xml:space="preserve">  </w:t>
      </w:r>
      <w:r w:rsidRPr="00AA1FDF">
        <w:rPr>
          <w:rFonts w:ascii="Times New Roman" w:hAnsi="Times New Roman" w:cs="Times New Roman"/>
          <w:bCs/>
          <w:sz w:val="24"/>
          <w:szCs w:val="24"/>
        </w:rPr>
        <w:t xml:space="preserve">However, Reynolds points to considerable variation, when the </w:t>
      </w:r>
      <w:r w:rsidRPr="00AA1FDF">
        <w:rPr>
          <w:rFonts w:ascii="Times New Roman" w:hAnsi="Times New Roman" w:cs="Times New Roman"/>
          <w:sz w:val="24"/>
          <w:szCs w:val="24"/>
        </w:rPr>
        <w:t xml:space="preserve">customers at Saffron Hill include the rough but good-natured Griskin who helps William Pocock.  </w:t>
      </w:r>
      <w:r w:rsidRPr="00AA1FDF">
        <w:rPr>
          <w:rFonts w:ascii="Times New Roman" w:hAnsi="Times New Roman" w:cs="Times New Roman"/>
          <w:bCs/>
          <w:sz w:val="24"/>
          <w:szCs w:val="24"/>
        </w:rPr>
        <w:t xml:space="preserve">While crime remains important for many, questions arise whether their activities are as violent as those of the gang members.  This is </w:t>
      </w:r>
      <w:r w:rsidRPr="00AA1FDF">
        <w:rPr>
          <w:rFonts w:ascii="Times New Roman" w:hAnsi="Times New Roman" w:cs="Times New Roman"/>
          <w:sz w:val="24"/>
          <w:szCs w:val="24"/>
        </w:rPr>
        <w:t xml:space="preserve">suggested </w:t>
      </w:r>
      <w:r w:rsidRPr="00AA1FDF">
        <w:rPr>
          <w:rFonts w:ascii="Times New Roman" w:hAnsi="Times New Roman" w:cs="Times New Roman"/>
          <w:bCs/>
          <w:sz w:val="24"/>
          <w:szCs w:val="24"/>
        </w:rPr>
        <w:t>when Tidkins rejects the proposal of Moll Wicks, the Buffer’s wife, to cut the throat of the elderly Mrs Smith for the thirty one pounds she possesses: ‘If the old woman disappeared suddenly, suspicion would be sure to fall on you; and the whole Happy Valley would be up in arms.’</w:t>
      </w:r>
      <w:r w:rsidRPr="00AA1FDF">
        <w:rPr>
          <w:rStyle w:val="FootnoteReference"/>
          <w:rFonts w:ascii="Times New Roman" w:hAnsi="Times New Roman" w:cs="Times New Roman"/>
          <w:bCs/>
          <w:sz w:val="24"/>
          <w:szCs w:val="24"/>
        </w:rPr>
        <w:footnoteReference w:id="683"/>
      </w:r>
      <w:r w:rsidRPr="00AA1FDF">
        <w:rPr>
          <w:rFonts w:ascii="Times New Roman" w:hAnsi="Times New Roman" w:cs="Times New Roman"/>
          <w:bCs/>
          <w:sz w:val="24"/>
          <w:szCs w:val="24"/>
        </w:rPr>
        <w:t xml:space="preserve">  Even in Globe Town, he knows such brutality is unacceptable for the majority to the extent they would act against the perpetrators.  It is unsurprising, therefore, that the complaints against social injustice expressed by the gangs should also inform the discussion of this broader population, but do so in a less violent manner.  A horse knacker at Saffron</w:t>
      </w:r>
      <w:r w:rsidRPr="00AA1FDF">
        <w:rPr>
          <w:rFonts w:ascii="Times New Roman" w:hAnsi="Times New Roman" w:cs="Times New Roman"/>
          <w:sz w:val="24"/>
          <w:szCs w:val="24"/>
        </w:rPr>
        <w:t xml:space="preserve"> Hill relates the fate of his acquaintance Ben Biddle who catches the ‘glanders’, a disease caused by contact with the vomit of diseased horses: ‘By the morning his face was all covered over with sores; holes appeared in his eyes, just for all the world as if they had got a most tremendous small-pox in ’em; and his nose fell off.’</w:t>
      </w:r>
      <w:r w:rsidRPr="00AA1FDF">
        <w:rPr>
          <w:rStyle w:val="FootnoteReference"/>
          <w:rFonts w:ascii="Times New Roman" w:hAnsi="Times New Roman" w:cs="Times New Roman"/>
          <w:sz w:val="24"/>
          <w:szCs w:val="24"/>
        </w:rPr>
        <w:footnoteReference w:id="684"/>
      </w:r>
      <w:r w:rsidRPr="00AA1FDF">
        <w:rPr>
          <w:rFonts w:ascii="Times New Roman" w:hAnsi="Times New Roman" w:cs="Times New Roman"/>
          <w:sz w:val="24"/>
          <w:szCs w:val="24"/>
        </w:rPr>
        <w:t xml:space="preserve">  The horrific description with the comparison to smallpox makes Biddle’s torment and death echo the wider suffering of the poor.  This quickly leads the conversation into discontent aimed at the Lord Mayor and Corporation for not appointing officers to prevent infected meat reaching the marketplace, the worst of which is consumed in the poorest areas.  At the ‘Stout House’, t</w:t>
      </w:r>
      <w:r w:rsidRPr="00AA1FDF">
        <w:rPr>
          <w:rFonts w:ascii="Times New Roman" w:hAnsi="Times New Roman" w:cs="Times New Roman"/>
          <w:bCs/>
          <w:sz w:val="24"/>
          <w:szCs w:val="24"/>
        </w:rPr>
        <w:t>he servant Sally</w:t>
      </w:r>
      <w:r w:rsidRPr="00AA1FDF">
        <w:rPr>
          <w:rFonts w:ascii="Times New Roman" w:hAnsi="Times New Roman" w:cs="Times New Roman"/>
          <w:sz w:val="24"/>
          <w:szCs w:val="24"/>
        </w:rPr>
        <w:t xml:space="preserve"> relates the closure of Mother </w:t>
      </w:r>
      <w:r w:rsidRPr="00AA1FDF">
        <w:rPr>
          <w:rFonts w:ascii="Times New Roman" w:hAnsi="Times New Roman" w:cs="Times New Roman"/>
          <w:sz w:val="24"/>
          <w:szCs w:val="24"/>
        </w:rPr>
        <w:lastRenderedPageBreak/>
        <w:t>Oliver’s establishment in Little Sutton Street.  Her sense of losing a good position is fuelled by resentment towards the legal system, contrasting the imprisonment of her employer to how high-class brothels remain unmolested because frequented by fashionable society, ‘protected by all the gay noblemen and gentlemen at the West-End’.</w:t>
      </w:r>
      <w:r w:rsidRPr="00AA1FDF">
        <w:rPr>
          <w:rStyle w:val="FootnoteReference"/>
          <w:rFonts w:ascii="Times New Roman" w:hAnsi="Times New Roman" w:cs="Times New Roman"/>
          <w:sz w:val="24"/>
          <w:szCs w:val="24"/>
        </w:rPr>
        <w:footnoteReference w:id="685"/>
      </w:r>
      <w:r w:rsidRPr="00AA1FDF">
        <w:rPr>
          <w:rFonts w:ascii="Times New Roman" w:hAnsi="Times New Roman" w:cs="Times New Roman"/>
          <w:sz w:val="24"/>
          <w:szCs w:val="24"/>
        </w:rPr>
        <w:t xml:space="preserve">  The complaint that ‘cribs’ such as Mother Oliver’s are being rooted out points to a belief that the freedom of the lower classes to earn a living how they choose is </w:t>
      </w:r>
      <w:r w:rsidRPr="00A37C76">
        <w:rPr>
          <w:rFonts w:ascii="Times New Roman" w:hAnsi="Times New Roman" w:cs="Times New Roman"/>
          <w:sz w:val="24"/>
          <w:szCs w:val="24"/>
        </w:rPr>
        <w:t xml:space="preserve">being </w:t>
      </w:r>
      <w:r w:rsidR="00EA2C03" w:rsidRPr="00A37C76">
        <w:rPr>
          <w:rFonts w:ascii="Times New Roman" w:hAnsi="Times New Roman" w:cs="Times New Roman"/>
          <w:sz w:val="24"/>
          <w:szCs w:val="24"/>
        </w:rPr>
        <w:t>taken away</w:t>
      </w:r>
      <w:r w:rsidRPr="00A37C76">
        <w:rPr>
          <w:rFonts w:ascii="Times New Roman" w:hAnsi="Times New Roman" w:cs="Times New Roman"/>
          <w:sz w:val="24"/>
          <w:szCs w:val="24"/>
        </w:rPr>
        <w:t>.  As with the fate of Ben Biddle, a particular incident widens into observations about the hypocrisy of magistrates, church officials and politicians.  The listeners quickly turn to other injustices, such as proposed restrictions on Sunday travelling:</w:t>
      </w:r>
    </w:p>
    <w:p w:rsidR="00DD46EC" w:rsidRPr="00A37C76" w:rsidRDefault="00DD46EC" w:rsidP="00DD46EC">
      <w:pPr>
        <w:spacing w:after="240" w:line="240" w:lineRule="auto"/>
        <w:ind w:left="720"/>
        <w:rPr>
          <w:rFonts w:ascii="Times New Roman" w:hAnsi="Times New Roman" w:cs="Times New Roman"/>
          <w:sz w:val="24"/>
          <w:szCs w:val="24"/>
        </w:rPr>
      </w:pPr>
      <w:r w:rsidRPr="00A37C76">
        <w:rPr>
          <w:rFonts w:ascii="Times New Roman" w:hAnsi="Times New Roman" w:cs="Times New Roman"/>
          <w:sz w:val="24"/>
          <w:szCs w:val="24"/>
        </w:rPr>
        <w:t>[D]on’t they go about in their carriages?  and ain’t Hyde Park always more filled with splendid vehicles on a Sunday than on any other day?  The very Bishops which would put down coaches on a Sabbath, goes in their carriages to the Cathedrals where they preach.</w:t>
      </w:r>
      <w:r w:rsidRPr="00A37C76">
        <w:rPr>
          <w:rStyle w:val="FootnoteReference"/>
          <w:rFonts w:ascii="Times New Roman" w:hAnsi="Times New Roman" w:cs="Times New Roman"/>
          <w:sz w:val="24"/>
          <w:szCs w:val="24"/>
        </w:rPr>
        <w:footnoteReference w:id="686"/>
      </w:r>
    </w:p>
    <w:p w:rsidR="00DD46EC" w:rsidRPr="00AA1FDF" w:rsidRDefault="00DD46EC" w:rsidP="00DD46EC">
      <w:pPr>
        <w:spacing w:after="120" w:line="360" w:lineRule="auto"/>
        <w:rPr>
          <w:rFonts w:ascii="Times New Roman" w:hAnsi="Times New Roman" w:cs="Times New Roman"/>
          <w:bCs/>
          <w:sz w:val="24"/>
          <w:szCs w:val="24"/>
        </w:rPr>
      </w:pPr>
      <w:r w:rsidRPr="00A37C76">
        <w:rPr>
          <w:rFonts w:ascii="Times New Roman" w:hAnsi="Times New Roman" w:cs="Times New Roman"/>
          <w:sz w:val="24"/>
          <w:szCs w:val="24"/>
        </w:rPr>
        <w:t>The speaker resents those who would curtail the habits of the masses on moral grounds while noting the popularity of journeys by the upper classes that make</w:t>
      </w:r>
      <w:r w:rsidR="00081AD9" w:rsidRPr="00A37C76">
        <w:rPr>
          <w:rFonts w:ascii="Times New Roman" w:hAnsi="Times New Roman" w:cs="Times New Roman"/>
          <w:sz w:val="24"/>
          <w:szCs w:val="24"/>
        </w:rPr>
        <w:t>s</w:t>
      </w:r>
      <w:r w:rsidRPr="00A37C76">
        <w:rPr>
          <w:rFonts w:ascii="Times New Roman" w:hAnsi="Times New Roman" w:cs="Times New Roman"/>
          <w:sz w:val="24"/>
          <w:szCs w:val="24"/>
        </w:rPr>
        <w:t xml:space="preserve"> </w:t>
      </w:r>
      <w:r w:rsidR="00EA2C03" w:rsidRPr="00A37C76">
        <w:rPr>
          <w:rFonts w:ascii="Times New Roman" w:hAnsi="Times New Roman" w:cs="Times New Roman"/>
          <w:sz w:val="24"/>
          <w:szCs w:val="24"/>
        </w:rPr>
        <w:t xml:space="preserve">their </w:t>
      </w:r>
      <w:r w:rsidRPr="00A37C76">
        <w:rPr>
          <w:rFonts w:ascii="Times New Roman" w:hAnsi="Times New Roman" w:cs="Times New Roman"/>
          <w:sz w:val="24"/>
          <w:szCs w:val="24"/>
        </w:rPr>
        <w:t>Sunday a day of pleasure not devotion.  The listeners see through the double standards that would disallow the common coach but continue to permit the aristocratic carriage</w:t>
      </w:r>
      <w:r w:rsidRPr="00A37C76">
        <w:rPr>
          <w:rFonts w:ascii="Times New Roman" w:hAnsi="Times New Roman" w:cs="Times New Roman"/>
          <w:b/>
          <w:sz w:val="24"/>
          <w:szCs w:val="24"/>
        </w:rPr>
        <w:t>.</w:t>
      </w:r>
      <w:r w:rsidRPr="00A37C76">
        <w:rPr>
          <w:rFonts w:ascii="Times New Roman" w:hAnsi="Times New Roman" w:cs="Times New Roman"/>
          <w:sz w:val="24"/>
          <w:szCs w:val="24"/>
        </w:rPr>
        <w:t xml:space="preserve"> </w:t>
      </w:r>
      <w:r w:rsidR="00EA2C03" w:rsidRPr="00A37C76">
        <w:rPr>
          <w:rFonts w:ascii="Times New Roman" w:hAnsi="Times New Roman" w:cs="Times New Roman"/>
          <w:sz w:val="24"/>
          <w:szCs w:val="24"/>
        </w:rPr>
        <w:t xml:space="preserve"> A</w:t>
      </w:r>
      <w:r w:rsidRPr="00A37C76">
        <w:rPr>
          <w:rFonts w:ascii="Times New Roman" w:hAnsi="Times New Roman" w:cs="Times New Roman"/>
          <w:sz w:val="24"/>
          <w:szCs w:val="24"/>
        </w:rPr>
        <w:t>nger is sharpened</w:t>
      </w:r>
      <w:r w:rsidRPr="00AA1FDF">
        <w:rPr>
          <w:rFonts w:ascii="Times New Roman" w:hAnsi="Times New Roman" w:cs="Times New Roman"/>
          <w:sz w:val="24"/>
          <w:szCs w:val="24"/>
        </w:rPr>
        <w:t xml:space="preserve"> by believing that the wealthy who adopt pious poses are the most depraved seducers of innocent females, having them lured from the countryside to the city where they are forced to take refuge in brothels and suffer the </w:t>
      </w:r>
      <w:r w:rsidRPr="00EA2C03">
        <w:rPr>
          <w:rFonts w:ascii="Times New Roman" w:hAnsi="Times New Roman" w:cs="Times New Roman"/>
          <w:sz w:val="24"/>
          <w:szCs w:val="24"/>
        </w:rPr>
        <w:t>advances</w:t>
      </w:r>
      <w:r w:rsidRPr="00AA1FDF">
        <w:rPr>
          <w:rFonts w:ascii="Times New Roman" w:hAnsi="Times New Roman" w:cs="Times New Roman"/>
          <w:sz w:val="24"/>
          <w:szCs w:val="24"/>
        </w:rPr>
        <w:t xml:space="preserve"> </w:t>
      </w:r>
      <w:r w:rsidRPr="00EA2C03">
        <w:rPr>
          <w:rFonts w:ascii="Times New Roman" w:hAnsi="Times New Roman" w:cs="Times New Roman"/>
          <w:sz w:val="24"/>
          <w:szCs w:val="24"/>
        </w:rPr>
        <w:t>of we</w:t>
      </w:r>
      <w:r w:rsidR="00E63D4E" w:rsidRPr="00EA2C03">
        <w:rPr>
          <w:rFonts w:ascii="Times New Roman" w:hAnsi="Times New Roman" w:cs="Times New Roman"/>
          <w:sz w:val="24"/>
          <w:szCs w:val="24"/>
        </w:rPr>
        <w:t>ll-heeled</w:t>
      </w:r>
      <w:r w:rsidRPr="00EA2C03">
        <w:rPr>
          <w:rFonts w:ascii="Times New Roman" w:hAnsi="Times New Roman" w:cs="Times New Roman"/>
          <w:sz w:val="24"/>
          <w:szCs w:val="24"/>
        </w:rPr>
        <w:t xml:space="preserve"> libertines</w:t>
      </w:r>
      <w:r w:rsidRPr="00AA1FDF">
        <w:rPr>
          <w:rFonts w:ascii="Times New Roman" w:hAnsi="Times New Roman" w:cs="Times New Roman"/>
          <w:sz w:val="24"/>
          <w:szCs w:val="24"/>
        </w:rPr>
        <w:t>.  The underlying sentiment of these conversations repeats Reynolds’s picture of the binary opposition between wealth and poverty, as voiced by the disadvantaged in society: ‘A rich man or a rich woman may do anythink; but the poor—deuce a bit!’.</w:t>
      </w:r>
      <w:r w:rsidRPr="00AA1FDF">
        <w:rPr>
          <w:rStyle w:val="FootnoteReference"/>
          <w:rFonts w:ascii="Times New Roman" w:hAnsi="Times New Roman" w:cs="Times New Roman"/>
          <w:sz w:val="24"/>
          <w:szCs w:val="24"/>
        </w:rPr>
        <w:footnoteReference w:id="687"/>
      </w:r>
      <w:r w:rsidRPr="00AA1FDF">
        <w:rPr>
          <w:rFonts w:ascii="Times New Roman" w:hAnsi="Times New Roman" w:cs="Times New Roman"/>
          <w:sz w:val="24"/>
          <w:szCs w:val="24"/>
        </w:rPr>
        <w:t xml:space="preserve">  </w:t>
      </w:r>
      <w:r w:rsidRPr="00AA1FDF">
        <w:rPr>
          <w:rFonts w:ascii="Times New Roman" w:hAnsi="Times New Roman" w:cs="Times New Roman"/>
          <w:bCs/>
          <w:sz w:val="24"/>
          <w:szCs w:val="24"/>
        </w:rPr>
        <w:t xml:space="preserve">At Saffron Hill, the elderly Swiggs relates how publicans routinely adulterate their alcohol.  This leads to general bitterness but the reaction is very different to the revelation that the same </w:t>
      </w:r>
      <w:r w:rsidRPr="00EA2C03">
        <w:rPr>
          <w:rFonts w:ascii="Times New Roman" w:hAnsi="Times New Roman" w:cs="Times New Roman"/>
          <w:bCs/>
          <w:sz w:val="24"/>
          <w:szCs w:val="24"/>
        </w:rPr>
        <w:t>practices</w:t>
      </w:r>
      <w:r w:rsidRPr="00AA1FDF">
        <w:rPr>
          <w:rFonts w:ascii="Times New Roman" w:hAnsi="Times New Roman" w:cs="Times New Roman"/>
          <w:bCs/>
          <w:sz w:val="24"/>
          <w:szCs w:val="24"/>
        </w:rPr>
        <w:t xml:space="preserve"> are committed with expensive wines:</w:t>
      </w:r>
    </w:p>
    <w:p w:rsidR="00DD46EC" w:rsidRPr="00AA1FDF" w:rsidRDefault="00DD46EC" w:rsidP="00DD46EC">
      <w:pPr>
        <w:spacing w:after="120" w:line="240" w:lineRule="auto"/>
        <w:ind w:left="720"/>
        <w:rPr>
          <w:rFonts w:ascii="Times New Roman" w:hAnsi="Times New Roman" w:cs="Times New Roman"/>
          <w:bCs/>
          <w:sz w:val="24"/>
          <w:szCs w:val="24"/>
        </w:rPr>
      </w:pPr>
      <w:r w:rsidRPr="00AA1FDF">
        <w:rPr>
          <w:rFonts w:ascii="Times New Roman" w:hAnsi="Times New Roman" w:cs="Times New Roman"/>
          <w:bCs/>
          <w:sz w:val="24"/>
          <w:szCs w:val="24"/>
        </w:rPr>
        <w:t>‘I’m glad to hear the rich is humbugged as well as the poor.’ observed the Knacker: ‘that’s a consolation at any rate.’</w:t>
      </w:r>
    </w:p>
    <w:p w:rsidR="00DD46EC" w:rsidRPr="00AA1FDF" w:rsidRDefault="00DD46EC" w:rsidP="00DD46EC">
      <w:pPr>
        <w:spacing w:after="120" w:line="240" w:lineRule="auto"/>
        <w:ind w:left="720" w:firstLine="170"/>
        <w:rPr>
          <w:rFonts w:ascii="Times New Roman" w:hAnsi="Times New Roman" w:cs="Times New Roman"/>
          <w:bCs/>
          <w:sz w:val="24"/>
          <w:szCs w:val="24"/>
        </w:rPr>
      </w:pPr>
      <w:r w:rsidRPr="00AA1FDF">
        <w:rPr>
          <w:rFonts w:ascii="Times New Roman" w:hAnsi="Times New Roman" w:cs="Times New Roman"/>
          <w:bCs/>
          <w:sz w:val="24"/>
          <w:szCs w:val="24"/>
        </w:rPr>
        <w:t>‘So it is,’ said a cat’s-meat man, nodding his head approvingly.</w:t>
      </w:r>
    </w:p>
    <w:p w:rsidR="00DD46EC" w:rsidRPr="00AA1FDF" w:rsidRDefault="00DD46EC" w:rsidP="00DD46EC">
      <w:pPr>
        <w:spacing w:after="240" w:line="240" w:lineRule="auto"/>
        <w:ind w:left="720" w:firstLine="170"/>
        <w:rPr>
          <w:rFonts w:ascii="Times New Roman" w:hAnsi="Times New Roman" w:cs="Times New Roman"/>
          <w:bCs/>
          <w:sz w:val="24"/>
          <w:szCs w:val="24"/>
        </w:rPr>
      </w:pPr>
      <w:r w:rsidRPr="00AA1FDF">
        <w:rPr>
          <w:rFonts w:ascii="Times New Roman" w:hAnsi="Times New Roman" w:cs="Times New Roman"/>
          <w:bCs/>
          <w:sz w:val="24"/>
          <w:szCs w:val="24"/>
        </w:rPr>
        <w:t>‘Humbugged!’ ejaculated Swiggs triumphantly: ‘I believe you!’</w:t>
      </w:r>
      <w:r w:rsidRPr="00AA1FDF">
        <w:rPr>
          <w:rStyle w:val="FootnoteReference"/>
          <w:rFonts w:ascii="Times New Roman" w:hAnsi="Times New Roman" w:cs="Times New Roman"/>
          <w:bCs/>
          <w:sz w:val="24"/>
          <w:szCs w:val="24"/>
        </w:rPr>
        <w:footnoteReference w:id="688"/>
      </w:r>
    </w:p>
    <w:p w:rsidR="00DD46EC" w:rsidRPr="00AA1FDF" w:rsidRDefault="00DD46EC" w:rsidP="00DD46EC">
      <w:pPr>
        <w:spacing w:after="120" w:line="360" w:lineRule="auto"/>
        <w:rPr>
          <w:rFonts w:ascii="Times New Roman" w:hAnsi="Times New Roman" w:cs="Times New Roman"/>
          <w:bCs/>
          <w:sz w:val="24"/>
          <w:szCs w:val="24"/>
        </w:rPr>
      </w:pPr>
      <w:r w:rsidRPr="00AA1FDF">
        <w:rPr>
          <w:rFonts w:ascii="Times New Roman" w:hAnsi="Times New Roman" w:cs="Times New Roman"/>
          <w:bCs/>
          <w:sz w:val="24"/>
          <w:szCs w:val="24"/>
        </w:rPr>
        <w:lastRenderedPageBreak/>
        <w:t>These reflections provide a release for their emotions as all unite in the enjoyment of knowing that the upper classes suffer similarly.  This consolation gives a joyous tone to the conversation and allows them to feel they have achieved a victory.</w:t>
      </w:r>
    </w:p>
    <w:p w:rsidR="00DD46EC" w:rsidRPr="00AA1FDF" w:rsidRDefault="00DD46EC" w:rsidP="00DD46EC">
      <w:pPr>
        <w:spacing w:after="120" w:line="360" w:lineRule="auto"/>
        <w:rPr>
          <w:rFonts w:ascii="Times New Roman" w:hAnsi="Times New Roman" w:cs="Times New Roman"/>
          <w:bCs/>
          <w:sz w:val="24"/>
          <w:szCs w:val="24"/>
        </w:rPr>
      </w:pPr>
      <w:r w:rsidRPr="00AA1FDF">
        <w:rPr>
          <w:rFonts w:ascii="Times New Roman" w:hAnsi="Times New Roman" w:cs="Times New Roman"/>
          <w:b/>
          <w:bCs/>
          <w:sz w:val="24"/>
          <w:szCs w:val="24"/>
        </w:rPr>
        <w:tab/>
      </w:r>
      <w:r w:rsidRPr="00AA1FDF">
        <w:rPr>
          <w:rFonts w:ascii="Times New Roman" w:hAnsi="Times New Roman" w:cs="Times New Roman"/>
          <w:bCs/>
          <w:sz w:val="24"/>
          <w:szCs w:val="24"/>
        </w:rPr>
        <w:t>In the boozing-ken, these more ambiguous members of the dangerous classes do not see themselves as popular outsiders carrying on the practices of a romantic past but place their protest in more pragmatic terms.</w:t>
      </w:r>
      <w:r w:rsidRPr="00AA1FDF">
        <w:rPr>
          <w:rFonts w:ascii="Times New Roman" w:hAnsi="Times New Roman" w:cs="Times New Roman"/>
          <w:b/>
          <w:bCs/>
          <w:sz w:val="24"/>
          <w:szCs w:val="24"/>
        </w:rPr>
        <w:t xml:space="preserve">  </w:t>
      </w:r>
      <w:r w:rsidRPr="00AA1FDF">
        <w:rPr>
          <w:rFonts w:ascii="Times New Roman" w:hAnsi="Times New Roman" w:cs="Times New Roman"/>
          <w:bCs/>
          <w:sz w:val="24"/>
          <w:szCs w:val="24"/>
        </w:rPr>
        <w:t>At the ‘Dark-House’, to the universal agreement of those present, Joe, an ex-coal-heaver, justifies his move into crime as one of necessity stating that ‘every poor devil must become a thief in time’.</w:t>
      </w:r>
      <w:r w:rsidRPr="00AA1FDF">
        <w:rPr>
          <w:rStyle w:val="FootnoteReference"/>
          <w:rFonts w:ascii="Times New Roman" w:hAnsi="Times New Roman" w:cs="Times New Roman"/>
          <w:bCs/>
          <w:sz w:val="24"/>
          <w:szCs w:val="24"/>
        </w:rPr>
        <w:footnoteReference w:id="689"/>
      </w:r>
      <w:r w:rsidRPr="00AA1FDF">
        <w:rPr>
          <w:rFonts w:ascii="Times New Roman" w:hAnsi="Times New Roman" w:cs="Times New Roman"/>
          <w:bCs/>
          <w:sz w:val="24"/>
          <w:szCs w:val="24"/>
        </w:rPr>
        <w:t xml:space="preserve">  He marks his descent in stages from the ill-treatment suffered by his family to the degradation of being a coal-whipper, echoing Reynolds’s arguments in </w:t>
      </w:r>
      <w:r w:rsidRPr="00AA1FDF">
        <w:rPr>
          <w:rFonts w:ascii="Times New Roman" w:hAnsi="Times New Roman" w:cs="Times New Roman"/>
          <w:bCs/>
          <w:i/>
          <w:sz w:val="24"/>
          <w:szCs w:val="24"/>
        </w:rPr>
        <w:t>The Teetotaler</w:t>
      </w:r>
      <w:r w:rsidRPr="00AA1FDF">
        <w:rPr>
          <w:rFonts w:ascii="Times New Roman" w:hAnsi="Times New Roman" w:cs="Times New Roman"/>
          <w:bCs/>
          <w:sz w:val="24"/>
          <w:szCs w:val="24"/>
        </w:rPr>
        <w:t xml:space="preserve"> when he describes having spent half his wages on adulterated beer to ensure getting work from publicans who controlled the trade:</w:t>
      </w:r>
    </w:p>
    <w:p w:rsidR="00DD46EC" w:rsidRPr="00AA1FDF" w:rsidRDefault="00DD46EC" w:rsidP="00DD46EC">
      <w:pPr>
        <w:spacing w:after="240" w:line="240" w:lineRule="auto"/>
        <w:ind w:left="720"/>
        <w:rPr>
          <w:rFonts w:ascii="Times New Roman" w:hAnsi="Times New Roman" w:cs="Times New Roman"/>
          <w:bCs/>
          <w:sz w:val="24"/>
          <w:szCs w:val="24"/>
        </w:rPr>
      </w:pPr>
      <w:r w:rsidRPr="00AA1FDF">
        <w:rPr>
          <w:rFonts w:ascii="Times New Roman" w:hAnsi="Times New Roman" w:cs="Times New Roman"/>
          <w:bCs/>
          <w:sz w:val="24"/>
          <w:szCs w:val="24"/>
        </w:rPr>
        <w:t>What do the owners of the colliers, or the people that the cargo’s consigned to, care about the poor devils that unload?  The publicans takes the unloading on contract, and employs the whippers in such a way as to get an enormous profit.  Talk of appealing to the owners</w:t>
      </w:r>
      <w:bookmarkStart w:id="2" w:name="_Hlk505084822"/>
      <w:r w:rsidRPr="00AA1FDF">
        <w:rPr>
          <w:rFonts w:ascii="Times New Roman" w:hAnsi="Times New Roman" w:cs="Times New Roman"/>
          <w:sz w:val="24"/>
          <w:szCs w:val="24"/>
        </w:rPr>
        <w:t>—</w:t>
      </w:r>
      <w:bookmarkEnd w:id="2"/>
      <w:r w:rsidRPr="00AA1FDF">
        <w:rPr>
          <w:rFonts w:ascii="Times New Roman" w:hAnsi="Times New Roman" w:cs="Times New Roman"/>
          <w:bCs/>
          <w:sz w:val="24"/>
          <w:szCs w:val="24"/>
        </w:rPr>
        <w:t>what do they care?  There has been meetings got up to change the system</w:t>
      </w:r>
      <w:r w:rsidRPr="00AA1FDF">
        <w:rPr>
          <w:rFonts w:ascii="Times New Roman" w:hAnsi="Times New Roman" w:cs="Times New Roman"/>
          <w:sz w:val="24"/>
          <w:szCs w:val="24"/>
        </w:rPr>
        <w:t>—</w:t>
      </w:r>
      <w:r w:rsidRPr="00AA1FDF">
        <w:rPr>
          <w:rFonts w:ascii="Times New Roman" w:hAnsi="Times New Roman" w:cs="Times New Roman"/>
          <w:bCs/>
          <w:sz w:val="24"/>
          <w:szCs w:val="24"/>
        </w:rPr>
        <w:t>and what’s the consekvence?  Why, them whippers as attended them became marked men, never got no more employment, and drownded themselves in despair, or turned prigs like me.</w:t>
      </w:r>
      <w:r w:rsidRPr="00AA1FDF">
        <w:rPr>
          <w:rStyle w:val="FootnoteReference"/>
          <w:rFonts w:ascii="Times New Roman" w:hAnsi="Times New Roman" w:cs="Times New Roman"/>
          <w:bCs/>
          <w:sz w:val="24"/>
          <w:szCs w:val="24"/>
        </w:rPr>
        <w:footnoteReference w:id="690"/>
      </w:r>
    </w:p>
    <w:p w:rsidR="00DD46EC" w:rsidRPr="00AA1FDF" w:rsidRDefault="00DD46EC" w:rsidP="00DD46EC">
      <w:pPr>
        <w:spacing w:after="120" w:line="360" w:lineRule="auto"/>
        <w:rPr>
          <w:rFonts w:ascii="Times New Roman" w:hAnsi="Times New Roman" w:cs="Times New Roman"/>
          <w:bCs/>
          <w:sz w:val="24"/>
          <w:szCs w:val="24"/>
        </w:rPr>
      </w:pPr>
      <w:r w:rsidRPr="00AA1FDF">
        <w:rPr>
          <w:rFonts w:ascii="Times New Roman" w:hAnsi="Times New Roman" w:cs="Times New Roman"/>
          <w:bCs/>
          <w:sz w:val="24"/>
          <w:szCs w:val="24"/>
        </w:rPr>
        <w:t xml:space="preserve">Joe ties the suffering of the industrious classes to the exploitation of the profit system.  Angry at deplorable conditions and with no compromise available, he sees only a stark choice between death and crime, his view of the owners expressed in the repeated rhetorical question, ‘what do they care?’.  However, this rage is combined with a sense of the workers’ impotence.  He has no belief in their ability to ameliorate matters through organising themselves.  Consequently, although </w:t>
      </w:r>
      <w:r w:rsidRPr="00A37C76">
        <w:rPr>
          <w:rFonts w:ascii="Times New Roman" w:hAnsi="Times New Roman" w:cs="Times New Roman"/>
          <w:bCs/>
          <w:sz w:val="24"/>
          <w:szCs w:val="24"/>
        </w:rPr>
        <w:t xml:space="preserve">his </w:t>
      </w:r>
      <w:r w:rsidR="00EA2C03" w:rsidRPr="00A37C76">
        <w:rPr>
          <w:rFonts w:ascii="Times New Roman" w:hAnsi="Times New Roman" w:cs="Times New Roman"/>
          <w:bCs/>
          <w:sz w:val="24"/>
          <w:szCs w:val="24"/>
        </w:rPr>
        <w:t>fury</w:t>
      </w:r>
      <w:r w:rsidRPr="00A37C76">
        <w:rPr>
          <w:rFonts w:ascii="Times New Roman" w:hAnsi="Times New Roman" w:cs="Times New Roman"/>
          <w:bCs/>
          <w:sz w:val="24"/>
          <w:szCs w:val="24"/>
        </w:rPr>
        <w:t xml:space="preserve"> arose</w:t>
      </w:r>
      <w:r w:rsidRPr="00AA1FDF">
        <w:rPr>
          <w:rFonts w:ascii="Times New Roman" w:hAnsi="Times New Roman" w:cs="Times New Roman"/>
          <w:bCs/>
          <w:sz w:val="24"/>
          <w:szCs w:val="24"/>
        </w:rPr>
        <w:t xml:space="preserve"> from dislike of the employers, it also entailed rejecting the working class.  Looking down upon them for perceived weakness leads to pride in the illegal activity that has seen him become better situated.  The conversation of others concerning a recent Victoria Park development reinforces this theme:</w:t>
      </w:r>
    </w:p>
    <w:p w:rsidR="00DD46EC" w:rsidRPr="00AA1FDF" w:rsidRDefault="00DD46EC" w:rsidP="00DD46EC">
      <w:pPr>
        <w:spacing w:after="120" w:line="240" w:lineRule="auto"/>
        <w:ind w:left="720"/>
        <w:rPr>
          <w:rFonts w:ascii="Times New Roman" w:hAnsi="Times New Roman" w:cs="Times New Roman"/>
          <w:bCs/>
          <w:sz w:val="24"/>
          <w:szCs w:val="24"/>
        </w:rPr>
      </w:pPr>
      <w:r w:rsidRPr="00AA1FDF">
        <w:rPr>
          <w:rFonts w:ascii="Times New Roman" w:hAnsi="Times New Roman" w:cs="Times New Roman"/>
          <w:bCs/>
          <w:sz w:val="24"/>
          <w:szCs w:val="24"/>
        </w:rPr>
        <w:t>‘On’y fancy giving them poor devils of Spitalfields weavers a park to walk in instead o’ filling their bellies.  But I ’spose they’ll make a preshus deep pond in it.’</w:t>
      </w:r>
    </w:p>
    <w:p w:rsidR="00DD46EC" w:rsidRPr="00AA1FDF" w:rsidRDefault="00DD46EC" w:rsidP="00DD46EC">
      <w:pPr>
        <w:spacing w:after="120" w:line="240" w:lineRule="auto"/>
        <w:ind w:left="720" w:firstLine="170"/>
        <w:rPr>
          <w:rFonts w:ascii="Times New Roman" w:hAnsi="Times New Roman" w:cs="Times New Roman"/>
          <w:bCs/>
          <w:sz w:val="24"/>
          <w:szCs w:val="24"/>
        </w:rPr>
      </w:pPr>
      <w:r w:rsidRPr="00AA1FDF">
        <w:rPr>
          <w:rFonts w:ascii="Times New Roman" w:hAnsi="Times New Roman" w:cs="Times New Roman"/>
          <w:bCs/>
          <w:sz w:val="24"/>
          <w:szCs w:val="24"/>
        </w:rPr>
        <w:t>‘What for?’ demanded the first speaker.</w:t>
      </w:r>
    </w:p>
    <w:p w:rsidR="00DD46EC" w:rsidRPr="00AA1FDF" w:rsidRDefault="00DD46EC" w:rsidP="00DD46EC">
      <w:pPr>
        <w:spacing w:after="240" w:line="360" w:lineRule="auto"/>
        <w:ind w:left="720" w:firstLine="170"/>
        <w:rPr>
          <w:rFonts w:ascii="Times New Roman" w:hAnsi="Times New Roman" w:cs="Times New Roman"/>
          <w:bCs/>
          <w:sz w:val="24"/>
          <w:szCs w:val="24"/>
        </w:rPr>
      </w:pPr>
      <w:r w:rsidRPr="00AA1FDF">
        <w:rPr>
          <w:rFonts w:ascii="Times New Roman" w:hAnsi="Times New Roman" w:cs="Times New Roman"/>
          <w:bCs/>
          <w:sz w:val="24"/>
          <w:szCs w:val="24"/>
        </w:rPr>
        <w:t>‘Why</w:t>
      </w:r>
      <w:r w:rsidRPr="00AA1FDF">
        <w:rPr>
          <w:rFonts w:ascii="Times New Roman" w:hAnsi="Times New Roman" w:cs="Times New Roman"/>
          <w:sz w:val="24"/>
          <w:szCs w:val="24"/>
        </w:rPr>
        <w:t>—</w:t>
      </w:r>
      <w:r w:rsidRPr="00AA1FDF">
        <w:rPr>
          <w:rFonts w:ascii="Times New Roman" w:hAnsi="Times New Roman" w:cs="Times New Roman"/>
          <w:bCs/>
          <w:sz w:val="24"/>
          <w:szCs w:val="24"/>
        </w:rPr>
        <w:t>for the poor creturs to drown theirselves in, to be sure.’</w:t>
      </w:r>
      <w:r w:rsidRPr="00AA1FDF">
        <w:rPr>
          <w:rStyle w:val="FootnoteReference"/>
          <w:rFonts w:ascii="Times New Roman" w:hAnsi="Times New Roman" w:cs="Times New Roman"/>
          <w:bCs/>
          <w:sz w:val="24"/>
          <w:szCs w:val="24"/>
        </w:rPr>
        <w:footnoteReference w:id="691"/>
      </w:r>
    </w:p>
    <w:p w:rsidR="00DD46EC" w:rsidRPr="00AA1FDF" w:rsidRDefault="00DD46EC" w:rsidP="00DD46EC">
      <w:pPr>
        <w:spacing w:after="120" w:line="360" w:lineRule="auto"/>
        <w:rPr>
          <w:rFonts w:ascii="Times New Roman" w:hAnsi="Times New Roman" w:cs="Times New Roman"/>
          <w:bCs/>
          <w:sz w:val="24"/>
          <w:szCs w:val="24"/>
        </w:rPr>
      </w:pPr>
      <w:r w:rsidRPr="00AA1FDF">
        <w:rPr>
          <w:rFonts w:ascii="Times New Roman" w:hAnsi="Times New Roman" w:cs="Times New Roman"/>
          <w:bCs/>
          <w:sz w:val="24"/>
          <w:szCs w:val="24"/>
        </w:rPr>
        <w:lastRenderedPageBreak/>
        <w:t>The reference to the suffering of the Spitalfields weavers suggests how contemporary social problems continually enter their discussion.</w:t>
      </w:r>
      <w:r w:rsidRPr="00AA1FDF">
        <w:rPr>
          <w:rStyle w:val="FootnoteReference"/>
          <w:rFonts w:ascii="Times New Roman" w:hAnsi="Times New Roman" w:cs="Times New Roman"/>
          <w:bCs/>
          <w:sz w:val="24"/>
          <w:szCs w:val="24"/>
        </w:rPr>
        <w:footnoteReference w:id="692"/>
      </w:r>
      <w:r w:rsidRPr="00AA1FDF">
        <w:rPr>
          <w:rFonts w:ascii="Times New Roman" w:hAnsi="Times New Roman" w:cs="Times New Roman"/>
          <w:bCs/>
          <w:sz w:val="24"/>
          <w:szCs w:val="24"/>
        </w:rPr>
        <w:t xml:space="preserve">  However, the caustic comment regarding the inappropriateness of providing a park for the starving locals sees condescension mingling with sympathy when the speaker refers to them as ‘poor devils’ and ‘poor creturs’.  Such observations seemingly justify criminality and allow them to assert their superior status for attaining material comfort while only suicide remains </w:t>
      </w:r>
      <w:r w:rsidRPr="00DD6A63">
        <w:rPr>
          <w:rFonts w:ascii="Times New Roman" w:hAnsi="Times New Roman" w:cs="Times New Roman"/>
          <w:bCs/>
          <w:sz w:val="24"/>
          <w:szCs w:val="24"/>
        </w:rPr>
        <w:t xml:space="preserve">for the </w:t>
      </w:r>
      <w:r w:rsidR="00A37C76" w:rsidRPr="00DD6A63">
        <w:rPr>
          <w:rFonts w:ascii="Times New Roman" w:hAnsi="Times New Roman" w:cs="Times New Roman"/>
          <w:bCs/>
          <w:sz w:val="24"/>
          <w:szCs w:val="24"/>
        </w:rPr>
        <w:t xml:space="preserve">over-burdened </w:t>
      </w:r>
      <w:r w:rsidRPr="00DD6A63">
        <w:rPr>
          <w:rFonts w:ascii="Times New Roman" w:hAnsi="Times New Roman" w:cs="Times New Roman"/>
          <w:bCs/>
          <w:sz w:val="24"/>
          <w:szCs w:val="24"/>
        </w:rPr>
        <w:t>masses</w:t>
      </w:r>
      <w:r w:rsidRPr="00AA1FDF">
        <w:rPr>
          <w:rFonts w:ascii="Times New Roman" w:hAnsi="Times New Roman" w:cs="Times New Roman"/>
          <w:bCs/>
          <w:sz w:val="24"/>
          <w:szCs w:val="24"/>
        </w:rPr>
        <w:t>.</w:t>
      </w:r>
    </w:p>
    <w:p w:rsidR="00DD46EC" w:rsidRPr="00AA1FDF" w:rsidRDefault="00DD46EC" w:rsidP="00DD46EC">
      <w:pPr>
        <w:spacing w:after="24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 xml:space="preserve">So far, the chapter has largely discussed the protest of the dangerous classes from their own perspective, which sees them claim </w:t>
      </w:r>
      <w:r w:rsidRPr="00EA2C03">
        <w:rPr>
          <w:rFonts w:ascii="Times New Roman" w:hAnsi="Times New Roman" w:cs="Times New Roman"/>
          <w:sz w:val="24"/>
          <w:szCs w:val="24"/>
        </w:rPr>
        <w:t>control over favoured areas of the capit</w:t>
      </w:r>
      <w:r w:rsidR="00AE3169" w:rsidRPr="00EA2C03">
        <w:rPr>
          <w:rFonts w:ascii="Times New Roman" w:hAnsi="Times New Roman" w:cs="Times New Roman"/>
          <w:sz w:val="24"/>
          <w:szCs w:val="24"/>
        </w:rPr>
        <w:t>a</w:t>
      </w:r>
      <w:r w:rsidRPr="00EA2C03">
        <w:rPr>
          <w:rFonts w:ascii="Times New Roman" w:hAnsi="Times New Roman" w:cs="Times New Roman"/>
          <w:sz w:val="24"/>
          <w:szCs w:val="24"/>
        </w:rPr>
        <w:t xml:space="preserve">l while using others as a source of plunder.  It also argues that they defy bourgeois values in the struggle for liberty unlike those engaged in honest industry who bow to authority.  However, Reynolds denounces this outlook and sets out to expose it as an immoral façade that is collapsing around them.  One method was to depict the increasing professionalism of the police.  Writers of the day like James Grant confirmed their increased numbers and </w:t>
      </w:r>
      <w:r w:rsidRPr="00A37C76">
        <w:rPr>
          <w:rFonts w:ascii="Times New Roman" w:hAnsi="Times New Roman" w:cs="Times New Roman"/>
          <w:sz w:val="24"/>
          <w:szCs w:val="24"/>
        </w:rPr>
        <w:t>expertise.</w:t>
      </w:r>
      <w:r w:rsidRPr="00A37C76">
        <w:rPr>
          <w:rStyle w:val="FootnoteReference"/>
          <w:rFonts w:ascii="Times New Roman" w:hAnsi="Times New Roman" w:cs="Times New Roman"/>
          <w:bCs/>
          <w:sz w:val="24"/>
          <w:szCs w:val="24"/>
        </w:rPr>
        <w:footnoteReference w:id="693"/>
      </w:r>
      <w:r w:rsidRPr="00EA2C03">
        <w:rPr>
          <w:rFonts w:ascii="Times New Roman" w:hAnsi="Times New Roman" w:cs="Times New Roman"/>
          <w:sz w:val="24"/>
          <w:szCs w:val="24"/>
        </w:rPr>
        <w:t xml:space="preserve">  Reynolds encapsulates this development in</w:t>
      </w:r>
      <w:r w:rsidRPr="00AA1FDF">
        <w:rPr>
          <w:rFonts w:ascii="Times New Roman" w:hAnsi="Times New Roman" w:cs="Times New Roman"/>
          <w:sz w:val="24"/>
          <w:szCs w:val="24"/>
        </w:rPr>
        <w:t xml:space="preserve"> Morris Benstead, the policeman who pursues Anthony Tidkins from the rookeries to Rotherhithe, infusing the narrative with the sense that London as a space for the dangerous classes is becoming increasingly constrained.  Their opposition to authority remains but only in a diminished form.  When Benjamin Bones and Thomas Rainford are captured by officers in Red Lion Street and passers-by hear the latter is the famous highwayman Tom Rain, Reynolds refers to a ‘tremendous sensation’ suddenly seizing the crowd and that ‘the sympathies of the mob were most likely in favour of the prisoner’.</w:t>
      </w:r>
      <w:r w:rsidRPr="00AA1FDF">
        <w:rPr>
          <w:rStyle w:val="FootnoteReference"/>
          <w:rFonts w:ascii="Times New Roman" w:hAnsi="Times New Roman" w:cs="Times New Roman"/>
          <w:sz w:val="24"/>
          <w:szCs w:val="24"/>
        </w:rPr>
        <w:footnoteReference w:id="694"/>
      </w:r>
      <w:r w:rsidRPr="00AA1FDF">
        <w:rPr>
          <w:rFonts w:ascii="Times New Roman" w:hAnsi="Times New Roman" w:cs="Times New Roman"/>
          <w:sz w:val="24"/>
          <w:szCs w:val="24"/>
        </w:rPr>
        <w:t xml:space="preserve">  In these back streets, rebelliousness is never far from the surface but the threat mounted is a pale shadow of the Saint Giles riot one hundred years previously which prevented the capture of Jem Ruffles.  Although the constables are fearful, they easily evade the crowd by taking their captives </w:t>
      </w:r>
      <w:r w:rsidRPr="00DD6A63">
        <w:rPr>
          <w:rFonts w:ascii="Times New Roman" w:hAnsi="Times New Roman" w:cs="Times New Roman"/>
          <w:sz w:val="24"/>
          <w:szCs w:val="24"/>
        </w:rPr>
        <w:t xml:space="preserve">into </w:t>
      </w:r>
      <w:r w:rsidR="00A37C76" w:rsidRPr="00DD6A63">
        <w:rPr>
          <w:rFonts w:ascii="Times New Roman" w:hAnsi="Times New Roman" w:cs="Times New Roman"/>
          <w:sz w:val="24"/>
          <w:szCs w:val="24"/>
        </w:rPr>
        <w:t xml:space="preserve">the house where </w:t>
      </w:r>
      <w:r w:rsidRPr="00DD6A63">
        <w:rPr>
          <w:rFonts w:ascii="Times New Roman" w:hAnsi="Times New Roman" w:cs="Times New Roman"/>
          <w:sz w:val="24"/>
          <w:szCs w:val="24"/>
        </w:rPr>
        <w:t>Dr Lascelles’s secret laboratory</w:t>
      </w:r>
      <w:r w:rsidR="00A37C76" w:rsidRPr="00DD6A63">
        <w:rPr>
          <w:rFonts w:ascii="Times New Roman" w:hAnsi="Times New Roman" w:cs="Times New Roman"/>
          <w:sz w:val="24"/>
          <w:szCs w:val="24"/>
        </w:rPr>
        <w:t xml:space="preserve"> is located</w:t>
      </w:r>
      <w:r w:rsidRPr="00DD6A63">
        <w:rPr>
          <w:rFonts w:ascii="Times New Roman" w:hAnsi="Times New Roman" w:cs="Times New Roman"/>
          <w:sz w:val="24"/>
          <w:szCs w:val="24"/>
        </w:rPr>
        <w:t>.  A more frequent response is the resort</w:t>
      </w:r>
      <w:r w:rsidRPr="00AA1FDF">
        <w:rPr>
          <w:rFonts w:ascii="Times New Roman" w:hAnsi="Times New Roman" w:cs="Times New Roman"/>
          <w:sz w:val="24"/>
          <w:szCs w:val="24"/>
        </w:rPr>
        <w:t xml:space="preserve"> to flight, as when Eliza Sydney describes those who surround two women fighting in Smithfield: ‘Suddenly a cry of ‘</w:t>
      </w:r>
      <w:r w:rsidRPr="00AA1FDF">
        <w:rPr>
          <w:rFonts w:ascii="Times New Roman" w:hAnsi="Times New Roman" w:cs="Times New Roman"/>
          <w:i/>
          <w:iCs/>
          <w:sz w:val="24"/>
          <w:szCs w:val="24"/>
        </w:rPr>
        <w:t>The Bluebottles!</w:t>
      </w:r>
      <w:r w:rsidRPr="00AA1FDF">
        <w:rPr>
          <w:rFonts w:ascii="Times New Roman" w:hAnsi="Times New Roman" w:cs="Times New Roman"/>
          <w:sz w:val="24"/>
          <w:szCs w:val="24"/>
        </w:rPr>
        <w:t xml:space="preserve">’ </w:t>
      </w:r>
      <w:r w:rsidRPr="00AA1FDF">
        <w:rPr>
          <w:rFonts w:ascii="Times New Roman" w:hAnsi="Times New Roman" w:cs="Times New Roman"/>
          <w:sz w:val="24"/>
          <w:szCs w:val="24"/>
        </w:rPr>
        <w:lastRenderedPageBreak/>
        <w:t>was raised, and the crowd, belligerents and all, rushed pell-mell back again into the house.’</w:t>
      </w:r>
      <w:r w:rsidRPr="00AA1FDF">
        <w:rPr>
          <w:rStyle w:val="FootnoteReference"/>
          <w:rFonts w:ascii="Times New Roman" w:hAnsi="Times New Roman" w:cs="Times New Roman"/>
          <w:sz w:val="24"/>
          <w:szCs w:val="24"/>
        </w:rPr>
        <w:footnoteReference w:id="695"/>
      </w:r>
      <w:r w:rsidRPr="00AA1FDF">
        <w:rPr>
          <w:rFonts w:ascii="Times New Roman" w:hAnsi="Times New Roman" w:cs="Times New Roman"/>
          <w:sz w:val="24"/>
          <w:szCs w:val="24"/>
        </w:rPr>
        <w:t xml:space="preserve">  They readily give up their entertainment, although by the standards of the day the police might regard such brawling as just rowdy behaviour.  The scene, set in 1831, portrays how the dangerous classes no longer openly challenge for control of the streets, even in areas where they predominate.  Catherine Hays’s suggestion a century before that they can physically eject the forces of officialdom no longer carries weight.  </w:t>
      </w:r>
      <w:r w:rsidRPr="00AA1FDF">
        <w:rPr>
          <w:rFonts w:ascii="Times New Roman" w:hAnsi="Times New Roman" w:cs="Times New Roman"/>
          <w:bCs/>
          <w:sz w:val="24"/>
          <w:szCs w:val="24"/>
        </w:rPr>
        <w:t>Fearful that large gatherings will be detected, Reynolds presents them retreating into increasingly confined locations, conducting business in their dwellings, lodging houses and favoured taverns.</w:t>
      </w:r>
      <w:r w:rsidRPr="00AA1FDF">
        <w:rPr>
          <w:rFonts w:ascii="Times New Roman" w:hAnsi="Times New Roman" w:cs="Times New Roman"/>
          <w:b/>
          <w:bCs/>
          <w:sz w:val="24"/>
          <w:szCs w:val="24"/>
        </w:rPr>
        <w:t xml:space="preserve"> </w:t>
      </w:r>
      <w:r w:rsidRPr="00AA1FDF">
        <w:rPr>
          <w:rFonts w:ascii="Times New Roman" w:hAnsi="Times New Roman" w:cs="Times New Roman"/>
          <w:bCs/>
          <w:sz w:val="24"/>
          <w:szCs w:val="24"/>
        </w:rPr>
        <w:t xml:space="preserve"> </w:t>
      </w:r>
      <w:r w:rsidRPr="00AA1FDF">
        <w:rPr>
          <w:rFonts w:ascii="Times New Roman" w:hAnsi="Times New Roman" w:cs="Times New Roman"/>
          <w:sz w:val="24"/>
          <w:szCs w:val="24"/>
        </w:rPr>
        <w:t>However, even these offer little safety.  When Richard Markham visits Rat’s Castle, Benstead easily subdues the doorkeeper into silence while the occupants seem unconcerned:</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[T]hey were accustomed to the occasional visits for well-dressed strangers, who repaired thither to gratify curiosity; and the presence of the officers of justice was a matter of frequent occurrence when any great robbery had been perpetrated in the metropolis, and while the culprits remained undiscovered.</w:t>
      </w:r>
      <w:r w:rsidRPr="00AA1FDF">
        <w:rPr>
          <w:rStyle w:val="FootnoteReference"/>
          <w:rFonts w:ascii="Times New Roman" w:hAnsi="Times New Roman" w:cs="Times New Roman"/>
          <w:sz w:val="24"/>
          <w:szCs w:val="24"/>
        </w:rPr>
        <w:footnoteReference w:id="696"/>
      </w:r>
    </w:p>
    <w:p w:rsidR="00DD46EC" w:rsidRPr="00AA1FDF" w:rsidRDefault="00DD46EC" w:rsidP="00DD46EC">
      <w:pPr>
        <w:spacing w:after="240" w:line="360" w:lineRule="auto"/>
        <w:rPr>
          <w:rFonts w:ascii="Times New Roman" w:hAnsi="Times New Roman" w:cs="Times New Roman"/>
          <w:sz w:val="24"/>
          <w:szCs w:val="24"/>
        </w:rPr>
      </w:pPr>
      <w:r w:rsidRPr="00AA1FDF">
        <w:rPr>
          <w:rFonts w:ascii="Times New Roman" w:hAnsi="Times New Roman" w:cs="Times New Roman"/>
          <w:sz w:val="24"/>
          <w:szCs w:val="24"/>
        </w:rPr>
        <w:t>This acceptance of providing entertainment for middle-class observers is an acknowledgement that respectable society may invade their space.  Despite uneasiness towards officers, opposition lacks cohesion and permits the capture of individuals among their number</w:t>
      </w:r>
      <w:r w:rsidRPr="008C5F09">
        <w:rPr>
          <w:rFonts w:ascii="Times New Roman" w:hAnsi="Times New Roman" w:cs="Times New Roman"/>
          <w:sz w:val="24"/>
          <w:szCs w:val="24"/>
        </w:rPr>
        <w:t>.</w:t>
      </w:r>
      <w:r w:rsidRPr="008C5F09">
        <w:rPr>
          <w:rStyle w:val="FootnoteReference"/>
          <w:rFonts w:ascii="Times New Roman" w:hAnsi="Times New Roman" w:cs="Times New Roman"/>
          <w:sz w:val="24"/>
          <w:szCs w:val="24"/>
        </w:rPr>
        <w:footnoteReference w:id="697"/>
      </w:r>
      <w:r w:rsidRPr="008C5F09">
        <w:rPr>
          <w:rFonts w:ascii="Times New Roman" w:hAnsi="Times New Roman" w:cs="Times New Roman"/>
          <w:sz w:val="24"/>
          <w:szCs w:val="24"/>
        </w:rPr>
        <w:t xml:space="preserve"> </w:t>
      </w:r>
      <w:r w:rsidR="00A37C76" w:rsidRPr="008C5F09">
        <w:rPr>
          <w:rFonts w:ascii="Times New Roman" w:hAnsi="Times New Roman" w:cs="Times New Roman"/>
          <w:sz w:val="24"/>
          <w:szCs w:val="24"/>
        </w:rPr>
        <w:t xml:space="preserve"> I</w:t>
      </w:r>
      <w:r w:rsidRPr="008C5F09">
        <w:rPr>
          <w:rFonts w:ascii="Times New Roman" w:hAnsi="Times New Roman" w:cs="Times New Roman"/>
          <w:sz w:val="24"/>
          <w:szCs w:val="24"/>
        </w:rPr>
        <w:t>ntrusion can</w:t>
      </w:r>
      <w:r w:rsidRPr="00AA1FDF">
        <w:rPr>
          <w:rFonts w:ascii="Times New Roman" w:hAnsi="Times New Roman" w:cs="Times New Roman"/>
          <w:sz w:val="24"/>
          <w:szCs w:val="24"/>
        </w:rPr>
        <w:t xml:space="preserve"> be quite open, as when the boozing-ken at Saffron-Hill receives an early morning visit:</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Presently the policeman ‘upon the beat’ lounged in, and was complimented by the landlady with a glass of her ‘best cordial gin.’  He seemed well acquainted with many of the individuals there, and laughed heartily at the jokes uttered in his presence.  When he was gone, the inmates of the ‘boozing-ken’ all declared, with one accord, ‘that he was the most niblike [agreeable] blue-bottle in the entire force.’</w:t>
      </w:r>
      <w:r w:rsidRPr="00AA1FDF">
        <w:rPr>
          <w:rStyle w:val="FootnoteReference"/>
          <w:rFonts w:ascii="Times New Roman" w:hAnsi="Times New Roman" w:cs="Times New Roman"/>
          <w:sz w:val="24"/>
          <w:szCs w:val="24"/>
        </w:rPr>
        <w:footnoteReference w:id="698"/>
      </w:r>
    </w:p>
    <w:p w:rsidR="00DD46EC" w:rsidRPr="00AA1FDF" w:rsidRDefault="00DD46EC" w:rsidP="00DD46EC">
      <w:pPr>
        <w:spacing w:after="240" w:line="360" w:lineRule="auto"/>
        <w:rPr>
          <w:rFonts w:ascii="Times New Roman" w:hAnsi="Times New Roman" w:cs="Times New Roman"/>
          <w:sz w:val="24"/>
          <w:szCs w:val="24"/>
        </w:rPr>
      </w:pPr>
      <w:r w:rsidRPr="00AA1FDF">
        <w:rPr>
          <w:rFonts w:ascii="Times New Roman" w:hAnsi="Times New Roman" w:cs="Times New Roman"/>
          <w:bCs/>
          <w:sz w:val="24"/>
          <w:szCs w:val="24"/>
        </w:rPr>
        <w:t xml:space="preserve">In this scene, </w:t>
      </w:r>
      <w:r w:rsidRPr="00AA1FDF">
        <w:rPr>
          <w:rFonts w:ascii="Times New Roman" w:hAnsi="Times New Roman" w:cs="Times New Roman"/>
          <w:sz w:val="24"/>
          <w:szCs w:val="24"/>
        </w:rPr>
        <w:t>friendly relations prevail on the part of the customers with the policeman receiving a complimentary drink.  However, t</w:t>
      </w:r>
      <w:r w:rsidRPr="00AA1FDF">
        <w:rPr>
          <w:rFonts w:ascii="Times New Roman" w:hAnsi="Times New Roman" w:cs="Times New Roman"/>
          <w:bCs/>
          <w:sz w:val="24"/>
          <w:szCs w:val="24"/>
        </w:rPr>
        <w:t xml:space="preserve">he joviality of the visitor who seems to pass no comment when laughing at their jokes suggests the casual gathering of any information that might fall his way.  The later surveillance and attempted arrest of Tidkins as he leaves the ‘Dark-House’ implies the high level of state infiltration that exists.  When Benjamin Bones </w:t>
      </w:r>
      <w:r w:rsidRPr="00AA1FDF">
        <w:rPr>
          <w:rFonts w:ascii="Times New Roman" w:hAnsi="Times New Roman" w:cs="Times New Roman"/>
          <w:bCs/>
          <w:sz w:val="24"/>
          <w:szCs w:val="24"/>
        </w:rPr>
        <w:lastRenderedPageBreak/>
        <w:t xml:space="preserve">and his gang are captured among the taverns of Helmet Row and Mitchell Street it suggests that the security offered by the boozing-ken has been </w:t>
      </w:r>
      <w:r w:rsidRPr="00EA2C03">
        <w:rPr>
          <w:rFonts w:ascii="Times New Roman" w:hAnsi="Times New Roman" w:cs="Times New Roman"/>
          <w:bCs/>
          <w:sz w:val="24"/>
          <w:szCs w:val="24"/>
        </w:rPr>
        <w:t>severely compromised</w:t>
      </w:r>
      <w:r w:rsidRPr="00EA2C03">
        <w:rPr>
          <w:rFonts w:ascii="Times New Roman" w:hAnsi="Times New Roman" w:cs="Times New Roman"/>
          <w:sz w:val="24"/>
          <w:szCs w:val="24"/>
        </w:rPr>
        <w:t>.</w:t>
      </w:r>
      <w:r w:rsidRPr="00EA2C03">
        <w:rPr>
          <w:rStyle w:val="FootnoteReference"/>
          <w:rFonts w:ascii="Times New Roman" w:hAnsi="Times New Roman" w:cs="Times New Roman"/>
          <w:bCs/>
          <w:sz w:val="24"/>
          <w:szCs w:val="24"/>
        </w:rPr>
        <w:footnoteReference w:id="699"/>
      </w:r>
    </w:p>
    <w:p w:rsidR="00DD46EC" w:rsidRPr="00AA1FDF" w:rsidRDefault="00DD46EC" w:rsidP="00DD46EC">
      <w:pPr>
        <w:spacing w:after="120" w:line="360" w:lineRule="auto"/>
        <w:ind w:firstLine="720"/>
        <w:rPr>
          <w:rFonts w:ascii="Times New Roman" w:hAnsi="Times New Roman" w:cs="Times New Roman"/>
          <w:bCs/>
          <w:sz w:val="24"/>
          <w:szCs w:val="24"/>
        </w:rPr>
      </w:pPr>
      <w:r w:rsidRPr="00AA1FDF">
        <w:rPr>
          <w:rFonts w:ascii="Times New Roman" w:hAnsi="Times New Roman" w:cs="Times New Roman"/>
          <w:sz w:val="24"/>
          <w:szCs w:val="24"/>
        </w:rPr>
        <w:t xml:space="preserve">Reynolds suggests in </w:t>
      </w:r>
      <w:r w:rsidRPr="00AA1FDF">
        <w:rPr>
          <w:rFonts w:ascii="Times New Roman" w:hAnsi="Times New Roman" w:cs="Times New Roman"/>
          <w:i/>
          <w:sz w:val="24"/>
          <w:szCs w:val="24"/>
        </w:rPr>
        <w:t>The Days of Hogarth</w:t>
      </w:r>
      <w:r w:rsidRPr="00AA1FDF">
        <w:rPr>
          <w:rFonts w:ascii="Times New Roman" w:hAnsi="Times New Roman" w:cs="Times New Roman"/>
          <w:sz w:val="24"/>
          <w:szCs w:val="24"/>
        </w:rPr>
        <w:t xml:space="preserve"> that even in the early-eighteenth century these rough quarter</w:t>
      </w:r>
      <w:r w:rsidRPr="00AA1FDF">
        <w:rPr>
          <w:rFonts w:ascii="Times New Roman" w:hAnsi="Times New Roman" w:cs="Times New Roman"/>
          <w:bCs/>
          <w:sz w:val="24"/>
          <w:szCs w:val="24"/>
        </w:rPr>
        <w:t>s were not unified blocs of opposition to centralised authority</w:t>
      </w:r>
      <w:r w:rsidRPr="00AA1FDF">
        <w:rPr>
          <w:rFonts w:ascii="Times New Roman" w:hAnsi="Times New Roman" w:cs="Times New Roman"/>
          <w:sz w:val="24"/>
          <w:szCs w:val="24"/>
        </w:rPr>
        <w:t>.  It is in the infamous area known as ‘Little Dublin’ that Bow-street officers, although needing to proceed with caution, capture Jem Ruffles as he attempts to help Kate Hemmings escape from the establishment of the procuress Mrs Hays.</w:t>
      </w:r>
      <w:r w:rsidRPr="00AA1FDF">
        <w:rPr>
          <w:rStyle w:val="FootnoteReference"/>
          <w:rFonts w:ascii="Times New Roman" w:hAnsi="Times New Roman" w:cs="Times New Roman"/>
          <w:sz w:val="24"/>
          <w:szCs w:val="24"/>
        </w:rPr>
        <w:footnoteReference w:id="700"/>
      </w:r>
      <w:r w:rsidRPr="00AA1FDF">
        <w:rPr>
          <w:rFonts w:ascii="Times New Roman" w:hAnsi="Times New Roman" w:cs="Times New Roman"/>
          <w:sz w:val="24"/>
          <w:szCs w:val="24"/>
        </w:rPr>
        <w:t xml:space="preserve">  Even when making his escape in Saint Giles, two passers-by and a butcher try to capture him for the reward money.</w:t>
      </w:r>
      <w:r w:rsidRPr="00AA1FDF">
        <w:rPr>
          <w:rStyle w:val="FootnoteReference"/>
          <w:rFonts w:ascii="Times New Roman" w:hAnsi="Times New Roman" w:cs="Times New Roman"/>
          <w:sz w:val="24"/>
          <w:szCs w:val="24"/>
        </w:rPr>
        <w:footnoteReference w:id="701"/>
      </w:r>
      <w:r w:rsidRPr="00AA1FDF">
        <w:rPr>
          <w:rFonts w:ascii="Times New Roman" w:hAnsi="Times New Roman" w:cs="Times New Roman"/>
          <w:sz w:val="24"/>
          <w:szCs w:val="24"/>
        </w:rPr>
        <w:t xml:space="preserve">  Perhaps most telling is the scene a</w:t>
      </w:r>
      <w:r w:rsidRPr="00AA1FDF">
        <w:rPr>
          <w:rFonts w:ascii="Times New Roman" w:hAnsi="Times New Roman" w:cs="Times New Roman"/>
          <w:bCs/>
          <w:sz w:val="24"/>
          <w:szCs w:val="24"/>
        </w:rPr>
        <w:t>t the</w:t>
      </w:r>
      <w:r w:rsidRPr="00AA1FDF">
        <w:rPr>
          <w:rFonts w:ascii="Times New Roman" w:hAnsi="Times New Roman" w:cs="Times New Roman"/>
          <w:sz w:val="24"/>
          <w:szCs w:val="24"/>
        </w:rPr>
        <w:t xml:space="preserve"> ‘Tilt Boat’ tavern in the decayed district of Wapping.  T</w:t>
      </w:r>
      <w:r w:rsidRPr="00AA1FDF">
        <w:rPr>
          <w:rFonts w:ascii="Times New Roman" w:hAnsi="Times New Roman" w:cs="Times New Roman"/>
          <w:bCs/>
          <w:sz w:val="24"/>
          <w:szCs w:val="24"/>
        </w:rPr>
        <w:t xml:space="preserve">hose present discuss a spate of </w:t>
      </w:r>
      <w:r w:rsidRPr="00AA1FDF">
        <w:rPr>
          <w:rFonts w:ascii="Times New Roman" w:hAnsi="Times New Roman" w:cs="Times New Roman"/>
          <w:sz w:val="24"/>
          <w:szCs w:val="24"/>
        </w:rPr>
        <w:t xml:space="preserve">kidnappings and the rumoured involvement of the East India Company with </w:t>
      </w:r>
      <w:r w:rsidRPr="00AA1FDF">
        <w:rPr>
          <w:rFonts w:ascii="Times New Roman" w:hAnsi="Times New Roman" w:cs="Times New Roman"/>
          <w:bCs/>
          <w:sz w:val="24"/>
          <w:szCs w:val="24"/>
        </w:rPr>
        <w:t xml:space="preserve">one describing </w:t>
      </w:r>
      <w:r w:rsidRPr="00AA1FDF">
        <w:rPr>
          <w:rFonts w:ascii="Times New Roman" w:hAnsi="Times New Roman" w:cs="Times New Roman"/>
          <w:sz w:val="24"/>
          <w:szCs w:val="24"/>
        </w:rPr>
        <w:t>the leader of the kidnappers.  Another brags ‘Ah! if he ever comes down to this neighbourhood, […] we will give him a reception that he will not relish!’.</w:t>
      </w:r>
      <w:r w:rsidRPr="00AA1FDF">
        <w:rPr>
          <w:rStyle w:val="FootnoteReference"/>
          <w:rFonts w:ascii="Times New Roman" w:hAnsi="Times New Roman" w:cs="Times New Roman"/>
          <w:sz w:val="24"/>
          <w:szCs w:val="24"/>
        </w:rPr>
        <w:footnoteReference w:id="702"/>
      </w:r>
      <w:r w:rsidRPr="00AA1FDF">
        <w:rPr>
          <w:rFonts w:ascii="Times New Roman" w:hAnsi="Times New Roman" w:cs="Times New Roman"/>
          <w:sz w:val="24"/>
          <w:szCs w:val="24"/>
        </w:rPr>
        <w:t xml:space="preserve">  However, when Ruffles enters answering to </w:t>
      </w:r>
      <w:r w:rsidRPr="00AA1FDF">
        <w:rPr>
          <w:rFonts w:ascii="Times New Roman" w:hAnsi="Times New Roman" w:cs="Times New Roman"/>
          <w:bCs/>
          <w:sz w:val="24"/>
          <w:szCs w:val="24"/>
        </w:rPr>
        <w:t xml:space="preserve">the </w:t>
      </w:r>
      <w:r w:rsidRPr="00AA1FDF">
        <w:rPr>
          <w:rFonts w:ascii="Times New Roman" w:hAnsi="Times New Roman" w:cs="Times New Roman"/>
          <w:sz w:val="24"/>
          <w:szCs w:val="24"/>
        </w:rPr>
        <w:t xml:space="preserve">description they fearfully depart, showing the hollowness of the boast and indicating </w:t>
      </w:r>
      <w:r w:rsidRPr="00AA1FDF">
        <w:rPr>
          <w:rFonts w:ascii="Times New Roman" w:hAnsi="Times New Roman" w:cs="Times New Roman"/>
          <w:bCs/>
          <w:sz w:val="24"/>
          <w:szCs w:val="24"/>
        </w:rPr>
        <w:t>that the nineteenth-century gangs who look back to this period as the best of times for localised anti-authoritarianism are to some degree living in a fool’s paradise.</w:t>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 xml:space="preserve">The pressure of urban development also casts an ominous shadow.  In </w:t>
      </w:r>
      <w:r w:rsidRPr="00AA1FDF">
        <w:rPr>
          <w:rFonts w:ascii="Times New Roman" w:hAnsi="Times New Roman" w:cs="Times New Roman"/>
          <w:i/>
          <w:sz w:val="24"/>
          <w:szCs w:val="24"/>
        </w:rPr>
        <w:t>The Days of Hogarth</w:t>
      </w:r>
      <w:r w:rsidRPr="00AA1FDF">
        <w:rPr>
          <w:rFonts w:ascii="Times New Roman" w:hAnsi="Times New Roman" w:cs="Times New Roman"/>
          <w:sz w:val="24"/>
          <w:szCs w:val="24"/>
        </w:rPr>
        <w:t>, it was not only the local populace that aided Jem Ruffles to escape but the ‘maze of narrow, dirty, and hideous-looking streets’.</w:t>
      </w:r>
      <w:r w:rsidRPr="00AA1FDF">
        <w:rPr>
          <w:rStyle w:val="FootnoteReference"/>
          <w:rFonts w:ascii="Times New Roman" w:hAnsi="Times New Roman" w:cs="Times New Roman"/>
          <w:sz w:val="24"/>
          <w:szCs w:val="24"/>
        </w:rPr>
        <w:footnoteReference w:id="703"/>
      </w:r>
      <w:r w:rsidRPr="00AA1FDF">
        <w:rPr>
          <w:rFonts w:ascii="Times New Roman" w:hAnsi="Times New Roman" w:cs="Times New Roman"/>
          <w:sz w:val="24"/>
          <w:szCs w:val="24"/>
        </w:rPr>
        <w:t xml:space="preserve">  The physical geography of such areas remained a point of strength but one that diminished with city clearances.  Characters in volume four of </w:t>
      </w:r>
      <w:r w:rsidRPr="00AA1FDF">
        <w:rPr>
          <w:rFonts w:ascii="Times New Roman" w:hAnsi="Times New Roman" w:cs="Times New Roman"/>
          <w:i/>
          <w:sz w:val="24"/>
          <w:szCs w:val="24"/>
        </w:rPr>
        <w:t>The Mysteries of London</w:t>
      </w:r>
      <w:r w:rsidRPr="00AA1FDF">
        <w:rPr>
          <w:rFonts w:ascii="Times New Roman" w:hAnsi="Times New Roman" w:cs="Times New Roman"/>
          <w:sz w:val="24"/>
          <w:szCs w:val="24"/>
        </w:rPr>
        <w:t>, set in 1846–47, observe the changes.  Returning from transportation, after nineteen years, Martha Slingsby notices the alterations when she walks through Regent Street, Oxford Circus and Waterloo Place.</w:t>
      </w:r>
      <w:r w:rsidRPr="00AA1FDF">
        <w:rPr>
          <w:rStyle w:val="FootnoteReference"/>
          <w:rFonts w:ascii="Times New Roman" w:hAnsi="Times New Roman" w:cs="Times New Roman"/>
          <w:sz w:val="24"/>
          <w:szCs w:val="24"/>
        </w:rPr>
        <w:footnoteReference w:id="704"/>
      </w:r>
      <w:r w:rsidRPr="00AA1FDF">
        <w:rPr>
          <w:rFonts w:ascii="Times New Roman" w:hAnsi="Times New Roman" w:cs="Times New Roman"/>
          <w:sz w:val="24"/>
          <w:szCs w:val="24"/>
        </w:rPr>
        <w:t xml:space="preserve">  Mr Torrens has a similar experience, regarding ‘with astonishment’ the northern suburb of Pentonville.</w:t>
      </w:r>
      <w:r w:rsidRPr="00AA1FDF">
        <w:rPr>
          <w:rStyle w:val="FootnoteReference"/>
          <w:rFonts w:ascii="Times New Roman" w:hAnsi="Times New Roman" w:cs="Times New Roman"/>
          <w:sz w:val="24"/>
          <w:szCs w:val="24"/>
        </w:rPr>
        <w:footnoteReference w:id="705"/>
      </w:r>
      <w:r w:rsidRPr="00AA1FDF">
        <w:rPr>
          <w:rFonts w:ascii="Times New Roman" w:hAnsi="Times New Roman" w:cs="Times New Roman"/>
          <w:sz w:val="24"/>
          <w:szCs w:val="24"/>
        </w:rPr>
        <w:t xml:space="preserve">  In the 1840s, new commercial arteries breached several districts like Saint Giles’s rookery where the New Oxford Street created a highway through one of the most dangerous areas.</w:t>
      </w:r>
      <w:r w:rsidRPr="00AA1FDF">
        <w:rPr>
          <w:rStyle w:val="FootnoteReference"/>
          <w:rFonts w:ascii="Times New Roman" w:hAnsi="Times New Roman" w:cs="Times New Roman"/>
          <w:sz w:val="24"/>
          <w:szCs w:val="24"/>
        </w:rPr>
        <w:footnoteReference w:id="706"/>
      </w:r>
      <w:r w:rsidRPr="00AA1FDF">
        <w:rPr>
          <w:rFonts w:ascii="Times New Roman" w:hAnsi="Times New Roman" w:cs="Times New Roman"/>
          <w:sz w:val="24"/>
          <w:szCs w:val="24"/>
        </w:rPr>
        <w:t xml:space="preserve">  Such </w:t>
      </w:r>
      <w:r w:rsidRPr="00AA1FDF">
        <w:rPr>
          <w:rFonts w:ascii="Times New Roman" w:hAnsi="Times New Roman" w:cs="Times New Roman"/>
          <w:sz w:val="24"/>
          <w:szCs w:val="24"/>
        </w:rPr>
        <w:lastRenderedPageBreak/>
        <w:t xml:space="preserve">modernisation worked alongside police developments to make raids more effective.  Kellow Chesney cites a </w:t>
      </w:r>
      <w:r w:rsidRPr="00AA1FDF">
        <w:rPr>
          <w:rFonts w:ascii="Times New Roman" w:hAnsi="Times New Roman" w:cs="Times New Roman"/>
          <w:i/>
          <w:sz w:val="24"/>
          <w:szCs w:val="24"/>
        </w:rPr>
        <w:t>Times</w:t>
      </w:r>
      <w:r w:rsidRPr="00AA1FDF">
        <w:rPr>
          <w:rFonts w:ascii="Times New Roman" w:hAnsi="Times New Roman" w:cs="Times New Roman"/>
          <w:sz w:val="24"/>
          <w:szCs w:val="24"/>
        </w:rPr>
        <w:t xml:space="preserve"> account of one in the Holy Land area in November 1840 when officers held off an aggressive mob to arrest three coiners, and notes that over the next decade ‘the grip of the police tightened’.</w:t>
      </w:r>
      <w:r w:rsidRPr="00AA1FDF">
        <w:rPr>
          <w:rStyle w:val="FootnoteReference"/>
          <w:rFonts w:ascii="Times New Roman" w:hAnsi="Times New Roman" w:cs="Times New Roman"/>
          <w:sz w:val="24"/>
          <w:szCs w:val="24"/>
        </w:rPr>
        <w:footnoteReference w:id="707"/>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 xml:space="preserve">Pointing to the opening scene in </w:t>
      </w:r>
      <w:r w:rsidRPr="00AA1FDF">
        <w:rPr>
          <w:rFonts w:ascii="Times New Roman" w:hAnsi="Times New Roman" w:cs="Times New Roman"/>
          <w:i/>
          <w:sz w:val="24"/>
          <w:szCs w:val="24"/>
        </w:rPr>
        <w:t xml:space="preserve">The </w:t>
      </w:r>
      <w:r w:rsidRPr="00AA1FDF">
        <w:rPr>
          <w:rFonts w:ascii="Times New Roman" w:hAnsi="Times New Roman" w:cs="Times New Roman"/>
          <w:i/>
          <w:iCs/>
          <w:sz w:val="24"/>
          <w:szCs w:val="24"/>
        </w:rPr>
        <w:t>Mysteries of London</w:t>
      </w:r>
      <w:r w:rsidRPr="00AA1FDF">
        <w:rPr>
          <w:rFonts w:ascii="Times New Roman" w:hAnsi="Times New Roman" w:cs="Times New Roman"/>
          <w:sz w:val="24"/>
          <w:szCs w:val="24"/>
        </w:rPr>
        <w:t>, Robert Mighall argues how the poor areas of London are ‘rendered Gothic by the importation of effects from the earlier literary tradition’.</w:t>
      </w:r>
      <w:r w:rsidRPr="00AA1FDF">
        <w:rPr>
          <w:rStyle w:val="FootnoteReference"/>
          <w:rFonts w:ascii="Times New Roman" w:hAnsi="Times New Roman" w:cs="Times New Roman"/>
          <w:sz w:val="24"/>
          <w:szCs w:val="24"/>
        </w:rPr>
        <w:footnoteReference w:id="708"/>
      </w:r>
      <w:r w:rsidRPr="00AA1FDF">
        <w:rPr>
          <w:rFonts w:ascii="Times New Roman" w:hAnsi="Times New Roman" w:cs="Times New Roman"/>
          <w:sz w:val="24"/>
          <w:szCs w:val="24"/>
        </w:rPr>
        <w:t xml:space="preserve">  It is this persistence of ‘the old’ that is central to the protest of the dangerous classes, making those from respectable society who pass through these regions as much trespassers as Anthony Tidkins when he enters Buckingham Palace.  However, this precarious balance of old and new symbolizing the uneasy co-existence of different lifestyles is increasingly untenable.  Doreen Massey discusses urban space as being ‘constructed out of the multiplicity of social relations’ which continually produce new social effects, and viewing this as a ‘stasis’ is to see it ‘as the opposite of History’.</w:t>
      </w:r>
      <w:r w:rsidRPr="00AA1FDF">
        <w:rPr>
          <w:rStyle w:val="FootnoteReference"/>
          <w:rFonts w:ascii="Times New Roman" w:hAnsi="Times New Roman" w:cs="Times New Roman"/>
          <w:sz w:val="24"/>
          <w:szCs w:val="24"/>
        </w:rPr>
        <w:footnoteReference w:id="709"/>
      </w:r>
      <w:r w:rsidRPr="00AA1FDF">
        <w:rPr>
          <w:rFonts w:ascii="Times New Roman" w:hAnsi="Times New Roman" w:cs="Times New Roman"/>
          <w:sz w:val="24"/>
          <w:szCs w:val="24"/>
        </w:rPr>
        <w:t xml:space="preserve">  Entrikin argues that such changes are examples of capitalist development eroding regional differences while creating new ones in the process.</w:t>
      </w:r>
      <w:r w:rsidRPr="00AA1FDF">
        <w:rPr>
          <w:rStyle w:val="FootnoteReference"/>
          <w:rFonts w:ascii="Times New Roman" w:hAnsi="Times New Roman" w:cs="Times New Roman"/>
          <w:sz w:val="24"/>
          <w:szCs w:val="24"/>
        </w:rPr>
        <w:footnoteReference w:id="710"/>
      </w:r>
      <w:r w:rsidRPr="00AA1FDF">
        <w:rPr>
          <w:rFonts w:ascii="Times New Roman" w:hAnsi="Times New Roman" w:cs="Times New Roman"/>
          <w:sz w:val="24"/>
          <w:szCs w:val="24"/>
        </w:rPr>
        <w:t xml:space="preserve">  The dangerous classes see this as the state destroying the specificities of place they rely upon, and because tied to out-dated forms of crime can see no opportunities arising from the new variances that are emerging. This ‘anti-History’ dominates their outlook.  Tidkins rejects any introduction of ‘the new’, indicated by the praise he lavishes upon the unchanging rougher areas of London.  However, his words, set in 1839, reflect less and less the reality of the situation which is seeing the power of the dangerous classes slipping away as suggested by Reynolds’s comment: ‘The Mint was once a sanctuary, like Whitefriars; and, although the law has deprived it of its ancient privileges, its inhabitants still maintain them, by a tacit understanding with each other, to the extent of their power.’</w:t>
      </w:r>
      <w:r w:rsidRPr="00AA1FDF">
        <w:rPr>
          <w:rStyle w:val="FootnoteReference"/>
          <w:rFonts w:ascii="Times New Roman" w:hAnsi="Times New Roman" w:cs="Times New Roman"/>
          <w:sz w:val="24"/>
          <w:szCs w:val="24"/>
        </w:rPr>
        <w:footnoteReference w:id="711"/>
      </w:r>
      <w:r w:rsidRPr="00AA1FDF">
        <w:rPr>
          <w:rFonts w:ascii="Times New Roman" w:hAnsi="Times New Roman" w:cs="Times New Roman"/>
          <w:sz w:val="24"/>
          <w:szCs w:val="24"/>
        </w:rPr>
        <w:t xml:space="preserve">  Thieves may still find refuge but the concluding phrase, ‘to the extent of their power’, immediately questions its effectiveness.  With even notorious districts compromised it is unsurprising that when Tidkins and the Cracksman use their trusted method of taking different paths to avoid detection when returning from the ‘</w:t>
      </w:r>
      <w:r w:rsidRPr="00AA1FDF">
        <w:rPr>
          <w:rFonts w:ascii="Times New Roman" w:hAnsi="Times New Roman" w:cs="Times New Roman"/>
          <w:iCs/>
          <w:sz w:val="24"/>
          <w:szCs w:val="24"/>
        </w:rPr>
        <w:t>Dark-House’</w:t>
      </w:r>
      <w:r w:rsidRPr="00AA1FDF">
        <w:rPr>
          <w:rFonts w:ascii="Times New Roman" w:hAnsi="Times New Roman" w:cs="Times New Roman"/>
          <w:sz w:val="24"/>
          <w:szCs w:val="24"/>
        </w:rPr>
        <w:t xml:space="preserve"> to the Resurrection Man’s den near Bird-cage Walk, it ultimately fails with the police covering them at every point.  Just as significant is how Reynolds portrays agents of the law not entering the area fearfully but as a force that </w:t>
      </w:r>
      <w:r w:rsidRPr="00AA1FDF">
        <w:rPr>
          <w:rFonts w:ascii="Times New Roman" w:hAnsi="Times New Roman" w:cs="Times New Roman"/>
          <w:sz w:val="24"/>
          <w:szCs w:val="24"/>
        </w:rPr>
        <w:lastRenderedPageBreak/>
        <w:t>has taken over the courts and alleyways.  Reversing the situation of an earlier period, it is now criminal elements that are unable to take a step unobserved.</w:t>
      </w:r>
    </w:p>
    <w:p w:rsidR="00DD46EC" w:rsidRPr="00AA1FDF" w:rsidRDefault="00DD46EC" w:rsidP="00DD46EC">
      <w:pPr>
        <w:spacing w:after="240" w:line="360" w:lineRule="auto"/>
        <w:rPr>
          <w:rFonts w:ascii="Times New Roman" w:hAnsi="Times New Roman" w:cs="Times New Roman"/>
          <w:sz w:val="24"/>
          <w:szCs w:val="24"/>
        </w:rPr>
      </w:pPr>
      <w:r w:rsidRPr="00AA1FDF">
        <w:rPr>
          <w:rFonts w:ascii="Times New Roman" w:hAnsi="Times New Roman" w:cs="Times New Roman"/>
          <w:sz w:val="24"/>
          <w:szCs w:val="24"/>
        </w:rPr>
        <w:tab/>
        <w:t>Anne Humpherys refers to the dens of the dangerous classes as ‘centres of power’.</w:t>
      </w:r>
      <w:r w:rsidRPr="00AA1FDF">
        <w:rPr>
          <w:rStyle w:val="FootnoteReference"/>
          <w:rFonts w:ascii="Times New Roman" w:hAnsi="Times New Roman" w:cs="Times New Roman"/>
          <w:sz w:val="24"/>
          <w:szCs w:val="24"/>
        </w:rPr>
        <w:footnoteReference w:id="712"/>
      </w:r>
      <w:r w:rsidRPr="00AA1FDF">
        <w:rPr>
          <w:rFonts w:ascii="Times New Roman" w:hAnsi="Times New Roman" w:cs="Times New Roman"/>
          <w:sz w:val="24"/>
          <w:szCs w:val="24"/>
        </w:rPr>
        <w:t xml:space="preserve">  However, as time passes these locations lose their standing, a development highlighted by a comparison of ‘safe places’ used by the gangs.  In volume one of </w:t>
      </w:r>
      <w:r w:rsidRPr="00AA1FDF">
        <w:rPr>
          <w:rFonts w:ascii="Times New Roman" w:hAnsi="Times New Roman" w:cs="Times New Roman"/>
          <w:i/>
          <w:sz w:val="24"/>
          <w:szCs w:val="24"/>
        </w:rPr>
        <w:t>The Mysteries of London</w:t>
      </w:r>
      <w:r w:rsidRPr="00AA1FDF">
        <w:rPr>
          <w:rFonts w:ascii="Times New Roman" w:hAnsi="Times New Roman" w:cs="Times New Roman"/>
          <w:sz w:val="24"/>
          <w:szCs w:val="24"/>
        </w:rPr>
        <w:t xml:space="preserve">, Bill Bolter after murdering his wife Polly takes refuge in a vault on the side of the Fleet Ditch.  The date is 1835, and the reference to its formation ‘in the days of the famous Jonathan Wild’ </w:t>
      </w:r>
      <w:r w:rsidRPr="00A37C76">
        <w:rPr>
          <w:rFonts w:ascii="Times New Roman" w:hAnsi="Times New Roman" w:cs="Times New Roman"/>
          <w:sz w:val="24"/>
          <w:szCs w:val="24"/>
        </w:rPr>
        <w:t>links it to the golden age of crime.</w:t>
      </w:r>
      <w:r w:rsidRPr="00A37C76">
        <w:rPr>
          <w:rStyle w:val="FootnoteReference"/>
          <w:rFonts w:ascii="Times New Roman" w:hAnsi="Times New Roman" w:cs="Times New Roman"/>
          <w:sz w:val="24"/>
          <w:szCs w:val="24"/>
        </w:rPr>
        <w:footnoteReference w:id="713"/>
      </w:r>
      <w:r w:rsidRPr="00A37C76">
        <w:rPr>
          <w:rFonts w:ascii="Times New Roman" w:hAnsi="Times New Roman" w:cs="Times New Roman"/>
          <w:sz w:val="24"/>
          <w:szCs w:val="24"/>
        </w:rPr>
        <w:t xml:space="preserve">  It is perfectly constructed to withstand the closest inspection, so that police officers pass within feet of the murderer without discovering him.  Volume four</w:t>
      </w:r>
      <w:r w:rsidRPr="00AA1FDF">
        <w:rPr>
          <w:rFonts w:ascii="Times New Roman" w:hAnsi="Times New Roman" w:cs="Times New Roman"/>
          <w:sz w:val="24"/>
          <w:szCs w:val="24"/>
        </w:rPr>
        <w:t xml:space="preserve"> set just over a decade later depicts a less formidable bolthole in the three dilapidated houses along Stamford Street that have been left to fall into ruin for twenty years, ‘a disfigurement to the entire vicinity’.</w:t>
      </w:r>
      <w:r w:rsidRPr="00AA1FDF">
        <w:rPr>
          <w:rStyle w:val="FootnoteReference"/>
          <w:rFonts w:ascii="Times New Roman" w:hAnsi="Times New Roman" w:cs="Times New Roman"/>
          <w:sz w:val="24"/>
          <w:szCs w:val="24"/>
        </w:rPr>
        <w:footnoteReference w:id="714"/>
      </w:r>
      <w:r w:rsidRPr="00AA1FDF">
        <w:rPr>
          <w:rFonts w:ascii="Times New Roman" w:hAnsi="Times New Roman" w:cs="Times New Roman"/>
          <w:sz w:val="24"/>
          <w:szCs w:val="24"/>
        </w:rPr>
        <w:t xml:space="preserve">  Unsurprisingly, what disfigures a respectable community is useful to the dangerous classes, providing sanctuary for Vitriol Bob.  However, it is an isolated relic that symbolizes the crumbling nature of their protest, a derelict property existing because modernity has temporarily let it slip through its fingers.  Stamford Street and Blackfriars Road are characterised by gloom rather than vice, especially as the virtuous maiden Theobald sisters live nearby, adding to the sense of the den being an anomaly that might easily be removed rather than a malign presence infecting the surroundings.  Its very existence relies upon a myth that the ghost of Ellen Gamble, a young woman murdered there, haunts the place and prevents passers-by from entering.  Yet it is no more a myth than that in which criminal gangs see themselves continuing the era of romantic rebellion against officialdom.</w:t>
      </w:r>
    </w:p>
    <w:p w:rsidR="00DD46EC" w:rsidRPr="00AA1FDF" w:rsidRDefault="00DD46EC" w:rsidP="00DD46EC">
      <w:pPr>
        <w:spacing w:after="24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While Reynolds used external factors, such as police professionalism and urban clearances, to highlight the diminishing power of the dangerous classes, his primary concern was targeting their moral shortcomings.  Late-eighteenth century commentators such as Frederick Eden wrote that the city poor remained in their condition through preferring freedom to a security that took away their independence.</w:t>
      </w:r>
      <w:r w:rsidRPr="00AA1FDF">
        <w:rPr>
          <w:rStyle w:val="FootnoteReference"/>
          <w:rFonts w:ascii="Times New Roman" w:hAnsi="Times New Roman" w:cs="Times New Roman"/>
          <w:sz w:val="24"/>
          <w:szCs w:val="24"/>
        </w:rPr>
        <w:footnoteReference w:id="715"/>
      </w:r>
      <w:r w:rsidRPr="00AA1FDF">
        <w:rPr>
          <w:rFonts w:ascii="Times New Roman" w:hAnsi="Times New Roman" w:cs="Times New Roman"/>
          <w:sz w:val="24"/>
          <w:szCs w:val="24"/>
        </w:rPr>
        <w:t xml:space="preserve">  For him it signalled the modern psychology of urban, industrial life that stood in opposition to the ‘ancient state of society’ when subservience prevailed but saw ‘the great mass of the people […] assured of the bare </w:t>
      </w:r>
      <w:r w:rsidRPr="00AA1FDF">
        <w:rPr>
          <w:rFonts w:ascii="Times New Roman" w:hAnsi="Times New Roman" w:cs="Times New Roman"/>
          <w:sz w:val="24"/>
          <w:szCs w:val="24"/>
        </w:rPr>
        <w:lastRenderedPageBreak/>
        <w:t>necessaries of life’.</w:t>
      </w:r>
      <w:r w:rsidRPr="00AA1FDF">
        <w:rPr>
          <w:rStyle w:val="FootnoteReference"/>
          <w:rFonts w:ascii="Times New Roman" w:hAnsi="Times New Roman" w:cs="Times New Roman"/>
          <w:sz w:val="24"/>
          <w:szCs w:val="24"/>
        </w:rPr>
        <w:footnoteReference w:id="716"/>
      </w:r>
      <w:r w:rsidRPr="00AA1FDF">
        <w:rPr>
          <w:rFonts w:ascii="Times New Roman" w:hAnsi="Times New Roman" w:cs="Times New Roman"/>
          <w:sz w:val="24"/>
          <w:szCs w:val="24"/>
        </w:rPr>
        <w:t xml:space="preserve">  Reynolds portrays neighbourhoods where everyday activities of the population are largely unmonitored by the state:</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Where vice stalked abroad in all its nakedness, where crime presented an aspect of unblushing effrontery, […] there dwelt hundreds of persons—men and women—who possessed the means of removing to other and more salubrious parts of the metropolis,—but who clung to the filth, the turbulence, the dissipation, and the unhealthiness of Grub street or Moor Lane, because their gains amongst thieves and prostitutes were so large and so rapid.  Oh! the thirst of gold is a leprosy which no man can shake off!</w:t>
      </w:r>
      <w:r w:rsidRPr="00AA1FDF">
        <w:rPr>
          <w:rStyle w:val="FootnoteReference"/>
          <w:rFonts w:ascii="Times New Roman" w:hAnsi="Times New Roman" w:cs="Times New Roman"/>
          <w:sz w:val="24"/>
          <w:szCs w:val="24"/>
        </w:rPr>
        <w:footnoteReference w:id="717"/>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However, this differs from Eden, who focuses upon those who endure a precarious existence with honest toil to maintain their liberty, and welcomes it as a result of the manufacturing system that saw many join ‘the adventurous project of trying their fortunes in the lottery of trade’.</w:t>
      </w:r>
      <w:r w:rsidRPr="00AA1FDF">
        <w:rPr>
          <w:rStyle w:val="FootnoteReference"/>
          <w:rFonts w:ascii="Times New Roman" w:hAnsi="Times New Roman" w:cs="Times New Roman"/>
          <w:sz w:val="24"/>
          <w:szCs w:val="24"/>
        </w:rPr>
        <w:footnoteReference w:id="718"/>
      </w:r>
      <w:r w:rsidRPr="00AA1FDF">
        <w:rPr>
          <w:rFonts w:ascii="Times New Roman" w:hAnsi="Times New Roman" w:cs="Times New Roman"/>
          <w:sz w:val="24"/>
          <w:szCs w:val="24"/>
        </w:rPr>
        <w:t xml:space="preserve">  Reynolds does not set freedom against physical well-being since many among his dangerous classes experience material success.  Furthermore, they hold a distorted view of ‘liberty’, with the wish to continue longstanding freedoms fatally damaged by being little more than exercising the ‘right’ to steal the property of others.  This alternative lifestyle has led to their degradation, trapped by the lure of filth and dissipation.  </w:t>
      </w:r>
      <w:r w:rsidRPr="00AA1FDF">
        <w:rPr>
          <w:rFonts w:ascii="Times New Roman" w:hAnsi="Times New Roman" w:cs="Times New Roman"/>
          <w:bCs/>
          <w:sz w:val="24"/>
          <w:szCs w:val="24"/>
        </w:rPr>
        <w:t xml:space="preserve">It is evident at boozing-kens where scenes that display humour and social awareness are interwoven with signs of debasement.  All are </w:t>
      </w:r>
      <w:r w:rsidRPr="00AA1FDF">
        <w:rPr>
          <w:rFonts w:ascii="Times New Roman" w:hAnsi="Times New Roman" w:cs="Times New Roman"/>
          <w:sz w:val="24"/>
          <w:szCs w:val="24"/>
        </w:rPr>
        <w:t xml:space="preserve">played out </w:t>
      </w:r>
      <w:r w:rsidRPr="008C5F09">
        <w:rPr>
          <w:rFonts w:ascii="Times New Roman" w:hAnsi="Times New Roman" w:cs="Times New Roman"/>
          <w:sz w:val="24"/>
          <w:szCs w:val="24"/>
        </w:rPr>
        <w:t xml:space="preserve">within a </w:t>
      </w:r>
      <w:r w:rsidR="00A37C76" w:rsidRPr="008C5F09">
        <w:rPr>
          <w:rFonts w:ascii="Times New Roman" w:hAnsi="Times New Roman" w:cs="Times New Roman"/>
          <w:sz w:val="24"/>
          <w:szCs w:val="24"/>
        </w:rPr>
        <w:t>routine</w:t>
      </w:r>
      <w:r w:rsidRPr="008C5F09">
        <w:rPr>
          <w:rFonts w:ascii="Times New Roman" w:hAnsi="Times New Roman" w:cs="Times New Roman"/>
          <w:sz w:val="24"/>
          <w:szCs w:val="24"/>
        </w:rPr>
        <w:t xml:space="preserve"> that</w:t>
      </w:r>
      <w:r w:rsidRPr="00AA1FDF">
        <w:rPr>
          <w:rFonts w:ascii="Times New Roman" w:hAnsi="Times New Roman" w:cs="Times New Roman"/>
          <w:sz w:val="24"/>
          <w:szCs w:val="24"/>
        </w:rPr>
        <w:t xml:space="preserve"> suggests the moral rottenness lying at its core, as in this morning scene on Saffron Hill:</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The women had evidently jumped from their beds and huddled on their miserable attire without the slightest regard to decency, in order to lose no time in obtaining their morning dram.  The men appeared as if they had slept in their clothes all night; […] Those who could afford it indulged in a second and a third glass; and some tossed for pots of beer.  The men lighted their pipes; and the place was impregnated with the narcotic fumes of the strongest and worst tobacco—that bastard opium of the poor.</w:t>
      </w:r>
      <w:r w:rsidRPr="00AA1FDF">
        <w:rPr>
          <w:rStyle w:val="FootnoteReference"/>
          <w:rFonts w:ascii="Times New Roman" w:hAnsi="Times New Roman" w:cs="Times New Roman"/>
          <w:sz w:val="24"/>
          <w:szCs w:val="24"/>
        </w:rPr>
        <w:footnoteReference w:id="719"/>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Those present are unfit for honest labour, the women are without modesty and all have abandoned any sense of the need for cleanliness.  The ‘morning dram’ points to a cycle of debauchery, any moderation being rejected with only the unhealthiest stimulants able to assuage their cravings.  If the pub is an arena for protest, such excess appears to be its inevitable conclusion.</w:t>
      </w:r>
    </w:p>
    <w:p w:rsidR="00DD46EC" w:rsidRPr="00AA1FDF" w:rsidRDefault="00DD46EC" w:rsidP="00DD46EC">
      <w:pPr>
        <w:spacing w:after="120" w:line="360" w:lineRule="auto"/>
        <w:ind w:firstLine="720"/>
        <w:rPr>
          <w:rFonts w:ascii="Times New Roman" w:hAnsi="Times New Roman" w:cs="Times New Roman"/>
          <w:b/>
          <w:sz w:val="24"/>
          <w:szCs w:val="24"/>
        </w:rPr>
      </w:pPr>
      <w:r w:rsidRPr="00AA1FDF">
        <w:rPr>
          <w:rFonts w:ascii="Times New Roman" w:hAnsi="Times New Roman" w:cs="Times New Roman"/>
          <w:sz w:val="24"/>
          <w:szCs w:val="24"/>
        </w:rPr>
        <w:lastRenderedPageBreak/>
        <w:t>This environment highlights how psychological and moral instability can reach extreme levels.  In the discussion at Saffron Hill there is a constant ebb and flow of emotions.  The bravado of those present is highly fragile, punctured on learning they are dupes of the brewery trade but restored on discovering the wealthy suffer the same fate.  Gloom descends with Swiggs’s admission that he drinks because of his misery: ‘I must kill care somehow or another; and therefore I take daily doses of those slow poisons’.</w:t>
      </w:r>
      <w:r w:rsidRPr="00AA1FDF">
        <w:rPr>
          <w:rStyle w:val="FootnoteReference"/>
          <w:rFonts w:ascii="Times New Roman" w:hAnsi="Times New Roman" w:cs="Times New Roman"/>
          <w:sz w:val="24"/>
          <w:szCs w:val="24"/>
        </w:rPr>
        <w:footnoteReference w:id="720"/>
      </w:r>
      <w:r w:rsidRPr="00AA1FDF">
        <w:rPr>
          <w:rFonts w:ascii="Times New Roman" w:hAnsi="Times New Roman" w:cs="Times New Roman"/>
          <w:sz w:val="24"/>
          <w:szCs w:val="24"/>
        </w:rPr>
        <w:t xml:space="preserve">  However, this is soon lifted by the singing of ‘The Man of Many Pursuits’ with its boast of stealing from rich visitors in the West End.  This unsteadiness pervades their treatment of social grievances.  At the ‘Dark-House’, a young prostitute sees herself trapped by adverse circumstances after her drunken father sent her upon the town when eleven years of age.  The legal system also condemned her with false imprisonment because she was poor.  Yet her protest ends equivocally:</w:t>
      </w:r>
    </w:p>
    <w:p w:rsidR="00DD46EC" w:rsidRPr="00AA1FDF" w:rsidRDefault="00DD46EC" w:rsidP="00DD46EC">
      <w:pPr>
        <w:spacing w:after="120" w:line="240" w:lineRule="auto"/>
        <w:ind w:left="720"/>
        <w:rPr>
          <w:rFonts w:ascii="Times New Roman" w:hAnsi="Times New Roman" w:cs="Times New Roman"/>
          <w:bCs/>
          <w:sz w:val="24"/>
          <w:szCs w:val="24"/>
        </w:rPr>
      </w:pPr>
      <w:r w:rsidRPr="00AA1FDF">
        <w:rPr>
          <w:rFonts w:ascii="Times New Roman" w:hAnsi="Times New Roman" w:cs="Times New Roman"/>
          <w:bCs/>
          <w:sz w:val="24"/>
          <w:szCs w:val="24"/>
        </w:rPr>
        <w:t>‘And the parsons of Westminster Abbey, who is the landlords of the houses, does nothink to put ’em down,’ said the coal-whipper.</w:t>
      </w:r>
    </w:p>
    <w:p w:rsidR="00DD46EC" w:rsidRPr="00AA1FDF" w:rsidRDefault="00DD46EC" w:rsidP="00DD46EC">
      <w:pPr>
        <w:spacing w:after="120" w:line="240" w:lineRule="auto"/>
        <w:ind w:left="720" w:firstLine="170"/>
        <w:rPr>
          <w:rFonts w:ascii="Times New Roman" w:hAnsi="Times New Roman" w:cs="Times New Roman"/>
          <w:sz w:val="24"/>
          <w:szCs w:val="24"/>
        </w:rPr>
      </w:pPr>
      <w:r w:rsidRPr="00AA1FDF">
        <w:rPr>
          <w:rFonts w:ascii="Times New Roman" w:hAnsi="Times New Roman" w:cs="Times New Roman"/>
          <w:sz w:val="24"/>
          <w:szCs w:val="24"/>
        </w:rPr>
        <w:t>‘Not a bit,’ echoed the young woman, with a laugh.  ‘We had capital fun in the house where I lived—dog-fighting, badger-baiting, and drinking all day long.  The police never visits the Almonry—</w:t>
      </w:r>
      <w:r w:rsidR="008C5F09" w:rsidRPr="00AA1FDF">
        <w:rPr>
          <w:rFonts w:ascii="Times New Roman" w:hAnsi="Times New Roman" w:cs="Times New Roman"/>
          <w:sz w:val="24"/>
          <w:szCs w:val="24"/>
        </w:rPr>
        <w:t>’</w:t>
      </w:r>
    </w:p>
    <w:p w:rsidR="00DD46EC" w:rsidRPr="00AA1FDF" w:rsidRDefault="00DD46EC" w:rsidP="00DD46EC">
      <w:pPr>
        <w:spacing w:after="120" w:line="240" w:lineRule="auto"/>
        <w:ind w:left="720" w:firstLine="170"/>
        <w:rPr>
          <w:rFonts w:ascii="Times New Roman" w:hAnsi="Times New Roman" w:cs="Times New Roman"/>
          <w:sz w:val="24"/>
          <w:szCs w:val="24"/>
        </w:rPr>
      </w:pPr>
      <w:r w:rsidRPr="00AA1FDF">
        <w:rPr>
          <w:rFonts w:ascii="Times New Roman" w:hAnsi="Times New Roman" w:cs="Times New Roman"/>
          <w:sz w:val="24"/>
          <w:szCs w:val="24"/>
        </w:rPr>
        <w:t>‘In course not, ’cos it’s the property of the parsons.  They wouldn’t be so rude.’</w:t>
      </w:r>
    </w:p>
    <w:p w:rsidR="00DD46EC" w:rsidRPr="00AA1FDF" w:rsidRDefault="00DD46EC" w:rsidP="00DD46EC">
      <w:pPr>
        <w:spacing w:after="240" w:line="240" w:lineRule="auto"/>
        <w:ind w:left="720" w:firstLine="170"/>
        <w:rPr>
          <w:rFonts w:ascii="Times New Roman" w:hAnsi="Times New Roman" w:cs="Times New Roman"/>
          <w:sz w:val="24"/>
          <w:szCs w:val="24"/>
        </w:rPr>
      </w:pPr>
      <w:r w:rsidRPr="00AA1FDF">
        <w:rPr>
          <w:rFonts w:ascii="Times New Roman" w:hAnsi="Times New Roman" w:cs="Times New Roman"/>
          <w:sz w:val="24"/>
          <w:szCs w:val="24"/>
        </w:rPr>
        <w:t xml:space="preserve">This coarse jest was received with a shout of laughter; and the health of the Dean and Chapter of Westminster was drunk amidst uproarious applause, by the thieves and loose women assembled in the </w:t>
      </w:r>
      <w:r w:rsidRPr="00AA1FDF">
        <w:rPr>
          <w:rFonts w:ascii="Times New Roman" w:hAnsi="Times New Roman" w:cs="Times New Roman"/>
          <w:i/>
          <w:iCs/>
          <w:sz w:val="24"/>
          <w:szCs w:val="24"/>
        </w:rPr>
        <w:t xml:space="preserve">Dark-House </w:t>
      </w:r>
      <w:r w:rsidRPr="00AA1FDF">
        <w:rPr>
          <w:rFonts w:ascii="Times New Roman" w:hAnsi="Times New Roman" w:cs="Times New Roman"/>
          <w:sz w:val="24"/>
          <w:szCs w:val="24"/>
        </w:rPr>
        <w:t>parlour.</w:t>
      </w:r>
      <w:r w:rsidRPr="00AA1FDF">
        <w:rPr>
          <w:rStyle w:val="FootnoteReference"/>
          <w:rFonts w:ascii="Times New Roman" w:hAnsi="Times New Roman" w:cs="Times New Roman"/>
          <w:sz w:val="24"/>
          <w:szCs w:val="24"/>
        </w:rPr>
        <w:footnoteReference w:id="721"/>
      </w:r>
    </w:p>
    <w:p w:rsidR="00DD46EC" w:rsidRPr="00AA1FDF" w:rsidRDefault="00DD46EC" w:rsidP="00DD46EC">
      <w:pPr>
        <w:spacing w:after="240" w:line="360" w:lineRule="auto"/>
        <w:rPr>
          <w:rFonts w:ascii="Times New Roman" w:hAnsi="Times New Roman" w:cs="Times New Roman"/>
          <w:sz w:val="24"/>
          <w:szCs w:val="24"/>
        </w:rPr>
      </w:pPr>
      <w:r w:rsidRPr="00AA1FDF">
        <w:rPr>
          <w:rFonts w:ascii="Times New Roman" w:hAnsi="Times New Roman" w:cs="Times New Roman"/>
          <w:sz w:val="24"/>
          <w:szCs w:val="24"/>
        </w:rPr>
        <w:t>The woman is angered by the hypocrisy of the ‘parsons of Westminster Abbey’ while appearing to find humour in their behaviour.  She admits to enjoying the base pursuits at the brothel even while protesting her exploitation there.  Although complaining that the legal system offered no protection, she is pleased officers never visited the premises as it would have disrupted the amusements.  Any joke at the expense of the police or clergy invariably takes centre-stage so that discussions generally end in laughter, revealing widespread inability to focus upon the main issues at stake.  Such protest gives sympathy easily but is often short lived and descends into an unsound combination of indignation and lewd comments.  The prostitute’s reference to her ‘sentimental humour’ draws the following response: ‘’Cos you haven’t had enough gin, my dear’.</w:t>
      </w:r>
      <w:r w:rsidRPr="00AA1FDF">
        <w:rPr>
          <w:rStyle w:val="FootnoteReference"/>
          <w:rFonts w:ascii="Times New Roman" w:hAnsi="Times New Roman" w:cs="Times New Roman"/>
          <w:sz w:val="24"/>
          <w:szCs w:val="24"/>
        </w:rPr>
        <w:footnoteReference w:id="722"/>
      </w:r>
      <w:r w:rsidRPr="00AA1FDF">
        <w:rPr>
          <w:rFonts w:ascii="Times New Roman" w:hAnsi="Times New Roman" w:cs="Times New Roman"/>
          <w:sz w:val="24"/>
          <w:szCs w:val="24"/>
        </w:rPr>
        <w:t xml:space="preserve">  The reply receives laughter from those listening who understand its crude suggestion that drink will make her readier to pursue </w:t>
      </w:r>
      <w:r w:rsidRPr="00AA1FDF">
        <w:rPr>
          <w:rFonts w:ascii="Times New Roman" w:hAnsi="Times New Roman" w:cs="Times New Roman"/>
          <w:sz w:val="24"/>
          <w:szCs w:val="24"/>
        </w:rPr>
        <w:lastRenderedPageBreak/>
        <w:t>her trade.  However, it also acknowledges the need to blank out the underlying sadness of life, an unintended criticism that the public house, as Swiggs confesses, merely masks everyday sorrow.</w:t>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When this psychological unpredictability is transferred to the criminal gangs, it becomes more depraved, as displayed in the mood shifts of Tim Splint and Josh Pedlar.  When the former relates his personal history to Josh and Matilda Briggs each express the desire to abandon crime, particularly when Pedlar exclaims, ‘By God! I wish I could turn honest man, Tim!’.</w:t>
      </w:r>
      <w:r w:rsidRPr="00AA1FDF">
        <w:rPr>
          <w:rStyle w:val="FootnoteReference"/>
          <w:rFonts w:ascii="Times New Roman" w:hAnsi="Times New Roman" w:cs="Times New Roman"/>
          <w:sz w:val="24"/>
          <w:szCs w:val="24"/>
        </w:rPr>
        <w:footnoteReference w:id="723"/>
      </w:r>
      <w:r w:rsidRPr="00AA1FDF">
        <w:rPr>
          <w:rFonts w:ascii="Times New Roman" w:hAnsi="Times New Roman" w:cs="Times New Roman"/>
          <w:sz w:val="24"/>
          <w:szCs w:val="24"/>
        </w:rPr>
        <w:t xml:space="preserve">  He acknowledges that outside the short moments of excitement spent in drinking and criminal activity he is overwhelmed by despondency.  Splint ponders how life would be if society allowed him to work honestly rather than judging him for his past, concluding ruefully that nearly all their associates end by suffering ‘transportation or the scaffold!’.</w:t>
      </w:r>
      <w:r w:rsidRPr="00AA1FDF">
        <w:rPr>
          <w:rStyle w:val="FootnoteReference"/>
          <w:rFonts w:ascii="Times New Roman" w:hAnsi="Times New Roman" w:cs="Times New Roman"/>
          <w:sz w:val="24"/>
          <w:szCs w:val="24"/>
        </w:rPr>
        <w:footnoteReference w:id="724"/>
      </w:r>
      <w:r w:rsidRPr="00AA1FDF">
        <w:rPr>
          <w:rFonts w:ascii="Times New Roman" w:hAnsi="Times New Roman" w:cs="Times New Roman"/>
          <w:sz w:val="24"/>
          <w:szCs w:val="24"/>
        </w:rPr>
        <w:t xml:space="preserve">  Despite these sobering reflections, their meeting ends with the decision to rob Benjamin Bones for having previously cheated them.  This violent intention is made clear when they enter his house armed with ‘barkers’ and Tim boasting ‘a damned good clasp knife’.</w:t>
      </w:r>
      <w:r w:rsidRPr="00AA1FDF">
        <w:rPr>
          <w:rStyle w:val="FootnoteReference"/>
          <w:rFonts w:ascii="Times New Roman" w:hAnsi="Times New Roman" w:cs="Times New Roman"/>
          <w:sz w:val="24"/>
          <w:szCs w:val="24"/>
        </w:rPr>
        <w:footnoteReference w:id="725"/>
      </w:r>
      <w:r w:rsidRPr="00AA1FDF">
        <w:rPr>
          <w:rFonts w:ascii="Times New Roman" w:hAnsi="Times New Roman" w:cs="Times New Roman"/>
          <w:sz w:val="24"/>
          <w:szCs w:val="24"/>
        </w:rPr>
        <w:t xml:space="preserve">  Far from turning to honest labour, they are engaged by Bones to burgle the address of Mr Torrens.  While the theft is being committed, Sir Henry Courtenay who is asleep in the room they are searching suddenly wakens and Tim almost unthinkingly draws the blade ‘rapidly and violently across his throat’.</w:t>
      </w:r>
      <w:r w:rsidRPr="00AA1FDF">
        <w:rPr>
          <w:rStyle w:val="FootnoteReference"/>
          <w:rFonts w:ascii="Times New Roman" w:hAnsi="Times New Roman" w:cs="Times New Roman"/>
          <w:sz w:val="24"/>
          <w:szCs w:val="24"/>
        </w:rPr>
        <w:footnoteReference w:id="726"/>
      </w:r>
      <w:r w:rsidRPr="00AA1FDF">
        <w:rPr>
          <w:rFonts w:ascii="Times New Roman" w:hAnsi="Times New Roman" w:cs="Times New Roman"/>
          <w:sz w:val="24"/>
          <w:szCs w:val="24"/>
        </w:rPr>
        <w:t xml:space="preserve">  Both felons are shocked but in a scene that follows soon after, where they carouse with John Jeffreys, all has been forgotten as each express admiration for the famous Tom Rain:</w:t>
      </w:r>
    </w:p>
    <w:p w:rsidR="00DD46EC" w:rsidRPr="00AA1FDF" w:rsidRDefault="00DD46EC" w:rsidP="00DD46EC">
      <w:pPr>
        <w:spacing w:after="240" w:line="240" w:lineRule="auto"/>
        <w:ind w:left="720"/>
        <w:rPr>
          <w:rFonts w:ascii="Times New Roman" w:hAnsi="Times New Roman" w:cs="Times New Roman"/>
          <w:sz w:val="24"/>
          <w:szCs w:val="24"/>
        </w:rPr>
      </w:pPr>
      <w:r w:rsidRPr="00AA1FDF">
        <w:rPr>
          <w:rFonts w:ascii="Times New Roman" w:hAnsi="Times New Roman" w:cs="Times New Roman"/>
          <w:sz w:val="24"/>
          <w:szCs w:val="24"/>
        </w:rPr>
        <w:t>‘The finest highwayman that England ever had,’ observed Josh Pedlar, returning the bottle to Jeffreys.</w:t>
      </w:r>
    </w:p>
    <w:p w:rsidR="00DD46EC" w:rsidRPr="00AA1FDF" w:rsidRDefault="00DD46EC" w:rsidP="00DD46EC">
      <w:pPr>
        <w:spacing w:after="240" w:line="240" w:lineRule="auto"/>
        <w:ind w:left="720" w:firstLine="170"/>
        <w:rPr>
          <w:rFonts w:ascii="Times New Roman" w:hAnsi="Times New Roman" w:cs="Times New Roman"/>
          <w:sz w:val="24"/>
          <w:szCs w:val="24"/>
        </w:rPr>
      </w:pPr>
      <w:r w:rsidRPr="00AA1FDF">
        <w:rPr>
          <w:rFonts w:ascii="Times New Roman" w:hAnsi="Times New Roman" w:cs="Times New Roman"/>
          <w:sz w:val="24"/>
          <w:szCs w:val="24"/>
        </w:rPr>
        <w:t>‘Beat your Dick Turpins and your Jack Sheppards all to nothink!’ added Tim the Snammer.  ‘I say Josh, let you and me take to the road when we’ve done Old Death’s business for him, and sacked the blunt he’s still got to pay us.’</w:t>
      </w:r>
      <w:r w:rsidRPr="00AA1FDF">
        <w:rPr>
          <w:rStyle w:val="FootnoteReference"/>
          <w:rFonts w:ascii="Times New Roman" w:hAnsi="Times New Roman" w:cs="Times New Roman"/>
          <w:sz w:val="24"/>
          <w:szCs w:val="24"/>
        </w:rPr>
        <w:footnoteReference w:id="727"/>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 xml:space="preserve">In the above sequence of events, Reynolds depicts the bewildering psychological swings that are a hallmark of dangerous protest.  Regret for their lifestyle is suddenly abandoned when they are easily persuaded to plunge back into crime.  The murder, something Tim has vowed to do just beforehand, appears more horrifying by the cool manner in which it is carried </w:t>
      </w:r>
      <w:r w:rsidRPr="00AA1FDF">
        <w:rPr>
          <w:rFonts w:ascii="Times New Roman" w:hAnsi="Times New Roman" w:cs="Times New Roman"/>
          <w:sz w:val="24"/>
          <w:szCs w:val="24"/>
        </w:rPr>
        <w:lastRenderedPageBreak/>
        <w:t>out.</w:t>
      </w:r>
      <w:r w:rsidRPr="00AA1FDF">
        <w:rPr>
          <w:rStyle w:val="FootnoteReference"/>
          <w:rFonts w:ascii="Times New Roman" w:hAnsi="Times New Roman" w:cs="Times New Roman"/>
          <w:sz w:val="24"/>
          <w:szCs w:val="24"/>
        </w:rPr>
        <w:footnoteReference w:id="728"/>
      </w:r>
      <w:r w:rsidRPr="00AA1FDF">
        <w:rPr>
          <w:rFonts w:ascii="Times New Roman" w:hAnsi="Times New Roman" w:cs="Times New Roman"/>
          <w:sz w:val="24"/>
          <w:szCs w:val="24"/>
        </w:rPr>
        <w:t xml:space="preserve">  When Courtenay wakes, the automatic reaction is to cut his throat.  The lack of restraint that usually results in violent rage here takes the form of an emotional coldness that seemingly blanks out any feelings.  The horror felt by the pair in the immediate aftermath of the event passes quickly.  In the meeting with Jeffreys, they again embrace a romantic view of criminality with Tim desiring to ‘take to the road’.  Central to these scenes is an implication that the greatest threat to dangerous protest is rational thought.  It is in quiet periods when outside the nervous excitement of criminal activity that felons view their life clearly, analyse it and wish for an alternative. Tim argues that if allowed ‘time to think’ in prison rather than performing hard labour they would realize the error of their ways and accept any </w:t>
      </w:r>
      <w:r w:rsidRPr="00EA2C03">
        <w:rPr>
          <w:rFonts w:ascii="Times New Roman" w:hAnsi="Times New Roman" w:cs="Times New Roman"/>
          <w:sz w:val="24"/>
          <w:szCs w:val="24"/>
        </w:rPr>
        <w:t>opportunity to engage in honest work.  Josh confesses to hat</w:t>
      </w:r>
      <w:r w:rsidR="008E431F" w:rsidRPr="00EA2C03">
        <w:rPr>
          <w:rFonts w:ascii="Times New Roman" w:hAnsi="Times New Roman" w:cs="Times New Roman"/>
          <w:sz w:val="24"/>
          <w:szCs w:val="24"/>
        </w:rPr>
        <w:t>ing</w:t>
      </w:r>
      <w:r w:rsidRPr="00EA2C03">
        <w:rPr>
          <w:rFonts w:ascii="Times New Roman" w:hAnsi="Times New Roman" w:cs="Times New Roman"/>
          <w:sz w:val="24"/>
          <w:szCs w:val="24"/>
        </w:rPr>
        <w:t xml:space="preserve"> quiet</w:t>
      </w:r>
      <w:r w:rsidRPr="00AA1FDF">
        <w:rPr>
          <w:rFonts w:ascii="Times New Roman" w:hAnsi="Times New Roman" w:cs="Times New Roman"/>
          <w:sz w:val="24"/>
          <w:szCs w:val="24"/>
        </w:rPr>
        <w:t xml:space="preserve"> periods when he mopes over things, wishing ‘there wasn’t no such thing as </w:t>
      </w:r>
      <w:r w:rsidRPr="00AA1FDF">
        <w:rPr>
          <w:rFonts w:ascii="Times New Roman" w:hAnsi="Times New Roman" w:cs="Times New Roman"/>
          <w:i/>
          <w:sz w:val="24"/>
          <w:szCs w:val="24"/>
        </w:rPr>
        <w:t>thought</w:t>
      </w:r>
      <w:r w:rsidRPr="00AA1FDF">
        <w:rPr>
          <w:rFonts w:ascii="Times New Roman" w:hAnsi="Times New Roman" w:cs="Times New Roman"/>
          <w:sz w:val="24"/>
          <w:szCs w:val="24"/>
        </w:rPr>
        <w:t>’.</w:t>
      </w:r>
      <w:r w:rsidRPr="00AA1FDF">
        <w:rPr>
          <w:rStyle w:val="FootnoteReference"/>
          <w:rFonts w:ascii="Times New Roman" w:hAnsi="Times New Roman" w:cs="Times New Roman"/>
          <w:sz w:val="24"/>
          <w:szCs w:val="24"/>
        </w:rPr>
        <w:footnoteReference w:id="729"/>
      </w:r>
      <w:r w:rsidRPr="00AA1FDF">
        <w:rPr>
          <w:rFonts w:ascii="Times New Roman" w:hAnsi="Times New Roman" w:cs="Times New Roman"/>
          <w:sz w:val="24"/>
          <w:szCs w:val="24"/>
        </w:rPr>
        <w:t xml:space="preserve">  In his unstable psychological state he </w:t>
      </w:r>
      <w:r w:rsidRPr="00A37C76">
        <w:rPr>
          <w:rFonts w:ascii="Times New Roman" w:hAnsi="Times New Roman" w:cs="Times New Roman"/>
          <w:sz w:val="24"/>
          <w:szCs w:val="24"/>
        </w:rPr>
        <w:t>seems to</w:t>
      </w:r>
      <w:r w:rsidR="00CA2E93" w:rsidRPr="00A37C76">
        <w:rPr>
          <w:rFonts w:ascii="Times New Roman" w:hAnsi="Times New Roman" w:cs="Times New Roman"/>
          <w:sz w:val="24"/>
          <w:szCs w:val="24"/>
        </w:rPr>
        <w:t xml:space="preserve"> hope</w:t>
      </w:r>
      <w:r w:rsidRPr="00A37C76">
        <w:rPr>
          <w:rFonts w:ascii="Times New Roman" w:hAnsi="Times New Roman" w:cs="Times New Roman"/>
          <w:sz w:val="24"/>
          <w:szCs w:val="24"/>
        </w:rPr>
        <w:t xml:space="preserve"> for</w:t>
      </w:r>
      <w:r w:rsidRPr="00AA1FDF">
        <w:rPr>
          <w:rFonts w:ascii="Times New Roman" w:hAnsi="Times New Roman" w:cs="Times New Roman"/>
          <w:sz w:val="24"/>
          <w:szCs w:val="24"/>
        </w:rPr>
        <w:t xml:space="preserve"> an honest life while being frightened at the idea of it.  Such descriptions show the dangerous classes unable to cultivate calm reason in the frenzied atmosphere they inhabit, preferring unrestrained exercise of the passions which dulls their humanity and ends in actions like the cutting of Courtenay’s throat.</w:t>
      </w:r>
    </w:p>
    <w:p w:rsidR="00DD46EC" w:rsidRPr="00AA1FDF" w:rsidRDefault="00DD46EC" w:rsidP="00DD46EC">
      <w:pPr>
        <w:spacing w:after="120" w:line="360" w:lineRule="auto"/>
        <w:ind w:firstLine="720"/>
        <w:rPr>
          <w:rFonts w:ascii="Times New Roman" w:hAnsi="Times New Roman" w:cs="Times New Roman"/>
          <w:bCs/>
          <w:sz w:val="24"/>
          <w:szCs w:val="24"/>
        </w:rPr>
      </w:pPr>
      <w:r w:rsidRPr="00AA1FDF">
        <w:rPr>
          <w:rFonts w:ascii="Times New Roman" w:hAnsi="Times New Roman" w:cs="Times New Roman"/>
          <w:sz w:val="24"/>
          <w:szCs w:val="24"/>
        </w:rPr>
        <w:t xml:space="preserve">Reynolds also exposes the self-mythologizing that </w:t>
      </w:r>
      <w:r w:rsidRPr="00AA1FDF">
        <w:rPr>
          <w:rFonts w:ascii="Times New Roman" w:hAnsi="Times New Roman" w:cs="Times New Roman"/>
          <w:bCs/>
          <w:sz w:val="24"/>
          <w:szCs w:val="24"/>
        </w:rPr>
        <w:t xml:space="preserve">frames </w:t>
      </w:r>
      <w:r w:rsidRPr="00AA1FDF">
        <w:rPr>
          <w:rFonts w:ascii="Times New Roman" w:hAnsi="Times New Roman" w:cs="Times New Roman"/>
          <w:sz w:val="24"/>
          <w:szCs w:val="24"/>
        </w:rPr>
        <w:t>dangerous</w:t>
      </w:r>
      <w:r w:rsidRPr="00AA1FDF">
        <w:rPr>
          <w:rFonts w:ascii="Times New Roman" w:hAnsi="Times New Roman" w:cs="Times New Roman"/>
          <w:bCs/>
          <w:sz w:val="24"/>
          <w:szCs w:val="24"/>
        </w:rPr>
        <w:t xml:space="preserve"> protest</w:t>
      </w:r>
      <w:r w:rsidRPr="00AA1FDF">
        <w:rPr>
          <w:rFonts w:ascii="Times New Roman" w:hAnsi="Times New Roman" w:cs="Times New Roman"/>
          <w:sz w:val="24"/>
          <w:szCs w:val="24"/>
        </w:rPr>
        <w:t xml:space="preserve"> </w:t>
      </w:r>
      <w:r w:rsidRPr="00AA1FDF">
        <w:rPr>
          <w:rFonts w:ascii="Times New Roman" w:hAnsi="Times New Roman" w:cs="Times New Roman"/>
          <w:bCs/>
          <w:sz w:val="24"/>
          <w:szCs w:val="24"/>
        </w:rPr>
        <w:t>within an idealised image of behaviour from an earlier age.  When Bill Bolter receives his death sentence, he revives the tradition of abusing the judge. Those standing before the scaffold adopt a similarly confrontational manner:</w:t>
      </w:r>
    </w:p>
    <w:p w:rsidR="00DD46EC" w:rsidRPr="00AA1FDF" w:rsidRDefault="00DD46EC" w:rsidP="00DD46EC">
      <w:pPr>
        <w:spacing w:after="120" w:line="240" w:lineRule="auto"/>
        <w:ind w:left="720"/>
        <w:rPr>
          <w:rFonts w:ascii="Times New Roman" w:hAnsi="Times New Roman" w:cs="Times New Roman"/>
          <w:sz w:val="24"/>
          <w:szCs w:val="24"/>
        </w:rPr>
      </w:pPr>
      <w:r w:rsidRPr="00AA1FDF">
        <w:rPr>
          <w:rFonts w:ascii="Times New Roman" w:hAnsi="Times New Roman" w:cs="Times New Roman"/>
          <w:sz w:val="24"/>
          <w:szCs w:val="24"/>
        </w:rPr>
        <w:t>'It is now half-past seven.  He is about receiving the sacrament.’</w:t>
      </w:r>
    </w:p>
    <w:p w:rsidR="00DD46EC" w:rsidRPr="00AA1FDF" w:rsidRDefault="00DD46EC" w:rsidP="00DD46EC">
      <w:pPr>
        <w:spacing w:after="120" w:line="240" w:lineRule="auto"/>
        <w:ind w:left="720" w:firstLine="170"/>
        <w:rPr>
          <w:rFonts w:ascii="Times New Roman" w:hAnsi="Times New Roman" w:cs="Times New Roman"/>
          <w:sz w:val="24"/>
          <w:szCs w:val="24"/>
        </w:rPr>
      </w:pPr>
      <w:r w:rsidRPr="00AA1FDF">
        <w:rPr>
          <w:rFonts w:ascii="Times New Roman" w:hAnsi="Times New Roman" w:cs="Times New Roman"/>
          <w:sz w:val="24"/>
          <w:szCs w:val="24"/>
        </w:rPr>
        <w:t>‘Well—if I was he, I’d send the old parson to the devil, and pitch into the sheriffs.’</w:t>
      </w:r>
    </w:p>
    <w:p w:rsidR="00DD46EC" w:rsidRPr="00AA1FDF" w:rsidRDefault="00DD46EC" w:rsidP="00DD46EC">
      <w:pPr>
        <w:spacing w:after="120" w:line="240" w:lineRule="auto"/>
        <w:ind w:left="720" w:firstLine="170"/>
        <w:rPr>
          <w:rFonts w:ascii="Times New Roman" w:hAnsi="Times New Roman" w:cs="Times New Roman"/>
          <w:sz w:val="24"/>
          <w:szCs w:val="24"/>
        </w:rPr>
      </w:pPr>
      <w:r w:rsidRPr="00AA1FDF">
        <w:rPr>
          <w:rFonts w:ascii="Times New Roman" w:hAnsi="Times New Roman" w:cs="Times New Roman"/>
          <w:sz w:val="24"/>
          <w:szCs w:val="24"/>
        </w:rPr>
        <w:t>‘Yes—so would I.  For my part I should like to live such a life as Jack Sheppard or Dick Turpin did, even if I did get hanged at last.’</w:t>
      </w:r>
    </w:p>
    <w:p w:rsidR="00DD46EC" w:rsidRPr="00AA1FDF" w:rsidRDefault="00DD46EC" w:rsidP="00DD46EC">
      <w:pPr>
        <w:spacing w:after="240" w:line="240" w:lineRule="auto"/>
        <w:ind w:left="720" w:firstLine="170"/>
        <w:rPr>
          <w:rFonts w:ascii="Times New Roman" w:hAnsi="Times New Roman" w:cs="Times New Roman"/>
          <w:sz w:val="24"/>
          <w:szCs w:val="24"/>
        </w:rPr>
      </w:pPr>
      <w:r w:rsidRPr="00AA1FDF">
        <w:rPr>
          <w:rFonts w:ascii="Times New Roman" w:hAnsi="Times New Roman" w:cs="Times New Roman"/>
          <w:sz w:val="24"/>
          <w:szCs w:val="24"/>
        </w:rPr>
        <w:t>‘There is something noble and exciting in the existence of a highwayman: and then—at last—what admiration on the part of the crowd—what applause when he appears upon the drop!’</w:t>
      </w:r>
      <w:r w:rsidRPr="00AA1FDF">
        <w:rPr>
          <w:rStyle w:val="FootnoteReference"/>
          <w:rFonts w:ascii="Times New Roman" w:hAnsi="Times New Roman" w:cs="Times New Roman"/>
          <w:sz w:val="24"/>
          <w:szCs w:val="24"/>
        </w:rPr>
        <w:footnoteReference w:id="730"/>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 xml:space="preserve">Their words, like the songs of the tavern, are informed by the alleged romanticism of the highwayman’s life in which respect for the law and religious belief is cast aside.  The spectators live these sensations vicariously by making heroes of thugs like Bolter who murders his wife and would blind his young daughter to enhance her begging power.  However, his </w:t>
      </w:r>
      <w:r w:rsidRPr="00AA1FDF">
        <w:rPr>
          <w:rFonts w:ascii="Times New Roman" w:hAnsi="Times New Roman" w:cs="Times New Roman"/>
          <w:bCs/>
          <w:sz w:val="24"/>
          <w:szCs w:val="24"/>
        </w:rPr>
        <w:t xml:space="preserve">bravado is a sham, an ‘affectation of recklessness which even the most </w:t>
      </w:r>
      <w:r w:rsidRPr="00AA1FDF">
        <w:rPr>
          <w:rFonts w:ascii="Times New Roman" w:hAnsi="Times New Roman" w:cs="Times New Roman"/>
          <w:bCs/>
          <w:sz w:val="24"/>
          <w:szCs w:val="24"/>
        </w:rPr>
        <w:lastRenderedPageBreak/>
        <w:t>hardened could scarcely feel’.</w:t>
      </w:r>
      <w:r w:rsidRPr="00AA1FDF">
        <w:rPr>
          <w:rStyle w:val="FootnoteReference"/>
          <w:rFonts w:ascii="Times New Roman" w:hAnsi="Times New Roman" w:cs="Times New Roman"/>
          <w:bCs/>
          <w:sz w:val="24"/>
          <w:szCs w:val="24"/>
        </w:rPr>
        <w:footnoteReference w:id="731"/>
      </w:r>
      <w:r w:rsidRPr="00AA1FDF">
        <w:rPr>
          <w:rFonts w:ascii="Times New Roman" w:hAnsi="Times New Roman" w:cs="Times New Roman"/>
          <w:bCs/>
          <w:sz w:val="24"/>
          <w:szCs w:val="24"/>
        </w:rPr>
        <w:t xml:space="preserve">  Those watching are ignorant of the torments he undergoes as execution nears and that his outward scorn </w:t>
      </w:r>
      <w:r w:rsidRPr="00AA1FDF">
        <w:rPr>
          <w:rFonts w:ascii="Times New Roman" w:hAnsi="Times New Roman" w:cs="Times New Roman"/>
          <w:sz w:val="24"/>
          <w:szCs w:val="24"/>
        </w:rPr>
        <w:t xml:space="preserve">masks a fear of death and horror at his deeds.  Bolter’s final hours symbolize the </w:t>
      </w:r>
      <w:r w:rsidRPr="00AA1FDF">
        <w:rPr>
          <w:rFonts w:ascii="Times New Roman" w:hAnsi="Times New Roman" w:cs="Times New Roman"/>
          <w:bCs/>
          <w:sz w:val="24"/>
          <w:szCs w:val="24"/>
        </w:rPr>
        <w:t xml:space="preserve">chasm between image and reality that exists throughout the dangerous classes.  </w:t>
      </w:r>
      <w:r w:rsidRPr="00AA1FDF">
        <w:rPr>
          <w:rFonts w:ascii="Times New Roman" w:hAnsi="Times New Roman" w:cs="Times New Roman"/>
          <w:sz w:val="24"/>
          <w:szCs w:val="24"/>
        </w:rPr>
        <w:t>The camaraderie flaunted in their songs seldom occurs in everyday life.  Exceptions are seen when the Cracksman thinks his colleagues have deserted him during a robbery but still shares the stolen money, and Dick Flairer helps Bolter by bringing food when he is confined in the Fleet Ditch hideout.  However, such instances are few and the overall picture is one of little loyalty as Flairer argues when insisting Bolter go into hiding:</w:t>
      </w:r>
    </w:p>
    <w:p w:rsidR="00DD46EC" w:rsidRPr="00AA1FDF" w:rsidRDefault="00DD46EC" w:rsidP="00DD46EC">
      <w:pPr>
        <w:spacing w:after="240" w:line="240" w:lineRule="auto"/>
        <w:ind w:left="720"/>
        <w:rPr>
          <w:rFonts w:ascii="Times New Roman" w:hAnsi="Times New Roman" w:cs="Times New Roman"/>
          <w:bCs/>
          <w:sz w:val="24"/>
          <w:szCs w:val="24"/>
        </w:rPr>
      </w:pPr>
      <w:r w:rsidRPr="00AA1FDF">
        <w:rPr>
          <w:rFonts w:ascii="Times New Roman" w:hAnsi="Times New Roman" w:cs="Times New Roman"/>
          <w:bCs/>
          <w:sz w:val="24"/>
          <w:szCs w:val="24"/>
        </w:rPr>
        <w:t>Mark me, Bill</w:t>
      </w:r>
      <w:r w:rsidRPr="00AA1FDF">
        <w:rPr>
          <w:rFonts w:ascii="Times New Roman" w:hAnsi="Times New Roman" w:cs="Times New Roman"/>
          <w:sz w:val="24"/>
          <w:szCs w:val="24"/>
        </w:rPr>
        <w:t>—</w:t>
      </w:r>
      <w:r w:rsidRPr="00AA1FDF">
        <w:rPr>
          <w:rFonts w:ascii="Times New Roman" w:hAnsi="Times New Roman" w:cs="Times New Roman"/>
          <w:bCs/>
          <w:sz w:val="24"/>
          <w:szCs w:val="24"/>
        </w:rPr>
        <w:t xml:space="preserve">if yer goes up to Rat’s Castle in Saint Giles’s, you would find too many tongues among them cursed Irishers to ask </w:t>
      </w:r>
      <w:r w:rsidRPr="00AA1FDF">
        <w:rPr>
          <w:rFonts w:ascii="Times New Roman" w:hAnsi="Times New Roman" w:cs="Times New Roman"/>
          <w:bCs/>
          <w:i/>
          <w:iCs/>
          <w:sz w:val="24"/>
          <w:szCs w:val="24"/>
        </w:rPr>
        <w:t>‘Who is he?’</w:t>
      </w:r>
      <w:r w:rsidRPr="00AA1FDF">
        <w:rPr>
          <w:rFonts w:ascii="Times New Roman" w:hAnsi="Times New Roman" w:cs="Times New Roman"/>
          <w:bCs/>
          <w:sz w:val="24"/>
          <w:szCs w:val="24"/>
        </w:rPr>
        <w:t xml:space="preserve"> and </w:t>
      </w:r>
      <w:r w:rsidRPr="00AA1FDF">
        <w:rPr>
          <w:rFonts w:ascii="Times New Roman" w:hAnsi="Times New Roman" w:cs="Times New Roman"/>
          <w:bCs/>
          <w:i/>
          <w:iCs/>
          <w:sz w:val="24"/>
          <w:szCs w:val="24"/>
        </w:rPr>
        <w:t>‘What is he?’</w:t>
      </w:r>
      <w:r w:rsidRPr="00AA1FDF">
        <w:rPr>
          <w:rFonts w:ascii="Times New Roman" w:hAnsi="Times New Roman" w:cs="Times New Roman"/>
          <w:bCs/>
          <w:sz w:val="24"/>
          <w:szCs w:val="24"/>
        </w:rPr>
        <w:t xml:space="preserve">  If you goes over to the Mint, you’ll be sure to be twigged by a lot o’ them low buzgloaks and broken-down magsmen as swarms there; and they’ll nose upon you for a penny.  Whitechapel back-slums isn’t safe; for the broomgals, the blacks, and the ballad singers which occupies all that district, is always a quarrelling; and the blue-bottles is constantly poking their nose in every crib in consekvence.</w:t>
      </w:r>
      <w:r w:rsidRPr="00AA1FDF">
        <w:rPr>
          <w:rStyle w:val="FootnoteReference"/>
          <w:rFonts w:ascii="Times New Roman" w:hAnsi="Times New Roman" w:cs="Times New Roman"/>
          <w:bCs/>
          <w:sz w:val="24"/>
          <w:szCs w:val="24"/>
        </w:rPr>
        <w:footnoteReference w:id="732"/>
      </w:r>
    </w:p>
    <w:p w:rsidR="00DD46EC" w:rsidRPr="008E431F" w:rsidRDefault="00DD46EC" w:rsidP="00DD46EC">
      <w:pPr>
        <w:spacing w:after="120" w:line="360" w:lineRule="auto"/>
        <w:rPr>
          <w:rFonts w:ascii="Times New Roman" w:hAnsi="Times New Roman" w:cs="Times New Roman"/>
          <w:color w:val="002060"/>
          <w:sz w:val="24"/>
          <w:szCs w:val="24"/>
          <w:u w:val="single"/>
        </w:rPr>
      </w:pPr>
      <w:r w:rsidRPr="00AA1FDF">
        <w:rPr>
          <w:rFonts w:ascii="Times New Roman" w:hAnsi="Times New Roman" w:cs="Times New Roman"/>
          <w:sz w:val="24"/>
          <w:szCs w:val="24"/>
        </w:rPr>
        <w:t>These words reject Catherine Hays’s confident claim a century before that these districts provide reliable safe havens.  Now the inhabitants are driven by self-interest with betrayal most likely to come from criminal elements.  Flairer echoes the divisions that exist with his dismissal of the buzgloaks and magsmen, who have low status in the fraternity and whom he sees as targets for police infiltrators.  Reynolds provides his own appraisal with a later authorial insertion repeating the view that the worst informers are criminals themselves.</w:t>
      </w:r>
      <w:r w:rsidRPr="00AA1FDF">
        <w:rPr>
          <w:rStyle w:val="FootnoteReference"/>
          <w:rFonts w:ascii="Times New Roman" w:hAnsi="Times New Roman" w:cs="Times New Roman"/>
          <w:sz w:val="24"/>
          <w:szCs w:val="24"/>
        </w:rPr>
        <w:footnoteReference w:id="733"/>
      </w:r>
      <w:r w:rsidRPr="00AA1FDF">
        <w:rPr>
          <w:rFonts w:ascii="Times New Roman" w:hAnsi="Times New Roman" w:cs="Times New Roman"/>
          <w:sz w:val="24"/>
          <w:szCs w:val="24"/>
        </w:rPr>
        <w:t xml:space="preserve">  Bolter goes further, having little trust in his closest associates when hearing there is a hundred pounds reward on his head: ‘Such a sum might tempt even Dick Flairer or Tom the Cracksman’.</w:t>
      </w:r>
      <w:r w:rsidRPr="00AA1FDF">
        <w:rPr>
          <w:rStyle w:val="FootnoteReference"/>
          <w:rFonts w:ascii="Times New Roman" w:hAnsi="Times New Roman" w:cs="Times New Roman"/>
          <w:sz w:val="24"/>
          <w:szCs w:val="24"/>
        </w:rPr>
        <w:footnoteReference w:id="734"/>
      </w:r>
      <w:r w:rsidRPr="00AA1FDF">
        <w:rPr>
          <w:rFonts w:ascii="Times New Roman" w:hAnsi="Times New Roman" w:cs="Times New Roman"/>
          <w:sz w:val="24"/>
          <w:szCs w:val="24"/>
        </w:rPr>
        <w:t xml:space="preserve">  It is significant he should suspect this pair, since he appears to regard them as the most loyal </w:t>
      </w:r>
      <w:r w:rsidRPr="00EA2C03">
        <w:rPr>
          <w:rFonts w:ascii="Times New Roman" w:hAnsi="Times New Roman" w:cs="Times New Roman"/>
          <w:sz w:val="24"/>
          <w:szCs w:val="24"/>
        </w:rPr>
        <w:t>gang members. This treachery extends</w:t>
      </w:r>
      <w:r w:rsidRPr="00AA1FDF">
        <w:rPr>
          <w:rFonts w:ascii="Times New Roman" w:hAnsi="Times New Roman" w:cs="Times New Roman"/>
          <w:sz w:val="24"/>
          <w:szCs w:val="24"/>
        </w:rPr>
        <w:t xml:space="preserve"> to internal transactions.  W</w:t>
      </w:r>
      <w:r w:rsidRPr="00AA1FDF">
        <w:rPr>
          <w:rFonts w:ascii="Times New Roman" w:hAnsi="Times New Roman" w:cs="Times New Roman"/>
          <w:bCs/>
          <w:sz w:val="24"/>
          <w:szCs w:val="24"/>
        </w:rPr>
        <w:t>hen the opportunity arises, most are liable to keep the proceeds of theft rather than sharing them with colleagues.  The greed of Vitriol Bob who keeps a bag of sovereigns from a robbery carried out with Jack Rily results in the latter’s simmering resentment and ultimately their fatal combat.</w:t>
      </w:r>
      <w:r w:rsidRPr="00AA1FDF">
        <w:rPr>
          <w:rFonts w:ascii="Times New Roman" w:hAnsi="Times New Roman" w:cs="Times New Roman"/>
          <w:b/>
          <w:bCs/>
          <w:sz w:val="24"/>
          <w:szCs w:val="24"/>
        </w:rPr>
        <w:t xml:space="preserve">  </w:t>
      </w:r>
      <w:r w:rsidRPr="00AA1FDF">
        <w:rPr>
          <w:rFonts w:ascii="Times New Roman" w:hAnsi="Times New Roman" w:cs="Times New Roman"/>
          <w:sz w:val="24"/>
          <w:szCs w:val="24"/>
        </w:rPr>
        <w:t xml:space="preserve">The gangs may use geographical knowledge to monitor law enforcement agencies </w:t>
      </w:r>
      <w:r w:rsidRPr="00AA1FDF">
        <w:rPr>
          <w:rFonts w:ascii="Times New Roman" w:hAnsi="Times New Roman" w:cs="Times New Roman"/>
          <w:sz w:val="24"/>
          <w:szCs w:val="24"/>
        </w:rPr>
        <w:lastRenderedPageBreak/>
        <w:t>but they spy upon themselves just as frequently.  Henry Holford follows Tidkins to his den in Happy Valley while the Buffer tracks Crankey Jem.</w:t>
      </w:r>
      <w:r w:rsidRPr="00AA1FDF">
        <w:rPr>
          <w:rStyle w:val="FootnoteReference"/>
          <w:rFonts w:ascii="Times New Roman" w:hAnsi="Times New Roman" w:cs="Times New Roman"/>
          <w:sz w:val="24"/>
          <w:szCs w:val="24"/>
        </w:rPr>
        <w:footnoteReference w:id="735"/>
      </w:r>
      <w:r w:rsidRPr="00AA1FDF">
        <w:rPr>
          <w:rFonts w:ascii="Times New Roman" w:hAnsi="Times New Roman" w:cs="Times New Roman"/>
          <w:bCs/>
          <w:sz w:val="24"/>
          <w:szCs w:val="24"/>
        </w:rPr>
        <w:t xml:space="preserve">  Meanwhile, the </w:t>
      </w:r>
      <w:r w:rsidRPr="00AA1FDF">
        <w:rPr>
          <w:rFonts w:ascii="Times New Roman" w:hAnsi="Times New Roman" w:cs="Times New Roman"/>
          <w:sz w:val="24"/>
          <w:szCs w:val="24"/>
        </w:rPr>
        <w:t>Bully Grand informs Tidkins of Jem’s whereabouts near Drury Lane and that Meg Flathers lives in Hoxton.</w:t>
      </w:r>
      <w:r w:rsidRPr="00AA1FDF">
        <w:rPr>
          <w:rStyle w:val="FootnoteReference"/>
          <w:rFonts w:ascii="Times New Roman" w:hAnsi="Times New Roman" w:cs="Times New Roman"/>
          <w:sz w:val="24"/>
          <w:szCs w:val="24"/>
        </w:rPr>
        <w:footnoteReference w:id="736"/>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For Reynolds, this lifestyle makes a politically conscious outlook alien to the dangerous classes, as when the Buffer describes his time in the workhouse and the change that conditions wrought upon inmates:</w:t>
      </w:r>
    </w:p>
    <w:p w:rsidR="00DD46EC" w:rsidRPr="00AA1FDF" w:rsidRDefault="00DD46EC" w:rsidP="00DD46EC">
      <w:pPr>
        <w:spacing w:after="120" w:line="240" w:lineRule="auto"/>
        <w:ind w:left="720"/>
        <w:rPr>
          <w:rFonts w:ascii="Times New Roman" w:hAnsi="Times New Roman" w:cs="Times New Roman"/>
          <w:sz w:val="24"/>
          <w:szCs w:val="24"/>
        </w:rPr>
      </w:pPr>
      <w:r w:rsidRPr="00AA1FDF">
        <w:rPr>
          <w:rFonts w:ascii="Times New Roman" w:hAnsi="Times New Roman" w:cs="Times New Roman"/>
          <w:sz w:val="24"/>
          <w:szCs w:val="24"/>
        </w:rPr>
        <w:t>They grow discontented with the world, and look upon their superiors with abhorrence.  An army of able-bodied men, recruited from all the Unions in the kingdom, would make the finest republican soldiers imaginable.  They would proceed with good heart to level throne, aristocracy, and every institution which they believed oppressive to the industrious classes.</w:t>
      </w:r>
    </w:p>
    <w:p w:rsidR="00DD46EC" w:rsidRPr="00AA1FDF" w:rsidRDefault="00DD46EC" w:rsidP="00DD46EC">
      <w:pPr>
        <w:spacing w:after="240" w:line="240" w:lineRule="auto"/>
        <w:ind w:left="720" w:firstLine="170"/>
        <w:rPr>
          <w:rFonts w:ascii="Times New Roman" w:hAnsi="Times New Roman" w:cs="Times New Roman"/>
          <w:sz w:val="24"/>
          <w:szCs w:val="24"/>
        </w:rPr>
      </w:pPr>
      <w:r w:rsidRPr="00AA1FDF">
        <w:rPr>
          <w:rFonts w:ascii="Times New Roman" w:hAnsi="Times New Roman" w:cs="Times New Roman"/>
          <w:sz w:val="24"/>
          <w:szCs w:val="24"/>
        </w:rPr>
        <w:t>But that is no business of mine—and I care nothing for politics of any kind.</w:t>
      </w:r>
      <w:r w:rsidRPr="00AA1FDF">
        <w:rPr>
          <w:rStyle w:val="FootnoteReference"/>
          <w:rFonts w:ascii="Times New Roman" w:hAnsi="Times New Roman" w:cs="Times New Roman"/>
          <w:sz w:val="24"/>
          <w:szCs w:val="24"/>
        </w:rPr>
        <w:footnoteReference w:id="737"/>
      </w:r>
    </w:p>
    <w:p w:rsidR="00DD46EC" w:rsidRPr="00AA1FDF" w:rsidRDefault="00DD46EC" w:rsidP="00DD46EC">
      <w:pPr>
        <w:spacing w:after="120" w:line="360" w:lineRule="auto"/>
        <w:rPr>
          <w:rFonts w:ascii="Times New Roman" w:hAnsi="Times New Roman" w:cs="Times New Roman"/>
          <w:sz w:val="24"/>
          <w:szCs w:val="24"/>
        </w:rPr>
      </w:pPr>
      <w:r w:rsidRPr="00AA1FDF">
        <w:rPr>
          <w:rFonts w:ascii="Times New Roman" w:hAnsi="Times New Roman" w:cs="Times New Roman"/>
          <w:sz w:val="24"/>
          <w:szCs w:val="24"/>
        </w:rPr>
        <w:t xml:space="preserve">His words reveal how his protest diverges from that of the honest poor.  Like Joe the coal-whipper he rejects their path, despite regarding them as capable of becoming a political force that might bring down their oppressors.  Even allowing that such a proceeding will be done in ‘good-heart’, he remains an outsider unmoved by any radicalizing influences and it is ‘They’ not he who will act in this manner.  Vitriol </w:t>
      </w:r>
      <w:r w:rsidRPr="00AA1FDF">
        <w:rPr>
          <w:rFonts w:ascii="Times New Roman" w:hAnsi="Times New Roman" w:cs="Times New Roman"/>
          <w:bCs/>
          <w:sz w:val="24"/>
          <w:szCs w:val="24"/>
        </w:rPr>
        <w:t xml:space="preserve">Bob echoes this viewpoint more venomously when after seeing drinkers discussing social issues he </w:t>
      </w:r>
      <w:r w:rsidRPr="00AA1FDF">
        <w:rPr>
          <w:rFonts w:ascii="Times New Roman" w:hAnsi="Times New Roman" w:cs="Times New Roman"/>
          <w:sz w:val="24"/>
          <w:szCs w:val="24"/>
        </w:rPr>
        <w:t>refers sarcastically to ‘the advantage of hearing them political sermons in the Bengal Arms’.</w:t>
      </w:r>
      <w:r w:rsidRPr="00AA1FDF">
        <w:rPr>
          <w:rStyle w:val="FootnoteReference"/>
          <w:rFonts w:ascii="Times New Roman" w:hAnsi="Times New Roman" w:cs="Times New Roman"/>
          <w:sz w:val="24"/>
          <w:szCs w:val="24"/>
        </w:rPr>
        <w:footnoteReference w:id="738"/>
      </w:r>
      <w:r w:rsidRPr="00AA1FDF">
        <w:rPr>
          <w:rFonts w:ascii="Times New Roman" w:hAnsi="Times New Roman" w:cs="Times New Roman"/>
          <w:sz w:val="24"/>
          <w:szCs w:val="24"/>
        </w:rPr>
        <w:t xml:space="preserve">  With no intention of earning an honest livelihood he is uninterested in what such strategies might achieve.  The reference to ‘sermons’ indicates how he regards progressive thought as just another form of authority that will restrict his freedom.  </w:t>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sz w:val="24"/>
          <w:szCs w:val="24"/>
        </w:rPr>
        <w:t xml:space="preserve">In the </w:t>
      </w:r>
      <w:r w:rsidR="00CA2E93" w:rsidRPr="00A37C76">
        <w:rPr>
          <w:rFonts w:ascii="Times New Roman" w:hAnsi="Times New Roman" w:cs="Times New Roman"/>
          <w:sz w:val="24"/>
          <w:szCs w:val="24"/>
        </w:rPr>
        <w:t>I</w:t>
      </w:r>
      <w:r w:rsidRPr="00A37C76">
        <w:rPr>
          <w:rFonts w:ascii="Times New Roman" w:hAnsi="Times New Roman" w:cs="Times New Roman"/>
          <w:sz w:val="24"/>
          <w:szCs w:val="24"/>
        </w:rPr>
        <w:t>ntroduction, Diagram</w:t>
      </w:r>
      <w:r w:rsidRPr="00AA1FDF">
        <w:rPr>
          <w:rFonts w:ascii="Times New Roman" w:hAnsi="Times New Roman" w:cs="Times New Roman"/>
          <w:sz w:val="24"/>
          <w:szCs w:val="24"/>
        </w:rPr>
        <w:t xml:space="preserve"> C suggests that behind its violent exterior, dangerous protest lacked any desire for genuine social advancement.  Tom Bottomore writes that protest may bring change but can also aim ‘at winning acceptance in the existing society’ largely in obedience to its predominant values.</w:t>
      </w:r>
      <w:r w:rsidRPr="00AA1FDF">
        <w:rPr>
          <w:rStyle w:val="FootnoteReference"/>
          <w:rFonts w:ascii="Times New Roman" w:hAnsi="Times New Roman" w:cs="Times New Roman"/>
          <w:sz w:val="24"/>
          <w:szCs w:val="24"/>
        </w:rPr>
        <w:footnoteReference w:id="739"/>
      </w:r>
      <w:r w:rsidRPr="00AA1FDF">
        <w:rPr>
          <w:rFonts w:ascii="Times New Roman" w:hAnsi="Times New Roman" w:cs="Times New Roman"/>
          <w:sz w:val="24"/>
          <w:szCs w:val="24"/>
        </w:rPr>
        <w:t xml:space="preserve">  Behind their ferocity, the ultimate wish of many within the dangerous classes is to join the ranks of the wealthy</w:t>
      </w:r>
      <w:r w:rsidRPr="00AA1FDF">
        <w:rPr>
          <w:rFonts w:ascii="Times New Roman" w:hAnsi="Times New Roman" w:cs="Times New Roman"/>
          <w:b/>
          <w:sz w:val="24"/>
          <w:szCs w:val="24"/>
        </w:rPr>
        <w:t xml:space="preserve">.  </w:t>
      </w:r>
      <w:r w:rsidRPr="00AA1FDF">
        <w:rPr>
          <w:rFonts w:ascii="Times New Roman" w:hAnsi="Times New Roman" w:cs="Times New Roman"/>
          <w:bCs/>
          <w:sz w:val="24"/>
          <w:szCs w:val="24"/>
        </w:rPr>
        <w:t>Tidkins dreams of acquiring enough money so that he can retire from crime.</w:t>
      </w:r>
      <w:r w:rsidRPr="00AA1FDF">
        <w:rPr>
          <w:rFonts w:ascii="Times New Roman" w:hAnsi="Times New Roman" w:cs="Times New Roman"/>
          <w:b/>
          <w:sz w:val="24"/>
          <w:szCs w:val="24"/>
        </w:rPr>
        <w:t xml:space="preserve">  </w:t>
      </w:r>
      <w:r w:rsidRPr="00AA1FDF">
        <w:rPr>
          <w:rFonts w:ascii="Times New Roman" w:hAnsi="Times New Roman" w:cs="Times New Roman"/>
          <w:sz w:val="24"/>
          <w:szCs w:val="24"/>
        </w:rPr>
        <w:t xml:space="preserve">Jack Rily desires a bourgeois existence after his lucrative dealings with the head-clerk, Mr Green: ‘He had already resolved to abandon his nefarious pursuits, which indeed were no longer necessary—and settle down quietly in the </w:t>
      </w:r>
      <w:r w:rsidRPr="00AA1FDF">
        <w:rPr>
          <w:rFonts w:ascii="Times New Roman" w:hAnsi="Times New Roman" w:cs="Times New Roman"/>
          <w:sz w:val="24"/>
          <w:szCs w:val="24"/>
        </w:rPr>
        <w:lastRenderedPageBreak/>
        <w:t>cottage for the purchase of which he had that day concluded a bargain’.</w:t>
      </w:r>
      <w:r w:rsidRPr="00AA1FDF">
        <w:rPr>
          <w:rStyle w:val="FootnoteReference"/>
          <w:rFonts w:ascii="Times New Roman" w:hAnsi="Times New Roman" w:cs="Times New Roman"/>
          <w:sz w:val="24"/>
          <w:szCs w:val="24"/>
        </w:rPr>
        <w:footnoteReference w:id="740"/>
      </w:r>
      <w:r w:rsidRPr="00AA1FDF">
        <w:rPr>
          <w:rFonts w:ascii="Times New Roman" w:hAnsi="Times New Roman" w:cs="Times New Roman"/>
          <w:sz w:val="24"/>
          <w:szCs w:val="24"/>
        </w:rPr>
        <w:t xml:space="preserve">  </w:t>
      </w:r>
      <w:r w:rsidRPr="00AA1FDF">
        <w:rPr>
          <w:rFonts w:ascii="Times New Roman" w:hAnsi="Times New Roman" w:cs="Times New Roman"/>
          <w:bCs/>
          <w:sz w:val="24"/>
          <w:szCs w:val="24"/>
        </w:rPr>
        <w:t xml:space="preserve">Rily acquires most of his wealth quite legally through an associate who speculates on the financial markets, </w:t>
      </w:r>
      <w:r w:rsidRPr="00EA2C03">
        <w:rPr>
          <w:rFonts w:ascii="Times New Roman" w:hAnsi="Times New Roman" w:cs="Times New Roman"/>
          <w:bCs/>
          <w:sz w:val="24"/>
          <w:szCs w:val="24"/>
        </w:rPr>
        <w:t>s</w:t>
      </w:r>
      <w:r w:rsidR="008E431F" w:rsidRPr="00EA2C03">
        <w:rPr>
          <w:rFonts w:ascii="Times New Roman" w:hAnsi="Times New Roman" w:cs="Times New Roman"/>
          <w:bCs/>
          <w:sz w:val="24"/>
          <w:szCs w:val="24"/>
        </w:rPr>
        <w:t>howing</w:t>
      </w:r>
      <w:r w:rsidRPr="00EA2C03">
        <w:rPr>
          <w:rFonts w:ascii="Times New Roman" w:hAnsi="Times New Roman" w:cs="Times New Roman"/>
          <w:bCs/>
          <w:sz w:val="24"/>
          <w:szCs w:val="24"/>
        </w:rPr>
        <w:t xml:space="preserve"> his acceptance</w:t>
      </w:r>
      <w:r w:rsidRPr="00AA1FDF">
        <w:rPr>
          <w:rFonts w:ascii="Times New Roman" w:hAnsi="Times New Roman" w:cs="Times New Roman"/>
          <w:bCs/>
          <w:sz w:val="24"/>
          <w:szCs w:val="24"/>
        </w:rPr>
        <w:t xml:space="preserve"> of the official mechanisms of society.  Far from being wedded to the excitement of an oppositional lifestyle, he wishes to abandon it for a future of quiet respectability.  </w:t>
      </w:r>
      <w:r w:rsidRPr="00AA1FDF">
        <w:rPr>
          <w:rFonts w:ascii="Times New Roman" w:hAnsi="Times New Roman" w:cs="Times New Roman"/>
          <w:sz w:val="24"/>
          <w:szCs w:val="24"/>
          <w:shd w:val="clear" w:color="auto" w:fill="FFFFFF"/>
        </w:rPr>
        <w:t>Reynolds’s perspective of this protest bears some similarity to that of Marx and Engels:</w:t>
      </w:r>
    </w:p>
    <w:p w:rsidR="00DD46EC" w:rsidRPr="00AA1FDF" w:rsidRDefault="00DD46EC" w:rsidP="00DD46EC">
      <w:pPr>
        <w:spacing w:after="240" w:line="240" w:lineRule="auto"/>
        <w:ind w:left="720"/>
        <w:rPr>
          <w:rFonts w:ascii="Times New Roman" w:hAnsi="Times New Roman" w:cs="Times New Roman"/>
          <w:sz w:val="24"/>
          <w:szCs w:val="24"/>
          <w:shd w:val="clear" w:color="auto" w:fill="FFFFFF"/>
        </w:rPr>
      </w:pPr>
      <w:r w:rsidRPr="00AA1FDF">
        <w:rPr>
          <w:rFonts w:ascii="Times New Roman" w:hAnsi="Times New Roman" w:cs="Times New Roman"/>
          <w:sz w:val="24"/>
          <w:szCs w:val="24"/>
          <w:shd w:val="clear" w:color="auto" w:fill="FFFFFF"/>
        </w:rPr>
        <w:t>The ‘dangerous class,’</w:t>
      </w:r>
      <w:r w:rsidRPr="00AA1FDF">
        <w:rPr>
          <w:rStyle w:val="inote"/>
          <w:rFonts w:ascii="Times New Roman" w:hAnsi="Times New Roman" w:cs="Times New Roman"/>
          <w:sz w:val="24"/>
          <w:szCs w:val="24"/>
          <w:shd w:val="clear" w:color="auto" w:fill="FFFFFF"/>
        </w:rPr>
        <w:t xml:space="preserve"> </w:t>
      </w:r>
      <w:r w:rsidRPr="00AA1FDF">
        <w:rPr>
          <w:rFonts w:ascii="Times New Roman" w:hAnsi="Times New Roman" w:cs="Times New Roman"/>
          <w:sz w:val="24"/>
          <w:szCs w:val="24"/>
          <w:shd w:val="clear" w:color="auto" w:fill="FFFFFF"/>
        </w:rPr>
        <w:t>the social scum, that passively rotting mass thrown off by the lowest layers of old society, may, here and there, be swept into the movement by a proletarian revolution; its conditions of life, however, prepare it far more for the part of a bribed tool of reactionary intrigue.</w:t>
      </w:r>
      <w:r w:rsidRPr="00AA1FDF">
        <w:rPr>
          <w:rStyle w:val="FootnoteReference"/>
          <w:rFonts w:ascii="Times New Roman" w:hAnsi="Times New Roman" w:cs="Times New Roman"/>
          <w:sz w:val="24"/>
          <w:szCs w:val="24"/>
          <w:shd w:val="clear" w:color="auto" w:fill="FFFFFF"/>
        </w:rPr>
        <w:footnoteReference w:id="741"/>
      </w:r>
    </w:p>
    <w:p w:rsidR="00DD46EC" w:rsidRPr="00AA1FDF" w:rsidRDefault="00DD46EC" w:rsidP="00DD46EC">
      <w:pPr>
        <w:spacing w:after="120" w:line="360" w:lineRule="auto"/>
        <w:rPr>
          <w:rFonts w:ascii="Times New Roman" w:hAnsi="Times New Roman" w:cs="Times New Roman"/>
          <w:bCs/>
          <w:sz w:val="24"/>
          <w:szCs w:val="24"/>
        </w:rPr>
      </w:pPr>
      <w:r w:rsidRPr="00AA1FDF">
        <w:rPr>
          <w:rFonts w:ascii="Times New Roman" w:hAnsi="Times New Roman" w:cs="Times New Roman"/>
          <w:sz w:val="24"/>
          <w:szCs w:val="24"/>
        </w:rPr>
        <w:t>Its apolitical nature and indiscriminate rage means that the ruling classes can see those involved as useful if rather volatile tools. Anne Humpherys writes how financial manipulators ‘tend to work through agents from a lower class’.</w:t>
      </w:r>
      <w:r w:rsidRPr="00AA1FDF">
        <w:rPr>
          <w:rStyle w:val="FootnoteReference"/>
          <w:rFonts w:ascii="Times New Roman" w:hAnsi="Times New Roman" w:cs="Times New Roman"/>
          <w:sz w:val="24"/>
          <w:szCs w:val="24"/>
        </w:rPr>
        <w:footnoteReference w:id="742"/>
      </w:r>
      <w:r w:rsidRPr="00AA1FDF">
        <w:rPr>
          <w:rFonts w:ascii="Times New Roman" w:hAnsi="Times New Roman" w:cs="Times New Roman"/>
          <w:sz w:val="24"/>
          <w:szCs w:val="24"/>
        </w:rPr>
        <w:t xml:space="preserve">  Arthur Chichester agrees with Eugene Markham that Tidkins would be a dangerous enemy but adds ‘he is one of the necessary implements which men of the world must make use of at times, to carve out their way to fortune’.</w:t>
      </w:r>
      <w:r w:rsidRPr="00AA1FDF">
        <w:rPr>
          <w:rStyle w:val="FootnoteReference"/>
          <w:rFonts w:ascii="Times New Roman" w:hAnsi="Times New Roman" w:cs="Times New Roman"/>
          <w:sz w:val="24"/>
          <w:szCs w:val="24"/>
        </w:rPr>
        <w:footnoteReference w:id="743"/>
      </w:r>
      <w:r w:rsidRPr="00AA1FDF">
        <w:rPr>
          <w:rFonts w:ascii="Times New Roman" w:hAnsi="Times New Roman" w:cs="Times New Roman"/>
          <w:sz w:val="24"/>
          <w:szCs w:val="24"/>
        </w:rPr>
        <w:t xml:space="preserve">  Jessica Hindes points out that Reynolds frequently presents ‘working-class villains’ as mercenaries whose tasks for wealthy employers extend to murder.</w:t>
      </w:r>
      <w:r w:rsidRPr="00AA1FDF">
        <w:rPr>
          <w:rStyle w:val="FootnoteReference"/>
          <w:rFonts w:ascii="Times New Roman" w:hAnsi="Times New Roman" w:cs="Times New Roman"/>
          <w:sz w:val="24"/>
          <w:szCs w:val="24"/>
        </w:rPr>
        <w:footnoteReference w:id="744"/>
      </w:r>
      <w:r w:rsidRPr="00AA1FDF">
        <w:rPr>
          <w:rFonts w:ascii="Times New Roman" w:hAnsi="Times New Roman" w:cs="Times New Roman"/>
          <w:sz w:val="24"/>
          <w:szCs w:val="24"/>
        </w:rPr>
        <w:t xml:space="preserve">  There is a symbolism in the hiring of Tidkins by Lady Adeline Enfield to kill Lydia Hutchinson, which sees the lumpen proletarian paid to destroy one from the industrious classes who challenges a member of the aristocracy. His constant r</w:t>
      </w:r>
      <w:r w:rsidRPr="00AA1FDF">
        <w:rPr>
          <w:rFonts w:ascii="Times New Roman" w:hAnsi="Times New Roman" w:cs="Times New Roman"/>
          <w:bCs/>
          <w:sz w:val="24"/>
          <w:szCs w:val="24"/>
        </w:rPr>
        <w:t>esort to violence might threaten well-placed individuals but not the social system, making such protest inherently conservative.</w:t>
      </w:r>
    </w:p>
    <w:p w:rsidR="00DD46EC" w:rsidRPr="00AA1FDF" w:rsidRDefault="00DD46EC" w:rsidP="00DD46EC">
      <w:pPr>
        <w:spacing w:after="120" w:line="360" w:lineRule="auto"/>
        <w:ind w:firstLine="720"/>
        <w:rPr>
          <w:rFonts w:ascii="Times New Roman" w:hAnsi="Times New Roman" w:cs="Times New Roman"/>
          <w:sz w:val="24"/>
          <w:szCs w:val="24"/>
        </w:rPr>
      </w:pPr>
      <w:r w:rsidRPr="00AA1FDF">
        <w:rPr>
          <w:rFonts w:ascii="Times New Roman" w:hAnsi="Times New Roman" w:cs="Times New Roman"/>
          <w:bCs/>
          <w:sz w:val="24"/>
          <w:szCs w:val="24"/>
        </w:rPr>
        <w:t>The chapter has sought to analyse how Reynolds undermines dangerous dissent</w:t>
      </w:r>
      <w:r w:rsidRPr="00AA1FDF">
        <w:rPr>
          <w:rFonts w:ascii="Times New Roman" w:hAnsi="Times New Roman" w:cs="Times New Roman"/>
          <w:sz w:val="24"/>
          <w:szCs w:val="24"/>
        </w:rPr>
        <w:t xml:space="preserve">. </w:t>
      </w:r>
      <w:r w:rsidRPr="00AA1FDF">
        <w:rPr>
          <w:rFonts w:ascii="Times New Roman" w:hAnsi="Times New Roman" w:cs="Times New Roman"/>
          <w:bCs/>
          <w:sz w:val="24"/>
          <w:szCs w:val="24"/>
        </w:rPr>
        <w:t xml:space="preserve"> Such opposition is doomed because it must retreat before modernity and rely upon increasing levels of self-delusion.  The </w:t>
      </w:r>
      <w:r w:rsidRPr="00AA1FDF">
        <w:rPr>
          <w:rFonts w:ascii="Times New Roman" w:hAnsi="Times New Roman" w:cs="Times New Roman"/>
          <w:sz w:val="24"/>
          <w:szCs w:val="24"/>
        </w:rPr>
        <w:t xml:space="preserve">congratulatory songs performed in the boozing-kens point to attitudes </w:t>
      </w:r>
      <w:r w:rsidR="00C61093" w:rsidRPr="00F832C9">
        <w:rPr>
          <w:rFonts w:ascii="Times New Roman" w:hAnsi="Times New Roman" w:cs="Times New Roman"/>
          <w:sz w:val="24"/>
          <w:szCs w:val="24"/>
        </w:rPr>
        <w:t>that belong to</w:t>
      </w:r>
      <w:r w:rsidRPr="00F832C9">
        <w:rPr>
          <w:rFonts w:ascii="Times New Roman" w:hAnsi="Times New Roman" w:cs="Times New Roman"/>
          <w:sz w:val="24"/>
          <w:szCs w:val="24"/>
        </w:rPr>
        <w:t xml:space="preserve"> an</w:t>
      </w:r>
      <w:r w:rsidRPr="00AA1FDF">
        <w:rPr>
          <w:rFonts w:ascii="Times New Roman" w:hAnsi="Times New Roman" w:cs="Times New Roman"/>
          <w:sz w:val="24"/>
          <w:szCs w:val="24"/>
        </w:rPr>
        <w:t xml:space="preserve"> earlier period.</w:t>
      </w:r>
      <w:r w:rsidRPr="00AA1FDF">
        <w:rPr>
          <w:rStyle w:val="FootnoteReference"/>
          <w:rFonts w:ascii="Times New Roman" w:hAnsi="Times New Roman" w:cs="Times New Roman"/>
          <w:sz w:val="24"/>
          <w:szCs w:val="24"/>
        </w:rPr>
        <w:footnoteReference w:id="745"/>
      </w:r>
      <w:r w:rsidRPr="00AA1FDF">
        <w:rPr>
          <w:rFonts w:ascii="Times New Roman" w:hAnsi="Times New Roman" w:cs="Times New Roman"/>
          <w:sz w:val="24"/>
          <w:szCs w:val="24"/>
        </w:rPr>
        <w:t xml:space="preserve">  Even here the criminal gangs deceive themselves, since their activities a</w:t>
      </w:r>
      <w:r w:rsidRPr="00AA1FDF">
        <w:rPr>
          <w:rFonts w:ascii="Times New Roman" w:eastAsia="Times New Roman" w:hAnsi="Times New Roman" w:cs="Times New Roman"/>
          <w:sz w:val="24"/>
          <w:szCs w:val="24"/>
          <w:lang w:eastAsia="en-GB"/>
        </w:rPr>
        <w:t xml:space="preserve">s street robbers never enjoyed the romance accorded to highwaymen, </w:t>
      </w:r>
      <w:r w:rsidRPr="00AA1FDF">
        <w:rPr>
          <w:rFonts w:ascii="Times New Roman" w:eastAsia="Times New Roman" w:hAnsi="Times New Roman" w:cs="Times New Roman"/>
          <w:sz w:val="24"/>
          <w:szCs w:val="24"/>
          <w:lang w:eastAsia="en-GB"/>
        </w:rPr>
        <w:lastRenderedPageBreak/>
        <w:t>leading to them being regarded as the lowest of the low even in the early-eighteenth century.</w:t>
      </w:r>
      <w:r w:rsidRPr="00AA1FDF">
        <w:rPr>
          <w:rStyle w:val="FootnoteReference"/>
          <w:rFonts w:ascii="Times New Roman" w:hAnsi="Times New Roman" w:cs="Times New Roman"/>
          <w:sz w:val="24"/>
          <w:szCs w:val="24"/>
        </w:rPr>
        <w:footnoteReference w:id="746"/>
      </w:r>
      <w:r w:rsidRPr="00AA1FDF">
        <w:rPr>
          <w:rFonts w:ascii="Times New Roman" w:eastAsia="Times New Roman" w:hAnsi="Times New Roman" w:cs="Times New Roman"/>
          <w:sz w:val="24"/>
          <w:szCs w:val="24"/>
          <w:lang w:eastAsia="en-GB"/>
        </w:rPr>
        <w:t xml:space="preserve">  </w:t>
      </w:r>
      <w:r w:rsidRPr="00AA1FDF">
        <w:rPr>
          <w:rFonts w:ascii="Times New Roman" w:hAnsi="Times New Roman" w:cs="Times New Roman"/>
          <w:sz w:val="24"/>
          <w:szCs w:val="24"/>
        </w:rPr>
        <w:t>Behind the façade of a criminal brotherhood lies distrust and treachery, exemplified by Anthony Tidkins</w:t>
      </w:r>
      <w:r w:rsidRPr="00AA1FDF">
        <w:rPr>
          <w:rFonts w:ascii="Times New Roman" w:hAnsi="Times New Roman" w:cs="Times New Roman"/>
          <w:b/>
          <w:sz w:val="24"/>
          <w:szCs w:val="24"/>
        </w:rPr>
        <w:t xml:space="preserve">.  </w:t>
      </w:r>
      <w:r w:rsidRPr="00AA1FDF">
        <w:rPr>
          <w:rFonts w:ascii="Times New Roman" w:hAnsi="Times New Roman" w:cs="Times New Roman"/>
          <w:sz w:val="24"/>
          <w:szCs w:val="24"/>
        </w:rPr>
        <w:t xml:space="preserve">Betrayal of the Fleet Ditch hideout to the police and later blowing up of the den near Bird-cage Walk see him destroy the </w:t>
      </w:r>
      <w:r w:rsidRPr="0088437F">
        <w:rPr>
          <w:rFonts w:ascii="Times New Roman" w:hAnsi="Times New Roman" w:cs="Times New Roman"/>
          <w:sz w:val="24"/>
          <w:szCs w:val="24"/>
        </w:rPr>
        <w:t xml:space="preserve">geographical structures </w:t>
      </w:r>
      <w:r w:rsidR="0089012F" w:rsidRPr="0088437F">
        <w:rPr>
          <w:rFonts w:ascii="Times New Roman" w:hAnsi="Times New Roman" w:cs="Times New Roman"/>
          <w:sz w:val="24"/>
          <w:szCs w:val="24"/>
        </w:rPr>
        <w:t>that</w:t>
      </w:r>
      <w:r w:rsidRPr="0088437F">
        <w:rPr>
          <w:rFonts w:ascii="Times New Roman" w:hAnsi="Times New Roman" w:cs="Times New Roman"/>
          <w:sz w:val="24"/>
          <w:szCs w:val="24"/>
        </w:rPr>
        <w:t xml:space="preserve"> elsewhere he claims to love</w:t>
      </w:r>
      <w:r w:rsidR="0089012F" w:rsidRPr="0088437F">
        <w:rPr>
          <w:rFonts w:ascii="Times New Roman" w:hAnsi="Times New Roman" w:cs="Times New Roman"/>
          <w:sz w:val="24"/>
          <w:szCs w:val="24"/>
        </w:rPr>
        <w:t xml:space="preserve"> and which his class re</w:t>
      </w:r>
      <w:r w:rsidR="0088437F">
        <w:rPr>
          <w:rFonts w:ascii="Times New Roman" w:hAnsi="Times New Roman" w:cs="Times New Roman"/>
          <w:sz w:val="24"/>
          <w:szCs w:val="24"/>
        </w:rPr>
        <w:t>ly</w:t>
      </w:r>
      <w:r w:rsidR="0089012F" w:rsidRPr="0088437F">
        <w:rPr>
          <w:rFonts w:ascii="Times New Roman" w:hAnsi="Times New Roman" w:cs="Times New Roman"/>
          <w:sz w:val="24"/>
          <w:szCs w:val="24"/>
        </w:rPr>
        <w:t xml:space="preserve"> upon</w:t>
      </w:r>
      <w:r w:rsidRPr="0088437F">
        <w:rPr>
          <w:rFonts w:ascii="Times New Roman" w:hAnsi="Times New Roman" w:cs="Times New Roman"/>
          <w:sz w:val="24"/>
          <w:szCs w:val="24"/>
        </w:rPr>
        <w:t>.  A parallel de</w:t>
      </w:r>
      <w:r w:rsidR="0089012F" w:rsidRPr="0088437F">
        <w:rPr>
          <w:rFonts w:ascii="Times New Roman" w:hAnsi="Times New Roman" w:cs="Times New Roman"/>
          <w:sz w:val="24"/>
          <w:szCs w:val="24"/>
        </w:rPr>
        <w:t>ceitful</w:t>
      </w:r>
      <w:r w:rsidRPr="00AA1FDF">
        <w:rPr>
          <w:rFonts w:ascii="Times New Roman" w:hAnsi="Times New Roman" w:cs="Times New Roman"/>
          <w:sz w:val="24"/>
          <w:szCs w:val="24"/>
        </w:rPr>
        <w:t xml:space="preserve"> process is observable in the betrayals of Bill Bolter and Crankey Jem which reveal the hollowness of their much-vaunted camaraderie.</w:t>
      </w:r>
      <w:r w:rsidRPr="00AA1FDF">
        <w:rPr>
          <w:rStyle w:val="FootnoteReference"/>
          <w:rFonts w:ascii="Times New Roman" w:hAnsi="Times New Roman" w:cs="Times New Roman"/>
          <w:sz w:val="24"/>
          <w:szCs w:val="24"/>
        </w:rPr>
        <w:footnoteReference w:id="747"/>
      </w:r>
      <w:r w:rsidRPr="00AA1FDF">
        <w:rPr>
          <w:rFonts w:ascii="Times New Roman" w:hAnsi="Times New Roman" w:cs="Times New Roman"/>
          <w:sz w:val="24"/>
          <w:szCs w:val="24"/>
        </w:rPr>
        <w:t xml:space="preserve">  Nevertheless, while acknowledging </w:t>
      </w:r>
      <w:r w:rsidRPr="0089012F">
        <w:rPr>
          <w:rFonts w:ascii="Times New Roman" w:hAnsi="Times New Roman" w:cs="Times New Roman"/>
          <w:sz w:val="24"/>
          <w:szCs w:val="24"/>
        </w:rPr>
        <w:t xml:space="preserve">its </w:t>
      </w:r>
      <w:r w:rsidR="00CA2E93" w:rsidRPr="0089012F">
        <w:rPr>
          <w:rFonts w:ascii="Times New Roman" w:hAnsi="Times New Roman" w:cs="Times New Roman"/>
          <w:sz w:val="24"/>
          <w:szCs w:val="24"/>
        </w:rPr>
        <w:t>degenerate</w:t>
      </w:r>
      <w:r w:rsidRPr="00AA1FDF">
        <w:rPr>
          <w:rFonts w:ascii="Times New Roman" w:hAnsi="Times New Roman" w:cs="Times New Roman"/>
          <w:sz w:val="24"/>
          <w:szCs w:val="24"/>
        </w:rPr>
        <w:t xml:space="preserve"> nature, some writers suggest Tidkins’s anti-establishment criminality contains a potential radical force.</w:t>
      </w:r>
      <w:r w:rsidRPr="00AA1FDF">
        <w:rPr>
          <w:rStyle w:val="FootnoteReference"/>
          <w:rFonts w:ascii="Times New Roman" w:hAnsi="Times New Roman" w:cs="Times New Roman"/>
          <w:sz w:val="24"/>
          <w:szCs w:val="24"/>
        </w:rPr>
        <w:footnoteReference w:id="748"/>
      </w:r>
      <w:r w:rsidRPr="00AA1FDF">
        <w:rPr>
          <w:rFonts w:ascii="Times New Roman" w:hAnsi="Times New Roman" w:cs="Times New Roman"/>
          <w:sz w:val="24"/>
          <w:szCs w:val="24"/>
        </w:rPr>
        <w:t xml:space="preserve">  For Reynolds, however, this protest is thoroughly </w:t>
      </w:r>
      <w:r w:rsidRPr="0088437F">
        <w:rPr>
          <w:rFonts w:ascii="Times New Roman" w:hAnsi="Times New Roman" w:cs="Times New Roman"/>
          <w:sz w:val="24"/>
          <w:szCs w:val="24"/>
        </w:rPr>
        <w:t>reactionary.  Although beginning in justified resentment against the upper classes, it soon turns to violence.  The first sign</w:t>
      </w:r>
      <w:r w:rsidR="0089012F" w:rsidRPr="0088437F">
        <w:rPr>
          <w:rFonts w:ascii="Times New Roman" w:hAnsi="Times New Roman" w:cs="Times New Roman"/>
          <w:sz w:val="24"/>
          <w:szCs w:val="24"/>
        </w:rPr>
        <w:t xml:space="preserve"> </w:t>
      </w:r>
      <w:r w:rsidRPr="0088437F">
        <w:rPr>
          <w:rFonts w:ascii="Times New Roman" w:hAnsi="Times New Roman" w:cs="Times New Roman"/>
          <w:sz w:val="24"/>
          <w:szCs w:val="24"/>
        </w:rPr>
        <w:t xml:space="preserve">occurs when he is harshly sentenced to a month on the treadmill for stealing a turnip from the fields when starving and for sleeping rough under a hedge.  </w:t>
      </w:r>
      <w:r w:rsidR="0089012F" w:rsidRPr="0088437F">
        <w:rPr>
          <w:rFonts w:ascii="Times New Roman" w:hAnsi="Times New Roman" w:cs="Times New Roman"/>
          <w:sz w:val="24"/>
          <w:szCs w:val="24"/>
        </w:rPr>
        <w:t>U</w:t>
      </w:r>
      <w:r w:rsidRPr="0088437F">
        <w:rPr>
          <w:rFonts w:ascii="Times New Roman" w:hAnsi="Times New Roman" w:cs="Times New Roman"/>
          <w:sz w:val="24"/>
          <w:szCs w:val="24"/>
        </w:rPr>
        <w:t>pon release</w:t>
      </w:r>
      <w:r w:rsidRPr="00AA1FDF">
        <w:rPr>
          <w:rFonts w:ascii="Times New Roman" w:hAnsi="Times New Roman" w:cs="Times New Roman"/>
          <w:sz w:val="24"/>
          <w:szCs w:val="24"/>
        </w:rPr>
        <w:t xml:space="preserve"> he returns to burgle the vindictive magistrate and sets fire to a barn, the flames of which spread to the man’s house:</w:t>
      </w:r>
    </w:p>
    <w:p w:rsidR="00DD46EC" w:rsidRPr="00AA1FDF" w:rsidRDefault="00DD46EC" w:rsidP="00DD46EC">
      <w:pPr>
        <w:spacing w:after="120" w:line="240" w:lineRule="auto"/>
        <w:ind w:left="720"/>
        <w:rPr>
          <w:rFonts w:ascii="Times New Roman" w:hAnsi="Times New Roman" w:cs="Times New Roman"/>
          <w:sz w:val="24"/>
          <w:szCs w:val="24"/>
        </w:rPr>
      </w:pPr>
      <w:r w:rsidRPr="00AA1FDF">
        <w:rPr>
          <w:rFonts w:ascii="Times New Roman" w:hAnsi="Times New Roman" w:cs="Times New Roman"/>
          <w:sz w:val="24"/>
          <w:szCs w:val="24"/>
        </w:rPr>
        <w:t>Oh! how happy did I feel at that moment.  Happy!  this is not the word!  I was mad—intoxicated—delirious with joy.  I literally danced as I saw the barn burning.  I was avenged on the man who would not allow me to eat a cold turnip to save me from starving:—that one cold turnip cost him dear!</w:t>
      </w:r>
    </w:p>
    <w:p w:rsidR="00DD46EC" w:rsidRPr="00AA1FDF" w:rsidRDefault="00DD46EC" w:rsidP="00DD46EC">
      <w:pPr>
        <w:spacing w:after="240" w:line="240" w:lineRule="auto"/>
        <w:ind w:left="720" w:firstLine="170"/>
        <w:rPr>
          <w:rFonts w:ascii="Times New Roman" w:hAnsi="Times New Roman" w:cs="Times New Roman"/>
          <w:sz w:val="24"/>
          <w:szCs w:val="24"/>
        </w:rPr>
      </w:pPr>
      <w:r w:rsidRPr="00AA1FDF">
        <w:rPr>
          <w:rFonts w:ascii="Times New Roman" w:hAnsi="Times New Roman" w:cs="Times New Roman"/>
          <w:sz w:val="24"/>
          <w:szCs w:val="24"/>
        </w:rPr>
        <w:t>And the upper classes wonder that there are so many incendiary fires: my only surprise is, that there are so few!  Ah!  The Lucifer-match is a fearful weapon in the hands of the man whom the laws, the aristocracy, and the present state of society have ground down to the very dust.  I felt all my power—I knew all my strength—I was aware of all my importance as a man, when I read of the awful extent of misery and desolation which I had thus caused.  Oh! I was signally avenged!</w:t>
      </w:r>
      <w:r w:rsidRPr="00AA1FDF">
        <w:rPr>
          <w:rStyle w:val="FootnoteReference"/>
          <w:rFonts w:ascii="Times New Roman" w:hAnsi="Times New Roman" w:cs="Times New Roman"/>
          <w:sz w:val="24"/>
          <w:szCs w:val="24"/>
        </w:rPr>
        <w:footnoteReference w:id="749"/>
      </w:r>
    </w:p>
    <w:p w:rsidR="00DD46EC" w:rsidRPr="002B1E20" w:rsidRDefault="00DD46EC" w:rsidP="00DD46EC">
      <w:pPr>
        <w:spacing w:after="120" w:line="360" w:lineRule="auto"/>
        <w:rPr>
          <w:rFonts w:ascii="Times New Roman" w:hAnsi="Times New Roman" w:cs="Times New Roman"/>
          <w:bCs/>
          <w:sz w:val="24"/>
          <w:szCs w:val="24"/>
        </w:rPr>
      </w:pPr>
      <w:r w:rsidRPr="00AA1FDF">
        <w:rPr>
          <w:rFonts w:ascii="Times New Roman" w:hAnsi="Times New Roman" w:cs="Times New Roman"/>
          <w:sz w:val="24"/>
          <w:szCs w:val="24"/>
        </w:rPr>
        <w:t xml:space="preserve">His incendiarism is marked by a craving for revenge and lack of concern </w:t>
      </w:r>
      <w:r w:rsidRPr="0088437F">
        <w:rPr>
          <w:rFonts w:ascii="Times New Roman" w:hAnsi="Times New Roman" w:cs="Times New Roman"/>
          <w:sz w:val="24"/>
          <w:szCs w:val="24"/>
        </w:rPr>
        <w:t xml:space="preserve">for </w:t>
      </w:r>
      <w:r w:rsidR="0089012F" w:rsidRPr="0088437F">
        <w:rPr>
          <w:rFonts w:ascii="Times New Roman" w:hAnsi="Times New Roman" w:cs="Times New Roman"/>
          <w:sz w:val="24"/>
          <w:szCs w:val="24"/>
        </w:rPr>
        <w:t>any</w:t>
      </w:r>
      <w:r w:rsidRPr="0088437F">
        <w:rPr>
          <w:rFonts w:ascii="Times New Roman" w:hAnsi="Times New Roman" w:cs="Times New Roman"/>
          <w:sz w:val="24"/>
          <w:szCs w:val="24"/>
        </w:rPr>
        <w:t xml:space="preserve"> pain</w:t>
      </w:r>
      <w:r w:rsidRPr="00AA1FDF">
        <w:rPr>
          <w:rFonts w:ascii="Times New Roman" w:hAnsi="Times New Roman" w:cs="Times New Roman"/>
          <w:sz w:val="24"/>
          <w:szCs w:val="24"/>
        </w:rPr>
        <w:t xml:space="preserve"> it causes others.  In this outlook such violence restores his humanity through the feelings of </w:t>
      </w:r>
      <w:r w:rsidRPr="00AA1FDF">
        <w:rPr>
          <w:rFonts w:ascii="Times New Roman" w:hAnsi="Times New Roman" w:cs="Times New Roman"/>
          <w:sz w:val="24"/>
          <w:szCs w:val="24"/>
        </w:rPr>
        <w:lastRenderedPageBreak/>
        <w:t xml:space="preserve">empowerment it brings.  The death of the magistrate’s innocent daughter makes him rejoice even more because the notoriety it brings adds to his sense of importance.  The need to gratify these base passions underpins Tidkins’s rebellion throughout his career of indiscriminate destructiveness.  Since strength and violence are so lauded, it is unsurprising he expresses most affinity with the poor when they too adopt such </w:t>
      </w:r>
      <w:r w:rsidRPr="00A54A36">
        <w:rPr>
          <w:rFonts w:ascii="Times New Roman" w:hAnsi="Times New Roman" w:cs="Times New Roman"/>
          <w:sz w:val="24"/>
          <w:szCs w:val="24"/>
        </w:rPr>
        <w:t xml:space="preserve">methods, symbolized </w:t>
      </w:r>
      <w:r w:rsidR="00465EDA" w:rsidRPr="00A54A36">
        <w:rPr>
          <w:rFonts w:ascii="Times New Roman" w:hAnsi="Times New Roman" w:cs="Times New Roman"/>
          <w:sz w:val="24"/>
          <w:szCs w:val="24"/>
        </w:rPr>
        <w:t>by</w:t>
      </w:r>
      <w:r w:rsidRPr="00AA1FDF">
        <w:rPr>
          <w:rFonts w:ascii="Times New Roman" w:hAnsi="Times New Roman" w:cs="Times New Roman"/>
          <w:sz w:val="24"/>
          <w:szCs w:val="24"/>
        </w:rPr>
        <w:t xml:space="preserve"> his recitation of ‘The Incendiary’s Song’.  For Reynolds, the moral and psychological gulf that lay between honest workers and criminal gangs meant there could be no common cause in their struggles.  It is typified in the pride of the waiter at Saffron Hill who proclaims the capital ‘a wonderful place’ because it is ideal to acquire money from burial clubs for the murder of young children about which he joyfully boasts: ‘I really do think that London beats all other cities in the world for matters of that sort.’</w:t>
      </w:r>
      <w:r w:rsidRPr="00AA1FDF">
        <w:rPr>
          <w:rStyle w:val="FootnoteReference"/>
          <w:rFonts w:ascii="Times New Roman" w:hAnsi="Times New Roman" w:cs="Times New Roman"/>
          <w:sz w:val="24"/>
          <w:szCs w:val="24"/>
        </w:rPr>
        <w:footnoteReference w:id="750"/>
      </w:r>
      <w:r w:rsidRPr="00AA1FDF">
        <w:rPr>
          <w:rFonts w:ascii="Times New Roman" w:hAnsi="Times New Roman" w:cs="Times New Roman"/>
          <w:sz w:val="24"/>
          <w:szCs w:val="24"/>
        </w:rPr>
        <w:t xml:space="preserve">  Such moral confusion is apparent when those who work so professionally to exhume corpses also develop horrific methods to supply bodies for their clients.  The Buffer boasts how he thought of dragging people off the street when there was insufficient time to open graves while the Cracksman brags it was he who suggested the idea of the ‘drowning tub’ to keep them in suitable condition for the surgeons.</w:t>
      </w:r>
      <w:r w:rsidRPr="00AA1FDF">
        <w:rPr>
          <w:rStyle w:val="FootnoteReference"/>
          <w:rFonts w:ascii="Times New Roman" w:hAnsi="Times New Roman" w:cs="Times New Roman"/>
          <w:sz w:val="24"/>
          <w:szCs w:val="24"/>
        </w:rPr>
        <w:footnoteReference w:id="751"/>
      </w:r>
      <w:r w:rsidRPr="00AA1FDF">
        <w:rPr>
          <w:rFonts w:ascii="Times New Roman" w:hAnsi="Times New Roman" w:cs="Times New Roman"/>
          <w:sz w:val="24"/>
          <w:szCs w:val="24"/>
        </w:rPr>
        <w:t xml:space="preserve">  </w:t>
      </w:r>
      <w:r w:rsidRPr="00AA1FDF">
        <w:rPr>
          <w:rFonts w:ascii="Times New Roman" w:hAnsi="Times New Roman" w:cs="Times New Roman"/>
          <w:bCs/>
          <w:sz w:val="24"/>
          <w:szCs w:val="24"/>
        </w:rPr>
        <w:t xml:space="preserve">Ultimately, it is a protest stripped of the best human emotions, </w:t>
      </w:r>
      <w:r w:rsidR="00465EDA" w:rsidRPr="00A54A36">
        <w:rPr>
          <w:rFonts w:ascii="Times New Roman" w:hAnsi="Times New Roman" w:cs="Times New Roman"/>
          <w:bCs/>
          <w:sz w:val="24"/>
          <w:szCs w:val="24"/>
        </w:rPr>
        <w:t>indicated</w:t>
      </w:r>
      <w:r w:rsidRPr="00A54A36">
        <w:rPr>
          <w:rFonts w:ascii="Times New Roman" w:hAnsi="Times New Roman" w:cs="Times New Roman"/>
          <w:bCs/>
          <w:sz w:val="24"/>
          <w:szCs w:val="24"/>
        </w:rPr>
        <w:t xml:space="preserve"> b</w:t>
      </w:r>
      <w:r w:rsidRPr="00AA1FDF">
        <w:rPr>
          <w:rFonts w:ascii="Times New Roman" w:hAnsi="Times New Roman" w:cs="Times New Roman"/>
          <w:bCs/>
          <w:sz w:val="24"/>
          <w:szCs w:val="24"/>
        </w:rPr>
        <w:t xml:space="preserve">y </w:t>
      </w:r>
      <w:r w:rsidRPr="00AA1FDF">
        <w:rPr>
          <w:rFonts w:ascii="Times New Roman" w:hAnsi="Times New Roman" w:cs="Times New Roman"/>
          <w:sz w:val="24"/>
          <w:szCs w:val="24"/>
        </w:rPr>
        <w:t>Tidkins’s feelings for his birthplace: ‘Walmer and its neighbourhood grew loathsome to me.’</w:t>
      </w:r>
      <w:r w:rsidRPr="00AA1FDF">
        <w:rPr>
          <w:rStyle w:val="FootnoteReference"/>
          <w:rFonts w:ascii="Times New Roman" w:hAnsi="Times New Roman" w:cs="Times New Roman"/>
          <w:sz w:val="24"/>
          <w:szCs w:val="24"/>
        </w:rPr>
        <w:footnoteReference w:id="752"/>
      </w:r>
      <w:r w:rsidRPr="00AA1FDF">
        <w:rPr>
          <w:rFonts w:ascii="Times New Roman" w:hAnsi="Times New Roman" w:cs="Times New Roman"/>
          <w:sz w:val="24"/>
          <w:szCs w:val="24"/>
        </w:rPr>
        <w:t xml:space="preserve">  For Reynolds, memories of youthful happiness brought forth one’s best sentiments, allowing the individual to experience the world in a nuanced way.  In contrast, the dangerous classes see it </w:t>
      </w:r>
      <w:r w:rsidRPr="00465EDA">
        <w:rPr>
          <w:rFonts w:ascii="Times New Roman" w:hAnsi="Times New Roman" w:cs="Times New Roman"/>
          <w:sz w:val="24"/>
          <w:szCs w:val="24"/>
        </w:rPr>
        <w:t>in the starkest and crudest terms</w:t>
      </w:r>
      <w:r w:rsidRPr="00A54A36">
        <w:rPr>
          <w:rFonts w:ascii="Times New Roman" w:hAnsi="Times New Roman" w:cs="Times New Roman"/>
          <w:sz w:val="24"/>
          <w:szCs w:val="24"/>
        </w:rPr>
        <w:t xml:space="preserve">.  </w:t>
      </w:r>
      <w:r w:rsidR="00465EDA" w:rsidRPr="00A54A36">
        <w:rPr>
          <w:rFonts w:ascii="Times New Roman" w:hAnsi="Times New Roman" w:cs="Times New Roman"/>
          <w:bCs/>
          <w:sz w:val="24"/>
          <w:szCs w:val="24"/>
        </w:rPr>
        <w:t>Eventually</w:t>
      </w:r>
      <w:r w:rsidRPr="00A54A36">
        <w:rPr>
          <w:rFonts w:ascii="Times New Roman" w:hAnsi="Times New Roman" w:cs="Times New Roman"/>
          <w:bCs/>
          <w:sz w:val="24"/>
          <w:szCs w:val="24"/>
        </w:rPr>
        <w:t>,</w:t>
      </w:r>
      <w:r w:rsidRPr="00465EDA">
        <w:rPr>
          <w:rFonts w:ascii="Times New Roman" w:hAnsi="Times New Roman" w:cs="Times New Roman"/>
          <w:bCs/>
          <w:sz w:val="24"/>
          <w:szCs w:val="24"/>
        </w:rPr>
        <w:t xml:space="preserve"> self-delusion is inadequate.  </w:t>
      </w:r>
      <w:r w:rsidR="00CA2E93" w:rsidRPr="00465EDA">
        <w:rPr>
          <w:rFonts w:ascii="Times New Roman" w:hAnsi="Times New Roman" w:cs="Times New Roman"/>
          <w:bCs/>
          <w:sz w:val="24"/>
          <w:szCs w:val="24"/>
        </w:rPr>
        <w:t xml:space="preserve">Georg Lukács </w:t>
      </w:r>
      <w:r w:rsidRPr="00465EDA">
        <w:rPr>
          <w:rFonts w:ascii="Times New Roman" w:hAnsi="Times New Roman" w:cs="Times New Roman"/>
          <w:bCs/>
          <w:sz w:val="24"/>
          <w:szCs w:val="24"/>
        </w:rPr>
        <w:t>comm</w:t>
      </w:r>
      <w:r w:rsidRPr="00AA1FDF">
        <w:rPr>
          <w:rFonts w:ascii="Times New Roman" w:hAnsi="Times New Roman" w:cs="Times New Roman"/>
          <w:bCs/>
          <w:sz w:val="24"/>
          <w:szCs w:val="24"/>
        </w:rPr>
        <w:t xml:space="preserve">ents that </w:t>
      </w:r>
      <w:r w:rsidRPr="00AA1FDF">
        <w:rPr>
          <w:rFonts w:ascii="Times New Roman" w:hAnsi="Times New Roman" w:cs="Times New Roman"/>
          <w:sz w:val="24"/>
          <w:szCs w:val="24"/>
        </w:rPr>
        <w:t>with time ‘false consciousness’ becomes ‘mendacious consciousness’.</w:t>
      </w:r>
      <w:r w:rsidRPr="00AA1FDF">
        <w:rPr>
          <w:rStyle w:val="FootnoteReference"/>
          <w:rFonts w:ascii="Times New Roman" w:hAnsi="Times New Roman" w:cs="Times New Roman"/>
          <w:sz w:val="24"/>
          <w:szCs w:val="24"/>
        </w:rPr>
        <w:footnoteReference w:id="753"/>
      </w:r>
      <w:r w:rsidRPr="00AA1FDF">
        <w:rPr>
          <w:rFonts w:ascii="Times New Roman" w:hAnsi="Times New Roman" w:cs="Times New Roman"/>
          <w:sz w:val="24"/>
          <w:szCs w:val="24"/>
        </w:rPr>
        <w:t xml:space="preserve"> The dangerous classes adopt the most venal philosophy to excuse their activity, summed up by </w:t>
      </w:r>
      <w:r w:rsidRPr="00AA1FDF">
        <w:rPr>
          <w:rFonts w:ascii="Times New Roman" w:hAnsi="Times New Roman" w:cs="Times New Roman"/>
          <w:bCs/>
          <w:sz w:val="24"/>
          <w:szCs w:val="24"/>
        </w:rPr>
        <w:t>Tidkins when he demands money from Richard Markham: ‘My law is that practised by all the world</w:t>
      </w:r>
      <w:r w:rsidRPr="00AA1FDF">
        <w:rPr>
          <w:rFonts w:ascii="Times New Roman" w:hAnsi="Times New Roman" w:cs="Times New Roman"/>
          <w:sz w:val="24"/>
          <w:szCs w:val="24"/>
        </w:rPr>
        <w:t>—</w:t>
      </w:r>
      <w:r w:rsidRPr="00AA1FDF">
        <w:rPr>
          <w:rFonts w:ascii="Times New Roman" w:hAnsi="Times New Roman" w:cs="Times New Roman"/>
          <w:bCs/>
          <w:i/>
          <w:iCs/>
          <w:sz w:val="24"/>
          <w:szCs w:val="24"/>
        </w:rPr>
        <w:t>the oppression of the weak by the strong</w:t>
      </w:r>
      <w:r w:rsidRPr="00AA1FDF">
        <w:rPr>
          <w:rFonts w:ascii="Times New Roman" w:hAnsi="Times New Roman" w:cs="Times New Roman"/>
          <w:bCs/>
          <w:sz w:val="24"/>
          <w:szCs w:val="24"/>
        </w:rPr>
        <w:t>; and my right is also that of universal practice</w:t>
      </w:r>
      <w:r w:rsidRPr="00AA1FDF">
        <w:rPr>
          <w:rFonts w:ascii="Times New Roman" w:hAnsi="Times New Roman" w:cs="Times New Roman"/>
          <w:sz w:val="24"/>
          <w:szCs w:val="24"/>
        </w:rPr>
        <w:t>—</w:t>
      </w:r>
      <w:r w:rsidRPr="00AA1FDF">
        <w:rPr>
          <w:rFonts w:ascii="Times New Roman" w:hAnsi="Times New Roman" w:cs="Times New Roman"/>
          <w:bCs/>
          <w:i/>
          <w:iCs/>
          <w:sz w:val="24"/>
          <w:szCs w:val="24"/>
        </w:rPr>
        <w:t>the right of him who takes what will not dare to be refused</w:t>
      </w:r>
      <w:r w:rsidRPr="00AA1FDF">
        <w:rPr>
          <w:rFonts w:ascii="Times New Roman" w:hAnsi="Times New Roman" w:cs="Times New Roman"/>
          <w:bCs/>
          <w:sz w:val="24"/>
          <w:szCs w:val="24"/>
        </w:rPr>
        <w:t>.’</w:t>
      </w:r>
      <w:r w:rsidRPr="00AA1FDF">
        <w:rPr>
          <w:rStyle w:val="FootnoteReference"/>
          <w:rFonts w:ascii="Times New Roman" w:hAnsi="Times New Roman" w:cs="Times New Roman"/>
          <w:sz w:val="24"/>
          <w:szCs w:val="24"/>
        </w:rPr>
        <w:footnoteReference w:id="754"/>
      </w:r>
      <w:r w:rsidRPr="00AA1FDF">
        <w:rPr>
          <w:rFonts w:ascii="Times New Roman" w:hAnsi="Times New Roman" w:cs="Times New Roman"/>
          <w:bCs/>
          <w:sz w:val="24"/>
          <w:szCs w:val="24"/>
        </w:rPr>
        <w:t xml:space="preserve">  No longer does </w:t>
      </w:r>
      <w:r w:rsidRPr="00A54A36">
        <w:rPr>
          <w:rFonts w:ascii="Times New Roman" w:hAnsi="Times New Roman" w:cs="Times New Roman"/>
          <w:bCs/>
          <w:sz w:val="24"/>
          <w:szCs w:val="24"/>
        </w:rPr>
        <w:t>he</w:t>
      </w:r>
      <w:r w:rsidR="00465EDA" w:rsidRPr="00A54A36">
        <w:rPr>
          <w:rFonts w:ascii="Times New Roman" w:hAnsi="Times New Roman" w:cs="Times New Roman"/>
          <w:bCs/>
          <w:sz w:val="24"/>
          <w:szCs w:val="24"/>
        </w:rPr>
        <w:t xml:space="preserve"> bother to hide behind</w:t>
      </w:r>
      <w:r w:rsidRPr="00A54A36">
        <w:rPr>
          <w:rFonts w:ascii="Times New Roman" w:hAnsi="Times New Roman" w:cs="Times New Roman"/>
          <w:bCs/>
          <w:sz w:val="24"/>
          <w:szCs w:val="24"/>
        </w:rPr>
        <w:t xml:space="preserve"> the</w:t>
      </w:r>
      <w:r w:rsidRPr="00AA1FDF">
        <w:rPr>
          <w:rFonts w:ascii="Times New Roman" w:hAnsi="Times New Roman" w:cs="Times New Roman"/>
          <w:bCs/>
          <w:sz w:val="24"/>
          <w:szCs w:val="24"/>
        </w:rPr>
        <w:t xml:space="preserve"> argument of his youth that he is waging war against a corrupt minority, since it bears little relation to his later behaviour.  Rather, he codifies the belief that ‘might is right’ into a ‘law’, imitating the social layers he once hated most by using </w:t>
      </w:r>
      <w:r w:rsidRPr="00EA2C03">
        <w:rPr>
          <w:rFonts w:ascii="Times New Roman" w:hAnsi="Times New Roman" w:cs="Times New Roman"/>
          <w:bCs/>
          <w:sz w:val="24"/>
          <w:szCs w:val="24"/>
        </w:rPr>
        <w:t xml:space="preserve">any </w:t>
      </w:r>
      <w:r w:rsidR="00762D1C" w:rsidRPr="00EA2C03">
        <w:rPr>
          <w:rFonts w:ascii="Times New Roman" w:hAnsi="Times New Roman" w:cs="Times New Roman"/>
          <w:bCs/>
          <w:sz w:val="24"/>
          <w:szCs w:val="24"/>
        </w:rPr>
        <w:t>methods</w:t>
      </w:r>
      <w:r w:rsidRPr="00EA2C03">
        <w:rPr>
          <w:rFonts w:ascii="Times New Roman" w:hAnsi="Times New Roman" w:cs="Times New Roman"/>
          <w:bCs/>
          <w:sz w:val="24"/>
          <w:szCs w:val="24"/>
        </w:rPr>
        <w:t xml:space="preserve"> to</w:t>
      </w:r>
      <w:r w:rsidRPr="00AA1FDF">
        <w:rPr>
          <w:rFonts w:ascii="Times New Roman" w:hAnsi="Times New Roman" w:cs="Times New Roman"/>
          <w:bCs/>
          <w:sz w:val="24"/>
          <w:szCs w:val="24"/>
        </w:rPr>
        <w:t xml:space="preserve"> exploit the weak.  </w:t>
      </w:r>
      <w:r w:rsidRPr="00AA1FDF">
        <w:rPr>
          <w:rFonts w:ascii="Times New Roman" w:hAnsi="Times New Roman" w:cs="Times New Roman"/>
          <w:sz w:val="24"/>
          <w:szCs w:val="24"/>
        </w:rPr>
        <w:t xml:space="preserve">Louis James comments: ‘The inhumanity of the capitalist system expresses itself in the criminal classes that carry out the </w:t>
      </w:r>
      <w:r w:rsidRPr="00AA1FDF">
        <w:rPr>
          <w:rFonts w:ascii="Times New Roman" w:hAnsi="Times New Roman" w:cs="Times New Roman"/>
          <w:sz w:val="24"/>
          <w:szCs w:val="24"/>
        </w:rPr>
        <w:lastRenderedPageBreak/>
        <w:t>predatory desires of the rich.’</w:t>
      </w:r>
      <w:r w:rsidRPr="00AA1FDF">
        <w:rPr>
          <w:rStyle w:val="FootnoteReference"/>
          <w:rFonts w:ascii="Times New Roman" w:hAnsi="Times New Roman" w:cs="Times New Roman"/>
          <w:sz w:val="24"/>
          <w:szCs w:val="24"/>
        </w:rPr>
        <w:footnoteReference w:id="755"/>
      </w:r>
      <w:r w:rsidRPr="00AA1FDF">
        <w:rPr>
          <w:rFonts w:ascii="Times New Roman" w:hAnsi="Times New Roman" w:cs="Times New Roman"/>
          <w:sz w:val="24"/>
          <w:szCs w:val="24"/>
        </w:rPr>
        <w:t xml:space="preserve">  Reynolds portrays their protest rejecting reasoned argument, patience and honesty for violence and a backward-looking populism that challenges the prevailing social structures in only the most superficial manner.</w:t>
      </w:r>
      <w:r w:rsidRPr="002B1E20">
        <w:rPr>
          <w:rFonts w:ascii="Times New Roman" w:hAnsi="Times New Roman" w:cs="Times New Roman"/>
          <w:sz w:val="24"/>
          <w:szCs w:val="24"/>
        </w:rPr>
        <w:t xml:space="preserve">  </w:t>
      </w:r>
    </w:p>
    <w:p w:rsidR="00690DF3" w:rsidRDefault="00690DF3" w:rsidP="00690DF3">
      <w:pPr>
        <w:spacing w:after="120" w:line="360" w:lineRule="auto"/>
        <w:ind w:firstLine="720"/>
        <w:rPr>
          <w:rFonts w:ascii="Times New Roman" w:hAnsi="Times New Roman"/>
          <w:sz w:val="24"/>
          <w:szCs w:val="24"/>
        </w:rPr>
      </w:pPr>
    </w:p>
    <w:p w:rsidR="00690DF3" w:rsidRDefault="00690DF3" w:rsidP="00690DF3">
      <w:pPr>
        <w:rPr>
          <w:rFonts w:ascii="Times New Roman" w:hAnsi="Times New Roman"/>
          <w:sz w:val="24"/>
          <w:szCs w:val="24"/>
        </w:rPr>
      </w:pPr>
      <w:r>
        <w:rPr>
          <w:rFonts w:ascii="Times New Roman" w:hAnsi="Times New Roman"/>
          <w:sz w:val="24"/>
          <w:szCs w:val="24"/>
        </w:rPr>
        <w:br w:type="page"/>
      </w:r>
    </w:p>
    <w:p w:rsidR="00690DF3" w:rsidRDefault="00690DF3" w:rsidP="00690DF3">
      <w:pPr>
        <w:rPr>
          <w:rFonts w:ascii="Times New Roman" w:hAnsi="Times New Roman"/>
          <w:sz w:val="24"/>
          <w:szCs w:val="24"/>
        </w:rPr>
      </w:pPr>
    </w:p>
    <w:p w:rsidR="00690DF3" w:rsidRDefault="00690DF3" w:rsidP="00690DF3">
      <w:pPr>
        <w:rPr>
          <w:rFonts w:asciiTheme="majorBidi" w:hAnsiTheme="majorBidi" w:cstheme="majorBidi"/>
          <w:b/>
          <w:sz w:val="24"/>
          <w:szCs w:val="24"/>
          <w:u w:val="single"/>
        </w:rPr>
        <w:sectPr w:rsidR="00690DF3">
          <w:footnotePr>
            <w:numRestart w:val="eachSect"/>
          </w:footnotePr>
          <w:pgSz w:w="11906" w:h="16838"/>
          <w:pgMar w:top="1440" w:right="1440" w:bottom="1440" w:left="1440" w:header="708" w:footer="708" w:gutter="0"/>
          <w:cols w:space="708"/>
          <w:docGrid w:linePitch="360"/>
        </w:sectPr>
      </w:pPr>
    </w:p>
    <w:p w:rsidR="00435A13" w:rsidRPr="006872CB" w:rsidRDefault="00435A13" w:rsidP="00435A13">
      <w:pPr>
        <w:spacing w:after="360" w:line="360" w:lineRule="auto"/>
        <w:jc w:val="center"/>
        <w:rPr>
          <w:rFonts w:ascii="Times New Roman" w:hAnsi="Times New Roman" w:cs="Times New Roman"/>
          <w:b/>
          <w:sz w:val="24"/>
          <w:szCs w:val="24"/>
          <w:u w:val="single"/>
        </w:rPr>
      </w:pPr>
      <w:r w:rsidRPr="006872CB">
        <w:rPr>
          <w:rFonts w:ascii="Times New Roman" w:hAnsi="Times New Roman" w:cs="Times New Roman"/>
          <w:b/>
          <w:sz w:val="24"/>
          <w:szCs w:val="24"/>
          <w:u w:val="single"/>
        </w:rPr>
        <w:lastRenderedPageBreak/>
        <w:t>Chapter 6:</w:t>
      </w:r>
      <w:r w:rsidRPr="006872CB">
        <w:rPr>
          <w:rFonts w:ascii="Times New Roman" w:hAnsi="Times New Roman" w:cs="Times New Roman"/>
          <w:b/>
          <w:sz w:val="24"/>
          <w:szCs w:val="24"/>
          <w:u w:val="single"/>
        </w:rPr>
        <w:tab/>
        <w:t>The Struggle for Independent Respectability</w:t>
      </w:r>
    </w:p>
    <w:p w:rsidR="00435A13" w:rsidRPr="006872CB" w:rsidRDefault="00435A13" w:rsidP="00435A13">
      <w:pPr>
        <w:spacing w:after="24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 xml:space="preserve">This chapter focuses upon Reynolds’s portrayal of what is termed the struggle for independent respectability, arguing that it marks a significant trend in his work during the 1850s when the exuberance of Sam Weller is increasingly replaced by more restrained behaviour.  The notion of personal status is transformed from the self-serving ambition apparent in disreputable protest to a perspective whereby considerations of individual morality override thoughts of material attainment.  It incorporates what Q. D. Leavis argues was implicit in the ‘impressive decorum’ of </w:t>
      </w:r>
      <w:r w:rsidRPr="006872CB">
        <w:rPr>
          <w:rFonts w:ascii="Times New Roman" w:hAnsi="Times New Roman" w:cs="Times New Roman"/>
          <w:i/>
          <w:sz w:val="24"/>
          <w:szCs w:val="24"/>
        </w:rPr>
        <w:t>Reynolds’s Miscellany</w:t>
      </w:r>
      <w:r w:rsidRPr="006872CB">
        <w:rPr>
          <w:rFonts w:ascii="Times New Roman" w:hAnsi="Times New Roman" w:cs="Times New Roman"/>
          <w:sz w:val="24"/>
          <w:szCs w:val="24"/>
        </w:rPr>
        <w:t xml:space="preserve"> whose instructional articles suggested that ‘a genuine interest in rational affairs and an insatiable desire for self-improvement were taken for granted in the reader’.</w:t>
      </w:r>
      <w:r w:rsidRPr="006872CB">
        <w:rPr>
          <w:rStyle w:val="FootnoteReference"/>
          <w:rFonts w:ascii="Times New Roman" w:hAnsi="Times New Roman" w:cs="Times New Roman"/>
          <w:sz w:val="24"/>
          <w:szCs w:val="24"/>
        </w:rPr>
        <w:footnoteReference w:id="756"/>
      </w:r>
      <w:r w:rsidRPr="006872CB">
        <w:rPr>
          <w:rFonts w:ascii="Times New Roman" w:hAnsi="Times New Roman" w:cs="Times New Roman"/>
          <w:sz w:val="24"/>
          <w:szCs w:val="24"/>
        </w:rPr>
        <w:t xml:space="preserve">  For Reynolds, this outlook challenged the prevailing social structures in line with his cautious radicalism.  Its acceptance of a strong work ethic might tie the industrious classes to the workplace but the promotion of self-worth saw them reject unjust authority and demand due reward for their labour.  While proponents emulate Sam Weller in criticising social pretence and affectation, their defiance shows greater discrimination and displays more clearly the importance of virtue in human conduct.  By endowing many characters with these traits, Reynolds promoted the view that the industrious classes were ready for political advancement.  At the same </w:t>
      </w:r>
      <w:r w:rsidRPr="0025071D">
        <w:rPr>
          <w:rFonts w:ascii="Times New Roman" w:hAnsi="Times New Roman" w:cs="Times New Roman"/>
          <w:sz w:val="24"/>
          <w:szCs w:val="24"/>
        </w:rPr>
        <w:t>time,</w:t>
      </w:r>
      <w:r w:rsidR="00EB6439" w:rsidRPr="0025071D">
        <w:rPr>
          <w:rFonts w:ascii="Times New Roman" w:hAnsi="Times New Roman" w:cs="Times New Roman"/>
          <w:sz w:val="24"/>
          <w:szCs w:val="24"/>
        </w:rPr>
        <w:t xml:space="preserve"> he appears to recognize</w:t>
      </w:r>
      <w:r w:rsidRPr="0025071D">
        <w:rPr>
          <w:rFonts w:ascii="Times New Roman" w:hAnsi="Times New Roman" w:cs="Times New Roman"/>
          <w:sz w:val="24"/>
          <w:szCs w:val="24"/>
        </w:rPr>
        <w:t xml:space="preserve"> problems might arise when the personal refinement demanded by independent</w:t>
      </w:r>
      <w:r w:rsidRPr="006872CB">
        <w:rPr>
          <w:rFonts w:ascii="Times New Roman" w:hAnsi="Times New Roman" w:cs="Times New Roman"/>
          <w:sz w:val="24"/>
          <w:szCs w:val="24"/>
        </w:rPr>
        <w:t xml:space="preserve"> respectability led to narrow-minded exclusivity, a failing observable in some of his main protagonists.  </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 xml:space="preserve">The Introduction suggested how Reynolds’s various forms of protest were fundamentally set apart by their psychological and moral aspects while the methods they employed could frequently overlap.  This sees individuals who enact respectable dissent adopting Sam Weller’s confrontational style of behaviour, as demonstrated by the two following scenes from </w:t>
      </w:r>
      <w:r w:rsidRPr="006872CB">
        <w:rPr>
          <w:rFonts w:ascii="Times New Roman" w:hAnsi="Times New Roman" w:cs="Times New Roman"/>
          <w:i/>
          <w:sz w:val="24"/>
          <w:szCs w:val="24"/>
        </w:rPr>
        <w:t xml:space="preserve">The </w:t>
      </w:r>
      <w:r w:rsidRPr="006872CB">
        <w:rPr>
          <w:rFonts w:ascii="Times New Roman" w:hAnsi="Times New Roman" w:cs="Times New Roman"/>
          <w:i/>
          <w:iCs/>
          <w:sz w:val="24"/>
          <w:szCs w:val="24"/>
        </w:rPr>
        <w:t>Mysteries of London</w:t>
      </w:r>
      <w:r w:rsidRPr="006872CB">
        <w:rPr>
          <w:rFonts w:ascii="Times New Roman" w:hAnsi="Times New Roman" w:cs="Times New Roman"/>
          <w:sz w:val="24"/>
          <w:szCs w:val="24"/>
        </w:rPr>
        <w:t xml:space="preserve"> (1844–48).  In the first, Mrs Bodkin, the loyal housekeeper of Sir Christopher Blunt, faces down the bullying of his young wife Charlotte, a recent dependent of Lady Hadfield who has risen socially by using her physical charms to ensnare the gullible, aging judge into marriage:</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 xml:space="preserve">Now it happened that Mrs. Bodkin had managed, during long years of servitude and by rigid economy, to scrape together a very comfortable independence; and, feeling </w:t>
      </w:r>
      <w:r w:rsidRPr="006872CB">
        <w:rPr>
          <w:rFonts w:ascii="Times New Roman" w:hAnsi="Times New Roman" w:cs="Times New Roman"/>
          <w:sz w:val="24"/>
          <w:szCs w:val="24"/>
        </w:rPr>
        <w:lastRenderedPageBreak/>
        <w:t xml:space="preserve">that she </w:t>
      </w:r>
      <w:r w:rsidRPr="006872CB">
        <w:rPr>
          <w:rFonts w:ascii="Times New Roman" w:hAnsi="Times New Roman" w:cs="Times New Roman"/>
          <w:i/>
          <w:sz w:val="24"/>
          <w:szCs w:val="24"/>
        </w:rPr>
        <w:t>was</w:t>
      </w:r>
      <w:r w:rsidRPr="006872CB">
        <w:rPr>
          <w:rFonts w:ascii="Times New Roman" w:hAnsi="Times New Roman" w:cs="Times New Roman"/>
          <w:sz w:val="24"/>
          <w:szCs w:val="24"/>
        </w:rPr>
        <w:t xml:space="preserve"> independent, she did not choose, as she afterwards observed to a friend, ‘to put up with any of missus’s nonsense.’</w:t>
      </w:r>
      <w:r w:rsidRPr="006872CB">
        <w:rPr>
          <w:rStyle w:val="FootnoteReference"/>
          <w:rFonts w:ascii="Times New Roman" w:hAnsi="Times New Roman" w:cs="Times New Roman"/>
          <w:sz w:val="24"/>
          <w:szCs w:val="24"/>
        </w:rPr>
        <w:footnoteReference w:id="757"/>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The description of Bodkin’s rebelliousness indicates several important aspects of independent respectability.  With the phrases ‘long years of servitude’, ‘rigid economy’ and ‘scrape together’, Reynolds emphasises her financial security has not come easily.  In this sense, she has earned the right to display a combative spirit, exemplified by the well-aimed blow: ‘I b’lieve you wasn’t always used to sit in the parlour’.</w:t>
      </w:r>
      <w:r w:rsidRPr="006872CB">
        <w:rPr>
          <w:rStyle w:val="FootnoteReference"/>
          <w:rFonts w:ascii="Times New Roman" w:hAnsi="Times New Roman" w:cs="Times New Roman"/>
          <w:sz w:val="24"/>
          <w:szCs w:val="24"/>
        </w:rPr>
        <w:footnoteReference w:id="758"/>
      </w:r>
      <w:r w:rsidRPr="006872CB">
        <w:rPr>
          <w:rFonts w:ascii="Times New Roman" w:hAnsi="Times New Roman" w:cs="Times New Roman"/>
          <w:sz w:val="24"/>
          <w:szCs w:val="24"/>
        </w:rPr>
        <w:t xml:space="preserve">  This is not criticism of Charlotte’s former menial position but her newly acquired pretensions.  Noticeably, Bodkin remains polite towards those who treat her well, differentiating between just and unjust employers and scorning any attempt to drag Blunt into the argument: ‘Sir Christopher is too much of a gentleman to ill-treat me, after being eleven years in his service come next Aperil.’</w:t>
      </w:r>
      <w:r w:rsidRPr="006872CB">
        <w:rPr>
          <w:rStyle w:val="FootnoteReference"/>
          <w:rFonts w:ascii="Times New Roman" w:hAnsi="Times New Roman" w:cs="Times New Roman"/>
          <w:sz w:val="24"/>
          <w:szCs w:val="24"/>
        </w:rPr>
        <w:footnoteReference w:id="759"/>
      </w:r>
      <w:r w:rsidRPr="006872CB">
        <w:rPr>
          <w:rFonts w:ascii="Times New Roman" w:hAnsi="Times New Roman" w:cs="Times New Roman"/>
          <w:sz w:val="24"/>
          <w:szCs w:val="24"/>
        </w:rPr>
        <w:t xml:space="preserve">  The pronouncement of the exact length of duty suggests pride in both her work and the excellent relationship she has with Blunt.  Frequent mispronunciations and ungrammatical speech do not undermine her position, unlike with many servants who protest disreputably.</w:t>
      </w:r>
      <w:r w:rsidRPr="006872CB">
        <w:rPr>
          <w:rStyle w:val="FootnoteReference"/>
          <w:rFonts w:ascii="Times New Roman" w:hAnsi="Times New Roman" w:cs="Times New Roman"/>
          <w:sz w:val="24"/>
          <w:szCs w:val="24"/>
        </w:rPr>
        <w:footnoteReference w:id="760"/>
      </w:r>
      <w:r w:rsidRPr="006872CB">
        <w:rPr>
          <w:rFonts w:ascii="Times New Roman" w:hAnsi="Times New Roman" w:cs="Times New Roman"/>
          <w:sz w:val="24"/>
          <w:szCs w:val="24"/>
        </w:rPr>
        <w:t xml:space="preserve">  Bodkin is forthright but respectful where appropriate, putting her ‘comfortable independence’ to good use in refusing to be browbeaten and defending her sense of self-worth.  In the later scene, Mrs Goldbery’s servant, John, becomes unintentionally embroiled in the problems of his employer and her new husband Frank Curtis who have each married in the mistaken belief that the other is wealthy.  John suffers Frank’s complaints about the lack of claret until they become intolerable.  At first, he explains reasonably that attempts to acquire new stock from tradesmen have failed due to the household debts.  However, Frank’s continued domineering manner increases John’s irritation until he hands over several unpaid bills, ‘his countenance the while wearing a most curious and very sinister expression, as much as to say, “You’re a very bumptious kind of a young man; but these papers will, perhaps, bring you down a peg or two”’.</w:t>
      </w:r>
      <w:r w:rsidRPr="006872CB">
        <w:rPr>
          <w:rStyle w:val="FootnoteReference"/>
          <w:rFonts w:ascii="Times New Roman" w:hAnsi="Times New Roman" w:cs="Times New Roman"/>
          <w:sz w:val="24"/>
          <w:szCs w:val="24"/>
        </w:rPr>
        <w:footnoteReference w:id="761"/>
      </w:r>
      <w:r w:rsidRPr="006872CB">
        <w:rPr>
          <w:rFonts w:ascii="Times New Roman" w:hAnsi="Times New Roman" w:cs="Times New Roman"/>
          <w:sz w:val="24"/>
          <w:szCs w:val="24"/>
        </w:rPr>
        <w:t xml:space="preserve">  Like Bodkin, John refuses to cower before superiors, placing personal pride above financial remuneration </w:t>
      </w:r>
      <w:r w:rsidRPr="00E47E5E">
        <w:rPr>
          <w:rFonts w:ascii="Times New Roman" w:hAnsi="Times New Roman" w:cs="Times New Roman"/>
          <w:sz w:val="24"/>
          <w:szCs w:val="24"/>
        </w:rPr>
        <w:t>since</w:t>
      </w:r>
      <w:r w:rsidR="009936B3" w:rsidRPr="00E47E5E">
        <w:rPr>
          <w:rFonts w:ascii="Times New Roman" w:hAnsi="Times New Roman" w:cs="Times New Roman"/>
          <w:sz w:val="24"/>
          <w:szCs w:val="24"/>
        </w:rPr>
        <w:t xml:space="preserve"> such actions</w:t>
      </w:r>
      <w:r w:rsidRPr="00E47E5E">
        <w:rPr>
          <w:rFonts w:ascii="Times New Roman" w:hAnsi="Times New Roman" w:cs="Times New Roman"/>
          <w:sz w:val="24"/>
          <w:szCs w:val="24"/>
        </w:rPr>
        <w:t xml:space="preserve"> might entail </w:t>
      </w:r>
      <w:r w:rsidR="009936B3" w:rsidRPr="00E47E5E">
        <w:rPr>
          <w:rFonts w:ascii="Times New Roman" w:hAnsi="Times New Roman" w:cs="Times New Roman"/>
          <w:sz w:val="24"/>
          <w:szCs w:val="24"/>
        </w:rPr>
        <w:t>immediate</w:t>
      </w:r>
      <w:r w:rsidRPr="006872CB">
        <w:rPr>
          <w:rFonts w:ascii="Times New Roman" w:hAnsi="Times New Roman" w:cs="Times New Roman"/>
          <w:sz w:val="24"/>
          <w:szCs w:val="24"/>
        </w:rPr>
        <w:t xml:space="preserve"> loss of employment.  The response is slightly tainted by the reference to his ‘sinister expression’, which rings strangely amid the comic unravelling of the newly-weds’ schemes and suggests that John’s otherwise upstanding self-respect contains traces of malicious enjoyment at their discomfiture.</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lastRenderedPageBreak/>
        <w:t>Reynolds presents these independent attitudes existing more broadly.  Describing a seedy dining room in Bucklersbury, he writes it is possible to enter any such establishment and encounter the type of waiter he portrays, wearing a dirty apron and gabbling through the bill-of-fare.  In this case, the individual confronts Frank Curtis and his formidable partner Captain O’Blunderbuss:</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[T]he waiter darted up to them as if the necessity of speed were a matter of life or death;—and, heedless whether the visitors were attending to him or not, the domestic functionary hurried over the list of delicacies at that moment in readiness in the kitchen.</w:t>
      </w:r>
      <w:r w:rsidRPr="006872CB">
        <w:rPr>
          <w:rStyle w:val="FootnoteReference"/>
          <w:rFonts w:ascii="Times New Roman" w:hAnsi="Times New Roman" w:cs="Times New Roman"/>
          <w:sz w:val="24"/>
          <w:szCs w:val="24"/>
        </w:rPr>
        <w:footnoteReference w:id="762"/>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The waiter’s rapid movements and choosing when to serve customers suggest he dictates the rules of service.  He rightly disregards the aggressiveness and intolerant complaints of the pair as they wait for their meal.  The Captain’s manner that elsewhere subdues bailiffs and police officers proves ineffective, as evidenced by the response to his banging on the table: ‘“Just coming, sir!” said the waiter, under no excitement whatever, though in an immense bustle—for waiters always remain cool and imperturbable when most in a hurry.’</w:t>
      </w:r>
      <w:r w:rsidRPr="006872CB">
        <w:rPr>
          <w:rStyle w:val="FootnoteReference"/>
          <w:rFonts w:ascii="Times New Roman" w:hAnsi="Times New Roman" w:cs="Times New Roman"/>
          <w:sz w:val="24"/>
          <w:szCs w:val="24"/>
        </w:rPr>
        <w:footnoteReference w:id="763"/>
      </w:r>
      <w:r w:rsidRPr="006872CB">
        <w:rPr>
          <w:rFonts w:ascii="Times New Roman" w:hAnsi="Times New Roman" w:cs="Times New Roman"/>
          <w:sz w:val="24"/>
          <w:szCs w:val="24"/>
        </w:rPr>
        <w:t xml:space="preserve">  Yet, while remaining indifferent, there is no carelessness or abusive language that would see his protest degenerate into insolence.  The accompanying illustration depicts him bowed under a pile of plates while resolutely ignoring the glare of the Captain who sits nearby with arms ominously folded (see Appendix H).  Such coolness when under pressure is an assertion of the right to perform his labours with dignity, an attitude maintained after the meal when Frank ostentatiously proffers a tip: ‘he gave the waiter sixpence—a specimen of liberality which induced that discriminating personage to disregard all the other demands made at the moment upon his services, until he had duly escorted the two gentlemen to the door’.</w:t>
      </w:r>
      <w:r w:rsidRPr="006872CB">
        <w:rPr>
          <w:rStyle w:val="FootnoteReference"/>
          <w:rFonts w:ascii="Times New Roman" w:hAnsi="Times New Roman" w:cs="Times New Roman"/>
          <w:sz w:val="24"/>
          <w:szCs w:val="24"/>
        </w:rPr>
        <w:footnoteReference w:id="764"/>
      </w:r>
      <w:r w:rsidRPr="006872CB">
        <w:rPr>
          <w:rFonts w:ascii="Times New Roman" w:hAnsi="Times New Roman" w:cs="Times New Roman"/>
          <w:sz w:val="24"/>
          <w:szCs w:val="24"/>
        </w:rPr>
        <w:t xml:space="preserve">  There are several significant aspects to the exchange.  Despite Frank’s pretentiousness, the ‘reward’ is voluntarily given and deserves acknowledgment.  The waiter displays gratitude but not servility, his efficient manner undermining Frank’s attempted grandiosity, revealing its unsuitability for this ‘cheap and nasty’ environment.  At the same time, displeasure is not registered verbally, permitting everyone to retire with honour.  It allows Frank the delusion that in dispensing largesse he is master of the situation but the reader senses the waiter controls events by accepting the tip in a way that indicates it is he who confers the favour, subverting the customary relationship between patron and employee.  The phrase ‘to the door’ draws a definite boundary to his courtesy and lends ambiguity to the conclusion of the </w:t>
      </w:r>
      <w:r w:rsidRPr="006872CB">
        <w:rPr>
          <w:rFonts w:ascii="Times New Roman" w:hAnsi="Times New Roman" w:cs="Times New Roman"/>
          <w:sz w:val="24"/>
          <w:szCs w:val="24"/>
        </w:rPr>
        <w:lastRenderedPageBreak/>
        <w:t>encounter, on the one hand suggesting he correctly attends to their departure while on the other that he escorts them from the premises and they need not return.</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 xml:space="preserve">Disreputable protest highlighted the damage that a sense of status might cause when used against colleagues who were seen as rivals.  However, Reynolds also portrays it acting as a positive force to oppose unjust treatment.  This is apparent in </w:t>
      </w:r>
      <w:r w:rsidRPr="006872CB">
        <w:rPr>
          <w:rFonts w:ascii="Times New Roman" w:hAnsi="Times New Roman" w:cs="Times New Roman"/>
          <w:i/>
          <w:sz w:val="24"/>
          <w:szCs w:val="24"/>
        </w:rPr>
        <w:t>The Mysteries of London</w:t>
      </w:r>
      <w:r w:rsidRPr="006872CB">
        <w:rPr>
          <w:rFonts w:ascii="Times New Roman" w:hAnsi="Times New Roman" w:cs="Times New Roman"/>
          <w:sz w:val="24"/>
          <w:szCs w:val="24"/>
        </w:rPr>
        <w:t xml:space="preserve"> during the incident of the missing silver spoons at Belvidere House when Mrs Lambkin orders a search of the boxes of servants and junior teachers:</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The servants’ boxes were all searched, one after the other; and no spoons were discovered.  Then Miss Rhodes was subjected to the same degradation.  When the scrutiny in respect to her trunk was concluded,—and, of course, without any success in respect to the lost articles,—she said, ‘Madam, I beg to give you one month’s warning that I intend to leave your establishment.’—‘Oh! very well: just as you like,’ returned Mrs. Lambkin.—Miss Jessop’s room then passed through the ordeal.  No spoons.  ‘Madam,’ said Miss Jessop, ‘I beg to give you one month’s notice, according to the terms of our agreement.  I know that my parents will not blame me, after this insult.’—‘Very well, miss,’ cried Mrs. Lambkin; ‘you’ll repent of leaving a good situation before you’re six months older.’</w:t>
      </w:r>
      <w:r w:rsidRPr="006872CB">
        <w:rPr>
          <w:rStyle w:val="FootnoteReference"/>
          <w:rFonts w:ascii="Times New Roman" w:hAnsi="Times New Roman" w:cs="Times New Roman"/>
          <w:sz w:val="24"/>
          <w:szCs w:val="24"/>
        </w:rPr>
        <w:t xml:space="preserve"> </w:t>
      </w:r>
      <w:r w:rsidRPr="006872CB">
        <w:rPr>
          <w:rStyle w:val="FootnoteReference"/>
          <w:rFonts w:ascii="Times New Roman" w:hAnsi="Times New Roman" w:cs="Times New Roman"/>
          <w:sz w:val="24"/>
          <w:szCs w:val="24"/>
        </w:rPr>
        <w:footnoteReference w:id="765"/>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The instruction is redolent with class-distinction since it exempts the fee-paying students and senior teachers.  This adds significance to the response of the junior teachers, Jessop and Rhodes.  They accept interminable slights over eating and sleeping arrangements because while signalling subordination they do not question their moral standing.  Such compliance was also necessary to ensure a good reference for future employment, since to ‘lose character’ meant facing almost inevitable rejection by society.</w:t>
      </w:r>
      <w:r w:rsidRPr="006872CB">
        <w:rPr>
          <w:rStyle w:val="FootnoteReference"/>
          <w:rFonts w:ascii="Times New Roman" w:hAnsi="Times New Roman" w:cs="Times New Roman"/>
          <w:sz w:val="24"/>
          <w:szCs w:val="24"/>
        </w:rPr>
        <w:footnoteReference w:id="766"/>
      </w:r>
      <w:r w:rsidRPr="006872CB">
        <w:rPr>
          <w:rFonts w:ascii="Times New Roman" w:hAnsi="Times New Roman" w:cs="Times New Roman"/>
          <w:sz w:val="24"/>
          <w:szCs w:val="24"/>
        </w:rPr>
        <w:t xml:space="preserve">  The servants’ acceptance of the search signals their vulnerability.  In contrast, the junior teachers by resigning display a sense of gentility and that their qualifications will allow them to find work elsewhere.  Departure might even prove beneficial with the rejection of such suspicion confirming to later employers that they place higher value upon an unblemished character than maintaining financial security.  Jessop suggests her parents will provide support, although the phrase ‘will not blame me’ implies her action may result in a tightening of the domestic purse strings.  Importantly, it also demonstrates that personal pride does not lead to neglect of her sense of filial duty.  The words of each teacher are in accordance with the established forms of polite society.  Jessop’s reference to ‘the terms of our agreement’ asserts both her rights and that </w:t>
      </w:r>
      <w:r w:rsidRPr="006872CB">
        <w:rPr>
          <w:rFonts w:ascii="Times New Roman" w:hAnsi="Times New Roman" w:cs="Times New Roman"/>
          <w:sz w:val="24"/>
          <w:szCs w:val="24"/>
        </w:rPr>
        <w:lastRenderedPageBreak/>
        <w:t>she is acting by the rules of her engagement.  When Rhodes announces, ‘Madam, I beg to give you one month’s warning’, she begins in a manner indicating her lower rank but finishes with a phrase containing multiple meanings, not least, that Lambkin is losing a valuable member of staff who will be difficult to replace.  In the face of such principled opposition, Lambkins’s threat, limited to material concerns, is brushed aside.</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All the characters described above consider their respectable independence to be more important than retaining position.  However, the junior teachers differ from the others.  While Bodkin, John and the Bucklersbury waiter retain aspects of Sam Weller’s boisterousness, the teachers maintain a calm dignity that suggests alternative methods of dissent, an important indication of the direction Reynolds will later take.  Commentators note how from the late 1840s there was a general move to a more ‘respectable’ cheap literature.</w:t>
      </w:r>
      <w:r w:rsidRPr="006872CB">
        <w:rPr>
          <w:rStyle w:val="FootnoteReference"/>
          <w:rFonts w:ascii="Times New Roman" w:hAnsi="Times New Roman" w:cs="Times New Roman"/>
          <w:sz w:val="24"/>
          <w:szCs w:val="24"/>
        </w:rPr>
        <w:footnoteReference w:id="767"/>
      </w:r>
      <w:r w:rsidRPr="006872CB">
        <w:rPr>
          <w:rFonts w:ascii="Times New Roman" w:hAnsi="Times New Roman" w:cs="Times New Roman"/>
          <w:sz w:val="24"/>
          <w:szCs w:val="24"/>
        </w:rPr>
        <w:t xml:space="preserve">  Margaret Dalziel writes that by 1855 the ‘voluptuous period’ of his fiction was over.</w:t>
      </w:r>
      <w:r w:rsidRPr="006872CB">
        <w:rPr>
          <w:rStyle w:val="FootnoteReference"/>
          <w:rFonts w:ascii="Times New Roman" w:hAnsi="Times New Roman" w:cs="Times New Roman"/>
          <w:sz w:val="24"/>
          <w:szCs w:val="24"/>
        </w:rPr>
        <w:footnoteReference w:id="768"/>
      </w:r>
      <w:r w:rsidRPr="006872CB">
        <w:rPr>
          <w:rFonts w:ascii="Times New Roman" w:hAnsi="Times New Roman" w:cs="Times New Roman"/>
          <w:sz w:val="24"/>
          <w:szCs w:val="24"/>
        </w:rPr>
        <w:t xml:space="preserve">  Graham Law suggests this may have been due to pressure from business partners to capture the domestic market.</w:t>
      </w:r>
      <w:r w:rsidRPr="006872CB">
        <w:rPr>
          <w:rStyle w:val="FootnoteReference"/>
          <w:rFonts w:ascii="Times New Roman" w:hAnsi="Times New Roman" w:cs="Times New Roman"/>
          <w:sz w:val="24"/>
          <w:szCs w:val="24"/>
        </w:rPr>
        <w:footnoteReference w:id="769"/>
      </w:r>
      <w:r w:rsidRPr="006872CB">
        <w:rPr>
          <w:rFonts w:ascii="Times New Roman" w:hAnsi="Times New Roman" w:cs="Times New Roman"/>
          <w:sz w:val="24"/>
          <w:szCs w:val="24"/>
        </w:rPr>
        <w:t xml:space="preserve">  Reynolds was certainly proud of the popularity of his work, openly parading sales figures before his readership.</w:t>
      </w:r>
      <w:r w:rsidRPr="006872CB">
        <w:rPr>
          <w:rStyle w:val="FootnoteReference"/>
          <w:rFonts w:ascii="Times New Roman" w:hAnsi="Times New Roman" w:cs="Times New Roman"/>
          <w:sz w:val="24"/>
          <w:szCs w:val="24"/>
        </w:rPr>
        <w:footnoteReference w:id="770"/>
      </w:r>
      <w:r w:rsidRPr="006872CB">
        <w:rPr>
          <w:rFonts w:ascii="Times New Roman" w:hAnsi="Times New Roman" w:cs="Times New Roman"/>
          <w:sz w:val="24"/>
          <w:szCs w:val="24"/>
        </w:rPr>
        <w:t xml:space="preserve">  Besides commercial reasons, however, this development might be seen in terms of continuing longstanding aspects of his view towards the conduct of the industrious classes.  The result was to demarcate forms of dissent, particularly by reducing Wellerian unruliness in respectable protest and aligning it more firmly with disreputable behaviour.</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This new tone did not diminish Reynolds’s presentation of class-exploitation, with novels that focused upon the poverty of seamstresses, the tyranny suffered by domestic servants and the brutality of army life, as confirmed by many advertisements in his newspaper.</w:t>
      </w:r>
      <w:r w:rsidRPr="006872CB">
        <w:rPr>
          <w:rStyle w:val="FootnoteReference"/>
          <w:rFonts w:ascii="Times New Roman" w:hAnsi="Times New Roman" w:cs="Times New Roman"/>
          <w:sz w:val="24"/>
          <w:szCs w:val="24"/>
        </w:rPr>
        <w:footnoteReference w:id="771"/>
      </w:r>
      <w:r w:rsidRPr="006872CB">
        <w:rPr>
          <w:rFonts w:ascii="Times New Roman" w:hAnsi="Times New Roman" w:cs="Times New Roman"/>
          <w:sz w:val="24"/>
          <w:szCs w:val="24"/>
        </w:rPr>
        <w:t xml:space="preserve">  However, the figures that most embody the struggle against injustice </w:t>
      </w:r>
      <w:r w:rsidRPr="006872CB">
        <w:rPr>
          <w:rFonts w:ascii="Times New Roman" w:hAnsi="Times New Roman" w:cs="Times New Roman"/>
          <w:sz w:val="24"/>
          <w:szCs w:val="24"/>
        </w:rPr>
        <w:lastRenderedPageBreak/>
        <w:t xml:space="preserve">increasingly take on essentialist traits.  They suggest what </w:t>
      </w:r>
      <w:r w:rsidRPr="006872CB">
        <w:rPr>
          <w:rFonts w:ascii="Times New Roman" w:hAnsi="Times New Roman" w:cs="Times New Roman"/>
          <w:iCs/>
          <w:sz w:val="24"/>
          <w:szCs w:val="24"/>
        </w:rPr>
        <w:t xml:space="preserve">Josephine Guy refers to as the ‘moral’ person, whose </w:t>
      </w:r>
      <w:r w:rsidRPr="006872CB">
        <w:rPr>
          <w:rFonts w:ascii="Times New Roman" w:hAnsi="Times New Roman" w:cs="Times New Roman"/>
          <w:sz w:val="24"/>
          <w:szCs w:val="24"/>
        </w:rPr>
        <w:t>humanity ‘is not a product of their social or familial environment; it is part of their nature and of their identity’, evidence of the ‘givenness and permanence of moral values’.</w:t>
      </w:r>
      <w:r w:rsidRPr="006872CB">
        <w:rPr>
          <w:rStyle w:val="FootnoteReference"/>
          <w:rFonts w:ascii="Times New Roman" w:hAnsi="Times New Roman" w:cs="Times New Roman"/>
          <w:sz w:val="24"/>
          <w:szCs w:val="24"/>
        </w:rPr>
        <w:footnoteReference w:id="772"/>
      </w:r>
      <w:r w:rsidRPr="006872CB">
        <w:rPr>
          <w:rFonts w:ascii="Times New Roman" w:hAnsi="Times New Roman" w:cs="Times New Roman"/>
          <w:sz w:val="24"/>
          <w:szCs w:val="24"/>
        </w:rPr>
        <w:t xml:space="preserve">  These types, like Kate Wilmot and Agnes Vernon in </w:t>
      </w:r>
      <w:r w:rsidRPr="006872CB">
        <w:rPr>
          <w:rFonts w:ascii="Times New Roman" w:hAnsi="Times New Roman" w:cs="Times New Roman"/>
          <w:i/>
          <w:sz w:val="24"/>
          <w:szCs w:val="24"/>
        </w:rPr>
        <w:t xml:space="preserve">The </w:t>
      </w:r>
      <w:r w:rsidRPr="006872CB">
        <w:rPr>
          <w:rFonts w:ascii="Times New Roman" w:hAnsi="Times New Roman" w:cs="Times New Roman"/>
          <w:i/>
          <w:iCs/>
          <w:sz w:val="24"/>
          <w:szCs w:val="24"/>
        </w:rPr>
        <w:t>Mysteries of London</w:t>
      </w:r>
      <w:r w:rsidRPr="006872CB">
        <w:rPr>
          <w:rFonts w:ascii="Times New Roman" w:hAnsi="Times New Roman" w:cs="Times New Roman"/>
          <w:sz w:val="24"/>
          <w:szCs w:val="24"/>
        </w:rPr>
        <w:t>, had appeared before but only to play lesser roles than the morally tainted Ellen Monroe.  From 1850, they</w:t>
      </w:r>
      <w:r w:rsidRPr="006872CB">
        <w:rPr>
          <w:rFonts w:ascii="Times New Roman" w:hAnsi="Times New Roman" w:cs="Times New Roman"/>
          <w:b/>
          <w:sz w:val="24"/>
          <w:szCs w:val="24"/>
        </w:rPr>
        <w:t xml:space="preserve"> </w:t>
      </w:r>
      <w:r w:rsidRPr="006872CB">
        <w:rPr>
          <w:rFonts w:ascii="Times New Roman" w:hAnsi="Times New Roman" w:cs="Times New Roman"/>
          <w:sz w:val="24"/>
          <w:szCs w:val="24"/>
        </w:rPr>
        <w:t xml:space="preserve">move increasingly to the foreground, exemplified </w:t>
      </w:r>
      <w:r w:rsidRPr="006872CB">
        <w:rPr>
          <w:rFonts w:ascii="Times New Roman" w:hAnsi="Times New Roman" w:cs="Times New Roman"/>
          <w:iCs/>
          <w:sz w:val="24"/>
          <w:szCs w:val="24"/>
        </w:rPr>
        <w:t>in</w:t>
      </w:r>
      <w:r w:rsidRPr="006872CB">
        <w:rPr>
          <w:rFonts w:ascii="Times New Roman" w:hAnsi="Times New Roman" w:cs="Times New Roman"/>
          <w:sz w:val="24"/>
          <w:szCs w:val="24"/>
        </w:rPr>
        <w:t xml:space="preserve"> </w:t>
      </w:r>
      <w:r w:rsidRPr="006872CB">
        <w:rPr>
          <w:rFonts w:ascii="Times New Roman" w:hAnsi="Times New Roman" w:cs="Times New Roman"/>
          <w:i/>
          <w:sz w:val="24"/>
          <w:szCs w:val="24"/>
        </w:rPr>
        <w:t>The Seamstress</w:t>
      </w:r>
      <w:r w:rsidRPr="006872CB">
        <w:rPr>
          <w:rFonts w:ascii="Times New Roman" w:hAnsi="Times New Roman" w:cs="Times New Roman"/>
          <w:sz w:val="24"/>
          <w:szCs w:val="24"/>
        </w:rPr>
        <w:t xml:space="preserve"> (1850) by </w:t>
      </w:r>
      <w:r w:rsidRPr="006872CB">
        <w:rPr>
          <w:rFonts w:ascii="Times New Roman" w:hAnsi="Times New Roman" w:cs="Times New Roman"/>
          <w:iCs/>
          <w:sz w:val="24"/>
          <w:szCs w:val="24"/>
        </w:rPr>
        <w:t>Virginia Mordaunt, whose ‘innate rectitude’ ensures she remains ‘pure and spotless in the midst of contamination</w:t>
      </w:r>
      <w:r w:rsidRPr="006872CB">
        <w:rPr>
          <w:rFonts w:ascii="Times New Roman" w:hAnsi="Times New Roman" w:cs="Times New Roman"/>
          <w:sz w:val="24"/>
          <w:szCs w:val="24"/>
        </w:rPr>
        <w:t>—</w:t>
      </w:r>
      <w:r w:rsidRPr="006872CB">
        <w:rPr>
          <w:rFonts w:ascii="Times New Roman" w:hAnsi="Times New Roman" w:cs="Times New Roman"/>
          <w:iCs/>
          <w:sz w:val="24"/>
          <w:szCs w:val="24"/>
        </w:rPr>
        <w:t>in the midst of temptation</w:t>
      </w:r>
      <w:r w:rsidRPr="006872CB">
        <w:rPr>
          <w:rFonts w:ascii="Times New Roman" w:hAnsi="Times New Roman" w:cs="Times New Roman"/>
          <w:sz w:val="24"/>
          <w:szCs w:val="24"/>
        </w:rPr>
        <w:t>—</w:t>
      </w:r>
      <w:r w:rsidRPr="006872CB">
        <w:rPr>
          <w:rFonts w:ascii="Times New Roman" w:hAnsi="Times New Roman" w:cs="Times New Roman"/>
          <w:iCs/>
          <w:sz w:val="24"/>
          <w:szCs w:val="24"/>
        </w:rPr>
        <w:t>in the midst of sorrow, suffering, and crushing toil’.</w:t>
      </w:r>
      <w:r w:rsidRPr="006872CB">
        <w:rPr>
          <w:rStyle w:val="FootnoteReference"/>
          <w:rFonts w:ascii="Times New Roman" w:hAnsi="Times New Roman" w:cs="Times New Roman"/>
          <w:bCs/>
          <w:sz w:val="24"/>
          <w:szCs w:val="24"/>
        </w:rPr>
        <w:footnoteReference w:id="773"/>
      </w:r>
      <w:r w:rsidRPr="006872CB">
        <w:rPr>
          <w:rFonts w:ascii="Times New Roman" w:hAnsi="Times New Roman" w:cs="Times New Roman"/>
          <w:iCs/>
          <w:sz w:val="24"/>
          <w:szCs w:val="24"/>
        </w:rPr>
        <w:t xml:space="preserve">  </w:t>
      </w:r>
      <w:r w:rsidRPr="006872CB">
        <w:rPr>
          <w:rFonts w:ascii="Times New Roman" w:hAnsi="Times New Roman" w:cs="Times New Roman"/>
          <w:sz w:val="24"/>
          <w:szCs w:val="24"/>
        </w:rPr>
        <w:t xml:space="preserve">In </w:t>
      </w:r>
      <w:r w:rsidRPr="006872CB">
        <w:rPr>
          <w:rFonts w:ascii="Times New Roman" w:hAnsi="Times New Roman" w:cs="Times New Roman"/>
          <w:i/>
          <w:sz w:val="24"/>
          <w:szCs w:val="24"/>
        </w:rPr>
        <w:t>The Soldier’s Wife</w:t>
      </w:r>
      <w:r w:rsidRPr="006872CB">
        <w:rPr>
          <w:rFonts w:ascii="Times New Roman" w:hAnsi="Times New Roman" w:cs="Times New Roman"/>
          <w:sz w:val="24"/>
          <w:szCs w:val="24"/>
        </w:rPr>
        <w:t xml:space="preserve"> (1852–53), Reynolds endows Frederick Lonsdale with qualities far above the villagers of Oakleigh where he grows up, writing of his intelligence and desire for instruction at school and that despite being a labourer only his clothes prevented him from seeming the social equal of his lover, Lucy Davis, daughter of a well-to-do bailiff.</w:t>
      </w:r>
      <w:r w:rsidRPr="006872CB">
        <w:rPr>
          <w:rStyle w:val="FootnoteReference"/>
          <w:rFonts w:ascii="Times New Roman" w:hAnsi="Times New Roman" w:cs="Times New Roman"/>
          <w:sz w:val="24"/>
          <w:szCs w:val="24"/>
        </w:rPr>
        <w:footnoteReference w:id="774"/>
      </w:r>
      <w:r w:rsidRPr="006872CB">
        <w:rPr>
          <w:rFonts w:ascii="Times New Roman" w:hAnsi="Times New Roman" w:cs="Times New Roman"/>
          <w:sz w:val="24"/>
          <w:szCs w:val="24"/>
        </w:rPr>
        <w:t xml:space="preserve">  Others, such as Mary Price and Joseph Wilmot, describe themselves as being different from their colleagues.  Mary notes that early in their relationship her future husband Eustace Quentin recognizes her ‘refinement’ despite the lowly position she occupies.</w:t>
      </w:r>
      <w:r w:rsidRPr="006872CB">
        <w:rPr>
          <w:rStyle w:val="FootnoteReference"/>
          <w:rFonts w:ascii="Times New Roman" w:hAnsi="Times New Roman" w:cs="Times New Roman"/>
          <w:sz w:val="24"/>
          <w:szCs w:val="24"/>
        </w:rPr>
        <w:footnoteReference w:id="775"/>
      </w:r>
      <w:r w:rsidRPr="006872CB">
        <w:rPr>
          <w:rFonts w:ascii="Times New Roman" w:hAnsi="Times New Roman" w:cs="Times New Roman"/>
          <w:sz w:val="24"/>
          <w:szCs w:val="24"/>
        </w:rPr>
        <w:t xml:space="preserve">  Joseph is aware of being unlike other pupils at Mr Nelson’s school in Leicester, describing himself as particularly intelligent and quick: ‘Naturally good-natured and obliging, I was an almost universal favourite’.</w:t>
      </w:r>
      <w:r w:rsidRPr="006872CB">
        <w:rPr>
          <w:rStyle w:val="FootnoteReference"/>
          <w:rFonts w:ascii="Times New Roman" w:hAnsi="Times New Roman" w:cs="Times New Roman"/>
          <w:sz w:val="24"/>
          <w:szCs w:val="24"/>
        </w:rPr>
        <w:footnoteReference w:id="776"/>
      </w:r>
      <w:r w:rsidRPr="006872CB">
        <w:rPr>
          <w:rFonts w:ascii="Times New Roman" w:hAnsi="Times New Roman" w:cs="Times New Roman"/>
          <w:sz w:val="24"/>
          <w:szCs w:val="24"/>
        </w:rPr>
        <w:t xml:space="preserve">  John Reed writes that Lonsdale being a scion of the aristocracy undercuts the labouring-class element in his protest.</w:t>
      </w:r>
      <w:r w:rsidRPr="006872CB">
        <w:rPr>
          <w:rStyle w:val="FootnoteReference"/>
          <w:rFonts w:ascii="Times New Roman" w:hAnsi="Times New Roman" w:cs="Times New Roman"/>
          <w:sz w:val="24"/>
          <w:szCs w:val="24"/>
        </w:rPr>
        <w:footnoteReference w:id="777"/>
      </w:r>
      <w:r w:rsidRPr="006872CB">
        <w:rPr>
          <w:rFonts w:ascii="Times New Roman" w:hAnsi="Times New Roman" w:cs="Times New Roman"/>
          <w:sz w:val="24"/>
          <w:szCs w:val="24"/>
        </w:rPr>
        <w:t xml:space="preserve">  As their narratives progress, it transpires that Virginia, Mary and Joseph also have aristocratic ancestry.</w:t>
      </w:r>
      <w:r w:rsidRPr="006872CB">
        <w:rPr>
          <w:rStyle w:val="FootnoteReference"/>
          <w:rFonts w:ascii="Times New Roman" w:hAnsi="Times New Roman" w:cs="Times New Roman"/>
          <w:sz w:val="24"/>
          <w:szCs w:val="24"/>
        </w:rPr>
        <w:footnoteReference w:id="778"/>
      </w:r>
      <w:r w:rsidRPr="006872CB">
        <w:rPr>
          <w:rFonts w:ascii="Times New Roman" w:hAnsi="Times New Roman" w:cs="Times New Roman"/>
          <w:sz w:val="24"/>
          <w:szCs w:val="24"/>
        </w:rPr>
        <w:t xml:space="preserve">  The persistent association of respectable protest with individuals from the highest social echelons casts some doubt upon the ability of more typical members of the industrious classes to embody its demanding qualities.</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 xml:space="preserve">Given the importance that Reynolds attached to virtue in human conduct it is necessary to consider the moral imperatives that drive those who aim for independent respectability.  Their struggle in enforced dealings with pawnshops provides a useful starting </w:t>
      </w:r>
      <w:r w:rsidRPr="006872CB">
        <w:rPr>
          <w:rFonts w:ascii="Times New Roman" w:hAnsi="Times New Roman" w:cs="Times New Roman"/>
          <w:sz w:val="24"/>
          <w:szCs w:val="24"/>
        </w:rPr>
        <w:lastRenderedPageBreak/>
        <w:t>point.  When Mary Price returns to Ashford to look after her younger siblings, William and Jane, she is determined to succeed by her own industry.  After the theft of their luggage leaves them financially straitened she still</w:t>
      </w:r>
      <w:r w:rsidRPr="006872CB">
        <w:rPr>
          <w:rFonts w:ascii="Times New Roman" w:hAnsi="Times New Roman" w:cs="Times New Roman"/>
          <w:bCs/>
          <w:sz w:val="24"/>
          <w:szCs w:val="24"/>
        </w:rPr>
        <w:t xml:space="preserve"> refuses to seek help from friends and acquaintances.  She considers several but rejects them all with flimsy excuses before confessing the real reason: ‘a deep dislike […] to ask any favour of a pecuniary character’.</w:t>
      </w:r>
      <w:r w:rsidRPr="006872CB">
        <w:rPr>
          <w:rStyle w:val="FootnoteReference"/>
          <w:rFonts w:ascii="Times New Roman" w:hAnsi="Times New Roman" w:cs="Times New Roman"/>
          <w:sz w:val="24"/>
          <w:szCs w:val="24"/>
        </w:rPr>
        <w:footnoteReference w:id="779"/>
      </w:r>
      <w:r w:rsidRPr="006872CB">
        <w:rPr>
          <w:rFonts w:ascii="Times New Roman" w:hAnsi="Times New Roman" w:cs="Times New Roman"/>
          <w:sz w:val="24"/>
          <w:szCs w:val="24"/>
        </w:rPr>
        <w:t xml:space="preserve">  At Deal, despite unemployment leading to worse poverty, she persists on this course, enduring a frugal lifestyle to pay the rent punctually, even though it causes suffering to William and Jane, something that pains her greatly.  Mary’s internal protest at being unable to survive independently is expressed in the shame felt when fearing for Jane’s health she finally takes a shawl to the pawnbroker: ‘it was like a guilty thing that I stole into the place, […] that gloomy receptacle for the tributes of poverty and extravagance’.</w:t>
      </w:r>
      <w:r w:rsidRPr="006872CB">
        <w:rPr>
          <w:rStyle w:val="FootnoteReference"/>
          <w:rFonts w:ascii="Times New Roman" w:hAnsi="Times New Roman" w:cs="Times New Roman"/>
          <w:sz w:val="24"/>
          <w:szCs w:val="24"/>
        </w:rPr>
        <w:footnoteReference w:id="780"/>
      </w:r>
      <w:r w:rsidRPr="006872CB">
        <w:rPr>
          <w:rFonts w:ascii="Times New Roman" w:hAnsi="Times New Roman" w:cs="Times New Roman"/>
          <w:sz w:val="24"/>
          <w:szCs w:val="24"/>
        </w:rPr>
        <w:t xml:space="preserve">  The worry that passers-by scrutinize her is an overly sensitive response that suggests she feels she is partaking in almost criminal activity.  The specifying of ‘poverty’ and ‘extravagance’ is symptomatic of her repugnance towards dependency and wastefulness.  While sympathizing with the poor, she </w:t>
      </w:r>
      <w:r w:rsidRPr="00EA2C03">
        <w:rPr>
          <w:rFonts w:ascii="Times New Roman" w:hAnsi="Times New Roman" w:cs="Times New Roman"/>
          <w:sz w:val="24"/>
          <w:szCs w:val="24"/>
        </w:rPr>
        <w:t>considers herself separate from them.  Mary’s existence becomes an on</w:t>
      </w:r>
      <w:r w:rsidR="00B114AD" w:rsidRPr="00EA2C03">
        <w:rPr>
          <w:rFonts w:ascii="Times New Roman" w:hAnsi="Times New Roman" w:cs="Times New Roman"/>
          <w:sz w:val="24"/>
          <w:szCs w:val="24"/>
        </w:rPr>
        <w:t>-</w:t>
      </w:r>
      <w:r w:rsidRPr="00EA2C03">
        <w:rPr>
          <w:rFonts w:ascii="Times New Roman" w:hAnsi="Times New Roman" w:cs="Times New Roman"/>
          <w:sz w:val="24"/>
          <w:szCs w:val="24"/>
        </w:rPr>
        <w:t>going battle in which going to the pawnshop is a less unpalatable alternative than causing disappointment for others.  Available help is ignored because obtaining something without the certainty of being able to return it risks burdening those who place trust in you.  This is why she keeps the landlady Mrs Scudder unaware of her plight and continues to pay rent knowing that the amiable woman also has financial difficulties.  In contrast, dealing with a pawnshop at least involves trading items accrued through previous labour</w:t>
      </w:r>
      <w:r w:rsidRPr="006872CB">
        <w:rPr>
          <w:rFonts w:ascii="Times New Roman" w:hAnsi="Times New Roman" w:cs="Times New Roman"/>
          <w:sz w:val="24"/>
          <w:szCs w:val="24"/>
        </w:rPr>
        <w:t xml:space="preserve">. </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Joseph Wilmot experiences similar thoughts when he travels to Manchester and is conned by Mr Dorchester into joining a fraudulent scheme to open a school.  Having lost his money and unable to find employment, he is loath to ask for assistance from former friends and feels distaste at relying on the sale of hard-earned possessions: ‘no tongue can tell the bitter, bitter feelings with which for the first time in my life I found myself forced to cross the threshold of a pawnbroker’s shop’.</w:t>
      </w:r>
      <w:r w:rsidRPr="006872CB">
        <w:rPr>
          <w:rStyle w:val="FootnoteReference"/>
          <w:rFonts w:ascii="Times New Roman" w:hAnsi="Times New Roman" w:cs="Times New Roman"/>
          <w:sz w:val="24"/>
          <w:szCs w:val="24"/>
        </w:rPr>
        <w:footnoteReference w:id="781"/>
      </w:r>
      <w:r w:rsidRPr="006872CB">
        <w:rPr>
          <w:rFonts w:ascii="Times New Roman" w:hAnsi="Times New Roman" w:cs="Times New Roman"/>
          <w:sz w:val="24"/>
          <w:szCs w:val="24"/>
        </w:rPr>
        <w:t xml:space="preserve">  It takes a determined act of will to enter and the food bought with the money raised gives </w:t>
      </w:r>
      <w:r w:rsidRPr="00EA2C03">
        <w:rPr>
          <w:rFonts w:ascii="Times New Roman" w:hAnsi="Times New Roman" w:cs="Times New Roman"/>
          <w:sz w:val="24"/>
          <w:szCs w:val="24"/>
        </w:rPr>
        <w:t>little satisfaction</w:t>
      </w:r>
      <w:r w:rsidR="00B114AD" w:rsidRPr="00EA2C03">
        <w:rPr>
          <w:rFonts w:ascii="Times New Roman" w:hAnsi="Times New Roman" w:cs="Times New Roman"/>
          <w:sz w:val="24"/>
          <w:szCs w:val="24"/>
        </w:rPr>
        <w:t>:</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 xml:space="preserve">[T]hat bread was eaten in bitterness: for sweet as is the bread of industry, proportionately bitter is that which is procured by the sacrifice of other necessaries.  </w:t>
      </w:r>
      <w:r w:rsidRPr="006872CB">
        <w:rPr>
          <w:rFonts w:ascii="Times New Roman" w:hAnsi="Times New Roman" w:cs="Times New Roman"/>
          <w:sz w:val="24"/>
          <w:szCs w:val="24"/>
        </w:rPr>
        <w:lastRenderedPageBreak/>
        <w:t>Bread, bought by the making away of one’s very garments, sustains life, it is true—but affords not a wholesome nor a healthy, much less a happy existence.</w:t>
      </w:r>
      <w:r w:rsidRPr="006872CB">
        <w:rPr>
          <w:rStyle w:val="FootnoteReference"/>
          <w:rFonts w:ascii="Times New Roman" w:hAnsi="Times New Roman" w:cs="Times New Roman"/>
          <w:sz w:val="24"/>
          <w:szCs w:val="24"/>
        </w:rPr>
        <w:footnoteReference w:id="782"/>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His sense of the hollowness of what he eats symbolizes the moral void of an existence without the work vital for his well-being.  The loss of independence means he no longer lives as an aspirational individual but feels fallen to the level of those he has previously pitied or scorned.  Reliance upon the pawnshop encapsulates his failure to live by honest labour, the benchmark for the respectable industrious classes.</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 xml:space="preserve">Lucy Lonsdale also visits a pawnshop but </w:t>
      </w:r>
      <w:r w:rsidRPr="00EA2C03">
        <w:rPr>
          <w:rFonts w:ascii="Times New Roman" w:hAnsi="Times New Roman" w:cs="Times New Roman"/>
          <w:sz w:val="24"/>
          <w:szCs w:val="24"/>
        </w:rPr>
        <w:t>because in different circumstances her response is more temperate: ‘though she experienced a sense of shame on entering the establishment, yet she parted from her trinkets without a pang, because she felt that it was to ensure the means of subsistence through her own honest industry’.</w:t>
      </w:r>
      <w:r w:rsidRPr="00EA2C03">
        <w:rPr>
          <w:rStyle w:val="FootnoteReference"/>
          <w:rFonts w:ascii="Times New Roman" w:hAnsi="Times New Roman" w:cs="Times New Roman"/>
          <w:sz w:val="24"/>
          <w:szCs w:val="24"/>
        </w:rPr>
        <w:footnoteReference w:id="783"/>
      </w:r>
      <w:r w:rsidRPr="00EA2C03">
        <w:rPr>
          <w:rFonts w:ascii="Times New Roman" w:hAnsi="Times New Roman" w:cs="Times New Roman"/>
          <w:sz w:val="24"/>
          <w:szCs w:val="24"/>
        </w:rPr>
        <w:t xml:space="preserve">  Unlike Mary and Joseph, she can see her journey as the avenue to </w:t>
      </w:r>
      <w:r w:rsidR="00B114AD" w:rsidRPr="00EA2C03">
        <w:rPr>
          <w:rFonts w:ascii="Times New Roman" w:hAnsi="Times New Roman" w:cs="Times New Roman"/>
          <w:sz w:val="24"/>
          <w:szCs w:val="24"/>
        </w:rPr>
        <w:t>honourable</w:t>
      </w:r>
      <w:r w:rsidRPr="00EA2C03">
        <w:rPr>
          <w:rFonts w:ascii="Times New Roman" w:hAnsi="Times New Roman" w:cs="Times New Roman"/>
          <w:sz w:val="24"/>
          <w:szCs w:val="24"/>
        </w:rPr>
        <w:t xml:space="preserve"> endeavour.  Consequently, material possessions become mere ‘trinkets’ in the process of acquiring the deposit necessary to procure orders from the slop seller.  Her trip is unpleasant but marks a return to self-sufficiency, whereas those of Mary and Joseph are admissions of defeat.  These experiences suggest the values central to independent respectability and the high psychological cost of failing to abide by them.  Those involved tend to accuse themselves for their difficulties, an internali</w:t>
      </w:r>
      <w:r w:rsidR="00B114AD" w:rsidRPr="00EA2C03">
        <w:rPr>
          <w:rFonts w:ascii="Times New Roman" w:hAnsi="Times New Roman" w:cs="Times New Roman"/>
          <w:sz w:val="24"/>
          <w:szCs w:val="24"/>
        </w:rPr>
        <w:t>z</w:t>
      </w:r>
      <w:r w:rsidRPr="00EA2C03">
        <w:rPr>
          <w:rFonts w:ascii="Times New Roman" w:hAnsi="Times New Roman" w:cs="Times New Roman"/>
          <w:sz w:val="24"/>
          <w:szCs w:val="24"/>
        </w:rPr>
        <w:t>ed protest that guides their actions.  This self-blame means</w:t>
      </w:r>
      <w:r w:rsidRPr="006872CB">
        <w:rPr>
          <w:rFonts w:ascii="Times New Roman" w:hAnsi="Times New Roman" w:cs="Times New Roman"/>
          <w:sz w:val="24"/>
          <w:szCs w:val="24"/>
        </w:rPr>
        <w:t xml:space="preserve"> work is of paramount importance and makes combatting unjust employers and degrading conditions central to having </w:t>
      </w:r>
      <w:r w:rsidRPr="00E47E5E">
        <w:rPr>
          <w:rFonts w:ascii="Times New Roman" w:hAnsi="Times New Roman" w:cs="Times New Roman"/>
          <w:sz w:val="24"/>
          <w:szCs w:val="24"/>
        </w:rPr>
        <w:t>a re</w:t>
      </w:r>
      <w:r w:rsidR="009936B3" w:rsidRPr="00E47E5E">
        <w:rPr>
          <w:rFonts w:ascii="Times New Roman" w:hAnsi="Times New Roman" w:cs="Times New Roman"/>
          <w:sz w:val="24"/>
          <w:szCs w:val="24"/>
        </w:rPr>
        <w:t>pu</w:t>
      </w:r>
      <w:r w:rsidRPr="00E47E5E">
        <w:rPr>
          <w:rFonts w:ascii="Times New Roman" w:hAnsi="Times New Roman" w:cs="Times New Roman"/>
          <w:sz w:val="24"/>
          <w:szCs w:val="24"/>
        </w:rPr>
        <w:t>table standing</w:t>
      </w:r>
      <w:r w:rsidRPr="006872CB">
        <w:rPr>
          <w:rFonts w:ascii="Times New Roman" w:hAnsi="Times New Roman" w:cs="Times New Roman"/>
          <w:sz w:val="24"/>
          <w:szCs w:val="24"/>
        </w:rPr>
        <w:t xml:space="preserve"> in society.</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 xml:space="preserve">Reynolds demonstrates these principles in </w:t>
      </w:r>
      <w:r w:rsidRPr="006872CB">
        <w:rPr>
          <w:rFonts w:ascii="Times New Roman" w:hAnsi="Times New Roman" w:cs="Times New Roman"/>
          <w:i/>
          <w:sz w:val="24"/>
          <w:szCs w:val="24"/>
        </w:rPr>
        <w:t>The</w:t>
      </w:r>
      <w:r w:rsidRPr="006872CB">
        <w:rPr>
          <w:rFonts w:ascii="Times New Roman" w:hAnsi="Times New Roman" w:cs="Times New Roman"/>
          <w:sz w:val="24"/>
          <w:szCs w:val="24"/>
        </w:rPr>
        <w:t xml:space="preserve"> </w:t>
      </w:r>
      <w:r w:rsidRPr="006872CB">
        <w:rPr>
          <w:rFonts w:ascii="Times New Roman" w:hAnsi="Times New Roman" w:cs="Times New Roman"/>
          <w:i/>
          <w:sz w:val="24"/>
          <w:szCs w:val="24"/>
        </w:rPr>
        <w:t>Seamstress</w:t>
      </w:r>
      <w:r w:rsidRPr="006872CB">
        <w:rPr>
          <w:rFonts w:ascii="Times New Roman" w:hAnsi="Times New Roman" w:cs="Times New Roman"/>
          <w:sz w:val="24"/>
          <w:szCs w:val="24"/>
        </w:rPr>
        <w:t xml:space="preserve">, where Virginia Mordaunt toils as a dressmaker in what E. P. Thompson noted was a </w:t>
      </w:r>
      <w:r w:rsidRPr="006872CB">
        <w:rPr>
          <w:rFonts w:ascii="Times New Roman" w:hAnsi="Times New Roman" w:cs="Times New Roman"/>
          <w:iCs/>
          <w:sz w:val="24"/>
          <w:szCs w:val="24"/>
        </w:rPr>
        <w:t>notoriously ‘sweated’ trade</w:t>
      </w:r>
      <w:r w:rsidRPr="006872CB">
        <w:rPr>
          <w:rFonts w:ascii="Times New Roman" w:hAnsi="Times New Roman" w:cs="Times New Roman"/>
          <w:sz w:val="24"/>
          <w:szCs w:val="24"/>
        </w:rPr>
        <w:t>.</w:t>
      </w:r>
      <w:r w:rsidRPr="006872CB">
        <w:rPr>
          <w:rStyle w:val="FootnoteReference"/>
          <w:rFonts w:ascii="Times New Roman" w:hAnsi="Times New Roman" w:cs="Times New Roman"/>
          <w:sz w:val="24"/>
          <w:szCs w:val="24"/>
        </w:rPr>
        <w:footnoteReference w:id="784"/>
      </w:r>
      <w:r w:rsidRPr="006872CB">
        <w:rPr>
          <w:rFonts w:ascii="Times New Roman" w:hAnsi="Times New Roman" w:cs="Times New Roman"/>
          <w:sz w:val="24"/>
          <w:szCs w:val="24"/>
        </w:rPr>
        <w:t xml:space="preserve">  This is highlighted by the opening illustration where a pair of scissors dramatically divides the poverty-stricken seamstress from the wealthy aristocrats who don the products of her ill-rewarded labours (see Appendix I).  </w:t>
      </w:r>
      <w:r w:rsidRPr="009936B3">
        <w:rPr>
          <w:rFonts w:ascii="Times New Roman" w:hAnsi="Times New Roman" w:cs="Times New Roman"/>
          <w:sz w:val="24"/>
          <w:szCs w:val="24"/>
        </w:rPr>
        <w:t>Virginia’s</w:t>
      </w:r>
      <w:r w:rsidRPr="006872CB">
        <w:rPr>
          <w:rFonts w:ascii="Times New Roman" w:hAnsi="Times New Roman" w:cs="Times New Roman"/>
          <w:sz w:val="24"/>
          <w:szCs w:val="24"/>
        </w:rPr>
        <w:t xml:space="preserve"> protest against hardship is notable for being based upon a strict sense of propriety and justice and for its general absence of political </w:t>
      </w:r>
      <w:r w:rsidR="00B114AD" w:rsidRPr="009936B3">
        <w:rPr>
          <w:rFonts w:ascii="Times New Roman" w:hAnsi="Times New Roman" w:cs="Times New Roman"/>
          <w:sz w:val="24"/>
          <w:szCs w:val="24"/>
        </w:rPr>
        <w:t>perspective</w:t>
      </w:r>
      <w:r w:rsidRPr="009936B3">
        <w:rPr>
          <w:rFonts w:ascii="Times New Roman" w:hAnsi="Times New Roman" w:cs="Times New Roman"/>
          <w:sz w:val="24"/>
          <w:szCs w:val="24"/>
        </w:rPr>
        <w:t>.  Experience</w:t>
      </w:r>
      <w:r w:rsidRPr="006872CB">
        <w:rPr>
          <w:rFonts w:ascii="Times New Roman" w:hAnsi="Times New Roman" w:cs="Times New Roman"/>
          <w:sz w:val="24"/>
          <w:szCs w:val="24"/>
        </w:rPr>
        <w:t xml:space="preserve"> provides her with knowledge of the exploitation in the trade, as when she makes a dress for the Duchess of Belmont.  </w:t>
      </w:r>
      <w:r w:rsidRPr="006872CB">
        <w:rPr>
          <w:rFonts w:ascii="Times New Roman" w:hAnsi="Times New Roman" w:cs="Times New Roman"/>
          <w:iCs/>
          <w:sz w:val="24"/>
          <w:szCs w:val="24"/>
        </w:rPr>
        <w:t>Reynolds details the cost of the materials and the</w:t>
      </w:r>
      <w:r w:rsidRPr="006872CB">
        <w:rPr>
          <w:rFonts w:ascii="Times New Roman" w:hAnsi="Times New Roman" w:cs="Times New Roman"/>
          <w:sz w:val="24"/>
          <w:szCs w:val="24"/>
        </w:rPr>
        <w:t xml:space="preserve"> human chain of exchange that sees the labour for which she receives three </w:t>
      </w:r>
      <w:r w:rsidRPr="006872CB">
        <w:rPr>
          <w:rFonts w:ascii="Times New Roman" w:hAnsi="Times New Roman" w:cs="Times New Roman"/>
          <w:sz w:val="24"/>
          <w:szCs w:val="24"/>
        </w:rPr>
        <w:lastRenderedPageBreak/>
        <w:t>shillings and sixpence transformed into four guineas for Madame Duplessy who sells the dress to her aristocratic customer.</w:t>
      </w:r>
      <w:r w:rsidRPr="006872CB">
        <w:rPr>
          <w:rStyle w:val="FootnoteReference"/>
          <w:rFonts w:ascii="Times New Roman" w:hAnsi="Times New Roman" w:cs="Times New Roman"/>
          <w:sz w:val="24"/>
          <w:szCs w:val="24"/>
        </w:rPr>
        <w:footnoteReference w:id="785"/>
      </w:r>
      <w:r w:rsidRPr="006872CB">
        <w:rPr>
          <w:rFonts w:ascii="Times New Roman" w:hAnsi="Times New Roman" w:cs="Times New Roman"/>
          <w:sz w:val="24"/>
          <w:szCs w:val="24"/>
        </w:rPr>
        <w:t xml:space="preserve">  Virginia is shocked at the discovery but does not allow it to govern her actions which remain overwhelmingly influenced by the desire for respectability and self-reliance.  The former demands unqualified acknowledgement of her honesty, displayed in the spirited response to the Duchess’s withholding of payment: ‘“But does your Grace think me capable of endeavouring to impose upon you?” exclaimed Virginia, her wounded pride and her indignation now supplying her with a courage which rose paramount above her natural timidity.’</w:t>
      </w:r>
      <w:r w:rsidRPr="006872CB">
        <w:rPr>
          <w:rStyle w:val="FootnoteReference"/>
          <w:rFonts w:ascii="Times New Roman" w:hAnsi="Times New Roman" w:cs="Times New Roman"/>
          <w:bCs/>
          <w:sz w:val="24"/>
          <w:szCs w:val="24"/>
        </w:rPr>
        <w:footnoteReference w:id="786"/>
      </w:r>
      <w:r w:rsidRPr="006872CB">
        <w:rPr>
          <w:rFonts w:ascii="Times New Roman" w:hAnsi="Times New Roman" w:cs="Times New Roman"/>
          <w:sz w:val="24"/>
          <w:szCs w:val="24"/>
        </w:rPr>
        <w:t xml:space="preserve">  Virginia does not complain that non-payment will bring her trouble, but objects to the implied slight upon her character which assumes such importance that it gives courage to speak out.  As with the junior teachers at Belvidere House, she will endure various forms of oppression providing they do not impugn her character.  Consequently, she accepts an hour-long delay in the waiting room and the demeaning way the Duchess speaks to her.  However, withholding payment because her name does not appear on the bill is a questioning of her integrity that must be confronted.  The same response is observable when Virginia suggests she find work directly because the ‘middle-woman’ Mrs Jackson has none available and the latter self-pityingly complains of being displaced:</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‘Oh! Madam, such a thought never entered my imagination for a moment!’ cried Virginia, the tears starting forth from her long lashes.  ‘I am incapable of anything like treachery,’ she added, with the altered tone of a sudden access of indignation as the foulness of the suspicion struck her with redoubled force.</w:t>
      </w:r>
      <w:r w:rsidRPr="006872CB">
        <w:rPr>
          <w:rStyle w:val="FootnoteReference"/>
          <w:rFonts w:ascii="Times New Roman" w:hAnsi="Times New Roman" w:cs="Times New Roman"/>
          <w:bCs/>
          <w:sz w:val="24"/>
          <w:szCs w:val="24"/>
        </w:rPr>
        <w:footnoteReference w:id="787"/>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Virginia has recently witnessed how her labour creates the fortunes of others while she remains in poverty but does not argue the justification for rejecting Jackson as a parasite.  It is not economic plight but the sense of being baselessly accused that drives her indignation.  Belief in her virtue provides an unshakeable foundation for her protest and it is imperative that all acknowledge it.  Consequently, when Jackson hypocritically relents, while still confirming no work is available, Virginia is content to remain in the system that keeps her enslaved.  The psychological need to be self-reliant means that despite intense poverty she repeatedly refuses money.  When </w:t>
      </w:r>
      <w:r w:rsidRPr="009936B3">
        <w:rPr>
          <w:rFonts w:ascii="Times New Roman" w:hAnsi="Times New Roman" w:cs="Times New Roman"/>
          <w:sz w:val="24"/>
          <w:szCs w:val="24"/>
        </w:rPr>
        <w:t>Mrs Pembroke, located</w:t>
      </w:r>
      <w:r w:rsidRPr="006872CB">
        <w:rPr>
          <w:rFonts w:ascii="Times New Roman" w:hAnsi="Times New Roman" w:cs="Times New Roman"/>
          <w:sz w:val="24"/>
          <w:szCs w:val="24"/>
        </w:rPr>
        <w:t xml:space="preserve"> above Jackson </w:t>
      </w:r>
      <w:r w:rsidRPr="00E47E5E">
        <w:rPr>
          <w:rFonts w:ascii="Times New Roman" w:hAnsi="Times New Roman" w:cs="Times New Roman"/>
          <w:sz w:val="24"/>
          <w:szCs w:val="24"/>
        </w:rPr>
        <w:t xml:space="preserve">in the </w:t>
      </w:r>
      <w:r w:rsidR="009936B3" w:rsidRPr="00E47E5E">
        <w:rPr>
          <w:rFonts w:ascii="Times New Roman" w:hAnsi="Times New Roman" w:cs="Times New Roman"/>
          <w:sz w:val="24"/>
          <w:szCs w:val="24"/>
        </w:rPr>
        <w:t>ladder</w:t>
      </w:r>
      <w:r w:rsidRPr="00E47E5E">
        <w:rPr>
          <w:rFonts w:ascii="Times New Roman" w:hAnsi="Times New Roman" w:cs="Times New Roman"/>
          <w:sz w:val="24"/>
          <w:szCs w:val="24"/>
        </w:rPr>
        <w:t xml:space="preserve"> of</w:t>
      </w:r>
      <w:r w:rsidRPr="006872CB">
        <w:rPr>
          <w:rFonts w:ascii="Times New Roman" w:hAnsi="Times New Roman" w:cs="Times New Roman"/>
          <w:sz w:val="24"/>
          <w:szCs w:val="24"/>
        </w:rPr>
        <w:t xml:space="preserve"> exploitation, asks her to take the dress to Madame DuPlessy’s establishment in Portland Place, Virginia rejects the proffered omnibus fare: ‘with her cheeks displaying the slight flush of a </w:t>
      </w:r>
      <w:r w:rsidRPr="006872CB">
        <w:rPr>
          <w:rFonts w:ascii="Times New Roman" w:hAnsi="Times New Roman" w:cs="Times New Roman"/>
          <w:sz w:val="24"/>
          <w:szCs w:val="24"/>
        </w:rPr>
        <w:lastRenderedPageBreak/>
        <w:t>pride somewhat wounded by the self-sufficiency of Mrs. Pembroke, Virginia took up the sixpence and laid it down by her side’.</w:t>
      </w:r>
      <w:r w:rsidRPr="006872CB">
        <w:rPr>
          <w:rStyle w:val="FootnoteReference"/>
          <w:rFonts w:ascii="Times New Roman" w:hAnsi="Times New Roman" w:cs="Times New Roman"/>
          <w:bCs/>
          <w:sz w:val="24"/>
          <w:szCs w:val="24"/>
        </w:rPr>
        <w:footnoteReference w:id="788"/>
      </w:r>
      <w:r w:rsidRPr="006872CB">
        <w:rPr>
          <w:rFonts w:ascii="Times New Roman" w:hAnsi="Times New Roman" w:cs="Times New Roman"/>
          <w:sz w:val="24"/>
          <w:szCs w:val="24"/>
        </w:rPr>
        <w:t xml:space="preserve">  She consents to perform the task but accepting the sixpence would acknowledge her lack of independence.  Such rejection is a source of pride and an opportunity to </w:t>
      </w:r>
      <w:r w:rsidRPr="0025071D">
        <w:rPr>
          <w:rFonts w:ascii="Times New Roman" w:hAnsi="Times New Roman" w:cs="Times New Roman"/>
          <w:sz w:val="24"/>
          <w:szCs w:val="24"/>
        </w:rPr>
        <w:t>display self-respect.</w:t>
      </w:r>
      <w:r w:rsidRPr="0025071D">
        <w:rPr>
          <w:rStyle w:val="FootnoteReference"/>
          <w:rFonts w:ascii="Times New Roman" w:hAnsi="Times New Roman" w:cs="Times New Roman"/>
          <w:bCs/>
          <w:sz w:val="24"/>
          <w:szCs w:val="24"/>
        </w:rPr>
        <w:footnoteReference w:id="789"/>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bCs/>
          <w:sz w:val="24"/>
          <w:szCs w:val="24"/>
        </w:rPr>
        <w:t xml:space="preserve">Virginia’s protest is bound by an unwavering sense of propriety, </w:t>
      </w:r>
      <w:r w:rsidRPr="006872CB">
        <w:rPr>
          <w:rFonts w:ascii="Times New Roman" w:hAnsi="Times New Roman" w:cs="Times New Roman"/>
          <w:sz w:val="24"/>
          <w:szCs w:val="24"/>
        </w:rPr>
        <w:t>rejecting material comforts that are in any way questionable.  The</w:t>
      </w:r>
      <w:r w:rsidRPr="006872CB">
        <w:rPr>
          <w:rFonts w:ascii="Times New Roman" w:hAnsi="Times New Roman" w:cs="Times New Roman"/>
          <w:bCs/>
          <w:sz w:val="24"/>
          <w:szCs w:val="24"/>
        </w:rPr>
        <w:t xml:space="preserve"> sensation of wellbeing in Julia Barnet’s chamber can exist only so long as she does not know the source of her companion’s prosperity.  On discovering the truth, Virginia immediately rejects Julia’s argument that in an unjust world immoral behaviour is an acceptable path to reward.  This attitude</w:t>
      </w:r>
      <w:r w:rsidRPr="006872CB">
        <w:rPr>
          <w:rFonts w:ascii="Times New Roman" w:hAnsi="Times New Roman" w:cs="Times New Roman"/>
          <w:sz w:val="24"/>
          <w:szCs w:val="24"/>
        </w:rPr>
        <w:t xml:space="preserve"> extends to her romantic attachment with Charles, Marquis of Arden.  During their first encounter in Grosvenor Square, she regards his approaches as an insult: ‘because one is poor, no credit will be given for rectitude of conduct—no faith put in virtuous intentions!’.</w:t>
      </w:r>
      <w:r w:rsidRPr="006872CB">
        <w:rPr>
          <w:rStyle w:val="FootnoteReference"/>
          <w:rFonts w:ascii="Times New Roman" w:hAnsi="Times New Roman" w:cs="Times New Roman"/>
          <w:bCs/>
          <w:sz w:val="24"/>
          <w:szCs w:val="24"/>
        </w:rPr>
        <w:footnoteReference w:id="790"/>
      </w:r>
      <w:r w:rsidRPr="006872CB">
        <w:rPr>
          <w:rFonts w:ascii="Times New Roman" w:hAnsi="Times New Roman" w:cs="Times New Roman"/>
          <w:sz w:val="24"/>
          <w:szCs w:val="24"/>
        </w:rPr>
        <w:t xml:space="preserve">  This view of how the upper ranks of society regard the lower orders introduces considerations of class into her protest, but they remain tied to a perspective that refuses to bow to any requests that might blur moral boundaries.  This is apparent when Charles declares his devotion, after rescuing her from being trampled underfoot by horses in the busy neighbourhood of Charing Cross.  Although unaware of his rank, she realizes he belongs to a higher station and that life with him offers escape from drudgery.  Innocent love gives ‘secret sensations of pleasure’ and in her thoughts she refers to him by his first name.</w:t>
      </w:r>
      <w:r w:rsidRPr="006872CB">
        <w:rPr>
          <w:rStyle w:val="FootnoteReference"/>
          <w:rFonts w:ascii="Times New Roman" w:hAnsi="Times New Roman" w:cs="Times New Roman"/>
          <w:bCs/>
          <w:sz w:val="24"/>
          <w:szCs w:val="24"/>
        </w:rPr>
        <w:footnoteReference w:id="791"/>
      </w:r>
      <w:r w:rsidRPr="006872CB">
        <w:rPr>
          <w:rFonts w:ascii="Times New Roman" w:hAnsi="Times New Roman" w:cs="Times New Roman"/>
          <w:sz w:val="24"/>
          <w:szCs w:val="24"/>
        </w:rPr>
        <w:t xml:space="preserve">  However, strict propriety opposes these sentiments.  She feels her lowly status is a barrier and fears his words have encroached upon her ‘maidenly prudence’.</w:t>
      </w:r>
      <w:r w:rsidRPr="006872CB">
        <w:rPr>
          <w:rStyle w:val="FootnoteReference"/>
          <w:rFonts w:ascii="Times New Roman" w:hAnsi="Times New Roman" w:cs="Times New Roman"/>
          <w:bCs/>
          <w:sz w:val="24"/>
          <w:szCs w:val="24"/>
        </w:rPr>
        <w:footnoteReference w:id="792"/>
      </w:r>
      <w:r w:rsidRPr="006872CB">
        <w:rPr>
          <w:rFonts w:ascii="Times New Roman" w:hAnsi="Times New Roman" w:cs="Times New Roman"/>
          <w:sz w:val="24"/>
          <w:szCs w:val="24"/>
        </w:rPr>
        <w:t xml:space="preserve">  The ‘dreams of escape’ do not overwhelm Virginia’s belief in what constitutes proper conduct, pointing to her strength in overcoming immediate desires.  When Charles proposes marriage, </w:t>
      </w:r>
      <w:r w:rsidRPr="009936B3">
        <w:rPr>
          <w:rFonts w:ascii="Times New Roman" w:hAnsi="Times New Roman" w:cs="Times New Roman"/>
          <w:sz w:val="24"/>
          <w:szCs w:val="24"/>
        </w:rPr>
        <w:t>there is no i</w:t>
      </w:r>
      <w:r w:rsidR="00B114AD" w:rsidRPr="009936B3">
        <w:rPr>
          <w:rFonts w:ascii="Times New Roman" w:hAnsi="Times New Roman" w:cs="Times New Roman"/>
          <w:sz w:val="24"/>
          <w:szCs w:val="24"/>
        </w:rPr>
        <w:t>nstant</w:t>
      </w:r>
      <w:r w:rsidRPr="009936B3">
        <w:rPr>
          <w:rFonts w:ascii="Times New Roman" w:hAnsi="Times New Roman" w:cs="Times New Roman"/>
          <w:sz w:val="24"/>
          <w:szCs w:val="24"/>
        </w:rPr>
        <w:t xml:space="preserve"> acceptance a</w:t>
      </w:r>
      <w:r w:rsidR="00B114AD" w:rsidRPr="009936B3">
        <w:rPr>
          <w:rFonts w:ascii="Times New Roman" w:hAnsi="Times New Roman" w:cs="Times New Roman"/>
          <w:sz w:val="24"/>
          <w:szCs w:val="24"/>
        </w:rPr>
        <w:t>s</w:t>
      </w:r>
      <w:r w:rsidRPr="009936B3">
        <w:rPr>
          <w:rFonts w:ascii="Times New Roman" w:hAnsi="Times New Roman" w:cs="Times New Roman"/>
          <w:sz w:val="24"/>
          <w:szCs w:val="24"/>
        </w:rPr>
        <w:t xml:space="preserve"> she asks</w:t>
      </w:r>
      <w:r w:rsidRPr="006872CB">
        <w:rPr>
          <w:rFonts w:ascii="Times New Roman" w:hAnsi="Times New Roman" w:cs="Times New Roman"/>
          <w:sz w:val="24"/>
          <w:szCs w:val="24"/>
        </w:rPr>
        <w:t xml:space="preserve"> for time to make a decision.  Even when engaged, ‘delicate reserve’ and ‘maidenly pride’ mean she is reticent about taking his money to purchase bridal-wear.</w:t>
      </w:r>
      <w:r w:rsidRPr="006872CB">
        <w:rPr>
          <w:rStyle w:val="FootnoteReference"/>
          <w:rFonts w:ascii="Times New Roman" w:hAnsi="Times New Roman" w:cs="Times New Roman"/>
          <w:sz w:val="24"/>
          <w:szCs w:val="24"/>
        </w:rPr>
        <w:footnoteReference w:id="793"/>
      </w:r>
      <w:r w:rsidRPr="006872CB">
        <w:rPr>
          <w:rFonts w:ascii="Times New Roman" w:hAnsi="Times New Roman" w:cs="Times New Roman"/>
          <w:sz w:val="24"/>
          <w:szCs w:val="24"/>
        </w:rPr>
        <w:t xml:space="preserve">  Later she rejects the offer to visit West </w:t>
      </w:r>
      <w:r w:rsidRPr="006872CB">
        <w:rPr>
          <w:rFonts w:ascii="Times New Roman" w:hAnsi="Times New Roman" w:cs="Times New Roman"/>
          <w:sz w:val="24"/>
          <w:szCs w:val="24"/>
        </w:rPr>
        <w:lastRenderedPageBreak/>
        <w:t>End jewellery shops because it would be a reminder of ‘her dependence upon his generosity’.</w:t>
      </w:r>
      <w:r w:rsidRPr="006872CB">
        <w:rPr>
          <w:rStyle w:val="FootnoteReference"/>
          <w:rFonts w:ascii="Times New Roman" w:hAnsi="Times New Roman" w:cs="Times New Roman"/>
          <w:bCs/>
          <w:sz w:val="24"/>
          <w:szCs w:val="24"/>
        </w:rPr>
        <w:footnoteReference w:id="794"/>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The centrality of being responsible for one’s behaviour becomes even clearer after Virginia is fooled into believing Charles has toyed with her affections by Clementine, Lady Belmont’s unscrupulous French maid who desires to marry the young Marquis for his wealth.</w:t>
      </w:r>
      <w:r w:rsidRPr="006872CB">
        <w:rPr>
          <w:rStyle w:val="FootnoteReference"/>
          <w:rFonts w:ascii="Times New Roman" w:hAnsi="Times New Roman" w:cs="Times New Roman"/>
          <w:bCs/>
          <w:sz w:val="24"/>
          <w:szCs w:val="24"/>
        </w:rPr>
        <w:footnoteReference w:id="795"/>
      </w:r>
      <w:r w:rsidRPr="006872CB">
        <w:rPr>
          <w:rFonts w:ascii="Times New Roman" w:hAnsi="Times New Roman" w:cs="Times New Roman"/>
          <w:bCs/>
          <w:sz w:val="24"/>
          <w:szCs w:val="24"/>
        </w:rPr>
        <w:t xml:space="preserve">  Virginia experiences an ‘ordeal of self-vituperation’ involving accusations of ‘castle-building’ and having ‘yielded to a delusion’.</w:t>
      </w:r>
      <w:r w:rsidRPr="006872CB">
        <w:rPr>
          <w:rStyle w:val="FootnoteReference"/>
          <w:rFonts w:ascii="Times New Roman" w:hAnsi="Times New Roman" w:cs="Times New Roman"/>
          <w:bCs/>
          <w:sz w:val="24"/>
          <w:szCs w:val="24"/>
        </w:rPr>
        <w:footnoteReference w:id="796"/>
      </w:r>
      <w:r w:rsidRPr="006872CB">
        <w:rPr>
          <w:rFonts w:ascii="Times New Roman" w:hAnsi="Times New Roman" w:cs="Times New Roman"/>
          <w:bCs/>
          <w:sz w:val="24"/>
          <w:szCs w:val="24"/>
        </w:rPr>
        <w:t xml:space="preserve">  Reynolds writes that the reader who understands her character should be prepared ‘to behold her enacting an independent part and adopting a consistent line of behaviour’.</w:t>
      </w:r>
      <w:r w:rsidRPr="006872CB">
        <w:rPr>
          <w:rStyle w:val="FootnoteReference"/>
          <w:rFonts w:ascii="Times New Roman" w:hAnsi="Times New Roman" w:cs="Times New Roman"/>
          <w:bCs/>
          <w:sz w:val="24"/>
          <w:szCs w:val="24"/>
        </w:rPr>
        <w:footnoteReference w:id="797"/>
      </w:r>
      <w:r w:rsidRPr="006872CB">
        <w:rPr>
          <w:rFonts w:ascii="Times New Roman" w:hAnsi="Times New Roman" w:cs="Times New Roman"/>
          <w:bCs/>
          <w:sz w:val="24"/>
          <w:szCs w:val="24"/>
        </w:rPr>
        <w:t xml:space="preserve">  The word ‘consistent’ is important, pointing to how the moral basis of independent respectability has consequences, making Virginia’s response not a series of haphazard events but an inevitable course of action. </w:t>
      </w:r>
      <w:r w:rsidRPr="006872CB">
        <w:rPr>
          <w:rFonts w:ascii="Times New Roman" w:hAnsi="Times New Roman" w:cs="Times New Roman"/>
          <w:sz w:val="24"/>
          <w:szCs w:val="24"/>
        </w:rPr>
        <w:t xml:space="preserve"> She immediately </w:t>
      </w:r>
      <w:r w:rsidRPr="006872CB">
        <w:rPr>
          <w:rFonts w:ascii="Times New Roman" w:hAnsi="Times New Roman" w:cs="Times New Roman"/>
          <w:bCs/>
          <w:sz w:val="24"/>
          <w:szCs w:val="24"/>
        </w:rPr>
        <w:t xml:space="preserve">discards purchases made with Charles’s money and </w:t>
      </w:r>
      <w:r w:rsidRPr="006872CB">
        <w:rPr>
          <w:rFonts w:ascii="Times New Roman" w:hAnsi="Times New Roman" w:cs="Times New Roman"/>
          <w:sz w:val="24"/>
          <w:szCs w:val="24"/>
        </w:rPr>
        <w:t>leaves the comfortable lodgings in Camden Town where the kind landlady has found her employment and she has attained a modest level of well-being:</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I must not—dare not remain in this neighbourhood—nor in this house!  In the first place, it is necessary to my mental tranquillity,—for I dare not speak of happiness any more in this world,—but it is essential to the recovery of my soul’s composure, I say, that I should remove at once from a scene every feature of which would only keep alive the most painful reminiscences.  Besides—I owe it to myself—I owe it to the shade of my dear departed mother.</w:t>
      </w:r>
      <w:r w:rsidRPr="006872CB">
        <w:rPr>
          <w:rStyle w:val="FootnoteReference"/>
          <w:rFonts w:ascii="Times New Roman" w:hAnsi="Times New Roman" w:cs="Times New Roman"/>
          <w:bCs/>
          <w:sz w:val="24"/>
          <w:szCs w:val="24"/>
        </w:rPr>
        <w:footnoteReference w:id="798"/>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Her words indicate it is not just an onerous duty she performs but one that is beneficial.  However, success demands that all memory of what she regards as a terrible mistake is purged and her position must be rectified by decisive action.  Through this she will regain ‘mental tranquillity’ and her ‘soul’s composure’, pointing to how the reaction is based upon psychological and moral priorities.  It enacts ‘lofty principles’ which Reynolds emphasises by referring to her ‘steadfast earnestness, exceeding delicacy, and genuine pride’, and </w:t>
      </w:r>
      <w:r w:rsidRPr="006872CB">
        <w:rPr>
          <w:rFonts w:ascii="Times New Roman" w:hAnsi="Times New Roman" w:cs="Times New Roman"/>
          <w:bCs/>
          <w:sz w:val="24"/>
          <w:szCs w:val="24"/>
        </w:rPr>
        <w:t>through the exercise of calm reason she brings herself to ‘a state of comparative tranquillity’.</w:t>
      </w:r>
      <w:r w:rsidRPr="006872CB">
        <w:rPr>
          <w:rStyle w:val="FootnoteReference"/>
          <w:rFonts w:ascii="Times New Roman" w:hAnsi="Times New Roman" w:cs="Times New Roman"/>
          <w:bCs/>
          <w:sz w:val="24"/>
          <w:szCs w:val="24"/>
        </w:rPr>
        <w:footnoteReference w:id="799"/>
      </w:r>
      <w:r w:rsidRPr="006872CB">
        <w:rPr>
          <w:rFonts w:ascii="Times New Roman" w:hAnsi="Times New Roman" w:cs="Times New Roman"/>
          <w:bCs/>
          <w:sz w:val="24"/>
          <w:szCs w:val="24"/>
        </w:rPr>
        <w:t xml:space="preserve">  T</w:t>
      </w:r>
      <w:r w:rsidRPr="006872CB">
        <w:rPr>
          <w:rFonts w:ascii="Times New Roman" w:hAnsi="Times New Roman" w:cs="Times New Roman"/>
          <w:sz w:val="24"/>
          <w:szCs w:val="24"/>
        </w:rPr>
        <w:t xml:space="preserve">his response does not involve material considerations but rather the acceptance of grinding poverty.  Virginia returns to an attic lodging and performs slop work, earning a miserly three </w:t>
      </w:r>
      <w:r w:rsidRPr="006872CB">
        <w:rPr>
          <w:rFonts w:ascii="Times New Roman" w:hAnsi="Times New Roman" w:cs="Times New Roman"/>
          <w:sz w:val="24"/>
          <w:szCs w:val="24"/>
        </w:rPr>
        <w:lastRenderedPageBreak/>
        <w:t>shillings a week.  She rejects the workhouse as a ‘living tomb which the heartless rich have formed’.</w:t>
      </w:r>
      <w:r w:rsidRPr="006872CB">
        <w:rPr>
          <w:rStyle w:val="FootnoteReference"/>
          <w:rFonts w:ascii="Times New Roman" w:hAnsi="Times New Roman" w:cs="Times New Roman"/>
          <w:bCs/>
          <w:sz w:val="24"/>
          <w:szCs w:val="24"/>
        </w:rPr>
        <w:footnoteReference w:id="800"/>
      </w:r>
      <w:r w:rsidRPr="006872CB">
        <w:rPr>
          <w:rFonts w:ascii="Times New Roman" w:hAnsi="Times New Roman" w:cs="Times New Roman"/>
          <w:sz w:val="24"/>
          <w:szCs w:val="24"/>
        </w:rPr>
        <w:t xml:space="preserve">  It is a tomb because it strips the individual of respectability and independence, the pillars upon which her protest is built.  Virginia considers more class-based ideas as poverty </w:t>
      </w:r>
      <w:r w:rsidR="009936B3" w:rsidRPr="00E47E5E">
        <w:rPr>
          <w:rFonts w:ascii="Times New Roman" w:hAnsi="Times New Roman" w:cs="Times New Roman"/>
          <w:sz w:val="24"/>
          <w:szCs w:val="24"/>
        </w:rPr>
        <w:t>induces</w:t>
      </w:r>
      <w:r w:rsidRPr="00E47E5E">
        <w:rPr>
          <w:rFonts w:ascii="Times New Roman" w:hAnsi="Times New Roman" w:cs="Times New Roman"/>
          <w:sz w:val="24"/>
          <w:szCs w:val="24"/>
        </w:rPr>
        <w:t xml:space="preserve"> her</w:t>
      </w:r>
      <w:r w:rsidRPr="006872CB">
        <w:rPr>
          <w:rFonts w:ascii="Times New Roman" w:hAnsi="Times New Roman" w:cs="Times New Roman"/>
          <w:sz w:val="24"/>
          <w:szCs w:val="24"/>
        </w:rPr>
        <w:t xml:space="preserve"> to reflect upon the state of society, particularly when the neighbours rally around during her illness:</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Oh God!  If there were but a just government, an honest legislature, and a good social system in this country, what wonders might not be wrought with a people in whose minds are already existing the germs of every generous feeling and every moral excellence!</w:t>
      </w:r>
      <w:r w:rsidRPr="006872CB">
        <w:rPr>
          <w:rStyle w:val="FootnoteReference"/>
          <w:rFonts w:ascii="Times New Roman" w:hAnsi="Times New Roman" w:cs="Times New Roman"/>
          <w:bCs/>
          <w:sz w:val="24"/>
          <w:szCs w:val="24"/>
        </w:rPr>
        <w:footnoteReference w:id="801"/>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The experience ignites her most political thoughts, with speculation on the potential of these people and what results a change in the social system might bring.  Nevertheless, it remains fundamentally a moral vision, in which the new rulers are ‘just’ and ‘honest’ and the ‘generous feeling’ and ‘moral excellence’ of the industrious classes is allowed to flourish.</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 xml:space="preserve">In </w:t>
      </w:r>
      <w:r w:rsidRPr="006872CB">
        <w:rPr>
          <w:rFonts w:ascii="Times New Roman" w:hAnsi="Times New Roman" w:cs="Times New Roman"/>
          <w:i/>
          <w:iCs/>
          <w:sz w:val="24"/>
          <w:szCs w:val="24"/>
        </w:rPr>
        <w:t>The Soldier’s Wife</w:t>
      </w:r>
      <w:r w:rsidRPr="006872CB">
        <w:rPr>
          <w:rFonts w:ascii="Times New Roman" w:hAnsi="Times New Roman" w:cs="Times New Roman"/>
          <w:sz w:val="24"/>
          <w:szCs w:val="24"/>
        </w:rPr>
        <w:t xml:space="preserve">, Reynolds depicts the struggle for independent respectability primarily through Frederick and Lucy Lonsdale.  As seen in a previous chapter, when Frederick is unable to withstand the traumas of military life he falls into disreputable behaviour but during his initial period of service he desires self-improvement, purchasing books and hoping to become a teacher.  Such aims express determination to reject the brutalizing effects that the aristocratic officers wish to inflict and are particularly commendable since his status as a private soldier makes them virtually untenable.  Frederick’s two desertions are attempts to find space where he can exercise those natural attributes displayed in his youth at Oakleigh and both flights see the couple set up schools to make a respectable living.  Freed from military tyranny, Frederick embraces sobriety and intellectual development, studying French and Latin.  However, it is vital to maintain this attitude </w:t>
      </w:r>
      <w:r w:rsidRPr="00E47E5E">
        <w:rPr>
          <w:rFonts w:ascii="Times New Roman" w:hAnsi="Times New Roman" w:cs="Times New Roman"/>
          <w:sz w:val="24"/>
          <w:szCs w:val="24"/>
        </w:rPr>
        <w:t xml:space="preserve">when </w:t>
      </w:r>
      <w:r w:rsidR="009936B3" w:rsidRPr="00E47E5E">
        <w:rPr>
          <w:rFonts w:ascii="Times New Roman" w:hAnsi="Times New Roman" w:cs="Times New Roman"/>
          <w:sz w:val="24"/>
          <w:szCs w:val="24"/>
        </w:rPr>
        <w:t xml:space="preserve">forcibly </w:t>
      </w:r>
      <w:r w:rsidRPr="00E47E5E">
        <w:rPr>
          <w:rFonts w:ascii="Times New Roman" w:hAnsi="Times New Roman" w:cs="Times New Roman"/>
          <w:sz w:val="24"/>
          <w:szCs w:val="24"/>
        </w:rPr>
        <w:t>returned</w:t>
      </w:r>
      <w:r w:rsidRPr="006872CB">
        <w:rPr>
          <w:rFonts w:ascii="Times New Roman" w:hAnsi="Times New Roman" w:cs="Times New Roman"/>
          <w:sz w:val="24"/>
          <w:szCs w:val="24"/>
        </w:rPr>
        <w:t xml:space="preserve"> to the army ranks.  While not stopping the tyranny of officers, it stimulates individual well-being.  This is witnessed in his acknowledgement to Lucy one Christmas after they have enjoyed the festive meal and walked out together: ‘To-day I have experienced such true happiness that it seems as if it were the era of a more beautiful change in my feelings.’</w:t>
      </w:r>
      <w:r w:rsidRPr="006872CB">
        <w:rPr>
          <w:rStyle w:val="FootnoteReference"/>
          <w:rFonts w:ascii="Times New Roman" w:hAnsi="Times New Roman" w:cs="Times New Roman"/>
          <w:sz w:val="24"/>
          <w:szCs w:val="24"/>
        </w:rPr>
        <w:footnoteReference w:id="802"/>
      </w:r>
      <w:r w:rsidRPr="006872CB">
        <w:rPr>
          <w:rFonts w:ascii="Times New Roman" w:hAnsi="Times New Roman" w:cs="Times New Roman"/>
          <w:sz w:val="24"/>
          <w:szCs w:val="24"/>
        </w:rPr>
        <w:t xml:space="preserve">  His words express how, even after military flogging and with more years of injustice to face, through abstinence and restraint he can achieve peace of mind and experience hope for the future.  Losing these qualities sees him descend into the lowest forms </w:t>
      </w:r>
      <w:r w:rsidRPr="006872CB">
        <w:rPr>
          <w:rFonts w:ascii="Times New Roman" w:hAnsi="Times New Roman" w:cs="Times New Roman"/>
          <w:sz w:val="24"/>
          <w:szCs w:val="24"/>
        </w:rPr>
        <w:lastRenderedPageBreak/>
        <w:t>of protest.  In contrast, Lucy strives to retain her respectability while enduring the brutality of the ruling classes.  Like Virginia Mordaunt, she does not passively accept oppression but seeks to overcome its worst effects.  During Frederick’s recovery from his first flogging, she lives frugally and after discussing their reduced finances with him takes up needlework and through honest industry struggles to maintain the unity of the family.</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With Virginia and Lucy, Reynolds presents two figures whose respectable protest appears unsuccessful when past suffering severely shortens their lives.  The portrayal of Virginia seems unsatisfactory since increased knowledge of the exploitation she endures fails to develop a psychology of protest along broader social lines.  Her constant torment from the opening attic scene where she toils in the feeble glimmer of a candle while St Paul’s sounds like a death knell points to T. J. Edelstein’s assertion that she continues the popular portrayal of the seamstress as a suffering martyr, a ‘perfect image of feminine loveliness […] calculated to inspire our pity and sympathy but not our involvement’.</w:t>
      </w:r>
      <w:r w:rsidRPr="006872CB">
        <w:rPr>
          <w:rStyle w:val="FootnoteReference"/>
          <w:rFonts w:ascii="Times New Roman" w:hAnsi="Times New Roman" w:cs="Times New Roman"/>
          <w:sz w:val="24"/>
          <w:szCs w:val="24"/>
        </w:rPr>
        <w:footnoteReference w:id="803"/>
      </w:r>
      <w:r w:rsidRPr="006872CB">
        <w:rPr>
          <w:rFonts w:ascii="Times New Roman" w:hAnsi="Times New Roman" w:cs="Times New Roman"/>
          <w:sz w:val="24"/>
          <w:szCs w:val="24"/>
        </w:rPr>
        <w:t xml:space="preserve">  Towards the end of her life, Virginia’s protest collapses in any material sense as she increasingly relies upon the benevolence of others; the chandler who gives her credit, the rough-and-ready neighbours who provide support and the elderly landladies who attend her final illness.  She is even prepared to enter the workhouse so as not to burden others, with death becoming a ‘passport to heaven’.</w:t>
      </w:r>
      <w:r w:rsidRPr="006872CB">
        <w:rPr>
          <w:rStyle w:val="FootnoteReference"/>
          <w:rFonts w:ascii="Times New Roman" w:hAnsi="Times New Roman" w:cs="Times New Roman"/>
          <w:bCs/>
          <w:sz w:val="24"/>
          <w:szCs w:val="24"/>
        </w:rPr>
        <w:footnoteReference w:id="804"/>
      </w:r>
      <w:r w:rsidRPr="006872CB">
        <w:rPr>
          <w:rFonts w:ascii="Times New Roman" w:hAnsi="Times New Roman" w:cs="Times New Roman"/>
          <w:sz w:val="24"/>
          <w:szCs w:val="24"/>
        </w:rPr>
        <w:t xml:space="preserve">  In </w:t>
      </w:r>
      <w:r w:rsidRPr="006872CB">
        <w:rPr>
          <w:rFonts w:ascii="Times New Roman" w:hAnsi="Times New Roman" w:cs="Times New Roman"/>
          <w:i/>
          <w:iCs/>
          <w:sz w:val="24"/>
          <w:szCs w:val="24"/>
        </w:rPr>
        <w:t>The Soldier’s Wife</w:t>
      </w:r>
      <w:r w:rsidRPr="006872CB">
        <w:rPr>
          <w:rFonts w:ascii="Times New Roman" w:hAnsi="Times New Roman" w:cs="Times New Roman"/>
          <w:sz w:val="24"/>
          <w:szCs w:val="24"/>
        </w:rPr>
        <w:t>, gloom shrouds the Lonsdales because their trust in providence appears unfounded.</w:t>
      </w:r>
      <w:r w:rsidRPr="006872CB">
        <w:rPr>
          <w:rStyle w:val="FootnoteReference"/>
          <w:rFonts w:ascii="Times New Roman" w:hAnsi="Times New Roman" w:cs="Times New Roman"/>
          <w:sz w:val="24"/>
          <w:szCs w:val="24"/>
        </w:rPr>
        <w:footnoteReference w:id="805"/>
      </w:r>
      <w:r w:rsidRPr="006872CB">
        <w:rPr>
          <w:rFonts w:ascii="Times New Roman" w:hAnsi="Times New Roman" w:cs="Times New Roman"/>
          <w:sz w:val="24"/>
          <w:szCs w:val="24"/>
        </w:rPr>
        <w:t xml:space="preserve">  There are early promising signs when Frederick unexpectedly rescues a runaway chaise which eases the flight during his first desertion: ‘You may conceive the joy which I experienced!  Did it not look as if heaven itself had thrown me in the way of this adventure, that I might obtain the means of prosecuting </w:t>
      </w:r>
      <w:r w:rsidRPr="009936B3">
        <w:rPr>
          <w:rFonts w:ascii="Times New Roman" w:hAnsi="Times New Roman" w:cs="Times New Roman"/>
          <w:sz w:val="24"/>
          <w:szCs w:val="24"/>
        </w:rPr>
        <w:t>my journey?’</w:t>
      </w:r>
      <w:r w:rsidR="0019311D" w:rsidRPr="009936B3">
        <w:rPr>
          <w:rFonts w:ascii="Times New Roman" w:hAnsi="Times New Roman" w:cs="Times New Roman"/>
          <w:sz w:val="24"/>
          <w:szCs w:val="24"/>
        </w:rPr>
        <w:t>.</w:t>
      </w:r>
      <w:r w:rsidRPr="009936B3">
        <w:rPr>
          <w:rStyle w:val="FootnoteReference"/>
          <w:rFonts w:ascii="Times New Roman" w:hAnsi="Times New Roman" w:cs="Times New Roman"/>
          <w:sz w:val="24"/>
          <w:szCs w:val="24"/>
        </w:rPr>
        <w:footnoteReference w:id="806"/>
      </w:r>
      <w:r w:rsidRPr="009936B3">
        <w:rPr>
          <w:rFonts w:ascii="Times New Roman" w:hAnsi="Times New Roman" w:cs="Times New Roman"/>
          <w:sz w:val="24"/>
          <w:szCs w:val="24"/>
        </w:rPr>
        <w:t xml:space="preserve">  In</w:t>
      </w:r>
      <w:r w:rsidRPr="006872CB">
        <w:rPr>
          <w:rFonts w:ascii="Times New Roman" w:hAnsi="Times New Roman" w:cs="Times New Roman"/>
          <w:sz w:val="24"/>
          <w:szCs w:val="24"/>
        </w:rPr>
        <w:t xml:space="preserve"> the short term, providence appears to look kindly upon their protest as they obtain a better life through honest endeavour and Lucy gives birth to young Freddy.  However, it later seems to mock them when by an unlucky chance the </w:t>
      </w:r>
      <w:r w:rsidRPr="009936B3">
        <w:rPr>
          <w:rFonts w:ascii="Times New Roman" w:hAnsi="Times New Roman" w:cs="Times New Roman"/>
          <w:sz w:val="24"/>
          <w:szCs w:val="24"/>
        </w:rPr>
        <w:t>vengeful Obadiah Bates discovers their whereabouts in Carlisle and betrays Frederick back i</w:t>
      </w:r>
      <w:r w:rsidRPr="006872CB">
        <w:rPr>
          <w:rFonts w:ascii="Times New Roman" w:hAnsi="Times New Roman" w:cs="Times New Roman"/>
          <w:sz w:val="24"/>
          <w:szCs w:val="24"/>
        </w:rPr>
        <w:t xml:space="preserve">nto the army.  Making the scene more symbolically charged, this encounter occurs when Frederick is performing an errand of mercy, visiting a sick pupil on Christmas Eve, one of the happiest dates in the Christian calendar.  </w:t>
      </w:r>
      <w:r w:rsidR="0019311D" w:rsidRPr="009936B3">
        <w:rPr>
          <w:rFonts w:ascii="Times New Roman" w:hAnsi="Times New Roman" w:cs="Times New Roman"/>
          <w:sz w:val="24"/>
          <w:szCs w:val="24"/>
        </w:rPr>
        <w:lastRenderedPageBreak/>
        <w:t>Nevertheless, t</w:t>
      </w:r>
      <w:r w:rsidRPr="009936B3">
        <w:rPr>
          <w:rFonts w:ascii="Times New Roman" w:hAnsi="Times New Roman" w:cs="Times New Roman"/>
          <w:sz w:val="24"/>
          <w:szCs w:val="24"/>
        </w:rPr>
        <w:t>his pessimistic</w:t>
      </w:r>
      <w:r w:rsidRPr="006872CB">
        <w:rPr>
          <w:rFonts w:ascii="Times New Roman" w:hAnsi="Times New Roman" w:cs="Times New Roman"/>
          <w:sz w:val="24"/>
          <w:szCs w:val="24"/>
        </w:rPr>
        <w:t xml:space="preserve"> interpretation is open to question.  Reynolds, as a realist writer, must show that justice is not always manifest in a divided society and that virtuous struggle does not guarantee </w:t>
      </w:r>
      <w:r w:rsidRPr="00E47E5E">
        <w:rPr>
          <w:rFonts w:ascii="Times New Roman" w:hAnsi="Times New Roman" w:cs="Times New Roman"/>
          <w:sz w:val="24"/>
          <w:szCs w:val="24"/>
        </w:rPr>
        <w:t>earthly reward.</w:t>
      </w:r>
      <w:r w:rsidR="009936B3" w:rsidRPr="00E47E5E">
        <w:rPr>
          <w:rFonts w:ascii="Times New Roman" w:hAnsi="Times New Roman" w:cs="Times New Roman"/>
          <w:sz w:val="24"/>
          <w:szCs w:val="24"/>
        </w:rPr>
        <w:t xml:space="preserve"> </w:t>
      </w:r>
      <w:r w:rsidRPr="00E47E5E">
        <w:rPr>
          <w:rFonts w:ascii="Times New Roman" w:hAnsi="Times New Roman" w:cs="Times New Roman"/>
          <w:sz w:val="24"/>
          <w:szCs w:val="24"/>
        </w:rPr>
        <w:t xml:space="preserve"> Margaret</w:t>
      </w:r>
      <w:r w:rsidRPr="006872CB">
        <w:rPr>
          <w:rFonts w:ascii="Times New Roman" w:hAnsi="Times New Roman" w:cs="Times New Roman"/>
          <w:sz w:val="24"/>
          <w:szCs w:val="24"/>
        </w:rPr>
        <w:t xml:space="preserve"> Dalziel suggests the ambiguity of such portrayals when she comments that Virginia Mordaunt dies after tremendous suffering, ‘rewarded only by heaven for her matchless virtues’, before inquiring whether the unspoken implications of her fate or Reynolds’s authorial statements ‘would have had more influence in forming the attitudes of his readers’.</w:t>
      </w:r>
      <w:r w:rsidRPr="006872CB">
        <w:rPr>
          <w:rStyle w:val="FootnoteReference"/>
          <w:rFonts w:ascii="Times New Roman" w:hAnsi="Times New Roman" w:cs="Times New Roman"/>
          <w:sz w:val="24"/>
          <w:szCs w:val="24"/>
        </w:rPr>
        <w:footnoteReference w:id="807"/>
      </w:r>
      <w:r w:rsidRPr="006872CB">
        <w:rPr>
          <w:rFonts w:ascii="Times New Roman" w:hAnsi="Times New Roman" w:cs="Times New Roman"/>
          <w:sz w:val="24"/>
          <w:szCs w:val="24"/>
        </w:rPr>
        <w:t xml:space="preserve">  Thomas Vargish writes that ‘English readers expected novels to show them that poetic justice and providential intention are one’.</w:t>
      </w:r>
      <w:r w:rsidRPr="006872CB">
        <w:rPr>
          <w:rStyle w:val="FootnoteReference"/>
          <w:rFonts w:ascii="Times New Roman" w:hAnsi="Times New Roman" w:cs="Times New Roman"/>
          <w:sz w:val="24"/>
          <w:szCs w:val="24"/>
        </w:rPr>
        <w:footnoteReference w:id="808"/>
      </w:r>
      <w:r w:rsidRPr="006872CB">
        <w:rPr>
          <w:rFonts w:ascii="Times New Roman" w:hAnsi="Times New Roman" w:cs="Times New Roman"/>
          <w:sz w:val="24"/>
          <w:szCs w:val="24"/>
        </w:rPr>
        <w:t xml:space="preserve">  Yet, he also notes how events within a text might present an appeal to the world beyond and what he terms the ‘providential aesthetic’ can ‘accommodate an appeal to reality, an “aftertext”’.</w:t>
      </w:r>
      <w:r w:rsidRPr="006872CB">
        <w:rPr>
          <w:rStyle w:val="FootnoteReference"/>
          <w:rFonts w:ascii="Times New Roman" w:hAnsi="Times New Roman" w:cs="Times New Roman"/>
          <w:sz w:val="24"/>
          <w:szCs w:val="24"/>
        </w:rPr>
        <w:footnoteReference w:id="809"/>
      </w:r>
      <w:r w:rsidRPr="006872CB">
        <w:rPr>
          <w:rFonts w:ascii="Times New Roman" w:hAnsi="Times New Roman" w:cs="Times New Roman"/>
          <w:sz w:val="24"/>
          <w:szCs w:val="24"/>
        </w:rPr>
        <w:t xml:space="preserve">  In this perspective, contemporaries might view Virginia and Lucy not restricted by the narrative but as part of a greater providence working to a better end.  Their role becomes one of gathering in others to protest against injustice and, as Dalziel suggests, Reynolds strengthens this ‘gathering in’ with calls for readers to be involved with bringing about a New Jerusalem.  In this sense, the failure of Virginia and Lucy’s struggles in immediate material terms is of secondary importance.</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i/>
          <w:iCs/>
          <w:sz w:val="24"/>
          <w:szCs w:val="24"/>
        </w:rPr>
        <w:t>Mary Price</w:t>
      </w:r>
      <w:r w:rsidRPr="006872CB">
        <w:rPr>
          <w:rFonts w:ascii="Times New Roman" w:hAnsi="Times New Roman" w:cs="Times New Roman"/>
          <w:sz w:val="24"/>
          <w:szCs w:val="24"/>
        </w:rPr>
        <w:t xml:space="preserve"> (1851–53) and </w:t>
      </w:r>
      <w:r w:rsidRPr="006872CB">
        <w:rPr>
          <w:rFonts w:ascii="Times New Roman" w:hAnsi="Times New Roman" w:cs="Times New Roman"/>
          <w:i/>
          <w:iCs/>
          <w:sz w:val="24"/>
          <w:szCs w:val="24"/>
        </w:rPr>
        <w:t>Joseph Wilmot</w:t>
      </w:r>
      <w:r w:rsidRPr="006872CB">
        <w:rPr>
          <w:rFonts w:ascii="Times New Roman" w:hAnsi="Times New Roman" w:cs="Times New Roman"/>
          <w:sz w:val="24"/>
          <w:szCs w:val="24"/>
        </w:rPr>
        <w:t xml:space="preserve"> (1853–55) each focus upon the travails of domestic service with an eponymous main character as narrator.  Acknowledging similarities to its predecessor, Reynolds pronounced the latter a ‘companion’ work.</w:t>
      </w:r>
      <w:r w:rsidRPr="006872CB">
        <w:rPr>
          <w:rStyle w:val="FootnoteReference"/>
          <w:rFonts w:ascii="Times New Roman" w:hAnsi="Times New Roman" w:cs="Times New Roman"/>
          <w:sz w:val="24"/>
          <w:szCs w:val="24"/>
        </w:rPr>
        <w:footnoteReference w:id="810"/>
      </w:r>
      <w:r w:rsidRPr="006872CB">
        <w:rPr>
          <w:rFonts w:ascii="Times New Roman" w:hAnsi="Times New Roman" w:cs="Times New Roman"/>
          <w:sz w:val="24"/>
          <w:szCs w:val="24"/>
        </w:rPr>
        <w:t xml:space="preserve">  Readers were asked for input to make the portrayal as realistic as possible.</w:t>
      </w:r>
      <w:r w:rsidRPr="006872CB">
        <w:rPr>
          <w:rStyle w:val="FootnoteReference"/>
          <w:rFonts w:ascii="Times New Roman" w:hAnsi="Times New Roman" w:cs="Times New Roman"/>
          <w:sz w:val="24"/>
          <w:szCs w:val="24"/>
        </w:rPr>
        <w:footnoteReference w:id="811"/>
      </w:r>
      <w:r w:rsidRPr="006872CB">
        <w:rPr>
          <w:rFonts w:ascii="Times New Roman" w:hAnsi="Times New Roman" w:cs="Times New Roman"/>
          <w:sz w:val="24"/>
          <w:szCs w:val="24"/>
        </w:rPr>
        <w:t xml:space="preserve">  Graham Law writes that with Mary Price, the author ‘succeeds for the first time in portraying a heroine of strong will but virginal purity’.</w:t>
      </w:r>
      <w:r w:rsidRPr="006872CB">
        <w:rPr>
          <w:rStyle w:val="FootnoteReference"/>
          <w:rFonts w:ascii="Times New Roman" w:hAnsi="Times New Roman" w:cs="Times New Roman"/>
          <w:sz w:val="24"/>
          <w:szCs w:val="24"/>
        </w:rPr>
        <w:footnoteReference w:id="812"/>
      </w:r>
      <w:r w:rsidRPr="006872CB">
        <w:rPr>
          <w:rFonts w:ascii="Times New Roman" w:hAnsi="Times New Roman" w:cs="Times New Roman"/>
          <w:sz w:val="24"/>
          <w:szCs w:val="24"/>
        </w:rPr>
        <w:t xml:space="preserve">  Both she and Joseph, albeit in a more confrontational manner, echo the virtues and independent respectability of Virginia Mordaunt and Lucy Lonsdale.  This is seen by how they regard status not in terms of boastful assertions about rank but as the need to live up to the highest moral values.  The careful internal monitoring this entails leads to painful emotions when they fail to comply with these self-imposed standards as highlighted in their </w:t>
      </w:r>
      <w:r w:rsidRPr="006872CB">
        <w:rPr>
          <w:rFonts w:ascii="Times New Roman" w:hAnsi="Times New Roman" w:cs="Times New Roman"/>
          <w:sz w:val="24"/>
          <w:szCs w:val="24"/>
        </w:rPr>
        <w:lastRenderedPageBreak/>
        <w:t>dealings with pawnshops.  Joseph feels deep shame due to his relationship with Calanthe Dundas, which results in her giving birth to his son out of wedlock.</w:t>
      </w:r>
      <w:r w:rsidRPr="006872CB">
        <w:rPr>
          <w:rStyle w:val="FootnoteReference"/>
          <w:rFonts w:ascii="Times New Roman" w:hAnsi="Times New Roman" w:cs="Times New Roman"/>
          <w:sz w:val="24"/>
          <w:szCs w:val="24"/>
        </w:rPr>
        <w:footnoteReference w:id="813"/>
      </w:r>
      <w:r w:rsidRPr="006872CB">
        <w:rPr>
          <w:rFonts w:ascii="Times New Roman" w:hAnsi="Times New Roman" w:cs="Times New Roman"/>
          <w:sz w:val="24"/>
          <w:szCs w:val="24"/>
        </w:rPr>
        <w:t xml:space="preserve">  However, this is unsurprising given the seriousness of the event.  More significant is how it influences all aspects of everyday life, as when Mary witnesses Mrs Twisden ostentatiously rummaging through expensive materials at the drapery shop in Canterbury with no intention of buying anything: ‘I saw all the hopes that were thus inspired, and I felt ashamed—indeed as wretched as if I had committed a crime: for I suspected how all this was about to end.’</w:t>
      </w:r>
      <w:r w:rsidRPr="006872CB">
        <w:rPr>
          <w:rStyle w:val="FootnoteReference"/>
          <w:rFonts w:ascii="Times New Roman" w:hAnsi="Times New Roman" w:cs="Times New Roman"/>
          <w:sz w:val="24"/>
          <w:szCs w:val="24"/>
        </w:rPr>
        <w:footnoteReference w:id="814"/>
      </w:r>
      <w:r w:rsidRPr="006872CB">
        <w:rPr>
          <w:rFonts w:ascii="Times New Roman" w:hAnsi="Times New Roman" w:cs="Times New Roman"/>
          <w:sz w:val="24"/>
          <w:szCs w:val="24"/>
        </w:rPr>
        <w:t xml:space="preserve">  She empathises with the shop assistant because despite his obsequiousness he displays patience and civility in the hope of gaining an order.  Knowing he will be disappointed while she stands by means she is to some extent participating in the deception.  Because Mary invariably refuses to partake in such behaviour, this is an unusual instance of self-criticism, demonstrating the alienation caused when employees are obliged to compromise principles by engaging in work-practices they despise.</w:t>
      </w:r>
      <w:r w:rsidRPr="006872CB">
        <w:rPr>
          <w:rStyle w:val="FootnoteReference"/>
          <w:rFonts w:ascii="Times New Roman" w:hAnsi="Times New Roman" w:cs="Times New Roman"/>
          <w:sz w:val="24"/>
          <w:szCs w:val="24"/>
        </w:rPr>
        <w:footnoteReference w:id="815"/>
      </w:r>
      <w:r w:rsidRPr="006872CB">
        <w:rPr>
          <w:rFonts w:ascii="Times New Roman" w:hAnsi="Times New Roman" w:cs="Times New Roman"/>
          <w:sz w:val="24"/>
          <w:szCs w:val="24"/>
        </w:rPr>
        <w:t xml:space="preserve"> </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Independent respectability with its emphasis upon self-reliance leads to reticence about accepting money that is felt not to have been truly earned, particularly if it might be seen as casting doubt upon one’s character.  When Mrs Twisden visits Willow House, where Mary works as nursemaid for the Count and Countess de Montville, she is anxious the exposure by Mr Trips about her earlier acting career is not divulged and misguidedly offers a future gift to ensure Mary’s silence:</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Of course I did not behave rudely by saying that I would rather not have it: but I thought to myself that it was rather insulting thus to promise me a bribe for not mentioning the little disagreeable circumstance of the past to the inmates of Willow House.</w:t>
      </w:r>
      <w:r w:rsidRPr="006872CB">
        <w:rPr>
          <w:rStyle w:val="FootnoteReference"/>
          <w:rFonts w:ascii="Times New Roman" w:hAnsi="Times New Roman" w:cs="Times New Roman"/>
          <w:sz w:val="24"/>
          <w:szCs w:val="24"/>
        </w:rPr>
        <w:footnoteReference w:id="816"/>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As is frequently the case, Mary’s protest remains internalized since open refusal would constitute ill manners.  Dissent does not involve sneering at Twisden’s social pretensions, with Mary’s reference to the former event suggesting it is no more than an unpleasant irrelevance.  Rather, annoyance stems from anyone doubting her discretion and that previous </w:t>
      </w:r>
      <w:r w:rsidRPr="006872CB">
        <w:rPr>
          <w:rFonts w:ascii="Times New Roman" w:hAnsi="Times New Roman" w:cs="Times New Roman"/>
          <w:sz w:val="24"/>
          <w:szCs w:val="24"/>
        </w:rPr>
        <w:lastRenderedPageBreak/>
        <w:t>impeccable behaviour has not earned the respect she deserves.</w:t>
      </w:r>
      <w:r w:rsidRPr="006872CB">
        <w:rPr>
          <w:rStyle w:val="FootnoteReference"/>
          <w:rFonts w:ascii="Times New Roman" w:hAnsi="Times New Roman" w:cs="Times New Roman"/>
          <w:sz w:val="24"/>
          <w:szCs w:val="24"/>
        </w:rPr>
        <w:footnoteReference w:id="817"/>
      </w:r>
      <w:r w:rsidRPr="006872CB">
        <w:rPr>
          <w:rFonts w:ascii="Times New Roman" w:hAnsi="Times New Roman" w:cs="Times New Roman"/>
          <w:sz w:val="24"/>
          <w:szCs w:val="24"/>
        </w:rPr>
        <w:t xml:space="preserve">  Joseph echoes these sentiments when he leaves Myrtle Lodge after his liaison with Calanthe and considers the comfortable arrangements for his departure that have been organized by Lord Tiverton:</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I have no doubt that all this generosity of paying for my meals and my coach-fare was a mere matter of calculation on his part, in order to render my summary dismissal as little painful as possible, and to precipitate me into keeping silence relative to Lady Calanthe.  As if such base and sordid means were necessary! And as if no credit could be given me for loftier and nobler sentiments!</w:t>
      </w:r>
      <w:r w:rsidRPr="006872CB">
        <w:rPr>
          <w:rStyle w:val="FootnoteReference"/>
          <w:rFonts w:ascii="Times New Roman" w:hAnsi="Times New Roman" w:cs="Times New Roman"/>
          <w:sz w:val="24"/>
          <w:szCs w:val="24"/>
        </w:rPr>
        <w:footnoteReference w:id="818"/>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Joseph’s objection revolves around being given a well-appointed room at the local tavern and an inside carriage seat for his journey.  Such treatment, indicating an attempt to bribe him into silence, implies the failure of employers </w:t>
      </w:r>
      <w:r w:rsidRPr="0025071D">
        <w:rPr>
          <w:rFonts w:ascii="Times New Roman" w:hAnsi="Times New Roman" w:cs="Times New Roman"/>
          <w:sz w:val="24"/>
          <w:szCs w:val="24"/>
        </w:rPr>
        <w:t>to recogni</w:t>
      </w:r>
      <w:r w:rsidR="00E47E5E" w:rsidRPr="0025071D">
        <w:rPr>
          <w:rFonts w:ascii="Times New Roman" w:hAnsi="Times New Roman" w:cs="Times New Roman"/>
          <w:sz w:val="24"/>
          <w:szCs w:val="24"/>
        </w:rPr>
        <w:t>z</w:t>
      </w:r>
      <w:r w:rsidRPr="0025071D">
        <w:rPr>
          <w:rFonts w:ascii="Times New Roman" w:hAnsi="Times New Roman" w:cs="Times New Roman"/>
          <w:sz w:val="24"/>
          <w:szCs w:val="24"/>
        </w:rPr>
        <w:t>e his</w:t>
      </w:r>
      <w:r w:rsidRPr="006872CB">
        <w:rPr>
          <w:rFonts w:ascii="Times New Roman" w:hAnsi="Times New Roman" w:cs="Times New Roman"/>
          <w:sz w:val="24"/>
          <w:szCs w:val="24"/>
        </w:rPr>
        <w:t xml:space="preserve"> lofty sentiments and he is angry they judge him capable of ‘spitefulness or vindictive malevolence’.</w:t>
      </w:r>
      <w:r w:rsidRPr="006872CB">
        <w:rPr>
          <w:rStyle w:val="FootnoteReference"/>
          <w:rFonts w:ascii="Times New Roman" w:hAnsi="Times New Roman" w:cs="Times New Roman"/>
          <w:sz w:val="24"/>
          <w:szCs w:val="24"/>
        </w:rPr>
        <w:footnoteReference w:id="819"/>
      </w:r>
      <w:r w:rsidRPr="006872CB">
        <w:rPr>
          <w:rFonts w:ascii="Times New Roman" w:hAnsi="Times New Roman" w:cs="Times New Roman"/>
          <w:sz w:val="24"/>
          <w:szCs w:val="24"/>
        </w:rPr>
        <w:t xml:space="preserve">  Material concerns are insignificant in relation to this, symbolized by the voluntary return of livery he might sell, because he believes it a duty to do so.</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These feelings extend to money offered in the friendliest manner since there is always a lurking sense that it questions, even if inadvertently, the struggle for independence.  When Mary returns to Ashford to care for William and Jane after the death of their benefactor Mr Collins, she rejects financial help from her close friend Selina Temple:</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The proffer was made in the most delicate terms, and could not possibly wound even the most sensitive feelings: but this likewise I declined, assuring Miss Temple that I had ample pecuniary means for my present uses, but that if I should require any friendly assistance of the kind I would not hesitate to apply to her.</w:t>
      </w:r>
      <w:r w:rsidRPr="006872CB">
        <w:rPr>
          <w:rStyle w:val="FootnoteReference"/>
          <w:rFonts w:ascii="Times New Roman" w:hAnsi="Times New Roman" w:cs="Times New Roman"/>
          <w:sz w:val="24"/>
          <w:szCs w:val="24"/>
        </w:rPr>
        <w:footnoteReference w:id="820"/>
      </w:r>
    </w:p>
    <w:p w:rsidR="00435A13" w:rsidRPr="006872CB" w:rsidRDefault="009936B3" w:rsidP="00435A13">
      <w:pPr>
        <w:spacing w:after="120" w:line="360" w:lineRule="auto"/>
        <w:rPr>
          <w:rFonts w:ascii="Times New Roman" w:hAnsi="Times New Roman" w:cs="Times New Roman"/>
          <w:sz w:val="24"/>
          <w:szCs w:val="24"/>
        </w:rPr>
      </w:pPr>
      <w:r w:rsidRPr="00E47E5E">
        <w:rPr>
          <w:rFonts w:ascii="Times New Roman" w:hAnsi="Times New Roman" w:cs="Times New Roman"/>
          <w:sz w:val="24"/>
          <w:szCs w:val="24"/>
        </w:rPr>
        <w:t>Facing</w:t>
      </w:r>
      <w:r w:rsidR="00435A13" w:rsidRPr="00E47E5E">
        <w:rPr>
          <w:rFonts w:ascii="Times New Roman" w:hAnsi="Times New Roman" w:cs="Times New Roman"/>
          <w:sz w:val="24"/>
          <w:szCs w:val="24"/>
        </w:rPr>
        <w:t xml:space="preserve"> heavy</w:t>
      </w:r>
      <w:r w:rsidR="00435A13" w:rsidRPr="006872CB">
        <w:rPr>
          <w:rFonts w:ascii="Times New Roman" w:hAnsi="Times New Roman" w:cs="Times New Roman"/>
          <w:sz w:val="24"/>
          <w:szCs w:val="24"/>
        </w:rPr>
        <w:t xml:space="preserve"> responsibilities, Mary is determined to prosper by her own efforts.  At this point, she has sufficient money to manage and the refusal contains respectful acknowledgement of the delicate nature of the offer.  However, when her plight worsens the continued insistence, despite having to visit the pawnshop, suggests her reply was to be courteous and not in the expectation of ever making such a request.  Joseph displays the same reticence at Inch Methglin when Sir Alexander Carrondale offers one hundred guineas for supporting his romantic liaison with Emmeline Vennachar when masquerading as the humble teacher, Donald Stuart:</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lastRenderedPageBreak/>
        <w:t>Nevertheless, a feeling of sorrow crept in to my heart, that the little services I had rendered the lovers should thus be repaid by means of lucre.  Yet on second thoughts I did not see very well how Sir Alexander could have acted otherwise; […] Besides, Sir Alexander had tendered me the gift with as much delicacy as kindness; and I felt after mature reflection, that it was verging upon a mawkish affectation to be distressed at his acknowledgement of my services having assumed a pecuniary shape.</w:t>
      </w:r>
      <w:r w:rsidRPr="006872CB">
        <w:rPr>
          <w:rStyle w:val="FootnoteReference"/>
          <w:rFonts w:ascii="Times New Roman" w:hAnsi="Times New Roman" w:cs="Times New Roman"/>
          <w:sz w:val="24"/>
          <w:szCs w:val="24"/>
        </w:rPr>
        <w:footnoteReference w:id="821"/>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Joseph considers all aspects of the situation before accepting the money, particularly </w:t>
      </w:r>
      <w:r w:rsidRPr="001C039C">
        <w:rPr>
          <w:rFonts w:ascii="Times New Roman" w:hAnsi="Times New Roman" w:cs="Times New Roman"/>
          <w:sz w:val="24"/>
          <w:szCs w:val="24"/>
        </w:rPr>
        <w:t xml:space="preserve">Carrondale’s manner.  The phrase ‘as much delicacy as kindness’ is employed </w:t>
      </w:r>
      <w:r w:rsidR="0019311D" w:rsidRPr="001C039C">
        <w:rPr>
          <w:rFonts w:ascii="Times New Roman" w:hAnsi="Times New Roman" w:cs="Times New Roman"/>
          <w:sz w:val="24"/>
          <w:szCs w:val="24"/>
        </w:rPr>
        <w:t>to al</w:t>
      </w:r>
      <w:r w:rsidRPr="001C039C">
        <w:rPr>
          <w:rFonts w:ascii="Times New Roman" w:hAnsi="Times New Roman" w:cs="Times New Roman"/>
          <w:sz w:val="24"/>
          <w:szCs w:val="24"/>
        </w:rPr>
        <w:t>most set</w:t>
      </w:r>
      <w:r w:rsidRPr="006872CB">
        <w:rPr>
          <w:rFonts w:ascii="Times New Roman" w:hAnsi="Times New Roman" w:cs="Times New Roman"/>
          <w:sz w:val="24"/>
          <w:szCs w:val="24"/>
        </w:rPr>
        <w:t xml:space="preserve"> one against the other.  Simple kindness becomes a reason for refusal because it suggests the recipient needs help.  In contrast, ‘delicacy’, the form in which the offer is made, elevates it to a transaction between equals.  Joseph also acknowledges how different types of gift might arouse suspicions among other servants and that rejection could constitute a display of ‘mawkish affectation’.  Ultimately, the decision to take the money is because he believes it is the morally correct course to take, with any material benefit being an irrelevant factor.</w:t>
      </w:r>
    </w:p>
    <w:p w:rsidR="00435A13" w:rsidRPr="001C039C"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Independent respectability rejects the intrusive seeking of information so central to disreputable protest.  This is apparent when Mary gratefully accepts permission to read a letter so as not to feel ‘the awkwardness of being a witness’ to an argument between the Count and Countess de Montville in their garden at Willow House.</w:t>
      </w:r>
      <w:r w:rsidRPr="006872CB">
        <w:rPr>
          <w:rStyle w:val="FootnoteReference"/>
          <w:rFonts w:ascii="Times New Roman" w:hAnsi="Times New Roman" w:cs="Times New Roman"/>
          <w:sz w:val="24"/>
          <w:szCs w:val="24"/>
        </w:rPr>
        <w:footnoteReference w:id="822"/>
      </w:r>
      <w:r w:rsidRPr="006872CB">
        <w:rPr>
          <w:rFonts w:ascii="Times New Roman" w:hAnsi="Times New Roman" w:cs="Times New Roman"/>
          <w:sz w:val="24"/>
          <w:szCs w:val="24"/>
        </w:rPr>
        <w:t xml:space="preserve">  Later she refuses to become embroiled in the family affairs of employers when nursemaid for Mr and Mrs Bull in London, repulsing the attempt of the daughters Elizabeth and Lydia to drag her into their foolish liaisons with the aristocratic Eugenius Wimbledon and Constantine Cavendish behind the backs of their parents.  Mary immediately declares she has no wish to be made a confidante and when forced to hear details of the ‘romantic adventure’ feels disgust at its impropriety and anger at the intention to use her name as the means to receive letters.  After firmly rejecting any </w:t>
      </w:r>
      <w:r w:rsidRPr="001C039C">
        <w:rPr>
          <w:rFonts w:ascii="Times New Roman" w:hAnsi="Times New Roman" w:cs="Times New Roman"/>
          <w:sz w:val="24"/>
          <w:szCs w:val="24"/>
        </w:rPr>
        <w:t xml:space="preserve">involvement, she counters Elizabeth’s rebuke in a forthright manner: </w:t>
      </w:r>
    </w:p>
    <w:p w:rsidR="00435A13" w:rsidRPr="006872CB" w:rsidRDefault="0019311D" w:rsidP="00435A13">
      <w:pPr>
        <w:spacing w:after="240" w:line="240" w:lineRule="auto"/>
        <w:ind w:left="720"/>
        <w:rPr>
          <w:rFonts w:ascii="Times New Roman" w:hAnsi="Times New Roman" w:cs="Times New Roman"/>
          <w:sz w:val="24"/>
          <w:szCs w:val="24"/>
        </w:rPr>
      </w:pPr>
      <w:r w:rsidRPr="001C039C">
        <w:rPr>
          <w:rFonts w:ascii="Times New Roman" w:hAnsi="Times New Roman" w:cs="Times New Roman"/>
          <w:sz w:val="24"/>
          <w:szCs w:val="24"/>
        </w:rPr>
        <w:t>‘</w:t>
      </w:r>
      <w:r w:rsidR="00435A13" w:rsidRPr="001C039C">
        <w:rPr>
          <w:rFonts w:ascii="Times New Roman" w:hAnsi="Times New Roman" w:cs="Times New Roman"/>
          <w:sz w:val="24"/>
          <w:szCs w:val="24"/>
        </w:rPr>
        <w:t>I certainly do not wish to expose you or make mischief,</w:t>
      </w:r>
      <w:r w:rsidRPr="001C039C">
        <w:rPr>
          <w:rFonts w:ascii="Times New Roman" w:hAnsi="Times New Roman" w:cs="Times New Roman"/>
          <w:sz w:val="24"/>
          <w:szCs w:val="24"/>
        </w:rPr>
        <w:t>’</w:t>
      </w:r>
      <w:r w:rsidR="00435A13" w:rsidRPr="001C039C">
        <w:rPr>
          <w:rFonts w:ascii="Times New Roman" w:hAnsi="Times New Roman" w:cs="Times New Roman"/>
          <w:sz w:val="24"/>
          <w:szCs w:val="24"/>
        </w:rPr>
        <w:t xml:space="preserve"> was my answer, delivered in a voice so that Theodore could not catch what I said; </w:t>
      </w:r>
      <w:r w:rsidRPr="001C039C">
        <w:rPr>
          <w:rFonts w:ascii="Times New Roman" w:hAnsi="Times New Roman" w:cs="Times New Roman"/>
          <w:sz w:val="24"/>
          <w:szCs w:val="24"/>
        </w:rPr>
        <w:t>‘</w:t>
      </w:r>
      <w:r w:rsidR="00435A13" w:rsidRPr="001C039C">
        <w:rPr>
          <w:rFonts w:ascii="Times New Roman" w:hAnsi="Times New Roman" w:cs="Times New Roman"/>
          <w:sz w:val="24"/>
          <w:szCs w:val="24"/>
        </w:rPr>
        <w:t>although perhaps, if I did my duty, I should make my master acquainted with what you have said to me.  But I will hold my tongue on condition that you never address me in such terms again.</w:t>
      </w:r>
      <w:r w:rsidRPr="001C039C">
        <w:rPr>
          <w:rFonts w:ascii="Times New Roman" w:hAnsi="Times New Roman" w:cs="Times New Roman"/>
          <w:sz w:val="24"/>
          <w:szCs w:val="24"/>
        </w:rPr>
        <w:t>’</w:t>
      </w:r>
      <w:r w:rsidR="00435A13" w:rsidRPr="001C039C">
        <w:rPr>
          <w:rStyle w:val="FootnoteReference"/>
          <w:rFonts w:ascii="Times New Roman" w:hAnsi="Times New Roman" w:cs="Times New Roman"/>
          <w:sz w:val="24"/>
          <w:szCs w:val="24"/>
        </w:rPr>
        <w:footnoteReference w:id="823"/>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This scene sees Mary establish her position by exercising a calm but firm attitude in the face of superiors.  The protest is based upon the belief she is demeaned by being asked to participate in behaviour that marks her as someone who will betray a professional relationship.  This aspect of her duties weighs heavily upon her despite being contemptuous </w:t>
      </w:r>
      <w:r w:rsidRPr="006872CB">
        <w:rPr>
          <w:rFonts w:ascii="Times New Roman" w:hAnsi="Times New Roman" w:cs="Times New Roman"/>
          <w:sz w:val="24"/>
          <w:szCs w:val="24"/>
        </w:rPr>
        <w:lastRenderedPageBreak/>
        <w:t>of Mr Bull’s toadying before aristocrats and the frivolous vanity of his young, second wife.</w:t>
      </w:r>
      <w:r w:rsidRPr="006872CB">
        <w:rPr>
          <w:rStyle w:val="FootnoteReference"/>
          <w:rFonts w:ascii="Times New Roman" w:hAnsi="Times New Roman" w:cs="Times New Roman"/>
          <w:sz w:val="24"/>
          <w:szCs w:val="24"/>
        </w:rPr>
        <w:footnoteReference w:id="824"/>
      </w:r>
      <w:r w:rsidRPr="006872CB">
        <w:rPr>
          <w:rFonts w:ascii="Times New Roman" w:hAnsi="Times New Roman" w:cs="Times New Roman"/>
          <w:sz w:val="24"/>
          <w:szCs w:val="24"/>
        </w:rPr>
        <w:t xml:space="preserve">  Although angry, Mary takes account of Elizabeth’s naivety and delivers her reproach discreetly to ensure the young stepbrother Theodore will not overhear and reveal anything to his parents.  At the same time, the compromise is conditional, containing an implicit demand that the girl improve her future conduct.</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 xml:space="preserve">Mary and Joseph frequently promote the respectable independence of the industrious classes by setting their hard-earned wages against the </w:t>
      </w:r>
      <w:r w:rsidRPr="001C039C">
        <w:rPr>
          <w:rFonts w:ascii="Times New Roman" w:hAnsi="Times New Roman" w:cs="Times New Roman"/>
          <w:sz w:val="24"/>
          <w:szCs w:val="24"/>
        </w:rPr>
        <w:t>easily gained wealth</w:t>
      </w:r>
      <w:r w:rsidR="0019311D" w:rsidRPr="001C039C">
        <w:rPr>
          <w:rFonts w:ascii="Times New Roman" w:hAnsi="Times New Roman" w:cs="Times New Roman"/>
          <w:sz w:val="24"/>
          <w:szCs w:val="24"/>
        </w:rPr>
        <w:t xml:space="preserve"> of</w:t>
      </w:r>
      <w:r w:rsidRPr="001C039C">
        <w:rPr>
          <w:rFonts w:ascii="Times New Roman" w:hAnsi="Times New Roman" w:cs="Times New Roman"/>
          <w:sz w:val="24"/>
          <w:szCs w:val="24"/>
        </w:rPr>
        <w:t xml:space="preserve"> the aristocracy.  Mary exemplifies this when refusing assistance from her fiancé Eustace Quentin:</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‘No, dear Eustace,’ I answered; ‘not even at your hand could I eat the bread of idleness.  Devotedly, fondly as I love you, I should nevertheless feel humiliated at being so placed.  I will not wound your generous heart by even surmising for an instant that your pride recoils from the idea of my returning to those occupations which have hitherto given me my bread; because you, who have loved the humble servant-maid, will not spurn or scorn her because, in the honest spirit of independence, she persists in remaining as such until the happy day when you can raise her to a higher sphere.  Do not say another word upon that subject.’</w:t>
      </w:r>
      <w:r w:rsidRPr="006872CB">
        <w:rPr>
          <w:rStyle w:val="FootnoteReference"/>
          <w:rFonts w:ascii="Times New Roman" w:hAnsi="Times New Roman" w:cs="Times New Roman"/>
          <w:sz w:val="24"/>
          <w:szCs w:val="24"/>
        </w:rPr>
        <w:footnoteReference w:id="825"/>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Mary will not forgo hard work, regardless of her devotion to him.  Echoing Virginia Mordaunt’s romance with Charles of Arden, refusal is necessary because accepting the ‘bread of idleness’ would result in feelings of humiliation.  The suggestion that Eustace is unashamed of her position implies its humble status while simultaneously indicating he also views it is an honourable one.  The word ‘persists’ captures the double-edged nature of her stance, not only will she continue in employment but insists upon doing so and will change course only after marriage when her station makes the performance of current labours mere affectation.  Mary is amiable but the resolute closing sentence turns her speech from friendly discussion to a direct command.  Joseph Wilmot expresses similar sentiments in a more hostile situation when he is forcibly detained and wrongly accused of having a liaison with Gertrude Chilham by her brother Eugene and father Lord Chilham.  On discovering their error, they demand his name and his silence about the incident.  Joseph does not know the identity of his captors and agrees to their latter request but in a manner that foregrounds his modest circumstances:</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 xml:space="preserve">“And solemnly do I declare that the secret </w:t>
      </w:r>
      <w:r w:rsidRPr="006872CB">
        <w:rPr>
          <w:rFonts w:ascii="Times New Roman" w:hAnsi="Times New Roman" w:cs="Times New Roman"/>
          <w:i/>
          <w:sz w:val="24"/>
          <w:szCs w:val="24"/>
        </w:rPr>
        <w:t>shall</w:t>
      </w:r>
      <w:r w:rsidRPr="006872CB">
        <w:rPr>
          <w:rFonts w:ascii="Times New Roman" w:hAnsi="Times New Roman" w:cs="Times New Roman"/>
          <w:sz w:val="24"/>
          <w:szCs w:val="24"/>
        </w:rPr>
        <w:t xml:space="preserve"> be kept!” I exclaimed.  “I will tell your lordship who and what I am.  I am an orphan—friendless too—dependent upon </w:t>
      </w:r>
      <w:r w:rsidRPr="006872CB">
        <w:rPr>
          <w:rFonts w:ascii="Times New Roman" w:hAnsi="Times New Roman" w:cs="Times New Roman"/>
          <w:sz w:val="24"/>
          <w:szCs w:val="24"/>
        </w:rPr>
        <w:lastRenderedPageBreak/>
        <w:t>my own industry for my bread; and my situation in life is far humbler than you perhaps may imagine.”</w:t>
      </w:r>
      <w:r w:rsidRPr="006872CB">
        <w:rPr>
          <w:rStyle w:val="FootnoteReference"/>
          <w:rFonts w:ascii="Times New Roman" w:hAnsi="Times New Roman" w:cs="Times New Roman"/>
          <w:sz w:val="24"/>
          <w:szCs w:val="24"/>
        </w:rPr>
        <w:footnoteReference w:id="826"/>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He proudly defines himself by qualities frequently scorned in polite society; that he is without family, friends or personal fortune, thereby avowing his humble position is evidence of trustworthiness.  Chilham not believing these protestations offers money to buy his silence, a procedure that provokes an angry response: </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No, my lord: if I consented to be bribed, you would have no faith in my honour and good principle; and as I do not wish your daughter to tremble at the idea that her secret will ever be whispered to the world by me, the best proof I can give of my integrity, is to refuse everything in the form of a bribe or hush-money.</w:t>
      </w:r>
      <w:r w:rsidRPr="006872CB">
        <w:rPr>
          <w:rStyle w:val="FootnoteReference"/>
          <w:rFonts w:ascii="Times New Roman" w:hAnsi="Times New Roman" w:cs="Times New Roman"/>
          <w:sz w:val="24"/>
          <w:szCs w:val="24"/>
        </w:rPr>
        <w:footnoteReference w:id="827"/>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Joseph chastises the failure </w:t>
      </w:r>
      <w:r w:rsidRPr="0025071D">
        <w:rPr>
          <w:rFonts w:ascii="Times New Roman" w:hAnsi="Times New Roman" w:cs="Times New Roman"/>
          <w:sz w:val="24"/>
          <w:szCs w:val="24"/>
        </w:rPr>
        <w:t>to recogni</w:t>
      </w:r>
      <w:r w:rsidR="00E47E5E" w:rsidRPr="0025071D">
        <w:rPr>
          <w:rFonts w:ascii="Times New Roman" w:hAnsi="Times New Roman" w:cs="Times New Roman"/>
          <w:sz w:val="24"/>
          <w:szCs w:val="24"/>
        </w:rPr>
        <w:t>z</w:t>
      </w:r>
      <w:r w:rsidRPr="0025071D">
        <w:rPr>
          <w:rFonts w:ascii="Times New Roman" w:hAnsi="Times New Roman" w:cs="Times New Roman"/>
          <w:sz w:val="24"/>
          <w:szCs w:val="24"/>
        </w:rPr>
        <w:t>e his</w:t>
      </w:r>
      <w:r w:rsidRPr="006872CB">
        <w:rPr>
          <w:rFonts w:ascii="Times New Roman" w:hAnsi="Times New Roman" w:cs="Times New Roman"/>
          <w:sz w:val="24"/>
          <w:szCs w:val="24"/>
        </w:rPr>
        <w:t xml:space="preserve"> character as a guarantee of secrecy and insists they rely upon his word.  Material gain </w:t>
      </w:r>
      <w:r w:rsidRPr="001C039C">
        <w:rPr>
          <w:rFonts w:ascii="Times New Roman" w:hAnsi="Times New Roman" w:cs="Times New Roman"/>
          <w:sz w:val="24"/>
          <w:szCs w:val="24"/>
        </w:rPr>
        <w:t xml:space="preserve">means nothing </w:t>
      </w:r>
      <w:r w:rsidR="0019311D" w:rsidRPr="001C039C">
        <w:rPr>
          <w:rFonts w:ascii="Times New Roman" w:hAnsi="Times New Roman" w:cs="Times New Roman"/>
          <w:sz w:val="24"/>
          <w:szCs w:val="24"/>
        </w:rPr>
        <w:t>but</w:t>
      </w:r>
      <w:r w:rsidRPr="001C039C">
        <w:rPr>
          <w:rFonts w:ascii="Times New Roman" w:hAnsi="Times New Roman" w:cs="Times New Roman"/>
          <w:sz w:val="24"/>
          <w:szCs w:val="24"/>
        </w:rPr>
        <w:t xml:space="preserve"> conscious that his respectability has been questioned he</w:t>
      </w:r>
      <w:r w:rsidR="0019311D" w:rsidRPr="001C039C">
        <w:rPr>
          <w:rFonts w:ascii="Times New Roman" w:hAnsi="Times New Roman" w:cs="Times New Roman"/>
          <w:sz w:val="24"/>
          <w:szCs w:val="24"/>
        </w:rPr>
        <w:t xml:space="preserve"> is incensed at not being given</w:t>
      </w:r>
      <w:r w:rsidRPr="001C039C">
        <w:rPr>
          <w:rFonts w:ascii="Times New Roman" w:hAnsi="Times New Roman" w:cs="Times New Roman"/>
          <w:sz w:val="24"/>
          <w:szCs w:val="24"/>
        </w:rPr>
        <w:t xml:space="preserve"> an apology</w:t>
      </w:r>
      <w:r w:rsidRPr="006872CB">
        <w:rPr>
          <w:rFonts w:ascii="Times New Roman" w:hAnsi="Times New Roman" w:cs="Times New Roman"/>
          <w:sz w:val="24"/>
          <w:szCs w:val="24"/>
        </w:rPr>
        <w:t>.  Just as importantly, the acceptance of a bribe would compromise him in his own eyes and he points out that a thief may have his silence purchased only to sell it later on.  He complains of such behaviour by fellow members of the industrious classes who protest through exposing the foibles of the wealthy.  For Joseph this is ‘idle gossiping’ and displays a ‘morbid inclination for scandal’.</w:t>
      </w:r>
      <w:r w:rsidRPr="006872CB">
        <w:rPr>
          <w:rStyle w:val="FootnoteReference"/>
          <w:rFonts w:ascii="Times New Roman" w:hAnsi="Times New Roman" w:cs="Times New Roman"/>
          <w:sz w:val="24"/>
          <w:szCs w:val="24"/>
        </w:rPr>
        <w:footnoteReference w:id="828"/>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Mary and Joseph’s view of labour as the means to self-improvement, in which notions of self-respect override financial concerns, has implications for all interactions with employers and social superiors.  When Mary is nursemaid in the household of the grocer John Messiter at Dover, she encounters an employer who tyrannizes over his wife, Fanny, their children and the staff.  From the beginning, she is contemptuous of such bullying and when inadvertently overhearing him boasting to Fanny about the adulteration of shop goods, the experience leads Mary to consider giving her notice.  As his behaviour worsens, she makes good these intentions despite having no alternative employment, only learning on the point of departure that Lord and Lady Harlesdon require an under-nursemaid.  Through the intervening period she is determined to be self-reliant and take her chances in the wider world rather than remain in secure but abject servitude.  At Montpellier House, when working as a needlewoman, the onerous duties and arrogant manner of Mrs Nibkins lead Mary to tender her resignation in a manner similar to the teachers at Belvidere House: ‘If you please, ma’am, I should like to leave you at the end of another month’.</w:t>
      </w:r>
      <w:r w:rsidRPr="006872CB">
        <w:rPr>
          <w:rStyle w:val="FootnoteReference"/>
          <w:rFonts w:ascii="Times New Roman" w:hAnsi="Times New Roman" w:cs="Times New Roman"/>
          <w:sz w:val="24"/>
          <w:szCs w:val="24"/>
        </w:rPr>
        <w:footnoteReference w:id="829"/>
      </w:r>
      <w:r w:rsidRPr="006872CB">
        <w:rPr>
          <w:rFonts w:ascii="Times New Roman" w:hAnsi="Times New Roman" w:cs="Times New Roman"/>
          <w:sz w:val="24"/>
          <w:szCs w:val="24"/>
        </w:rPr>
        <w:t xml:space="preserve">  When Nibkins berates her for being </w:t>
      </w:r>
      <w:r w:rsidRPr="006872CB">
        <w:rPr>
          <w:rFonts w:ascii="Times New Roman" w:hAnsi="Times New Roman" w:cs="Times New Roman"/>
          <w:sz w:val="24"/>
          <w:szCs w:val="24"/>
        </w:rPr>
        <w:lastRenderedPageBreak/>
        <w:t>a menial, incapable of finer feelings, and accuses her of ingratitude, she openly rejects the charges:</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iCs/>
          <w:sz w:val="24"/>
          <w:szCs w:val="24"/>
        </w:rPr>
        <w:t>‘I can assure you, ma’am,’ was my answer, delivered firmly but respectfully, ‘that I am incapable of showing you any insolence; and if I said something sharply just now, it was because you provoked me.  I know I am only a servant; but I beg to submit that servants have their feelings as well as masters or mistresses</w:t>
      </w:r>
      <w:r w:rsidRPr="006872CB">
        <w:rPr>
          <w:rFonts w:ascii="Times New Roman" w:hAnsi="Times New Roman" w:cs="Times New Roman"/>
          <w:sz w:val="24"/>
          <w:szCs w:val="24"/>
        </w:rPr>
        <w:t>—</w:t>
      </w:r>
      <w:r w:rsidRPr="006872CB">
        <w:rPr>
          <w:rFonts w:ascii="Times New Roman" w:hAnsi="Times New Roman" w:cs="Times New Roman"/>
          <w:iCs/>
          <w:sz w:val="24"/>
          <w:szCs w:val="24"/>
        </w:rPr>
        <w:t>and you unnecessarily wounded mine.’</w:t>
      </w:r>
      <w:r w:rsidRPr="006872CB">
        <w:rPr>
          <w:rStyle w:val="FootnoteReference"/>
          <w:rFonts w:ascii="Times New Roman" w:hAnsi="Times New Roman" w:cs="Times New Roman"/>
          <w:sz w:val="24"/>
          <w:szCs w:val="24"/>
        </w:rPr>
        <w:footnoteReference w:id="830"/>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Mary readily admits her reaction may have displayed temporary anger but remains adamant Nibkins was responsible and gives no apology.  The phrase ‘beg to submit’ continues the polite forms that guide Mary’s conduct.  It contains recognition of rank while demanding the right to express an opposing viewpoint.  Above all, she determinedly defends her character; not merely denying she gave insolence but arguing she is incapable of doing so.  Mary </w:t>
      </w:r>
      <w:r w:rsidRPr="006872CB">
        <w:rPr>
          <w:rFonts w:ascii="Times New Roman" w:hAnsi="Times New Roman" w:cs="Times New Roman"/>
          <w:iCs/>
          <w:sz w:val="24"/>
          <w:szCs w:val="24"/>
        </w:rPr>
        <w:t xml:space="preserve">remains respectful despite possessing exceptional references from previous employers and having </w:t>
      </w:r>
      <w:r w:rsidRPr="006872CB">
        <w:rPr>
          <w:rFonts w:ascii="Times New Roman" w:hAnsi="Times New Roman" w:cs="Times New Roman"/>
          <w:sz w:val="24"/>
          <w:szCs w:val="24"/>
        </w:rPr>
        <w:t>no reliance upon Nibkins.</w:t>
      </w:r>
      <w:r w:rsidRPr="006872CB">
        <w:rPr>
          <w:rFonts w:ascii="Times New Roman" w:hAnsi="Times New Roman" w:cs="Times New Roman"/>
          <w:iCs/>
          <w:sz w:val="24"/>
          <w:szCs w:val="24"/>
        </w:rPr>
        <w:t xml:space="preserve">  Even when leaving</w:t>
      </w:r>
      <w:r w:rsidRPr="006872CB">
        <w:rPr>
          <w:rFonts w:ascii="Times New Roman" w:hAnsi="Times New Roman" w:cs="Times New Roman"/>
          <w:sz w:val="24"/>
          <w:szCs w:val="24"/>
        </w:rPr>
        <w:t>, she greets her employer’s self-important words without rancour, because for Mary silence is the ‘best reproof’.</w:t>
      </w:r>
      <w:r w:rsidRPr="006872CB">
        <w:rPr>
          <w:rStyle w:val="FootnoteReference"/>
          <w:rFonts w:ascii="Times New Roman" w:hAnsi="Times New Roman" w:cs="Times New Roman"/>
          <w:sz w:val="24"/>
          <w:szCs w:val="24"/>
        </w:rPr>
        <w:footnoteReference w:id="831"/>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Joseph displays the same attitude at Reading during his interview with Sir Matthew Heseltine when applying for the post of valet, nearly walking out several times due to the old man’s irascibility.  He straightforwardly states his objectives are ‘to obtain a comfortable home—receive good treatment—and earn the bread of my own industry’.</w:t>
      </w:r>
      <w:r w:rsidRPr="006872CB">
        <w:rPr>
          <w:rStyle w:val="FootnoteReference"/>
          <w:rFonts w:ascii="Times New Roman" w:hAnsi="Times New Roman" w:cs="Times New Roman"/>
          <w:sz w:val="24"/>
          <w:szCs w:val="24"/>
        </w:rPr>
        <w:footnoteReference w:id="832"/>
      </w:r>
      <w:r w:rsidRPr="006872CB">
        <w:rPr>
          <w:rFonts w:ascii="Times New Roman" w:hAnsi="Times New Roman" w:cs="Times New Roman"/>
          <w:sz w:val="24"/>
          <w:szCs w:val="24"/>
        </w:rPr>
        <w:t xml:space="preserve">  Not only is material recompense wanted but mutual respect must exist between master and servant.  He resents not receiving the courtesy entitled by someone who has answered an advertisement, particularly when questioned about the genuineness of his testimonials, a suggestion that makes him glow ‘with a sense of unmerited and wanton outrage’.</w:t>
      </w:r>
      <w:r w:rsidRPr="006872CB">
        <w:rPr>
          <w:rStyle w:val="FootnoteReference"/>
          <w:rFonts w:ascii="Times New Roman" w:hAnsi="Times New Roman" w:cs="Times New Roman"/>
          <w:sz w:val="24"/>
          <w:szCs w:val="24"/>
        </w:rPr>
        <w:footnoteReference w:id="833"/>
      </w:r>
      <w:r w:rsidRPr="006872CB">
        <w:rPr>
          <w:rFonts w:ascii="Times New Roman" w:hAnsi="Times New Roman" w:cs="Times New Roman"/>
          <w:sz w:val="24"/>
          <w:szCs w:val="24"/>
        </w:rPr>
        <w:t xml:space="preserve">  Joseph’s replies are to vindicate his honesty rather than obtain the post, the refusal of which he views in terms of doing ‘justice to myself”.</w:t>
      </w:r>
      <w:r w:rsidRPr="006872CB">
        <w:rPr>
          <w:rStyle w:val="FootnoteReference"/>
          <w:rFonts w:ascii="Times New Roman" w:hAnsi="Times New Roman" w:cs="Times New Roman"/>
          <w:sz w:val="24"/>
          <w:szCs w:val="24"/>
        </w:rPr>
        <w:footnoteReference w:id="834"/>
      </w:r>
      <w:r w:rsidRPr="006872CB">
        <w:rPr>
          <w:rFonts w:ascii="Times New Roman" w:hAnsi="Times New Roman" w:cs="Times New Roman"/>
          <w:sz w:val="24"/>
          <w:szCs w:val="24"/>
        </w:rPr>
        <w:t xml:space="preserve">  During the interview he finally agrees to take the position but remains uncertain what to do.  The generous terms play no part in determining his course, rather the decision is based on a feeling that Heseltine’s eccentric behaviour was to test his reaction and that in some way it hides an underlying sadness.  Just as importantly, when </w:t>
      </w:r>
      <w:r w:rsidRPr="006872CB">
        <w:rPr>
          <w:rFonts w:ascii="Times New Roman" w:hAnsi="Times New Roman" w:cs="Times New Roman"/>
          <w:sz w:val="24"/>
          <w:szCs w:val="24"/>
        </w:rPr>
        <w:lastRenderedPageBreak/>
        <w:t>collecting his boxes at the coach-office Joseph feels his earlier acceptance was a promise that must be kept and any departure will not be performed in a sneaking fashion.</w:t>
      </w:r>
      <w:r w:rsidRPr="006872CB">
        <w:rPr>
          <w:rStyle w:val="FootnoteReference"/>
          <w:rFonts w:ascii="Times New Roman" w:hAnsi="Times New Roman" w:cs="Times New Roman"/>
          <w:sz w:val="24"/>
          <w:szCs w:val="24"/>
        </w:rPr>
        <w:footnoteReference w:id="835"/>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 xml:space="preserve">Another trait of independent respectability is that it maintains a balanced view of situations.  In line with Reynolds’s Lockean view of toleration, Mary will stay in a position if she can resolve uncomfortable issues to her own satisfaction.  Consequently, </w:t>
      </w:r>
      <w:r w:rsidRPr="006872CB">
        <w:rPr>
          <w:rFonts w:ascii="Times New Roman" w:hAnsi="Times New Roman" w:cs="Times New Roman"/>
          <w:iCs/>
          <w:sz w:val="24"/>
          <w:szCs w:val="24"/>
        </w:rPr>
        <w:t xml:space="preserve">she does not overreact to the familiarity with which John Messiter taps her cheek, giving him the benefit of the doubt and seeing it as an innocent if inappropriate gesture by an older to a younger person.  This does not prevent her </w:t>
      </w:r>
      <w:r w:rsidRPr="001C039C">
        <w:rPr>
          <w:rFonts w:ascii="Times New Roman" w:hAnsi="Times New Roman" w:cs="Times New Roman"/>
          <w:iCs/>
          <w:sz w:val="24"/>
          <w:szCs w:val="24"/>
        </w:rPr>
        <w:t xml:space="preserve">openly </w:t>
      </w:r>
      <w:r w:rsidR="0019311D" w:rsidRPr="001C039C">
        <w:rPr>
          <w:rFonts w:ascii="Times New Roman" w:hAnsi="Times New Roman" w:cs="Times New Roman"/>
          <w:iCs/>
          <w:sz w:val="24"/>
          <w:szCs w:val="24"/>
        </w:rPr>
        <w:t>voicing</w:t>
      </w:r>
      <w:r w:rsidRPr="001C039C">
        <w:rPr>
          <w:rFonts w:ascii="Times New Roman" w:hAnsi="Times New Roman" w:cs="Times New Roman"/>
          <w:iCs/>
          <w:sz w:val="24"/>
          <w:szCs w:val="24"/>
        </w:rPr>
        <w:t xml:space="preserve"> dissatisfaction</w:t>
      </w:r>
      <w:r w:rsidRPr="006872CB">
        <w:rPr>
          <w:rFonts w:ascii="Times New Roman" w:hAnsi="Times New Roman" w:cs="Times New Roman"/>
          <w:iCs/>
          <w:sz w:val="24"/>
          <w:szCs w:val="24"/>
        </w:rPr>
        <w:t xml:space="preserve"> to Fanny whose query about the incident and whether her husband went further makes Mary far angrier than the initial act itself: ‘“Had he done more, ma’am,” said I, astonished at the question, and likewise indignant, “I should at once have told you.”’</w:t>
      </w:r>
      <w:r w:rsidRPr="006872CB">
        <w:rPr>
          <w:rStyle w:val="FootnoteReference"/>
          <w:rFonts w:ascii="Times New Roman" w:hAnsi="Times New Roman" w:cs="Times New Roman"/>
          <w:sz w:val="24"/>
          <w:szCs w:val="24"/>
        </w:rPr>
        <w:footnoteReference w:id="836"/>
      </w:r>
      <w:r w:rsidRPr="006872CB">
        <w:rPr>
          <w:rFonts w:ascii="Times New Roman" w:hAnsi="Times New Roman" w:cs="Times New Roman"/>
          <w:sz w:val="24"/>
          <w:szCs w:val="24"/>
        </w:rPr>
        <w:t xml:space="preserve">  Her reply </w:t>
      </w:r>
      <w:r w:rsidRPr="006872CB">
        <w:rPr>
          <w:rFonts w:ascii="Times New Roman" w:hAnsi="Times New Roman" w:cs="Times New Roman"/>
          <w:iCs/>
          <w:sz w:val="24"/>
          <w:szCs w:val="24"/>
        </w:rPr>
        <w:t xml:space="preserve">casts aside any sympathy that might exist in Fanny’s words, seeing them as implying she has been dishonest about the matter and possibly complicit in some way.  </w:t>
      </w:r>
      <w:r w:rsidRPr="006872CB">
        <w:rPr>
          <w:rFonts w:ascii="Times New Roman" w:hAnsi="Times New Roman" w:cs="Times New Roman"/>
          <w:sz w:val="24"/>
          <w:szCs w:val="24"/>
        </w:rPr>
        <w:t>The preparedness to compromise is also observable when extenuating circumstances mean Mary and Joseph remain in employments for the sake of others although they would leave if left to their own devices.  Mary is disgusted with Messiter but remains longer at the grocery seemingly due to concern for his wife:</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[M]y heart bled for her when I remembered in what piteous accents and with what a look of wretchedness she had observed to me some weeks back, that evil-disposed or thoughtless girls, by permitting their masters to take liberties with them, were the cause of endless miseries in families.</w:t>
      </w:r>
      <w:r w:rsidRPr="006872CB">
        <w:rPr>
          <w:rStyle w:val="FootnoteReference"/>
          <w:rFonts w:ascii="Times New Roman" w:hAnsi="Times New Roman" w:cs="Times New Roman"/>
          <w:sz w:val="24"/>
          <w:szCs w:val="24"/>
        </w:rPr>
        <w:footnoteReference w:id="837"/>
      </w:r>
    </w:p>
    <w:p w:rsidR="00435A13" w:rsidRPr="006872CB" w:rsidRDefault="009936B3" w:rsidP="00435A13">
      <w:pPr>
        <w:spacing w:after="120" w:line="360" w:lineRule="auto"/>
        <w:rPr>
          <w:rFonts w:ascii="Times New Roman" w:hAnsi="Times New Roman" w:cs="Times New Roman"/>
          <w:sz w:val="24"/>
          <w:szCs w:val="24"/>
          <w:u w:val="single"/>
        </w:rPr>
      </w:pPr>
      <w:r w:rsidRPr="00E47E5E">
        <w:rPr>
          <w:rFonts w:ascii="Times New Roman" w:hAnsi="Times New Roman" w:cs="Times New Roman"/>
          <w:sz w:val="24"/>
          <w:szCs w:val="24"/>
        </w:rPr>
        <w:t>While</w:t>
      </w:r>
      <w:r w:rsidR="00435A13" w:rsidRPr="006872CB">
        <w:rPr>
          <w:rFonts w:ascii="Times New Roman" w:hAnsi="Times New Roman" w:cs="Times New Roman"/>
          <w:sz w:val="24"/>
          <w:szCs w:val="24"/>
        </w:rPr>
        <w:t xml:space="preserve"> Mary displayed anger at Fanny’s earlier questions, with a better understanding of the situation she views the woman’s words as a reflection of her misery due to Messiter’s tyranny and likely sexual infidelity.  Mary combines this pity with criticism of the failings of her own class whom she presents not merely as victims but active participants through intention or folly in causing grief for their employer’s wives.  Joseph Wilmot also shows a conciliatory manner when he remains at Inch </w:t>
      </w:r>
      <w:r w:rsidR="00435A13" w:rsidRPr="0025071D">
        <w:rPr>
          <w:rFonts w:ascii="Times New Roman" w:hAnsi="Times New Roman" w:cs="Times New Roman"/>
          <w:sz w:val="24"/>
          <w:szCs w:val="24"/>
        </w:rPr>
        <w:t>Methglin after being insulted by Lennox Vennachar for failing to</w:t>
      </w:r>
      <w:r w:rsidR="00E47E5E" w:rsidRPr="0025071D">
        <w:rPr>
          <w:rFonts w:ascii="Times New Roman" w:hAnsi="Times New Roman" w:cs="Times New Roman"/>
          <w:sz w:val="24"/>
          <w:szCs w:val="24"/>
        </w:rPr>
        <w:t xml:space="preserve"> obey the latter’s </w:t>
      </w:r>
      <w:r w:rsidR="00435A13" w:rsidRPr="0025071D">
        <w:rPr>
          <w:rFonts w:ascii="Times New Roman" w:hAnsi="Times New Roman" w:cs="Times New Roman"/>
          <w:sz w:val="24"/>
          <w:szCs w:val="24"/>
        </w:rPr>
        <w:t>order</w:t>
      </w:r>
      <w:r w:rsidR="00E47E5E" w:rsidRPr="0025071D">
        <w:rPr>
          <w:rFonts w:ascii="Times New Roman" w:hAnsi="Times New Roman" w:cs="Times New Roman"/>
          <w:sz w:val="24"/>
          <w:szCs w:val="24"/>
        </w:rPr>
        <w:t xml:space="preserve"> to</w:t>
      </w:r>
      <w:r w:rsidR="00435A13" w:rsidRPr="0025071D">
        <w:rPr>
          <w:rFonts w:ascii="Times New Roman" w:hAnsi="Times New Roman" w:cs="Times New Roman"/>
          <w:sz w:val="24"/>
          <w:szCs w:val="24"/>
        </w:rPr>
        <w:t xml:space="preserve"> spy upon Donald Stuart and</w:t>
      </w:r>
      <w:r w:rsidR="00E47E5E" w:rsidRPr="0025071D">
        <w:rPr>
          <w:rFonts w:ascii="Times New Roman" w:hAnsi="Times New Roman" w:cs="Times New Roman"/>
          <w:sz w:val="24"/>
          <w:szCs w:val="24"/>
        </w:rPr>
        <w:t xml:space="preserve"> Lennox’s cousin</w:t>
      </w:r>
      <w:r w:rsidR="00435A13" w:rsidRPr="0025071D">
        <w:rPr>
          <w:rFonts w:ascii="Times New Roman" w:hAnsi="Times New Roman" w:cs="Times New Roman"/>
          <w:sz w:val="24"/>
          <w:szCs w:val="24"/>
        </w:rPr>
        <w:t xml:space="preserve"> Emmeline</w:t>
      </w:r>
      <w:r w:rsidR="002D4EA4" w:rsidRPr="0025071D">
        <w:rPr>
          <w:rFonts w:ascii="Times New Roman" w:hAnsi="Times New Roman" w:cs="Times New Roman"/>
          <w:sz w:val="24"/>
          <w:szCs w:val="24"/>
        </w:rPr>
        <w:t xml:space="preserve"> </w:t>
      </w:r>
      <w:r w:rsidR="00435A13" w:rsidRPr="0025071D">
        <w:rPr>
          <w:rFonts w:ascii="Times New Roman" w:hAnsi="Times New Roman" w:cs="Times New Roman"/>
          <w:sz w:val="24"/>
          <w:szCs w:val="24"/>
        </w:rPr>
        <w:t xml:space="preserve">during their liaison.  </w:t>
      </w:r>
      <w:r w:rsidR="002D4EA4" w:rsidRPr="0025071D">
        <w:rPr>
          <w:rFonts w:ascii="Times New Roman" w:hAnsi="Times New Roman" w:cs="Times New Roman"/>
          <w:sz w:val="24"/>
          <w:szCs w:val="24"/>
        </w:rPr>
        <w:t>The man</w:t>
      </w:r>
      <w:r w:rsidR="00435A13" w:rsidRPr="0025071D">
        <w:rPr>
          <w:rFonts w:ascii="Times New Roman" w:hAnsi="Times New Roman" w:cs="Times New Roman"/>
          <w:sz w:val="24"/>
          <w:szCs w:val="24"/>
        </w:rPr>
        <w:t>’s haughty demeanour</w:t>
      </w:r>
      <w:r w:rsidR="00435A13" w:rsidRPr="006872CB">
        <w:rPr>
          <w:rFonts w:ascii="Times New Roman" w:hAnsi="Times New Roman" w:cs="Times New Roman"/>
          <w:sz w:val="24"/>
          <w:szCs w:val="24"/>
        </w:rPr>
        <w:t xml:space="preserve"> continues for several days and although </w:t>
      </w:r>
      <w:r w:rsidR="00435A13" w:rsidRPr="006872CB">
        <w:rPr>
          <w:rFonts w:ascii="Times New Roman" w:hAnsi="Times New Roman" w:cs="Times New Roman"/>
          <w:sz w:val="24"/>
          <w:szCs w:val="24"/>
        </w:rPr>
        <w:lastRenderedPageBreak/>
        <w:t>outraged at such treatment, Joseph refrains from handing in his notice through fear it might lead to suspicion falling upon Emmeline.</w:t>
      </w:r>
      <w:r w:rsidR="00435A13" w:rsidRPr="006872CB">
        <w:rPr>
          <w:rStyle w:val="FootnoteReference"/>
          <w:rFonts w:ascii="Times New Roman" w:hAnsi="Times New Roman" w:cs="Times New Roman"/>
          <w:sz w:val="24"/>
          <w:szCs w:val="24"/>
        </w:rPr>
        <w:footnoteReference w:id="838"/>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 xml:space="preserve">While </w:t>
      </w:r>
      <w:r w:rsidRPr="009936B3">
        <w:rPr>
          <w:rFonts w:ascii="Times New Roman" w:hAnsi="Times New Roman" w:cs="Times New Roman"/>
          <w:sz w:val="24"/>
          <w:szCs w:val="24"/>
        </w:rPr>
        <w:t xml:space="preserve">both may compromise, neither accepts humiliating employment for material gain or from a cowardly fear to face </w:t>
      </w:r>
      <w:r w:rsidRPr="002D4EA4">
        <w:rPr>
          <w:rFonts w:ascii="Times New Roman" w:hAnsi="Times New Roman" w:cs="Times New Roman"/>
          <w:sz w:val="24"/>
          <w:szCs w:val="24"/>
        </w:rPr>
        <w:t xml:space="preserve">the world.  </w:t>
      </w:r>
      <w:r w:rsidR="009936B3" w:rsidRPr="002D4EA4">
        <w:rPr>
          <w:rFonts w:ascii="Times New Roman" w:hAnsi="Times New Roman" w:cs="Times New Roman"/>
          <w:sz w:val="24"/>
          <w:szCs w:val="24"/>
        </w:rPr>
        <w:t>In</w:t>
      </w:r>
      <w:r w:rsidRPr="002D4EA4">
        <w:rPr>
          <w:rFonts w:ascii="Times New Roman" w:hAnsi="Times New Roman" w:cs="Times New Roman"/>
          <w:sz w:val="24"/>
          <w:szCs w:val="24"/>
        </w:rPr>
        <w:t xml:space="preserve"> accepting hierarchical structures, both reject servility as an affront to human dignity which sees the industrious classes consigning themselves to endless oppression.  </w:t>
      </w:r>
      <w:r w:rsidR="001C039C" w:rsidRPr="002D4EA4">
        <w:rPr>
          <w:rFonts w:ascii="Times New Roman" w:hAnsi="Times New Roman" w:cs="Times New Roman"/>
          <w:sz w:val="24"/>
          <w:szCs w:val="24"/>
        </w:rPr>
        <w:t>At</w:t>
      </w:r>
      <w:r w:rsidRPr="002D4EA4">
        <w:rPr>
          <w:rFonts w:ascii="Times New Roman" w:hAnsi="Times New Roman" w:cs="Times New Roman"/>
          <w:sz w:val="24"/>
          <w:szCs w:val="24"/>
        </w:rPr>
        <w:t xml:space="preserve"> Montpellier House, the teachers are poor and friendless, ‘Worked like slaves’ and ‘paid like paupers’.</w:t>
      </w:r>
      <w:r w:rsidRPr="002D4EA4">
        <w:rPr>
          <w:rStyle w:val="FootnoteReference"/>
          <w:rFonts w:ascii="Times New Roman" w:hAnsi="Times New Roman" w:cs="Times New Roman"/>
          <w:sz w:val="24"/>
          <w:szCs w:val="24"/>
        </w:rPr>
        <w:footnoteReference w:id="839"/>
      </w:r>
      <w:r w:rsidRPr="002D4EA4">
        <w:rPr>
          <w:rFonts w:ascii="Times New Roman" w:hAnsi="Times New Roman" w:cs="Times New Roman"/>
          <w:sz w:val="24"/>
          <w:szCs w:val="24"/>
        </w:rPr>
        <w:t xml:space="preserve">  The household</w:t>
      </w:r>
      <w:r w:rsidRPr="009936B3">
        <w:rPr>
          <w:rFonts w:ascii="Times New Roman" w:hAnsi="Times New Roman" w:cs="Times New Roman"/>
          <w:sz w:val="24"/>
          <w:szCs w:val="24"/>
        </w:rPr>
        <w:t xml:space="preserve"> is so downtrodden by Nibkins that they have lost the will to protest.  Joseph encounters a similar situation at Myrtle Lodge, symbolized by the footman, John Robert</w:t>
      </w:r>
      <w:r w:rsidR="00BD07AE" w:rsidRPr="009936B3">
        <w:rPr>
          <w:rFonts w:ascii="Times New Roman" w:hAnsi="Times New Roman" w:cs="Times New Roman"/>
          <w:sz w:val="24"/>
          <w:szCs w:val="24"/>
        </w:rPr>
        <w:t>,</w:t>
      </w:r>
      <w:r w:rsidRPr="009936B3">
        <w:rPr>
          <w:rFonts w:ascii="Times New Roman" w:hAnsi="Times New Roman" w:cs="Times New Roman"/>
          <w:sz w:val="24"/>
          <w:szCs w:val="24"/>
        </w:rPr>
        <w:t xml:space="preserve"> who walks behind Lady Georgiana Tiverton carrying her poodles.  Here, the servants live like automatons under ‘the influence of a dull vague terror’.</w:t>
      </w:r>
      <w:r w:rsidRPr="009936B3">
        <w:rPr>
          <w:rStyle w:val="FootnoteReference"/>
          <w:rFonts w:ascii="Times New Roman" w:hAnsi="Times New Roman" w:cs="Times New Roman"/>
          <w:sz w:val="24"/>
          <w:szCs w:val="24"/>
        </w:rPr>
        <w:footnoteReference w:id="840"/>
      </w:r>
      <w:r w:rsidRPr="009936B3">
        <w:rPr>
          <w:rFonts w:ascii="Times New Roman" w:hAnsi="Times New Roman" w:cs="Times New Roman"/>
          <w:sz w:val="24"/>
          <w:szCs w:val="24"/>
        </w:rPr>
        <w:t xml:space="preserve">  All</w:t>
      </w:r>
      <w:r w:rsidRPr="009936B3">
        <w:rPr>
          <w:rFonts w:ascii="Times New Roman" w:hAnsi="Times New Roman" w:cs="Times New Roman"/>
          <w:bCs/>
          <w:sz w:val="24"/>
          <w:szCs w:val="24"/>
        </w:rPr>
        <w:t xml:space="preserve"> lack the spirited rebelliousness of figures like Sam Weller or Tom Gibbins in earlier novels</w:t>
      </w:r>
      <w:r w:rsidR="00BD07AE" w:rsidRPr="009936B3">
        <w:rPr>
          <w:rFonts w:ascii="Times New Roman" w:hAnsi="Times New Roman" w:cs="Times New Roman"/>
          <w:bCs/>
          <w:sz w:val="24"/>
          <w:szCs w:val="24"/>
        </w:rPr>
        <w:t xml:space="preserve"> that make</w:t>
      </w:r>
      <w:r w:rsidRPr="009936B3">
        <w:rPr>
          <w:rFonts w:ascii="Times New Roman" w:hAnsi="Times New Roman" w:cs="Times New Roman"/>
          <w:bCs/>
          <w:sz w:val="24"/>
          <w:szCs w:val="24"/>
        </w:rPr>
        <w:t xml:space="preserve"> sharp, although usually good-natured, comments about their superiors.  </w:t>
      </w:r>
      <w:r w:rsidRPr="009936B3">
        <w:rPr>
          <w:rFonts w:ascii="Times New Roman" w:hAnsi="Times New Roman" w:cs="Times New Roman"/>
          <w:sz w:val="24"/>
          <w:szCs w:val="24"/>
        </w:rPr>
        <w:t xml:space="preserve">Mary and Joseph are ambivalent towards such subservience.  When Mary </w:t>
      </w:r>
      <w:r w:rsidR="00BD07AE" w:rsidRPr="009936B3">
        <w:rPr>
          <w:rFonts w:ascii="Times New Roman" w:hAnsi="Times New Roman" w:cs="Times New Roman"/>
          <w:sz w:val="24"/>
          <w:szCs w:val="24"/>
        </w:rPr>
        <w:t>remarks</w:t>
      </w:r>
      <w:r w:rsidRPr="009936B3">
        <w:rPr>
          <w:rFonts w:ascii="Times New Roman" w:hAnsi="Times New Roman" w:cs="Times New Roman"/>
          <w:sz w:val="24"/>
          <w:szCs w:val="24"/>
        </w:rPr>
        <w:t xml:space="preserve"> upon the teachers being bullied into schemes to obtain Nibkins presents from the pupils, she refers to them as those ‘who would play the sycophant and parasite’.</w:t>
      </w:r>
      <w:r w:rsidRPr="009936B3">
        <w:rPr>
          <w:rStyle w:val="FootnoteReference"/>
          <w:rFonts w:ascii="Times New Roman" w:hAnsi="Times New Roman" w:cs="Times New Roman"/>
          <w:sz w:val="24"/>
          <w:szCs w:val="24"/>
        </w:rPr>
        <w:footnoteReference w:id="841"/>
      </w:r>
      <w:r w:rsidRPr="009936B3">
        <w:rPr>
          <w:rFonts w:ascii="Times New Roman" w:hAnsi="Times New Roman" w:cs="Times New Roman"/>
          <w:sz w:val="24"/>
          <w:szCs w:val="24"/>
        </w:rPr>
        <w:t xml:space="preserve">  Despite recognizing their vulnerability, disdain overwhelms sympathy</w:t>
      </w:r>
      <w:r w:rsidRPr="006872CB">
        <w:rPr>
          <w:rFonts w:ascii="Times New Roman" w:hAnsi="Times New Roman" w:cs="Times New Roman"/>
          <w:sz w:val="24"/>
          <w:szCs w:val="24"/>
        </w:rPr>
        <w:t>, expressing displeasure towards anyone who participates in actions she would not countenance.  While suffering her employer’s oppression, she will not bow to it.  When the two Nubley girls, Pamela and Arabella, expose Nibkins’s meanness, Mary is pleased not to be quizzed about the matter, because her determination to tell the truth would lead to open conflict.  Nibkins punishes the girls, blaming her for over-indulgence and threatens dismissal, but rather than cowering before these threats Mary defies orders to be stricter, comforting the girls and giving each a bun.</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In a mild reflection of Reynolds’s republicanism, independent respectability frequently vents displeasure most strongly in aristocratic environments with objections to the deference of the industrious classes and the pretentions of the nobility.  Mary voices this attitude in her picture of Harlesdon Park.  After initially enjoying the natural beauty of the surroundings, she realizes it is a sink of backwardness where underpaid tenant farmers toil under the watchful eyes of bailiff and gamekeeper.  Most injurious is the mental obeisance they pay to Lord Harlesdon:</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lastRenderedPageBreak/>
        <w:t>Whenever he rode on horseback over his estate, he expected to receive every proof of submission and every testimonial of abject servility.  The labourers were to stand hat in hand as he passed, and were to run and open the gates of the fields for the great man: the women curtsied, and little children were taught by their parents to pay a great deal more deference to his lordship upon earth than to the Lord in heaven.</w:t>
      </w:r>
      <w:r w:rsidRPr="006872CB">
        <w:rPr>
          <w:rStyle w:val="FootnoteReference"/>
          <w:rFonts w:ascii="Times New Roman" w:hAnsi="Times New Roman" w:cs="Times New Roman"/>
          <w:sz w:val="24"/>
          <w:szCs w:val="24"/>
        </w:rPr>
        <w:footnoteReference w:id="842"/>
      </w:r>
    </w:p>
    <w:p w:rsidR="00435A13" w:rsidRPr="001C039C"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Mary is disgusted at how this fails to engender unhappiness in those whose every action confirms subordination to the person she ironically calls the ‘great man’.  Even worse, they perpetuate the regime by imposing its values upon future generations.  The conclusion of her observation suggests such behaviour is almost blasphemous with ‘awe and reverence’ transferred from divine to material objects making those on the estate ‘nothing better than serfs or bondsmen’.</w:t>
      </w:r>
      <w:r w:rsidRPr="006872CB">
        <w:rPr>
          <w:rStyle w:val="FootnoteReference"/>
          <w:rFonts w:ascii="Times New Roman" w:hAnsi="Times New Roman" w:cs="Times New Roman"/>
          <w:sz w:val="24"/>
          <w:szCs w:val="24"/>
        </w:rPr>
        <w:footnoteReference w:id="843"/>
      </w:r>
      <w:r w:rsidRPr="006872CB">
        <w:rPr>
          <w:rFonts w:ascii="Times New Roman" w:hAnsi="Times New Roman" w:cs="Times New Roman"/>
          <w:sz w:val="24"/>
          <w:szCs w:val="24"/>
        </w:rPr>
        <w:t xml:space="preserve">  Joseph Wilmot vents </w:t>
      </w:r>
      <w:r w:rsidRPr="0025071D">
        <w:rPr>
          <w:rFonts w:ascii="Times New Roman" w:hAnsi="Times New Roman" w:cs="Times New Roman"/>
          <w:sz w:val="24"/>
          <w:szCs w:val="24"/>
        </w:rPr>
        <w:t>similar frustration in Scotland towards the servants who unthinkingly obey the dictates of Mr Vennach</w:t>
      </w:r>
      <w:r w:rsidR="002D4EA4" w:rsidRPr="0025071D">
        <w:rPr>
          <w:rFonts w:ascii="Times New Roman" w:hAnsi="Times New Roman" w:cs="Times New Roman"/>
          <w:sz w:val="24"/>
          <w:szCs w:val="24"/>
        </w:rPr>
        <w:t>a</w:t>
      </w:r>
      <w:r w:rsidRPr="0025071D">
        <w:rPr>
          <w:rFonts w:ascii="Times New Roman" w:hAnsi="Times New Roman" w:cs="Times New Roman"/>
          <w:sz w:val="24"/>
          <w:szCs w:val="24"/>
        </w:rPr>
        <w:t>r, the Chief of Inch Methglin.  This is a more nuanced portrayal than Harlesdon Park, with Joseph acknowledging the abundant food in the servants’ hall and that good management of the estate leads to general comfort for tenants.  Unfortunately, the paternalism this involves prevents the development of any independent outlook with all excusing the autocratic behaviour of the Vennachar family</w:t>
      </w:r>
      <w:r w:rsidRPr="001C039C">
        <w:rPr>
          <w:rFonts w:ascii="Times New Roman" w:hAnsi="Times New Roman" w:cs="Times New Roman"/>
          <w:sz w:val="24"/>
          <w:szCs w:val="24"/>
        </w:rPr>
        <w:t xml:space="preserve"> in a manner that makes them ‘a species of idolators’.</w:t>
      </w:r>
      <w:r w:rsidRPr="001C039C">
        <w:rPr>
          <w:rStyle w:val="FootnoteReference"/>
          <w:rFonts w:ascii="Times New Roman" w:hAnsi="Times New Roman" w:cs="Times New Roman"/>
          <w:sz w:val="24"/>
          <w:szCs w:val="24"/>
        </w:rPr>
        <w:footnoteReference w:id="844"/>
      </w:r>
    </w:p>
    <w:p w:rsidR="00435A13" w:rsidRPr="006872CB" w:rsidRDefault="00435A13" w:rsidP="00435A13">
      <w:pPr>
        <w:spacing w:after="120" w:line="360" w:lineRule="auto"/>
        <w:ind w:firstLine="720"/>
        <w:rPr>
          <w:rFonts w:ascii="Times New Roman" w:hAnsi="Times New Roman" w:cs="Times New Roman"/>
          <w:sz w:val="24"/>
          <w:szCs w:val="24"/>
        </w:rPr>
      </w:pPr>
      <w:r w:rsidRPr="001C039C">
        <w:rPr>
          <w:rFonts w:ascii="Times New Roman" w:hAnsi="Times New Roman" w:cs="Times New Roman"/>
          <w:sz w:val="24"/>
          <w:szCs w:val="24"/>
        </w:rPr>
        <w:t>Opposition to aristocratic arrogance is</w:t>
      </w:r>
      <w:r w:rsidR="00465D11" w:rsidRPr="001C039C">
        <w:rPr>
          <w:rFonts w:ascii="Times New Roman" w:hAnsi="Times New Roman" w:cs="Times New Roman"/>
          <w:sz w:val="24"/>
          <w:szCs w:val="24"/>
        </w:rPr>
        <w:t xml:space="preserve"> often</w:t>
      </w:r>
      <w:r w:rsidRPr="001C039C">
        <w:rPr>
          <w:rFonts w:ascii="Times New Roman" w:hAnsi="Times New Roman" w:cs="Times New Roman"/>
          <w:sz w:val="24"/>
          <w:szCs w:val="24"/>
        </w:rPr>
        <w:t xml:space="preserve"> observable in their dealings with the nobility.  When interviewed for the post of under-nursemaid by Lady Clementina and her husband Lord Harlesdon, Mary is conscious of his haughty manner, ‘condescendingly looking down from the pedestal of his rank upon me, the humblest of pigmies, below!’.</w:t>
      </w:r>
      <w:r w:rsidRPr="001C039C">
        <w:rPr>
          <w:rStyle w:val="FootnoteReference"/>
          <w:rFonts w:ascii="Times New Roman" w:hAnsi="Times New Roman" w:cs="Times New Roman"/>
          <w:sz w:val="24"/>
          <w:szCs w:val="24"/>
        </w:rPr>
        <w:footnoteReference w:id="845"/>
      </w:r>
      <w:r w:rsidRPr="001C039C">
        <w:rPr>
          <w:rFonts w:ascii="Times New Roman" w:hAnsi="Times New Roman" w:cs="Times New Roman"/>
          <w:sz w:val="24"/>
          <w:szCs w:val="24"/>
        </w:rPr>
        <w:t xml:space="preserve">  Even more striking is her resentment concerning their public show of fondness when Harlesdon taps Clementina on the cheek.  Whereas Sam Weller might treat the matter with comic derision, Mary regards it as a sign of their lack of respect towards her: ‘But then</w:t>
      </w:r>
      <w:r w:rsidRPr="006872CB">
        <w:rPr>
          <w:rFonts w:ascii="Times New Roman" w:hAnsi="Times New Roman" w:cs="Times New Roman"/>
          <w:sz w:val="24"/>
          <w:szCs w:val="24"/>
        </w:rPr>
        <w:t>, what was a poor servant-girl?  Nothing at all!—a complete nonentity, whose presence was not to be thought of for a moment.’</w:t>
      </w:r>
      <w:r w:rsidRPr="006872CB">
        <w:rPr>
          <w:rStyle w:val="FootnoteReference"/>
          <w:rFonts w:ascii="Times New Roman" w:hAnsi="Times New Roman" w:cs="Times New Roman"/>
          <w:sz w:val="24"/>
          <w:szCs w:val="24"/>
        </w:rPr>
        <w:footnoteReference w:id="846"/>
      </w:r>
      <w:r w:rsidRPr="006872CB">
        <w:rPr>
          <w:rFonts w:ascii="Times New Roman" w:hAnsi="Times New Roman" w:cs="Times New Roman"/>
          <w:sz w:val="24"/>
          <w:szCs w:val="24"/>
        </w:rPr>
        <w:t xml:space="preserve">  This dissent is related directly to her lowly position as she charges the couple with not maintaining the relationship that should exist between employer and servant, this strict attitude towards easy-going behaviour reflecting the rules promoted in ‘Etiquette for the Millions’ upon which Reynolds placed such importance.  In contrast, Mary </w:t>
      </w:r>
      <w:r w:rsidRPr="006872CB">
        <w:rPr>
          <w:rFonts w:ascii="Times New Roman" w:hAnsi="Times New Roman" w:cs="Times New Roman"/>
          <w:sz w:val="24"/>
          <w:szCs w:val="24"/>
        </w:rPr>
        <w:lastRenderedPageBreak/>
        <w:t>can feel she upholds her side of the ‘etiquette bargain’ by not expressing overt annoyance due to her inferior rank.</w:t>
      </w:r>
      <w:r w:rsidRPr="006872CB">
        <w:rPr>
          <w:rStyle w:val="FootnoteReference"/>
          <w:rFonts w:ascii="Times New Roman" w:hAnsi="Times New Roman" w:cs="Times New Roman"/>
          <w:sz w:val="24"/>
          <w:szCs w:val="24"/>
        </w:rPr>
        <w:footnoteReference w:id="847"/>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Joseph discovers the aristocratic identity of the Chilhams during their second meeting.  He attacks the mercenary attitude that sees them allowing Gertrude to marry Stephen Rowland only after he becomes heir to his wealthy uncle, Mr Rowland.  When Eugene refers to them as ‘plebeian money-grubbers’, Joseph in a ‘dignified and disdainful manner’ openly promotes the Rowlands’ worth in contrast to the haughtiness of the Chilhams.</w:t>
      </w:r>
      <w:r w:rsidRPr="006872CB">
        <w:rPr>
          <w:rStyle w:val="FootnoteReference"/>
          <w:rFonts w:ascii="Times New Roman" w:hAnsi="Times New Roman" w:cs="Times New Roman"/>
          <w:sz w:val="24"/>
          <w:szCs w:val="24"/>
        </w:rPr>
        <w:footnoteReference w:id="848"/>
      </w:r>
      <w:r w:rsidRPr="006872CB">
        <w:rPr>
          <w:rFonts w:ascii="Times New Roman" w:hAnsi="Times New Roman" w:cs="Times New Roman"/>
          <w:sz w:val="24"/>
          <w:szCs w:val="24"/>
        </w:rPr>
        <w:t xml:space="preserve">  When told that Gertrude’s pre-marital liaison with Stephen must remain a secret, Joseph points to his previous silence on the matter, dismissing the offer of money and the demand he leave his employment:</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‘I require no money, Lord Lester,’ I indignantly interrupted the Marquis’s son: ‘and as for decamping stealthily from my present service, I will not do it.  Not for worlds would I incur the imputation of the blackest ingratitude where I owe every obligation of thankfulness.’</w:t>
      </w:r>
      <w:r w:rsidRPr="006872CB">
        <w:rPr>
          <w:rStyle w:val="FootnoteReference"/>
          <w:rFonts w:ascii="Times New Roman" w:hAnsi="Times New Roman" w:cs="Times New Roman"/>
          <w:sz w:val="24"/>
          <w:szCs w:val="24"/>
        </w:rPr>
        <w:footnoteReference w:id="849"/>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While Joseph’s words forcefully reject his opponents’ wishes, above all they express fear of acting in a manner that </w:t>
      </w:r>
      <w:r w:rsidRPr="001C039C">
        <w:rPr>
          <w:rFonts w:ascii="Times New Roman" w:hAnsi="Times New Roman" w:cs="Times New Roman"/>
          <w:sz w:val="24"/>
          <w:szCs w:val="24"/>
        </w:rPr>
        <w:t>would bring scorn.  There</w:t>
      </w:r>
      <w:r w:rsidRPr="006872CB">
        <w:rPr>
          <w:rFonts w:ascii="Times New Roman" w:hAnsi="Times New Roman" w:cs="Times New Roman"/>
          <w:sz w:val="24"/>
          <w:szCs w:val="24"/>
        </w:rPr>
        <w:t xml:space="preserve"> will be no stealth, something that would place him with cowards and criminals.  Echoing Virginia Mordaunt, his need for respectability means that the course he chooses is not a favour to the Chilhams but a duty he owes to himself.  His </w:t>
      </w:r>
      <w:r w:rsidRPr="0025071D">
        <w:rPr>
          <w:rFonts w:ascii="Times New Roman" w:hAnsi="Times New Roman" w:cs="Times New Roman"/>
          <w:sz w:val="24"/>
          <w:szCs w:val="24"/>
        </w:rPr>
        <w:t xml:space="preserve">protest </w:t>
      </w:r>
      <w:r w:rsidR="002D4EA4" w:rsidRPr="0025071D">
        <w:rPr>
          <w:rFonts w:ascii="Times New Roman" w:hAnsi="Times New Roman" w:cs="Times New Roman"/>
          <w:sz w:val="24"/>
          <w:szCs w:val="24"/>
        </w:rPr>
        <w:t>appears</w:t>
      </w:r>
      <w:r w:rsidRPr="0025071D">
        <w:rPr>
          <w:rFonts w:ascii="Times New Roman" w:hAnsi="Times New Roman" w:cs="Times New Roman"/>
          <w:sz w:val="24"/>
          <w:szCs w:val="24"/>
        </w:rPr>
        <w:t xml:space="preserve"> sharpened</w:t>
      </w:r>
      <w:r w:rsidRPr="006872CB">
        <w:rPr>
          <w:rFonts w:ascii="Times New Roman" w:hAnsi="Times New Roman" w:cs="Times New Roman"/>
          <w:sz w:val="24"/>
          <w:szCs w:val="24"/>
        </w:rPr>
        <w:t xml:space="preserve"> because dealing with the aristocracy, emphasising he has no fear when contemptuously spurning Eugene’s aggression: ‘rest assured that I am neither to be browbeaten by your arrogance, nor to be easily overpowered if you attempt violence’.</w:t>
      </w:r>
      <w:r w:rsidRPr="006872CB">
        <w:rPr>
          <w:rStyle w:val="FootnoteReference"/>
          <w:rFonts w:ascii="Times New Roman" w:hAnsi="Times New Roman" w:cs="Times New Roman"/>
          <w:sz w:val="24"/>
          <w:szCs w:val="24"/>
        </w:rPr>
        <w:footnoteReference w:id="850"/>
      </w:r>
      <w:r w:rsidRPr="006872CB">
        <w:rPr>
          <w:rFonts w:ascii="Times New Roman" w:hAnsi="Times New Roman" w:cs="Times New Roman"/>
          <w:sz w:val="24"/>
          <w:szCs w:val="24"/>
        </w:rPr>
        <w:t xml:space="preserve">  However, compromise is possible even in scenes of heightened emotion.  He agrees to leave the Rowland household despite his contentment there while being clear this is not to appease the Chilhams’ pride but from concern for Stephen and Gertrude who will realize he knows of their earlier liaison, making his presence an embarrassment.  Furthermore, there is insistence upon dutifully informing his generous employer Mr Rowland of the truth.  Joseph’s departure involves no overt posturing but sees him make a respectful bow.  The protest maintains his principles, defying aristocratic bullying by declaring loyalty to his friends rather than disreputably taking advantage of the situation through blackmail or insult.</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lastRenderedPageBreak/>
        <w:t xml:space="preserve">Reynolds presents many minor characters who serve to reinforce the sense that independent respectability is widespread among the industrious classes.  The first volume of </w:t>
      </w:r>
      <w:r w:rsidRPr="006872CB">
        <w:rPr>
          <w:rFonts w:ascii="Times New Roman" w:hAnsi="Times New Roman" w:cs="Times New Roman"/>
          <w:i/>
          <w:sz w:val="24"/>
          <w:szCs w:val="24"/>
        </w:rPr>
        <w:t>Joseph Wilmot</w:t>
      </w:r>
      <w:r w:rsidRPr="006872CB">
        <w:rPr>
          <w:rFonts w:ascii="Times New Roman" w:hAnsi="Times New Roman" w:cs="Times New Roman"/>
          <w:sz w:val="24"/>
          <w:szCs w:val="24"/>
        </w:rPr>
        <w:t xml:space="preserve"> gives perhaps the most positive picture of domestic servants, in which many combine loyalty and honesty with spirited rebelliousness.  Joseph constantly receives a friendly welcome, typified by his arrival at both Inch Methglin and Mr and Mrs Rowland’s household in Manchester.</w:t>
      </w:r>
      <w:r w:rsidRPr="006872CB">
        <w:rPr>
          <w:rStyle w:val="FootnoteReference"/>
          <w:rFonts w:ascii="Times New Roman" w:hAnsi="Times New Roman" w:cs="Times New Roman"/>
          <w:sz w:val="24"/>
          <w:szCs w:val="24"/>
        </w:rPr>
        <w:footnoteReference w:id="851"/>
      </w:r>
      <w:r w:rsidRPr="006872CB">
        <w:rPr>
          <w:rFonts w:ascii="Times New Roman" w:hAnsi="Times New Roman" w:cs="Times New Roman"/>
          <w:sz w:val="24"/>
          <w:szCs w:val="24"/>
        </w:rPr>
        <w:t xml:space="preserve">  Those who live at Heseltine Hall in Westmoreland maintain the place in good order and are overjoyed when their master returns after a twelve-year absence.</w:t>
      </w:r>
      <w:r w:rsidRPr="006872CB">
        <w:rPr>
          <w:rStyle w:val="FootnoteReference"/>
          <w:rFonts w:ascii="Times New Roman" w:hAnsi="Times New Roman" w:cs="Times New Roman"/>
          <w:sz w:val="24"/>
          <w:szCs w:val="24"/>
        </w:rPr>
        <w:footnoteReference w:id="852"/>
      </w:r>
      <w:r w:rsidRPr="006872CB">
        <w:rPr>
          <w:rFonts w:ascii="Times New Roman" w:hAnsi="Times New Roman" w:cs="Times New Roman"/>
          <w:sz w:val="24"/>
          <w:szCs w:val="24"/>
        </w:rPr>
        <w:t xml:space="preserve">  Even where bitterness would be understandable during financial crises, complaints are usually muted.  When Lord and Lady Ravenshill at Charlton Hall are indebted to the vulgar Boustead family, Joseph refers to the servants’ anxiety over the heavy arrears in wages but, rather than resentment, the primary feeling is ‘regret at the prospect of the downfall of the family’.</w:t>
      </w:r>
      <w:r w:rsidRPr="006872CB">
        <w:rPr>
          <w:rStyle w:val="FootnoteReference"/>
          <w:rFonts w:ascii="Times New Roman" w:hAnsi="Times New Roman" w:cs="Times New Roman"/>
          <w:sz w:val="24"/>
          <w:szCs w:val="24"/>
        </w:rPr>
        <w:footnoteReference w:id="853"/>
      </w:r>
      <w:r w:rsidRPr="006872CB">
        <w:rPr>
          <w:rFonts w:ascii="Times New Roman" w:hAnsi="Times New Roman" w:cs="Times New Roman"/>
          <w:sz w:val="24"/>
          <w:szCs w:val="24"/>
        </w:rPr>
        <w:t xml:space="preserve">  As the weeks continue in an atmosphere of ‘unsettled feverishness’ with the breakup of the household seeming imminent ‘no applications were made to him [Lord Ravenshill] by any of the servants on the </w:t>
      </w:r>
      <w:r w:rsidRPr="002D4EA4">
        <w:rPr>
          <w:rFonts w:ascii="Times New Roman" w:hAnsi="Times New Roman" w:cs="Times New Roman"/>
          <w:sz w:val="24"/>
          <w:szCs w:val="24"/>
        </w:rPr>
        <w:t>score of money-matters’.</w:t>
      </w:r>
      <w:r w:rsidRPr="002D4EA4">
        <w:rPr>
          <w:rStyle w:val="FootnoteReference"/>
          <w:rFonts w:ascii="Times New Roman" w:hAnsi="Times New Roman" w:cs="Times New Roman"/>
          <w:sz w:val="24"/>
          <w:szCs w:val="24"/>
        </w:rPr>
        <w:footnoteReference w:id="854"/>
      </w:r>
      <w:r w:rsidRPr="002D4EA4">
        <w:rPr>
          <w:rFonts w:ascii="Times New Roman" w:hAnsi="Times New Roman" w:cs="Times New Roman"/>
          <w:sz w:val="24"/>
          <w:szCs w:val="24"/>
        </w:rPr>
        <w:t xml:space="preserve">  </w:t>
      </w:r>
      <w:r w:rsidRPr="002D4EA4">
        <w:rPr>
          <w:rFonts w:ascii="Times New Roman" w:hAnsi="Times New Roman" w:cs="Times New Roman"/>
          <w:bCs/>
          <w:sz w:val="24"/>
          <w:szCs w:val="24"/>
        </w:rPr>
        <w:t xml:space="preserve">When </w:t>
      </w:r>
      <w:r w:rsidR="001C039C" w:rsidRPr="002D4EA4">
        <w:rPr>
          <w:rFonts w:ascii="Times New Roman" w:hAnsi="Times New Roman" w:cs="Times New Roman"/>
          <w:bCs/>
          <w:sz w:val="24"/>
          <w:szCs w:val="24"/>
        </w:rPr>
        <w:t>the collapse</w:t>
      </w:r>
      <w:r w:rsidRPr="002D4EA4">
        <w:rPr>
          <w:rFonts w:ascii="Times New Roman" w:hAnsi="Times New Roman" w:cs="Times New Roman"/>
          <w:bCs/>
          <w:sz w:val="24"/>
          <w:szCs w:val="24"/>
        </w:rPr>
        <w:t xml:space="preserve"> happens, there is pragmatic acceptance of the situation, with none of the staff being </w:t>
      </w:r>
      <w:r w:rsidRPr="002D4EA4">
        <w:rPr>
          <w:rFonts w:ascii="Times New Roman" w:hAnsi="Times New Roman" w:cs="Times New Roman"/>
          <w:sz w:val="24"/>
          <w:szCs w:val="24"/>
        </w:rPr>
        <w:t>vindictive towards</w:t>
      </w:r>
      <w:r w:rsidRPr="002D4EA4">
        <w:rPr>
          <w:rFonts w:ascii="Times New Roman" w:hAnsi="Times New Roman" w:cs="Times New Roman"/>
          <w:bCs/>
          <w:sz w:val="24"/>
          <w:szCs w:val="24"/>
        </w:rPr>
        <w:t xml:space="preserve"> their former employers.  </w:t>
      </w:r>
      <w:r w:rsidRPr="002D4EA4">
        <w:rPr>
          <w:rFonts w:ascii="Times New Roman" w:hAnsi="Times New Roman" w:cs="Times New Roman"/>
          <w:sz w:val="24"/>
          <w:szCs w:val="24"/>
        </w:rPr>
        <w:t>In Myrtle Lodge, the</w:t>
      </w:r>
      <w:r w:rsidRPr="006872CB">
        <w:rPr>
          <w:rFonts w:ascii="Times New Roman" w:hAnsi="Times New Roman" w:cs="Times New Roman"/>
          <w:sz w:val="24"/>
          <w:szCs w:val="24"/>
        </w:rPr>
        <w:t xml:space="preserve"> servants are so downtrodden they have lost all sense of independence.  Yet, even in this barren soil bolder emotions exist that need little encouragement to find expression, as occurs with the arrival of Lady Calanthe Dundas and her maid, Charlotte Murray.  Encouraged by the latter’s garrulous personality, the prospect of festive activities rouse the staff to countenance thoughts that usually lie beyond their mental horizons and cast aside the stern discipline they normally impose upon themselves.  Her promise to take the blame for any adverse consequences spurs them on:</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 xml:space="preserve">My fellow-servants appeared to have made up their minds with a sort of reckless desperation, to let Charlotte have her own way, and to profit by the bold innovations which she was evidently determined to introduce.  When once they had abandoned themselves to this mood, they all became considerably more cheerful than they had doubtless ever yet been </w:t>
      </w:r>
      <w:r w:rsidRPr="001C039C">
        <w:rPr>
          <w:rFonts w:ascii="Times New Roman" w:hAnsi="Times New Roman" w:cs="Times New Roman"/>
          <w:sz w:val="24"/>
          <w:szCs w:val="24"/>
        </w:rPr>
        <w:t>since</w:t>
      </w:r>
      <w:r w:rsidRPr="006872CB">
        <w:rPr>
          <w:rFonts w:ascii="Times New Roman" w:hAnsi="Times New Roman" w:cs="Times New Roman"/>
          <w:sz w:val="24"/>
          <w:szCs w:val="24"/>
        </w:rPr>
        <w:t xml:space="preserve"> they first crossed the threshold of Myrtle Lodge.</w:t>
      </w:r>
      <w:r w:rsidRPr="006872CB">
        <w:rPr>
          <w:rStyle w:val="FootnoteReference"/>
          <w:rFonts w:ascii="Times New Roman" w:hAnsi="Times New Roman" w:cs="Times New Roman"/>
          <w:sz w:val="24"/>
          <w:szCs w:val="24"/>
        </w:rPr>
        <w:footnoteReference w:id="855"/>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lastRenderedPageBreak/>
        <w:t xml:space="preserve">Having been suppressed for so long, these small measures are ‘bold innovations’, suggesting a bolt for freedom into a world of unwonted extravagance.  They light candles, make decent tea, cease to scrimp with the butter and add coal to the fire, actions that embrace a new level of defiance with </w:t>
      </w:r>
      <w:r w:rsidRPr="003D0655">
        <w:rPr>
          <w:rFonts w:ascii="Times New Roman" w:hAnsi="Times New Roman" w:cs="Times New Roman"/>
          <w:sz w:val="24"/>
          <w:szCs w:val="24"/>
        </w:rPr>
        <w:t xml:space="preserve">a </w:t>
      </w:r>
      <w:r w:rsidR="002D4EA4" w:rsidRPr="003D0655">
        <w:rPr>
          <w:rFonts w:ascii="Times New Roman" w:hAnsi="Times New Roman" w:cs="Times New Roman"/>
          <w:sz w:val="24"/>
          <w:szCs w:val="24"/>
        </w:rPr>
        <w:t>resolute</w:t>
      </w:r>
      <w:r w:rsidRPr="003D0655">
        <w:rPr>
          <w:rFonts w:ascii="Times New Roman" w:hAnsi="Times New Roman" w:cs="Times New Roman"/>
          <w:sz w:val="24"/>
          <w:szCs w:val="24"/>
        </w:rPr>
        <w:t xml:space="preserve"> attempt</w:t>
      </w:r>
      <w:r w:rsidRPr="006872CB">
        <w:rPr>
          <w:rFonts w:ascii="Times New Roman" w:hAnsi="Times New Roman" w:cs="Times New Roman"/>
          <w:sz w:val="24"/>
          <w:szCs w:val="24"/>
        </w:rPr>
        <w:t xml:space="preserve"> to assert their right to enjoy reasonable conditions.</w:t>
      </w:r>
      <w:r w:rsidRPr="006872CB">
        <w:rPr>
          <w:rStyle w:val="FootnoteReference"/>
          <w:rFonts w:ascii="Times New Roman" w:hAnsi="Times New Roman" w:cs="Times New Roman"/>
          <w:sz w:val="24"/>
          <w:szCs w:val="24"/>
        </w:rPr>
        <w:footnoteReference w:id="856"/>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Minor figures frequently display their need for independent respectability runs just as deeply as it does with the central characters.  Thomas the faithful servant of Mr and Mrs Rowland scorns status rivalry, leading to his jubilation when Joseph returns to Manchester as a member of the nobility: ‘And you know very well, sir, that I was not jealous when I saw you sitting down with master and mistress at that very table——’.</w:t>
      </w:r>
      <w:r w:rsidRPr="006872CB">
        <w:rPr>
          <w:rStyle w:val="FootnoteReference"/>
          <w:rFonts w:ascii="Times New Roman" w:hAnsi="Times New Roman" w:cs="Times New Roman"/>
          <w:sz w:val="24"/>
          <w:szCs w:val="24"/>
        </w:rPr>
        <w:footnoteReference w:id="857"/>
      </w:r>
      <w:r w:rsidRPr="006872CB">
        <w:rPr>
          <w:rFonts w:ascii="Times New Roman" w:hAnsi="Times New Roman" w:cs="Times New Roman"/>
          <w:sz w:val="24"/>
          <w:szCs w:val="24"/>
        </w:rPr>
        <w:t xml:space="preserve">  There is no envy at his erstwhile colleague’s rise.  His one regret about their relationship concerns the receipt of money:</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And you forced a bank note into my hand, Mr. Wilmot, when you went away, […] and I was sorry you did it, because it seemed as if you wished to pay me in money for any little act of Christian kindness I had on a former occasion been able to render you.</w:t>
      </w:r>
      <w:r w:rsidRPr="006872CB">
        <w:rPr>
          <w:rStyle w:val="FootnoteReference"/>
          <w:rFonts w:ascii="Times New Roman" w:hAnsi="Times New Roman" w:cs="Times New Roman"/>
          <w:sz w:val="24"/>
          <w:szCs w:val="24"/>
        </w:rPr>
        <w:footnoteReference w:id="858"/>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Thomas echoes Wilmot’s own beliefs but in a more conciliatory fashion.  He regards his deeds not as favours but opportunities that give him pleasure to fulfil.  Sadness arises at the thought others </w:t>
      </w:r>
      <w:r w:rsidRPr="002D4EA4">
        <w:rPr>
          <w:rFonts w:ascii="Times New Roman" w:hAnsi="Times New Roman" w:cs="Times New Roman"/>
          <w:sz w:val="24"/>
          <w:szCs w:val="24"/>
        </w:rPr>
        <w:t xml:space="preserve">might </w:t>
      </w:r>
      <w:r w:rsidR="00465D11" w:rsidRPr="002D4EA4">
        <w:rPr>
          <w:rFonts w:ascii="Times New Roman" w:hAnsi="Times New Roman" w:cs="Times New Roman"/>
          <w:sz w:val="24"/>
          <w:szCs w:val="24"/>
        </w:rPr>
        <w:t>see</w:t>
      </w:r>
      <w:r w:rsidRPr="002D4EA4">
        <w:rPr>
          <w:rFonts w:ascii="Times New Roman" w:hAnsi="Times New Roman" w:cs="Times New Roman"/>
          <w:sz w:val="24"/>
          <w:szCs w:val="24"/>
        </w:rPr>
        <w:t xml:space="preserve"> them</w:t>
      </w:r>
      <w:r w:rsidRPr="006872CB">
        <w:rPr>
          <w:rFonts w:ascii="Times New Roman" w:hAnsi="Times New Roman" w:cs="Times New Roman"/>
          <w:sz w:val="24"/>
          <w:szCs w:val="24"/>
        </w:rPr>
        <w:t xml:space="preserve"> in terms of a reward and so transform them into commercial transactions.</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 xml:space="preserve">Among the minor characters, it is perhaps Jemima, the good-natured nursemaid in </w:t>
      </w:r>
      <w:r w:rsidRPr="006872CB">
        <w:rPr>
          <w:rFonts w:ascii="Times New Roman" w:hAnsi="Times New Roman" w:cs="Times New Roman"/>
          <w:i/>
          <w:iCs/>
          <w:sz w:val="24"/>
          <w:szCs w:val="24"/>
        </w:rPr>
        <w:t>Mary Price</w:t>
      </w:r>
      <w:r w:rsidRPr="006872CB">
        <w:rPr>
          <w:rFonts w:ascii="Times New Roman" w:hAnsi="Times New Roman" w:cs="Times New Roman"/>
          <w:sz w:val="24"/>
          <w:szCs w:val="24"/>
        </w:rPr>
        <w:t xml:space="preserve"> who displays the varied aspects of independent respectability most consistently.  Jemima is important because in lacking Mary’s refinement she is more typical of the industrious classes and so a stronger expression of Reynolds’s belief in the prevalence of such attitudes.  She demonstrates </w:t>
      </w:r>
      <w:r w:rsidRPr="002D4EA4">
        <w:rPr>
          <w:rFonts w:ascii="Times New Roman" w:hAnsi="Times New Roman" w:cs="Times New Roman"/>
          <w:sz w:val="24"/>
          <w:szCs w:val="24"/>
        </w:rPr>
        <w:t xml:space="preserve">her </w:t>
      </w:r>
      <w:r w:rsidR="00465D11" w:rsidRPr="002D4EA4">
        <w:rPr>
          <w:rFonts w:ascii="Times New Roman" w:hAnsi="Times New Roman" w:cs="Times New Roman"/>
          <w:sz w:val="24"/>
          <w:szCs w:val="24"/>
        </w:rPr>
        <w:t>view</w:t>
      </w:r>
      <w:r w:rsidRPr="006872CB">
        <w:rPr>
          <w:rFonts w:ascii="Times New Roman" w:hAnsi="Times New Roman" w:cs="Times New Roman"/>
          <w:sz w:val="24"/>
          <w:szCs w:val="24"/>
        </w:rPr>
        <w:t xml:space="preserve"> towards rank at Harlesdon House when Mary, suffering a headache, asks her to take baby Isabella for a walk:</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Well, although it’s not just the thing for an upper nurse-maid to carry a child about in her arms, yet I won’t be too aristocratic or too genteel on the present occasion, but will take Bella out for you, if you will amuse the two boys at home.</w:t>
      </w:r>
      <w:r w:rsidRPr="006872CB">
        <w:rPr>
          <w:rStyle w:val="FootnoteReference"/>
          <w:rFonts w:ascii="Times New Roman" w:hAnsi="Times New Roman" w:cs="Times New Roman"/>
          <w:sz w:val="24"/>
          <w:szCs w:val="24"/>
        </w:rPr>
        <w:footnoteReference w:id="859"/>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The words are friendly, if a little condescending.  While expressing a sense of which duties are appropriate to different servants, Jemima waives dogmatic adherence to them, rejecting </w:t>
      </w:r>
      <w:r w:rsidRPr="006872CB">
        <w:rPr>
          <w:rFonts w:ascii="Times New Roman" w:hAnsi="Times New Roman" w:cs="Times New Roman"/>
          <w:sz w:val="24"/>
          <w:szCs w:val="24"/>
        </w:rPr>
        <w:lastRenderedPageBreak/>
        <w:t>any thought that status concerns should descend into intra-class conflict.  She does not view Mary’s request as inappropriate but as a pragmatic exchange of chores, and even sets aside any claim to be performing a favour by suggesting later that a walk in the park will be an enjoyable change.</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When they meet after an interval of separation, with Mary now occupying a comfortable position, Jemima retains the same easy-going acceptance of rank.  She is overjoyed at the encounter but wary of giving offence, commenting upon Mary’s improved appearance and addressing her in accordance with her new situation, acknowledging she was always a lady in ‘manners and conduct’ if not position.</w:t>
      </w:r>
      <w:r w:rsidRPr="006872CB">
        <w:rPr>
          <w:rStyle w:val="FootnoteReference"/>
          <w:rFonts w:ascii="Times New Roman" w:hAnsi="Times New Roman" w:cs="Times New Roman"/>
          <w:sz w:val="24"/>
          <w:szCs w:val="24"/>
        </w:rPr>
        <w:footnoteReference w:id="860"/>
      </w:r>
      <w:r w:rsidRPr="006872CB">
        <w:rPr>
          <w:rFonts w:ascii="Times New Roman" w:hAnsi="Times New Roman" w:cs="Times New Roman"/>
          <w:sz w:val="24"/>
          <w:szCs w:val="24"/>
        </w:rPr>
        <w:t xml:space="preserve">  The conversation reveals the responsible attitude she takes towards her own situation.  Although disliking Lady Oldcastle, for whom she works, she has stayed out of concern for the young children of the deceased Lord and Lady Harlesdon: ‘If it were not for these dear children who are so fond of me, I should not have remained </w:t>
      </w:r>
      <w:r w:rsidRPr="003D0655">
        <w:rPr>
          <w:rFonts w:ascii="Times New Roman" w:hAnsi="Times New Roman" w:cs="Times New Roman"/>
          <w:sz w:val="24"/>
          <w:szCs w:val="24"/>
        </w:rPr>
        <w:t>in her ladyship’s service a quarter so long as I have’.</w:t>
      </w:r>
      <w:r w:rsidRPr="003D0655">
        <w:rPr>
          <w:rStyle w:val="FootnoteReference"/>
          <w:rFonts w:ascii="Times New Roman" w:hAnsi="Times New Roman" w:cs="Times New Roman"/>
          <w:sz w:val="24"/>
          <w:szCs w:val="24"/>
        </w:rPr>
        <w:footnoteReference w:id="861"/>
      </w:r>
      <w:r w:rsidRPr="003D0655">
        <w:rPr>
          <w:rFonts w:ascii="Times New Roman" w:hAnsi="Times New Roman" w:cs="Times New Roman"/>
          <w:sz w:val="24"/>
          <w:szCs w:val="24"/>
        </w:rPr>
        <w:t xml:space="preserve">  Under extenuating circumstances, Jemima displays the same compromises made by Mary in the Messiter household.  </w:t>
      </w:r>
      <w:r w:rsidR="002D4EA4" w:rsidRPr="003D0655">
        <w:rPr>
          <w:rFonts w:ascii="Times New Roman" w:hAnsi="Times New Roman" w:cs="Times New Roman"/>
          <w:sz w:val="24"/>
          <w:szCs w:val="24"/>
        </w:rPr>
        <w:t>As with her friend when scolding Elizabeth and Lydia Bull, the lowered voice signals there is no intention to boast of her actions or wish</w:t>
      </w:r>
      <w:r w:rsidRPr="003D0655">
        <w:rPr>
          <w:rFonts w:ascii="Times New Roman" w:hAnsi="Times New Roman" w:cs="Times New Roman"/>
          <w:sz w:val="24"/>
          <w:szCs w:val="24"/>
        </w:rPr>
        <w:t xml:space="preserve"> to make</w:t>
      </w:r>
      <w:r w:rsidRPr="006872CB">
        <w:rPr>
          <w:rFonts w:ascii="Times New Roman" w:hAnsi="Times New Roman" w:cs="Times New Roman"/>
          <w:sz w:val="24"/>
          <w:szCs w:val="24"/>
        </w:rPr>
        <w:t xml:space="preserve"> them public knowledge.  Furthermore, when it is time to hand in her notice she intends to follow the respectable procedure of giving due warning.  Jemima also desires to be self-reliant.  She visits Mary a few months later with upsetting news that her fiancé Charles Hunter has been unfairly denied an expected promotion and higher wages, endangering their proposed marriage date.  Nevertheless, she rejects Mary’s offer of financial help while acknowledging such shows of kindness make her feel better.  She is determined to avoid dependency, saying they will have sufficient funds by avoiding extravagance: ‘we could be as economical and frugal as possible and make all ends meet’</w:t>
      </w:r>
      <w:r w:rsidRPr="003D0655">
        <w:rPr>
          <w:rFonts w:ascii="Times New Roman" w:hAnsi="Times New Roman" w:cs="Times New Roman"/>
          <w:sz w:val="24"/>
          <w:szCs w:val="24"/>
        </w:rPr>
        <w:t>.</w:t>
      </w:r>
      <w:r w:rsidRPr="003D0655">
        <w:rPr>
          <w:rStyle w:val="FootnoteReference"/>
          <w:rFonts w:ascii="Times New Roman" w:hAnsi="Times New Roman" w:cs="Times New Roman"/>
          <w:sz w:val="24"/>
          <w:szCs w:val="24"/>
        </w:rPr>
        <w:footnoteReference w:id="862"/>
      </w:r>
      <w:r w:rsidRPr="003D0655">
        <w:rPr>
          <w:rFonts w:ascii="Times New Roman" w:hAnsi="Times New Roman" w:cs="Times New Roman"/>
          <w:sz w:val="24"/>
          <w:szCs w:val="24"/>
        </w:rPr>
        <w:t xml:space="preserve">  S</w:t>
      </w:r>
      <w:r w:rsidR="002D4EA4" w:rsidRPr="003D0655">
        <w:rPr>
          <w:rFonts w:ascii="Times New Roman" w:hAnsi="Times New Roman" w:cs="Times New Roman"/>
          <w:sz w:val="24"/>
          <w:szCs w:val="24"/>
        </w:rPr>
        <w:t>uch</w:t>
      </w:r>
      <w:r w:rsidRPr="003D0655">
        <w:rPr>
          <w:rFonts w:ascii="Times New Roman" w:hAnsi="Times New Roman" w:cs="Times New Roman"/>
          <w:sz w:val="24"/>
          <w:szCs w:val="24"/>
        </w:rPr>
        <w:t xml:space="preserve"> displays</w:t>
      </w:r>
      <w:r w:rsidR="002D4EA4" w:rsidRPr="003D0655">
        <w:rPr>
          <w:rFonts w:ascii="Times New Roman" w:hAnsi="Times New Roman" w:cs="Times New Roman"/>
          <w:sz w:val="24"/>
          <w:szCs w:val="24"/>
        </w:rPr>
        <w:t xml:space="preserve"> of</w:t>
      </w:r>
      <w:r w:rsidRPr="003D0655">
        <w:rPr>
          <w:rFonts w:ascii="Times New Roman" w:hAnsi="Times New Roman" w:cs="Times New Roman"/>
          <w:sz w:val="24"/>
          <w:szCs w:val="24"/>
        </w:rPr>
        <w:t xml:space="preserve"> patience</w:t>
      </w:r>
      <w:r w:rsidR="002D4EA4" w:rsidRPr="003D0655">
        <w:rPr>
          <w:rFonts w:ascii="Times New Roman" w:hAnsi="Times New Roman" w:cs="Times New Roman"/>
          <w:sz w:val="24"/>
          <w:szCs w:val="24"/>
        </w:rPr>
        <w:t xml:space="preserve"> reveal a preference </w:t>
      </w:r>
      <w:r w:rsidRPr="006872CB">
        <w:rPr>
          <w:rFonts w:ascii="Times New Roman" w:hAnsi="Times New Roman" w:cs="Times New Roman"/>
          <w:sz w:val="24"/>
          <w:szCs w:val="24"/>
        </w:rPr>
        <w:t xml:space="preserve">to toil honestly rather than marry at risk.  Respect for rank does not prevent Jemima disagreeing with </w:t>
      </w:r>
      <w:r w:rsidRPr="002D4EA4">
        <w:rPr>
          <w:rFonts w:ascii="Times New Roman" w:hAnsi="Times New Roman" w:cs="Times New Roman"/>
          <w:sz w:val="24"/>
          <w:szCs w:val="24"/>
        </w:rPr>
        <w:t>the judgments of social</w:t>
      </w:r>
      <w:r w:rsidRPr="006872CB">
        <w:rPr>
          <w:rFonts w:ascii="Times New Roman" w:hAnsi="Times New Roman" w:cs="Times New Roman"/>
          <w:sz w:val="24"/>
          <w:szCs w:val="24"/>
        </w:rPr>
        <w:t xml:space="preserve"> superiors </w:t>
      </w:r>
      <w:r w:rsidRPr="003D0655">
        <w:rPr>
          <w:rFonts w:ascii="Times New Roman" w:hAnsi="Times New Roman" w:cs="Times New Roman"/>
          <w:sz w:val="24"/>
          <w:szCs w:val="24"/>
        </w:rPr>
        <w:t>that s</w:t>
      </w:r>
      <w:r w:rsidR="00330AE5" w:rsidRPr="003D0655">
        <w:rPr>
          <w:rFonts w:ascii="Times New Roman" w:hAnsi="Times New Roman" w:cs="Times New Roman"/>
          <w:sz w:val="24"/>
          <w:szCs w:val="24"/>
        </w:rPr>
        <w:t>eem</w:t>
      </w:r>
      <w:r w:rsidRPr="003D0655">
        <w:rPr>
          <w:rFonts w:ascii="Times New Roman" w:hAnsi="Times New Roman" w:cs="Times New Roman"/>
          <w:sz w:val="24"/>
          <w:szCs w:val="24"/>
        </w:rPr>
        <w:t xml:space="preserve"> unjust</w:t>
      </w:r>
      <w:r w:rsidRPr="006872CB">
        <w:rPr>
          <w:rFonts w:ascii="Times New Roman" w:hAnsi="Times New Roman" w:cs="Times New Roman"/>
          <w:sz w:val="24"/>
          <w:szCs w:val="24"/>
        </w:rPr>
        <w:t xml:space="preserve"> as when Leonard Percival, a poor labourer, is imprisoned at Harlesdon Park:</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 xml:space="preserve">What a pity that such a nice young man should have got himself into such trouble.  Did you observe how proud and indignant he looked?  I really thought at one time he was innocent, and that Jacob Harper was trumping up a story against him: but when all the under-gamekeepers spoke as they did, my confidence gave way.  After all, </w:t>
      </w:r>
      <w:r w:rsidRPr="006872CB">
        <w:rPr>
          <w:rFonts w:ascii="Times New Roman" w:hAnsi="Times New Roman" w:cs="Times New Roman"/>
          <w:sz w:val="24"/>
          <w:szCs w:val="24"/>
        </w:rPr>
        <w:lastRenderedPageBreak/>
        <w:t xml:space="preserve">supposing he </w:t>
      </w:r>
      <w:r w:rsidRPr="006872CB">
        <w:rPr>
          <w:rFonts w:ascii="Times New Roman" w:hAnsi="Times New Roman" w:cs="Times New Roman"/>
          <w:i/>
          <w:sz w:val="24"/>
          <w:szCs w:val="24"/>
        </w:rPr>
        <w:t>is</w:t>
      </w:r>
      <w:r w:rsidRPr="006872CB">
        <w:rPr>
          <w:rFonts w:ascii="Times New Roman" w:hAnsi="Times New Roman" w:cs="Times New Roman"/>
          <w:sz w:val="24"/>
          <w:szCs w:val="24"/>
        </w:rPr>
        <w:t xml:space="preserve"> guilty, I can’t see what harm there is in taking a hare which runs wild and may be said to belong to nobody.</w:t>
      </w:r>
      <w:r w:rsidRPr="006872CB">
        <w:rPr>
          <w:rStyle w:val="FootnoteReference"/>
          <w:rFonts w:ascii="Times New Roman" w:hAnsi="Times New Roman" w:cs="Times New Roman"/>
          <w:sz w:val="24"/>
          <w:szCs w:val="24"/>
        </w:rPr>
        <w:footnoteReference w:id="863"/>
      </w:r>
    </w:p>
    <w:p w:rsidR="00435A13" w:rsidRPr="006872CB" w:rsidRDefault="00435A13" w:rsidP="00435A13">
      <w:pPr>
        <w:spacing w:after="120" w:line="360" w:lineRule="auto"/>
        <w:rPr>
          <w:rFonts w:ascii="Times New Roman" w:hAnsi="Times New Roman" w:cs="Times New Roman"/>
          <w:b/>
          <w:bCs/>
          <w:sz w:val="24"/>
          <w:szCs w:val="24"/>
          <w:u w:val="single"/>
        </w:rPr>
      </w:pPr>
      <w:r w:rsidRPr="006872CB">
        <w:rPr>
          <w:rFonts w:ascii="Times New Roman" w:hAnsi="Times New Roman" w:cs="Times New Roman"/>
          <w:sz w:val="24"/>
          <w:szCs w:val="24"/>
        </w:rPr>
        <w:t xml:space="preserve">Jemima is ready to trust Leonard’s good character rather than that of Harper, the devious gamekeeper who testifies against him.  At the same time she remains rational, so while disappointed with the decision feels obliged to accept the evidence </w:t>
      </w:r>
      <w:r w:rsidRPr="003D0655">
        <w:rPr>
          <w:rFonts w:ascii="Times New Roman" w:hAnsi="Times New Roman" w:cs="Times New Roman"/>
          <w:sz w:val="24"/>
          <w:szCs w:val="24"/>
        </w:rPr>
        <w:t xml:space="preserve">presented </w:t>
      </w:r>
      <w:r w:rsidR="00330AE5" w:rsidRPr="003D0655">
        <w:rPr>
          <w:rFonts w:ascii="Times New Roman" w:hAnsi="Times New Roman" w:cs="Times New Roman"/>
          <w:sz w:val="24"/>
          <w:szCs w:val="24"/>
        </w:rPr>
        <w:t>during</w:t>
      </w:r>
      <w:r w:rsidRPr="003D0655">
        <w:rPr>
          <w:rFonts w:ascii="Times New Roman" w:hAnsi="Times New Roman" w:cs="Times New Roman"/>
          <w:sz w:val="24"/>
          <w:szCs w:val="24"/>
        </w:rPr>
        <w:t xml:space="preserve"> th</w:t>
      </w:r>
      <w:r w:rsidRPr="006872CB">
        <w:rPr>
          <w:rFonts w:ascii="Times New Roman" w:hAnsi="Times New Roman" w:cs="Times New Roman"/>
          <w:sz w:val="24"/>
          <w:szCs w:val="24"/>
        </w:rPr>
        <w:t xml:space="preserve">e trial.  However, this compromise, rather than muting, serves to broaden the nature of her protest.  The thought that Leonard has not really committed any crime turns her discontent into an effective dismissal of the Game Laws, unconcerned that they reflect the interests of the upper classes.  Jemima is important for the way her protest mirrors that of Mary Price, displaying an acceptance of status and rank while not excluding </w:t>
      </w:r>
      <w:r w:rsidRPr="002D4EA4">
        <w:rPr>
          <w:rFonts w:ascii="Times New Roman" w:hAnsi="Times New Roman" w:cs="Times New Roman"/>
          <w:sz w:val="24"/>
          <w:szCs w:val="24"/>
        </w:rPr>
        <w:t xml:space="preserve">a streak of </w:t>
      </w:r>
      <w:r w:rsidR="00465D11" w:rsidRPr="002D4EA4">
        <w:rPr>
          <w:rFonts w:ascii="Times New Roman" w:hAnsi="Times New Roman" w:cs="Times New Roman"/>
          <w:sz w:val="24"/>
          <w:szCs w:val="24"/>
        </w:rPr>
        <w:t>lively</w:t>
      </w:r>
      <w:r w:rsidRPr="002D4EA4">
        <w:rPr>
          <w:rFonts w:ascii="Times New Roman" w:hAnsi="Times New Roman" w:cs="Times New Roman"/>
          <w:sz w:val="24"/>
          <w:szCs w:val="24"/>
        </w:rPr>
        <w:t xml:space="preserve"> rebelliousness</w:t>
      </w:r>
      <w:r w:rsidRPr="006872CB">
        <w:rPr>
          <w:rFonts w:ascii="Times New Roman" w:hAnsi="Times New Roman" w:cs="Times New Roman"/>
          <w:sz w:val="24"/>
          <w:szCs w:val="24"/>
        </w:rPr>
        <w:t>.</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While independent respectability is Reynolds’s favoured form of protest he does suggest potential difficulties.  The capacity to sympathise with the failings of others is a vital component, something evident in Lucy Lonsdale’s commiseration towards the seventeen-year-old Anna Seagrave for her disastrous liaison with the dissolute Captain Henry Courtenay: ‘Poor creature! you are to be pitied rather than be blamed: and whatever happens here, I will be a friend to you’.</w:t>
      </w:r>
      <w:r w:rsidRPr="006872CB">
        <w:rPr>
          <w:rStyle w:val="FootnoteReference"/>
          <w:rFonts w:ascii="Times New Roman" w:hAnsi="Times New Roman" w:cs="Times New Roman"/>
          <w:sz w:val="24"/>
          <w:szCs w:val="24"/>
        </w:rPr>
        <w:footnoteReference w:id="864"/>
      </w:r>
      <w:r w:rsidRPr="006872CB">
        <w:rPr>
          <w:rFonts w:ascii="Times New Roman" w:hAnsi="Times New Roman" w:cs="Times New Roman"/>
          <w:sz w:val="24"/>
          <w:szCs w:val="24"/>
        </w:rPr>
        <w:t xml:space="preserve">  Others are less successful when they stand as moral arbiters upon individual behaviour, not least when it relates to less respectable methods of protest.  Mary Price’s refinement occasionally descends into prudishness when she chastises minor indiscretions and Joseph Wilmot frequently misreads characters and events.</w:t>
      </w:r>
      <w:r w:rsidRPr="006872CB">
        <w:rPr>
          <w:rStyle w:val="FootnoteReference"/>
          <w:rFonts w:ascii="Times New Roman" w:hAnsi="Times New Roman" w:cs="Times New Roman"/>
          <w:sz w:val="24"/>
          <w:szCs w:val="24"/>
        </w:rPr>
        <w:footnoteReference w:id="865"/>
      </w:r>
      <w:r w:rsidRPr="006872CB">
        <w:rPr>
          <w:rFonts w:ascii="Times New Roman" w:hAnsi="Times New Roman" w:cs="Times New Roman"/>
          <w:sz w:val="24"/>
          <w:szCs w:val="24"/>
        </w:rPr>
        <w:t xml:space="preserve">  These shortcomings suggest how their </w:t>
      </w:r>
      <w:r w:rsidRPr="001C039C">
        <w:rPr>
          <w:rFonts w:ascii="Times New Roman" w:hAnsi="Times New Roman" w:cs="Times New Roman"/>
          <w:sz w:val="24"/>
          <w:szCs w:val="24"/>
        </w:rPr>
        <w:t>judgments</w:t>
      </w:r>
      <w:r w:rsidRPr="006872CB">
        <w:rPr>
          <w:rFonts w:ascii="Times New Roman" w:hAnsi="Times New Roman" w:cs="Times New Roman"/>
          <w:sz w:val="24"/>
          <w:szCs w:val="24"/>
        </w:rPr>
        <w:t xml:space="preserve"> are at times defective.  Mary displays excessive fastidiousness </w:t>
      </w:r>
      <w:r w:rsidRPr="00330AE5">
        <w:rPr>
          <w:rFonts w:ascii="Times New Roman" w:hAnsi="Times New Roman" w:cs="Times New Roman"/>
          <w:sz w:val="24"/>
          <w:szCs w:val="24"/>
        </w:rPr>
        <w:t>over Jemima</w:t>
      </w:r>
      <w:r w:rsidRPr="006872CB">
        <w:rPr>
          <w:rFonts w:ascii="Times New Roman" w:hAnsi="Times New Roman" w:cs="Times New Roman"/>
          <w:sz w:val="24"/>
          <w:szCs w:val="24"/>
        </w:rPr>
        <w:t xml:space="preserve"> gossiping that their mistress Clementina Harlesdon is jealous of the former’s good looks.  Despite its impropriety, Jemima clearly bears no ill will and responds spiritedly: ‘I like her ladyship as well as you do, […] but that is no reason why we should not have our own chit-chat upon the very things that are passing before our eyes.’</w:t>
      </w:r>
      <w:r w:rsidRPr="006872CB">
        <w:rPr>
          <w:rStyle w:val="FootnoteReference"/>
          <w:rFonts w:ascii="Times New Roman" w:hAnsi="Times New Roman" w:cs="Times New Roman"/>
          <w:sz w:val="24"/>
          <w:szCs w:val="24"/>
        </w:rPr>
        <w:footnoteReference w:id="866"/>
      </w:r>
      <w:r w:rsidRPr="006872CB">
        <w:rPr>
          <w:rFonts w:ascii="Times New Roman" w:hAnsi="Times New Roman" w:cs="Times New Roman"/>
          <w:sz w:val="24"/>
          <w:szCs w:val="24"/>
        </w:rPr>
        <w:t xml:space="preserve">  Unlike Janetta the housemaid at Guernsey, she intends no harm and only voices what is apparent to everyone.  When she continues by discussing how Sir Aubrey Clavering has usurped Clementina’s affections, she again transgresses the boundaries of strict propriety so that Mary’s order to cease ‘idle-gossiping’ is again formally correct but also ignores how such activities were significant issues for servants, as they potentially led to the breakup of households and financial hardship.</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lastRenderedPageBreak/>
        <w:t>Mary’s tiff with Jemima is a slight matter but points to serious failings, highlighted in her attitude towards Betsy whom she first encounters as a fellow-servant at the Messiter household:</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She made the beds, prepared the food, cleaned down the house, and did the washing every Monday for the whole family. […]  She had to get up at four every morning in summer, and at six in winter—Mr. Messiter himself rising from his bed to call her if he did not hear her stirring at the proper time. […]  The poor creature, who was a good-natured and really kind-hearted woman, was worked like a slave and paid like a pauper,—her wages being 7</w:t>
      </w:r>
      <w:r w:rsidRPr="006872CB">
        <w:rPr>
          <w:rFonts w:ascii="Times New Roman" w:hAnsi="Times New Roman" w:cs="Times New Roman"/>
          <w:i/>
          <w:iCs/>
          <w:sz w:val="24"/>
          <w:szCs w:val="24"/>
        </w:rPr>
        <w:t>l</w:t>
      </w:r>
      <w:r w:rsidRPr="006872CB">
        <w:rPr>
          <w:rFonts w:ascii="Times New Roman" w:hAnsi="Times New Roman" w:cs="Times New Roman"/>
          <w:sz w:val="24"/>
          <w:szCs w:val="24"/>
        </w:rPr>
        <w:t>. a year and to find her own tea and sugar.</w:t>
      </w:r>
      <w:r w:rsidRPr="006872CB">
        <w:rPr>
          <w:rStyle w:val="FootnoteReference"/>
          <w:rFonts w:ascii="Times New Roman" w:hAnsi="Times New Roman" w:cs="Times New Roman"/>
          <w:sz w:val="24"/>
          <w:szCs w:val="24"/>
        </w:rPr>
        <w:footnoteReference w:id="867"/>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For such incessant toil, Betsy receives an annual stipend of seven pounds.  Mary, although disliking her own position, acknowledges she is better off in being supplied with tea and sugar and eating meals with the family.  On one occasion Betsy opposes Messiter’s bullying manner towards Mary who is trying to explain the theft of goods from the house by local villains.</w:t>
      </w:r>
      <w:r w:rsidRPr="006872CB">
        <w:rPr>
          <w:rStyle w:val="FootnoteReference"/>
          <w:rFonts w:ascii="Times New Roman" w:hAnsi="Times New Roman" w:cs="Times New Roman"/>
          <w:sz w:val="24"/>
          <w:szCs w:val="24"/>
        </w:rPr>
        <w:footnoteReference w:id="868"/>
      </w:r>
      <w:r w:rsidRPr="006872CB">
        <w:rPr>
          <w:rFonts w:ascii="Times New Roman" w:hAnsi="Times New Roman" w:cs="Times New Roman"/>
          <w:sz w:val="24"/>
          <w:szCs w:val="24"/>
        </w:rPr>
        <w:t xml:space="preserve">  She is a hard-working drudge who manages not to be overly embittered, whom Mary recognizes as kind-hearted and </w:t>
      </w:r>
      <w:r w:rsidRPr="00F07433">
        <w:rPr>
          <w:rFonts w:ascii="Times New Roman" w:hAnsi="Times New Roman" w:cs="Times New Roman"/>
          <w:sz w:val="24"/>
          <w:szCs w:val="24"/>
        </w:rPr>
        <w:t>calls ‘poor Betsy’.</w:t>
      </w:r>
      <w:r w:rsidRPr="00F07433">
        <w:rPr>
          <w:rStyle w:val="FootnoteReference"/>
          <w:rFonts w:ascii="Times New Roman" w:hAnsi="Times New Roman" w:cs="Times New Roman"/>
          <w:sz w:val="24"/>
          <w:szCs w:val="24"/>
        </w:rPr>
        <w:footnoteReference w:id="869"/>
      </w:r>
      <w:r w:rsidRPr="00F07433">
        <w:rPr>
          <w:rFonts w:ascii="Times New Roman" w:hAnsi="Times New Roman" w:cs="Times New Roman"/>
          <w:sz w:val="24"/>
          <w:szCs w:val="24"/>
        </w:rPr>
        <w:t xml:space="preserve">  Mary’s deficiencies become apparent when they cross paths at Mr and Mrs Dobson’s lodging house.  Betsy has aged considerably and suffered decline, recognizable in her loss of weight and haggard, careworn aspect.  Despite poverty and a grinding workload she maintains a friendly attitude: ‘the poor creature was very glad to see me; and she shook my hand with a warmth that testified her sincerity’.</w:t>
      </w:r>
      <w:r w:rsidRPr="00F07433">
        <w:rPr>
          <w:rStyle w:val="FootnoteReference"/>
          <w:rFonts w:ascii="Times New Roman" w:hAnsi="Times New Roman" w:cs="Times New Roman"/>
          <w:sz w:val="24"/>
          <w:szCs w:val="24"/>
        </w:rPr>
        <w:footnoteReference w:id="870"/>
      </w:r>
      <w:r w:rsidRPr="00F07433">
        <w:rPr>
          <w:rFonts w:ascii="Times New Roman" w:hAnsi="Times New Roman" w:cs="Times New Roman"/>
          <w:sz w:val="24"/>
          <w:szCs w:val="24"/>
        </w:rPr>
        <w:t xml:space="preserve">  Like Jemima, she is pleased that Mary has met with success and she holds this generous attitude despite meeting only hardship, confirmed by the account of her </w:t>
      </w:r>
      <w:r w:rsidR="00465D11" w:rsidRPr="00F07433">
        <w:rPr>
          <w:rFonts w:ascii="Times New Roman" w:hAnsi="Times New Roman" w:cs="Times New Roman"/>
          <w:sz w:val="24"/>
          <w:szCs w:val="24"/>
        </w:rPr>
        <w:t>daily routine</w:t>
      </w:r>
      <w:r w:rsidRPr="00F07433">
        <w:rPr>
          <w:rFonts w:ascii="Times New Roman" w:hAnsi="Times New Roman" w:cs="Times New Roman"/>
          <w:sz w:val="24"/>
          <w:szCs w:val="24"/>
        </w:rPr>
        <w:t>:</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‘Just in the old style,’ she answered, with a deep sigh. ‘I can't say no better, and I can't say no worse.  As a servant-of-all-work I began life; and as a servant-of-all-work shall I continue until past work altogether, and thrown upon the parish. And all work it is too, with a vengeance!  You know what I used to have to do at Messiter's?  Well, I have been in twenty places since then, and never found less to do—but sometimes more. So it is, I think, here. Now, I have to get up every morning at five o'clock—and work, work, work all day long till eleven or twelve at night.  I got seven pound a-year, to find my own tea and sugar, at Messiter's; and I get just the same here.’</w:t>
      </w:r>
      <w:r w:rsidRPr="006872CB">
        <w:rPr>
          <w:rStyle w:val="FootnoteReference"/>
          <w:rFonts w:ascii="Times New Roman" w:hAnsi="Times New Roman" w:cs="Times New Roman"/>
          <w:sz w:val="24"/>
          <w:szCs w:val="24"/>
        </w:rPr>
        <w:footnoteReference w:id="871"/>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The cares of the world weigh heavily upon Betsy as she is cast from one place to another and life offers no prospect of improvement.  Her final sentence, with its reference back to the Messiter household, points to an unbroken cycle of penury, symbolized by receipt of the </w:t>
      </w:r>
      <w:r w:rsidRPr="006872CB">
        <w:rPr>
          <w:rFonts w:ascii="Times New Roman" w:hAnsi="Times New Roman" w:cs="Times New Roman"/>
          <w:sz w:val="24"/>
          <w:szCs w:val="24"/>
        </w:rPr>
        <w:lastRenderedPageBreak/>
        <w:t xml:space="preserve">same wages and still needing to purchase her own tea and sugar.  Fatalism clouds her outlook, honest industry has gained nothing and she will end up in the workhouse.  Her apparent </w:t>
      </w:r>
      <w:r w:rsidRPr="006872CB">
        <w:rPr>
          <w:rFonts w:ascii="Times New Roman" w:hAnsi="Times New Roman" w:cs="Times New Roman"/>
          <w:bCs/>
          <w:sz w:val="24"/>
          <w:szCs w:val="24"/>
        </w:rPr>
        <w:t xml:space="preserve">sarcasm about </w:t>
      </w:r>
      <w:r w:rsidRPr="006872CB">
        <w:rPr>
          <w:rFonts w:ascii="Times New Roman" w:hAnsi="Times New Roman" w:cs="Times New Roman"/>
          <w:sz w:val="24"/>
          <w:szCs w:val="24"/>
        </w:rPr>
        <w:t>Dobson’s boastful prospectus outlining his financial dealings ‘in the city’ is appropriate, since his deceitfulness accurately reflects the wider world she experiences.  These conditions influence her protest which involves the degrading appropriation of lodgers’ food.  Mary argues against these practices but goes further when responding to a question concerning the financial state of her</w:t>
      </w:r>
      <w:r w:rsidRPr="006872CB">
        <w:rPr>
          <w:rFonts w:ascii="Times New Roman" w:hAnsi="Times New Roman" w:cs="Times New Roman"/>
          <w:b/>
          <w:sz w:val="24"/>
          <w:szCs w:val="24"/>
        </w:rPr>
        <w:t xml:space="preserve"> </w:t>
      </w:r>
      <w:r w:rsidRPr="006872CB">
        <w:rPr>
          <w:rFonts w:ascii="Times New Roman" w:hAnsi="Times New Roman" w:cs="Times New Roman"/>
          <w:sz w:val="24"/>
          <w:szCs w:val="24"/>
        </w:rPr>
        <w:t>employers, the Wards, who are staying at the house:</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‘Why, I am afeard, Mary, your people are no great shakes,’ she said.  ‘There’s no money—is there?’</w:t>
      </w:r>
    </w:p>
    <w:p w:rsidR="00435A13" w:rsidRPr="006872CB" w:rsidRDefault="00435A13" w:rsidP="00435A13">
      <w:pPr>
        <w:spacing w:after="240" w:line="240" w:lineRule="auto"/>
        <w:ind w:left="720" w:firstLine="170"/>
        <w:rPr>
          <w:rFonts w:ascii="Times New Roman" w:hAnsi="Times New Roman" w:cs="Times New Roman"/>
          <w:sz w:val="24"/>
          <w:szCs w:val="24"/>
        </w:rPr>
      </w:pPr>
      <w:r w:rsidRPr="006872CB">
        <w:rPr>
          <w:rFonts w:ascii="Times New Roman" w:hAnsi="Times New Roman" w:cs="Times New Roman"/>
          <w:sz w:val="24"/>
          <w:szCs w:val="24"/>
        </w:rPr>
        <w:t>‘I would rather not talk upon their affairs,’ said I: and Betsy, somewhat in dudgeon, held her peace.</w:t>
      </w:r>
      <w:r w:rsidRPr="006872CB">
        <w:rPr>
          <w:rStyle w:val="FootnoteReference"/>
          <w:rFonts w:ascii="Times New Roman" w:hAnsi="Times New Roman" w:cs="Times New Roman"/>
          <w:sz w:val="24"/>
          <w:szCs w:val="24"/>
        </w:rPr>
        <w:footnoteReference w:id="872"/>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Mary tersely </w:t>
      </w:r>
      <w:r w:rsidRPr="003D0655">
        <w:rPr>
          <w:rFonts w:ascii="Times New Roman" w:hAnsi="Times New Roman" w:cs="Times New Roman"/>
          <w:sz w:val="24"/>
          <w:szCs w:val="24"/>
        </w:rPr>
        <w:t xml:space="preserve">rejects </w:t>
      </w:r>
      <w:r w:rsidR="00330AE5" w:rsidRPr="003D0655">
        <w:rPr>
          <w:rFonts w:ascii="Times New Roman" w:hAnsi="Times New Roman" w:cs="Times New Roman"/>
          <w:sz w:val="24"/>
          <w:szCs w:val="24"/>
        </w:rPr>
        <w:t>the</w:t>
      </w:r>
      <w:r w:rsidRPr="003D0655">
        <w:rPr>
          <w:rFonts w:ascii="Times New Roman" w:hAnsi="Times New Roman" w:cs="Times New Roman"/>
          <w:sz w:val="24"/>
          <w:szCs w:val="24"/>
        </w:rPr>
        <w:t xml:space="preserve"> enquiry</w:t>
      </w:r>
      <w:r w:rsidRPr="006872CB">
        <w:rPr>
          <w:rFonts w:ascii="Times New Roman" w:hAnsi="Times New Roman" w:cs="Times New Roman"/>
          <w:sz w:val="24"/>
          <w:szCs w:val="24"/>
        </w:rPr>
        <w:t xml:space="preserve">, with the phrase ‘their affairs’ emphasising that such matters are unsuitable for servants to discuss.  Betsy’s annoyance is understandable.  Mary’s attitude is at odds with her own willingness to divulge information and deprives her of the gossip that helps sustain a miserable existence.  The phrase ‘no great </w:t>
      </w:r>
      <w:r w:rsidRPr="00330AE5">
        <w:rPr>
          <w:rFonts w:ascii="Times New Roman" w:hAnsi="Times New Roman" w:cs="Times New Roman"/>
          <w:sz w:val="24"/>
          <w:szCs w:val="24"/>
        </w:rPr>
        <w:t>shakes’ suggests how their difficulties allow her to view them as no better than she is, and in the case</w:t>
      </w:r>
      <w:r w:rsidRPr="006872CB">
        <w:rPr>
          <w:rFonts w:ascii="Times New Roman" w:hAnsi="Times New Roman" w:cs="Times New Roman"/>
          <w:sz w:val="24"/>
          <w:szCs w:val="24"/>
        </w:rPr>
        <w:t xml:space="preserve"> of the unscrupulous Walter Ward she is correct.  Betsy would likely feel the reference to there </w:t>
      </w:r>
      <w:r w:rsidRPr="00F07433">
        <w:rPr>
          <w:rFonts w:ascii="Times New Roman" w:hAnsi="Times New Roman" w:cs="Times New Roman"/>
          <w:sz w:val="24"/>
          <w:szCs w:val="24"/>
        </w:rPr>
        <w:t>being ‘no money’ is justified since it relates to the security of employment, a problem that beset</w:t>
      </w:r>
      <w:r w:rsidR="00465D11" w:rsidRPr="00F07433">
        <w:rPr>
          <w:rFonts w:ascii="Times New Roman" w:hAnsi="Times New Roman" w:cs="Times New Roman"/>
          <w:sz w:val="24"/>
          <w:szCs w:val="24"/>
        </w:rPr>
        <w:t xml:space="preserve"> the lives of innumerable servants</w:t>
      </w:r>
      <w:r w:rsidRPr="00F07433">
        <w:rPr>
          <w:rFonts w:ascii="Times New Roman" w:hAnsi="Times New Roman" w:cs="Times New Roman"/>
          <w:sz w:val="24"/>
          <w:szCs w:val="24"/>
        </w:rPr>
        <w:t>.  Her</w:t>
      </w:r>
      <w:r w:rsidRPr="006872CB">
        <w:rPr>
          <w:rFonts w:ascii="Times New Roman" w:hAnsi="Times New Roman" w:cs="Times New Roman"/>
          <w:sz w:val="24"/>
          <w:szCs w:val="24"/>
        </w:rPr>
        <w:t xml:space="preserve"> dudgeon may also be at the thought that Mary by coldly refusing to engage is siding with her </w:t>
      </w:r>
      <w:r w:rsidRPr="00F07433">
        <w:rPr>
          <w:rFonts w:ascii="Times New Roman" w:hAnsi="Times New Roman" w:cs="Times New Roman"/>
          <w:sz w:val="24"/>
          <w:szCs w:val="24"/>
        </w:rPr>
        <w:t>employers</w:t>
      </w:r>
      <w:r w:rsidRPr="006872CB">
        <w:rPr>
          <w:rFonts w:ascii="Times New Roman" w:hAnsi="Times New Roman" w:cs="Times New Roman"/>
          <w:sz w:val="24"/>
          <w:szCs w:val="24"/>
        </w:rPr>
        <w:t>.  Although lower in the domestic hierarchy, their past experiences mean Betsy should be able to claim friendship.  The scene marks a sharp division between Mary’s words which accurately depict the woman’s poverty and actions that lack genuine sympathy and effectively dismiss her.  It is symbolic at the end of the novel when Mary, now a well-heeled member of the aristocracy, expounds upon her own generosity that ‘good-natured’ Betsy is absent from the list of recipients.</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t>Joseph Wilmot displays similar exclusivity towards the disreputable protest of unfortunate members of the industrious classes.  Soon after becoming Earl of Eccleston, he encounters the Tivertons at Rugby train station still bullying the footman John Robert with Lady Georgiana ordering him to carry the poodles and check the luggage.  Joseph speaks to his erstwhile employers on the train journey, launching into a stalwart defence of his previous lowly toil and attacking the idleness of the titled classes.  As he does so, the footman enters the coach drunkenly remonstrating against his conditions:</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lastRenderedPageBreak/>
        <w:t>John Robert mutteringly vowed that he would see himself in the hottest place he could think of before he would take off his hat to any living being.  He then proceeded to pour forth a volley of imprecations against the eyes and limbs of the two unfortunate poodles,—winding up his tirade by threatening to punch the head of his master, ‘old Tiverton,’ as he called him.</w:t>
      </w:r>
      <w:r w:rsidRPr="006872CB">
        <w:rPr>
          <w:rStyle w:val="FootnoteReference"/>
          <w:rFonts w:ascii="Times New Roman" w:hAnsi="Times New Roman" w:cs="Times New Roman"/>
          <w:sz w:val="24"/>
          <w:szCs w:val="24"/>
        </w:rPr>
        <w:footnoteReference w:id="873"/>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The reference to the poodles invokes Joseph’s first sighting of him at the Lodge and suggests John Robert’s continuing dismal subjugation.  Wilmot’s remarks concerning the man’s thinness and shabby livery suggest his awareness that the footman ‘had suffered himself for so many years to be bullied and half-starved’ in their service.</w:t>
      </w:r>
      <w:r w:rsidRPr="006872CB">
        <w:rPr>
          <w:rStyle w:val="FootnoteReference"/>
          <w:rFonts w:ascii="Times New Roman" w:hAnsi="Times New Roman" w:cs="Times New Roman"/>
          <w:sz w:val="24"/>
          <w:szCs w:val="24"/>
        </w:rPr>
        <w:footnoteReference w:id="874"/>
      </w:r>
      <w:r w:rsidRPr="006872CB">
        <w:rPr>
          <w:rFonts w:ascii="Times New Roman" w:hAnsi="Times New Roman" w:cs="Times New Roman"/>
          <w:sz w:val="24"/>
          <w:szCs w:val="24"/>
        </w:rPr>
        <w:t xml:space="preserve">  There is every reason for the outburst to be viewed sympathetically as a justified expression of long restrained rage finally breaking out.  However, the tone of the final phrase ‘‘old Tiverton,’ as he called him’ suggests Joseph feels unmoved and distances himself from the incident.  Even the servant’s later </w:t>
      </w:r>
      <w:r w:rsidR="00465D11" w:rsidRPr="00F07433">
        <w:rPr>
          <w:rFonts w:ascii="Times New Roman" w:hAnsi="Times New Roman" w:cs="Times New Roman"/>
          <w:sz w:val="24"/>
          <w:szCs w:val="24"/>
        </w:rPr>
        <w:t>salvo</w:t>
      </w:r>
      <w:r w:rsidRPr="00F07433">
        <w:rPr>
          <w:rFonts w:ascii="Times New Roman" w:hAnsi="Times New Roman" w:cs="Times New Roman"/>
          <w:sz w:val="24"/>
          <w:szCs w:val="24"/>
        </w:rPr>
        <w:t xml:space="preserve"> bearing upon his miserable life draw</w:t>
      </w:r>
      <w:r w:rsidR="00465D11" w:rsidRPr="00F07433">
        <w:rPr>
          <w:rFonts w:ascii="Times New Roman" w:hAnsi="Times New Roman" w:cs="Times New Roman"/>
          <w:sz w:val="24"/>
          <w:szCs w:val="24"/>
        </w:rPr>
        <w:t>s</w:t>
      </w:r>
      <w:r w:rsidRPr="00F07433">
        <w:rPr>
          <w:rFonts w:ascii="Times New Roman" w:hAnsi="Times New Roman" w:cs="Times New Roman"/>
          <w:sz w:val="24"/>
          <w:szCs w:val="24"/>
        </w:rPr>
        <w:t xml:space="preserve"> no</w:t>
      </w:r>
      <w:r w:rsidRPr="006872CB">
        <w:rPr>
          <w:rFonts w:ascii="Times New Roman" w:hAnsi="Times New Roman" w:cs="Times New Roman"/>
          <w:sz w:val="24"/>
          <w:szCs w:val="24"/>
        </w:rPr>
        <w:t xml:space="preserve"> response:</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Who starves their servants? Who makes them sit down to bones with no meat on ’em?  Old Tiverton and his wife!  Let me punch the old rascal’s head!  I’ll take the shine out of him!  I’ve nursed it in my buzzim for years!</w:t>
      </w:r>
      <w:r w:rsidRPr="006872CB">
        <w:rPr>
          <w:rStyle w:val="FootnoteReference"/>
          <w:rFonts w:ascii="Times New Roman" w:hAnsi="Times New Roman" w:cs="Times New Roman"/>
          <w:sz w:val="24"/>
          <w:szCs w:val="24"/>
        </w:rPr>
        <w:footnoteReference w:id="875"/>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The scenes at Myrtle Lodge and the treatment at the station </w:t>
      </w:r>
      <w:r w:rsidRPr="00330AE5">
        <w:rPr>
          <w:rFonts w:ascii="Times New Roman" w:hAnsi="Times New Roman" w:cs="Times New Roman"/>
          <w:sz w:val="24"/>
          <w:szCs w:val="24"/>
        </w:rPr>
        <w:t xml:space="preserve">suggest the </w:t>
      </w:r>
      <w:r w:rsidR="00F07433" w:rsidRPr="00330AE5">
        <w:rPr>
          <w:rFonts w:ascii="Times New Roman" w:hAnsi="Times New Roman" w:cs="Times New Roman"/>
          <w:sz w:val="24"/>
          <w:szCs w:val="24"/>
        </w:rPr>
        <w:t>truth</w:t>
      </w:r>
      <w:r w:rsidRPr="00330AE5">
        <w:rPr>
          <w:rFonts w:ascii="Times New Roman" w:hAnsi="Times New Roman" w:cs="Times New Roman"/>
          <w:sz w:val="24"/>
          <w:szCs w:val="24"/>
        </w:rPr>
        <w:t xml:space="preserve"> of these</w:t>
      </w:r>
      <w:r w:rsidRPr="006872CB">
        <w:rPr>
          <w:rFonts w:ascii="Times New Roman" w:hAnsi="Times New Roman" w:cs="Times New Roman"/>
          <w:sz w:val="24"/>
          <w:szCs w:val="24"/>
        </w:rPr>
        <w:t xml:space="preserve"> words.  Nevertheless, Joseph pays little heed, not intervening when the railway officer takes John Robert to the station house.  In contrast, he offers help to the Tivertons, having his valet ensure they obtain a cab to avoid the gathering crowd that has started to mock them, seemingly showing a level of support for the footman exceeding that which Joseph feels.  Yet surrounding this scene, Joseph demonstrates his philanthropy.  He has recently rewarded the Rowlands’ footman Thomas and the kindly maidservant from his old school, the latter with a gift of one hundred guineas that puts her fiancé on the road to becoming a thriving tradesman.</w:t>
      </w:r>
      <w:r w:rsidRPr="006872CB">
        <w:rPr>
          <w:rStyle w:val="FootnoteReference"/>
          <w:rFonts w:ascii="Times New Roman" w:hAnsi="Times New Roman" w:cs="Times New Roman"/>
          <w:sz w:val="24"/>
          <w:szCs w:val="24"/>
        </w:rPr>
        <w:footnoteReference w:id="876"/>
      </w:r>
      <w:r w:rsidRPr="006872CB">
        <w:rPr>
          <w:rFonts w:ascii="Times New Roman" w:hAnsi="Times New Roman" w:cs="Times New Roman"/>
          <w:sz w:val="24"/>
          <w:szCs w:val="24"/>
        </w:rPr>
        <w:t xml:space="preserve">  Shortly after, Joseph visits Charles Linton, his friend from Charlton Hall, now a well-to-do London wine merchant married to Charlotte Murray.  Both honour Joseph’s recently acquired noble status, and he ensures their continued prosperity with large orders from himself and wealthy associates.  The response of Mary and Joseph to the protest of Betsy and John Robert is noteworthy.  Their dissent for all its shortcomings is not groundless.  Humiliated by years of drudgery, they struggle on with only petty misdemeanours, yet the protagonists of independent respectability show little empathy in dealing with them.</w:t>
      </w:r>
    </w:p>
    <w:p w:rsidR="00435A13" w:rsidRPr="006872CB" w:rsidRDefault="00435A13" w:rsidP="00435A13">
      <w:pPr>
        <w:spacing w:after="120" w:line="360" w:lineRule="auto"/>
        <w:ind w:firstLine="720"/>
        <w:rPr>
          <w:rFonts w:ascii="Times New Roman" w:hAnsi="Times New Roman" w:cs="Times New Roman"/>
          <w:sz w:val="24"/>
          <w:szCs w:val="24"/>
        </w:rPr>
      </w:pPr>
      <w:r w:rsidRPr="006872CB">
        <w:rPr>
          <w:rFonts w:ascii="Times New Roman" w:hAnsi="Times New Roman" w:cs="Times New Roman"/>
          <w:sz w:val="24"/>
          <w:szCs w:val="24"/>
        </w:rPr>
        <w:lastRenderedPageBreak/>
        <w:t>These scenes see Reynolds demonstrating that clear cut moral judgments can be an inadequate response to the protest of the industrious classes, which is frequently a complex mix of disreputable and respectable elements.  Mary is uncomfortable navigating through such conflicts, as shown when employed by the profligate Walter Ward who has married Melissa Screwby for her inheritance due when she is twenty-one and in the meantime ignores his mounting debts.  Mary weakly counters the chambermaid at the Piccadilly hotel where they stay, who openly describes Ward as a charlatan living in the best circumstances without paying his bills: ‘I can tell you that this dodge won’t do in a London hotel’.</w:t>
      </w:r>
      <w:r w:rsidRPr="006872CB">
        <w:rPr>
          <w:rStyle w:val="FootnoteReference"/>
          <w:rFonts w:ascii="Times New Roman" w:hAnsi="Times New Roman" w:cs="Times New Roman"/>
          <w:sz w:val="24"/>
          <w:szCs w:val="24"/>
        </w:rPr>
        <w:footnoteReference w:id="877"/>
      </w:r>
      <w:r w:rsidRPr="006872CB">
        <w:rPr>
          <w:rFonts w:ascii="Times New Roman" w:hAnsi="Times New Roman" w:cs="Times New Roman"/>
          <w:sz w:val="24"/>
          <w:szCs w:val="24"/>
        </w:rPr>
        <w:t xml:space="preserve">  Mary’s rejection of the accusation and claim that he visits the City every day to arrange a loan suggests the woman is out of order.  However, the maid is correct in voicing concern: ‘it’s a hard thing for us servants, who get no regular wages, to have to work for people for nothing’.</w:t>
      </w:r>
      <w:r w:rsidRPr="006872CB">
        <w:rPr>
          <w:rStyle w:val="FootnoteReference"/>
          <w:rFonts w:ascii="Times New Roman" w:hAnsi="Times New Roman" w:cs="Times New Roman"/>
          <w:sz w:val="24"/>
          <w:szCs w:val="24"/>
        </w:rPr>
        <w:footnoteReference w:id="878"/>
      </w:r>
      <w:r w:rsidRPr="006872CB">
        <w:rPr>
          <w:rFonts w:ascii="Times New Roman" w:hAnsi="Times New Roman" w:cs="Times New Roman"/>
          <w:sz w:val="24"/>
          <w:szCs w:val="24"/>
        </w:rPr>
        <w:t xml:space="preserve">  When her words prove true, she justifiably complains of being ‘regularly done out of my money for fifteen days’ attendance upon your master and mistress’.</w:t>
      </w:r>
      <w:r w:rsidRPr="006872CB">
        <w:rPr>
          <w:rStyle w:val="FootnoteReference"/>
          <w:rFonts w:ascii="Times New Roman" w:hAnsi="Times New Roman" w:cs="Times New Roman"/>
          <w:sz w:val="24"/>
          <w:szCs w:val="24"/>
        </w:rPr>
        <w:footnoteReference w:id="879"/>
      </w:r>
      <w:r w:rsidRPr="006872CB">
        <w:rPr>
          <w:rFonts w:ascii="Times New Roman" w:hAnsi="Times New Roman" w:cs="Times New Roman"/>
          <w:sz w:val="24"/>
          <w:szCs w:val="24"/>
        </w:rPr>
        <w:t xml:space="preserve">  Mary’s attempt to smooth the matter over by offering to pay for any losses is inappropriate.  The chambermaid displays her own independence, refusing to have bystanders make up her wages which would effectively mean she is reliant on charity.  While acknowledging Mary’s honesty the maid calls the offer ‘Nonsense’.</w:t>
      </w:r>
      <w:r w:rsidRPr="006872CB">
        <w:rPr>
          <w:rStyle w:val="FootnoteReference"/>
          <w:rFonts w:ascii="Times New Roman" w:hAnsi="Times New Roman" w:cs="Times New Roman"/>
          <w:sz w:val="24"/>
          <w:szCs w:val="24"/>
        </w:rPr>
        <w:footnoteReference w:id="880"/>
      </w:r>
      <w:r w:rsidRPr="006872CB">
        <w:rPr>
          <w:rFonts w:ascii="Times New Roman" w:hAnsi="Times New Roman" w:cs="Times New Roman"/>
          <w:sz w:val="24"/>
          <w:szCs w:val="24"/>
        </w:rPr>
        <w:t xml:space="preserve">  Her words are abrupt </w:t>
      </w:r>
      <w:r w:rsidRPr="003D0655">
        <w:rPr>
          <w:rFonts w:ascii="Times New Roman" w:hAnsi="Times New Roman" w:cs="Times New Roman"/>
          <w:sz w:val="24"/>
          <w:szCs w:val="24"/>
        </w:rPr>
        <w:t xml:space="preserve">but </w:t>
      </w:r>
      <w:r w:rsidR="00330AE5" w:rsidRPr="003D0655">
        <w:rPr>
          <w:rFonts w:ascii="Times New Roman" w:hAnsi="Times New Roman" w:cs="Times New Roman"/>
          <w:sz w:val="24"/>
          <w:szCs w:val="24"/>
        </w:rPr>
        <w:t>accurate</w:t>
      </w:r>
      <w:r w:rsidRPr="006872CB">
        <w:rPr>
          <w:rFonts w:ascii="Times New Roman" w:hAnsi="Times New Roman" w:cs="Times New Roman"/>
          <w:sz w:val="24"/>
          <w:szCs w:val="24"/>
        </w:rPr>
        <w:t xml:space="preserve"> given such an action would not resolve the problems of others who are affected.  Mary’s response at the humiliating dismissal from the hotel also appears wanting:</w:t>
      </w:r>
    </w:p>
    <w:p w:rsidR="00435A13" w:rsidRPr="006872CB" w:rsidRDefault="00435A13" w:rsidP="00435A13">
      <w:pPr>
        <w:spacing w:after="240" w:line="240" w:lineRule="auto"/>
        <w:ind w:left="720"/>
        <w:rPr>
          <w:rFonts w:ascii="Times New Roman" w:hAnsi="Times New Roman" w:cs="Times New Roman"/>
          <w:sz w:val="24"/>
          <w:szCs w:val="24"/>
        </w:rPr>
      </w:pPr>
      <w:r w:rsidRPr="006872CB">
        <w:rPr>
          <w:rFonts w:ascii="Times New Roman" w:hAnsi="Times New Roman" w:cs="Times New Roman"/>
          <w:sz w:val="24"/>
          <w:szCs w:val="24"/>
        </w:rPr>
        <w:t>[A]s we passed out of the hotel, the waiters who were standing in the passage, together with the chambermaid, looked very sullen and ill-tempered; and I believe that the word ‘swindler’ was spoken loud enough to reach Mr. Ward’s ears.  As for myself, I felt thoroughly humiliated—as if I were one of the defaulting individuals who had run up a bill in a most extravagant manner without the possibility of liquidating it.</w:t>
      </w:r>
      <w:r w:rsidRPr="006872CB">
        <w:rPr>
          <w:rStyle w:val="FootnoteReference"/>
          <w:rFonts w:ascii="Times New Roman" w:hAnsi="Times New Roman" w:cs="Times New Roman"/>
          <w:sz w:val="24"/>
          <w:szCs w:val="24"/>
        </w:rPr>
        <w:footnoteReference w:id="881"/>
      </w:r>
    </w:p>
    <w:p w:rsidR="00435A13" w:rsidRPr="006872CB" w:rsidRDefault="00435A13" w:rsidP="00435A13">
      <w:pPr>
        <w:spacing w:after="120" w:line="360" w:lineRule="auto"/>
        <w:rPr>
          <w:rFonts w:ascii="Times New Roman" w:hAnsi="Times New Roman" w:cs="Times New Roman"/>
          <w:sz w:val="24"/>
          <w:szCs w:val="24"/>
        </w:rPr>
      </w:pPr>
      <w:r w:rsidRPr="006872CB">
        <w:rPr>
          <w:rFonts w:ascii="Times New Roman" w:hAnsi="Times New Roman" w:cs="Times New Roman"/>
          <w:sz w:val="24"/>
          <w:szCs w:val="24"/>
        </w:rPr>
        <w:t xml:space="preserve">The sympathy she feels for Melissa extends much less readily to the servants.  The tone of the phrase ‘I believe that the word ‘swindler’ was spoken’ suggests a degree of shock at the insult.  However, it is an understandable accusation.  The term is unpleasant but used in its singular form shows those involved targeting their anger specifically at the culprit.  While they form a ‘hall of shame’ which the Wards must walk past, they do not use foul language or violence.  Mary is justified in feeling pained at being associated with deceitful behaviour but lack of </w:t>
      </w:r>
      <w:r w:rsidRPr="006872CB">
        <w:rPr>
          <w:rFonts w:ascii="Times New Roman" w:hAnsi="Times New Roman" w:cs="Times New Roman"/>
          <w:sz w:val="24"/>
          <w:szCs w:val="24"/>
        </w:rPr>
        <w:lastRenderedPageBreak/>
        <w:t>understanding for the staff makes her response little more than self-pity.  The attitudes of Joseph and Mary occasionally become so refined as to separate them from the daily problems encountered by the majority of the industrious classes.</w:t>
      </w:r>
    </w:p>
    <w:p w:rsidR="00435A13" w:rsidRPr="002625FA" w:rsidRDefault="00435A13" w:rsidP="00435A13">
      <w:pPr>
        <w:spacing w:after="120" w:line="360" w:lineRule="auto"/>
        <w:ind w:firstLine="720"/>
        <w:rPr>
          <w:rFonts w:ascii="Times New Roman" w:hAnsi="Times New Roman" w:cs="Times New Roman"/>
          <w:iCs/>
          <w:sz w:val="24"/>
          <w:szCs w:val="24"/>
        </w:rPr>
      </w:pPr>
      <w:r w:rsidRPr="006872CB">
        <w:rPr>
          <w:rFonts w:ascii="Times New Roman" w:hAnsi="Times New Roman" w:cs="Times New Roman"/>
          <w:sz w:val="24"/>
          <w:szCs w:val="24"/>
        </w:rPr>
        <w:t>This chapter has argued how the struggle for independent respectability increasingly became Reynolds’s favoured form of protest and a more reliable barometer of progressive struggle than overtly confrontational forms that were often superficial displays of bravado.  Proponents retain aspects of Sam Weller’s protest, defying oppression and seeing through the hypocrisy of the wealthy.  However, they differ from him as the author’s rules of etiquette increasingly structure and give greater discrimination to their conduct, where r</w:t>
      </w:r>
      <w:r w:rsidRPr="006872CB">
        <w:rPr>
          <w:rFonts w:ascii="Times New Roman" w:hAnsi="Times New Roman" w:cs="Times New Roman"/>
          <w:iCs/>
          <w:sz w:val="24"/>
          <w:szCs w:val="24"/>
        </w:rPr>
        <w:t xml:space="preserve">easoned discussion, </w:t>
      </w:r>
      <w:r w:rsidRPr="006872CB">
        <w:rPr>
          <w:rFonts w:ascii="Times New Roman" w:hAnsi="Times New Roman" w:cs="Times New Roman"/>
          <w:sz w:val="24"/>
          <w:szCs w:val="24"/>
        </w:rPr>
        <w:t>restraint and politeness</w:t>
      </w:r>
      <w:r w:rsidRPr="006872CB">
        <w:rPr>
          <w:rFonts w:ascii="Times New Roman" w:hAnsi="Times New Roman" w:cs="Times New Roman"/>
          <w:iCs/>
          <w:sz w:val="24"/>
          <w:szCs w:val="24"/>
        </w:rPr>
        <w:t xml:space="preserve"> replace outbursts of unruly passion</w:t>
      </w:r>
      <w:r w:rsidRPr="006872CB">
        <w:rPr>
          <w:rFonts w:ascii="Times New Roman" w:hAnsi="Times New Roman" w:cs="Times New Roman"/>
          <w:sz w:val="24"/>
          <w:szCs w:val="24"/>
        </w:rPr>
        <w:t xml:space="preserve">.  Independent respectability also heralds the removal of the comic element from what is acceptable protest.  John Robert’s final tirade at the train station which might have been valid dissent in the environment of </w:t>
      </w:r>
      <w:r w:rsidRPr="006872CB">
        <w:rPr>
          <w:rFonts w:ascii="Times New Roman" w:hAnsi="Times New Roman" w:cs="Times New Roman"/>
          <w:i/>
          <w:iCs/>
          <w:sz w:val="24"/>
          <w:szCs w:val="24"/>
        </w:rPr>
        <w:t>Pickwick Abroad</w:t>
      </w:r>
      <w:r w:rsidRPr="006872CB">
        <w:rPr>
          <w:rFonts w:ascii="Times New Roman" w:hAnsi="Times New Roman" w:cs="Times New Roman"/>
          <w:sz w:val="24"/>
          <w:szCs w:val="24"/>
        </w:rPr>
        <w:t xml:space="preserve"> is out of keeping in the world of </w:t>
      </w:r>
      <w:r w:rsidRPr="006872CB">
        <w:rPr>
          <w:rFonts w:ascii="Times New Roman" w:hAnsi="Times New Roman" w:cs="Times New Roman"/>
          <w:i/>
          <w:sz w:val="24"/>
          <w:szCs w:val="24"/>
        </w:rPr>
        <w:t>Joseph Wilmot</w:t>
      </w:r>
      <w:r w:rsidRPr="006872CB">
        <w:rPr>
          <w:rFonts w:ascii="Times New Roman" w:hAnsi="Times New Roman" w:cs="Times New Roman"/>
          <w:sz w:val="24"/>
          <w:szCs w:val="24"/>
        </w:rPr>
        <w:t xml:space="preserve"> and is discarded into the realm of disreputable behaviour.  This development points to alternative qualities that adjust the moral and psychological core of the struggle against injustice.  It involves intense self-monitoring and demands individuals meet the highest standards and act upon an unshakeable set of values that justify their conflicts.  The analysis of independent respectability has so far mainly involved characters who display critical acceptance of the social hierarchy while sensing the need to gain more control of their lives.  For Reynolds this behaviour </w:t>
      </w:r>
      <w:r w:rsidRPr="003D0655">
        <w:rPr>
          <w:rFonts w:ascii="Times New Roman" w:hAnsi="Times New Roman" w:cs="Times New Roman"/>
          <w:sz w:val="24"/>
          <w:szCs w:val="24"/>
        </w:rPr>
        <w:t>and the principles it expressed</w:t>
      </w:r>
      <w:r w:rsidRPr="006872CB">
        <w:rPr>
          <w:rFonts w:ascii="Times New Roman" w:hAnsi="Times New Roman" w:cs="Times New Roman"/>
          <w:sz w:val="24"/>
          <w:szCs w:val="24"/>
        </w:rPr>
        <w:t xml:space="preserve"> were also vital in the wider social context.  </w:t>
      </w:r>
      <w:r w:rsidRPr="006872CB">
        <w:rPr>
          <w:rFonts w:ascii="Times New Roman" w:hAnsi="Times New Roman" w:cs="Times New Roman"/>
          <w:iCs/>
          <w:sz w:val="24"/>
          <w:szCs w:val="24"/>
        </w:rPr>
        <w:t xml:space="preserve">The next chapter will consider how he transferred them to the more </w:t>
      </w:r>
      <w:r w:rsidRPr="00F07433">
        <w:rPr>
          <w:rFonts w:ascii="Times New Roman" w:hAnsi="Times New Roman" w:cs="Times New Roman"/>
          <w:iCs/>
          <w:sz w:val="24"/>
          <w:szCs w:val="24"/>
        </w:rPr>
        <w:t>politically engaged</w:t>
      </w:r>
      <w:r w:rsidRPr="006872CB">
        <w:rPr>
          <w:rFonts w:ascii="Times New Roman" w:hAnsi="Times New Roman" w:cs="Times New Roman"/>
          <w:iCs/>
          <w:sz w:val="24"/>
          <w:szCs w:val="24"/>
        </w:rPr>
        <w:t xml:space="preserve"> broader protests of the industrious classes.</w:t>
      </w:r>
    </w:p>
    <w:p w:rsidR="00690DF3" w:rsidRDefault="00690DF3" w:rsidP="00690DF3">
      <w:pPr>
        <w:rPr>
          <w:rFonts w:asciiTheme="majorBidi" w:hAnsiTheme="majorBidi" w:cstheme="majorBidi"/>
          <w:iCs/>
          <w:sz w:val="24"/>
          <w:szCs w:val="24"/>
        </w:rPr>
      </w:pPr>
      <w:r>
        <w:rPr>
          <w:rFonts w:asciiTheme="majorBidi" w:hAnsiTheme="majorBidi" w:cstheme="majorBidi"/>
          <w:iCs/>
          <w:sz w:val="24"/>
          <w:szCs w:val="24"/>
        </w:rPr>
        <w:br w:type="page"/>
      </w:r>
    </w:p>
    <w:p w:rsidR="00690DF3" w:rsidRPr="00F10702" w:rsidRDefault="00690DF3" w:rsidP="00690DF3">
      <w:pPr>
        <w:spacing w:after="120" w:line="360" w:lineRule="auto"/>
        <w:rPr>
          <w:rFonts w:asciiTheme="majorBidi" w:hAnsiTheme="majorBidi" w:cstheme="majorBidi"/>
          <w:iCs/>
          <w:sz w:val="24"/>
          <w:szCs w:val="24"/>
        </w:rPr>
      </w:pPr>
    </w:p>
    <w:p w:rsidR="00690DF3" w:rsidRDefault="00690DF3" w:rsidP="00690DF3">
      <w:pPr>
        <w:rPr>
          <w:rFonts w:ascii="Times New Roman" w:hAnsi="Times New Roman" w:cs="Times New Roman"/>
          <w:sz w:val="24"/>
          <w:szCs w:val="24"/>
          <w:u w:val="single"/>
        </w:rPr>
        <w:sectPr w:rsidR="00690DF3">
          <w:footnotePr>
            <w:numRestart w:val="eachSect"/>
          </w:footnotePr>
          <w:pgSz w:w="11906" w:h="16838"/>
          <w:pgMar w:top="1440" w:right="1440" w:bottom="1440" w:left="1440" w:header="708" w:footer="708" w:gutter="0"/>
          <w:cols w:space="708"/>
          <w:docGrid w:linePitch="360"/>
        </w:sectPr>
      </w:pPr>
    </w:p>
    <w:p w:rsidR="00422D80" w:rsidRPr="009331EF" w:rsidRDefault="00422D80" w:rsidP="00422D80">
      <w:pPr>
        <w:spacing w:after="120" w:line="360" w:lineRule="auto"/>
        <w:jc w:val="center"/>
        <w:rPr>
          <w:rFonts w:ascii="Times New Roman" w:hAnsi="Times New Roman" w:cs="Times New Roman"/>
          <w:b/>
          <w:bCs/>
          <w:sz w:val="24"/>
          <w:szCs w:val="24"/>
          <w:u w:val="single"/>
        </w:rPr>
      </w:pPr>
      <w:r w:rsidRPr="009331EF">
        <w:rPr>
          <w:rFonts w:ascii="Times New Roman" w:hAnsi="Times New Roman" w:cs="Times New Roman"/>
          <w:b/>
          <w:bCs/>
          <w:sz w:val="24"/>
          <w:szCs w:val="24"/>
          <w:u w:val="single"/>
        </w:rPr>
        <w:lastRenderedPageBreak/>
        <w:t>Chapter 7:</w:t>
      </w:r>
      <w:r w:rsidRPr="009331EF">
        <w:rPr>
          <w:rFonts w:ascii="Times New Roman" w:hAnsi="Times New Roman" w:cs="Times New Roman"/>
          <w:b/>
          <w:bCs/>
          <w:sz w:val="24"/>
          <w:szCs w:val="24"/>
          <w:u w:val="single"/>
        </w:rPr>
        <w:tab/>
        <w:t>Mass Protest, Social and Political Challenge and the Question of Leadership</w:t>
      </w:r>
    </w:p>
    <w:p w:rsidR="00EB190C" w:rsidRDefault="00422D80" w:rsidP="00EB190C">
      <w:pPr>
        <w:spacing w:after="24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 xml:space="preserve">So far, the study has largely highlighted negative aspects of Reynolds’s portrayal of mass or group protest, as seen in disreputable servant hall conversations, public house meetings of the dangerous classes and the mob who chase police officers from Saint Giles’s in </w:t>
      </w:r>
      <w:r w:rsidRPr="009331EF">
        <w:rPr>
          <w:rFonts w:ascii="Times New Roman" w:hAnsi="Times New Roman" w:cs="Times New Roman"/>
          <w:i/>
          <w:sz w:val="24"/>
          <w:szCs w:val="24"/>
        </w:rPr>
        <w:t>The Days of Hogarth</w:t>
      </w:r>
      <w:r w:rsidRPr="009331EF">
        <w:rPr>
          <w:rFonts w:ascii="Times New Roman" w:hAnsi="Times New Roman" w:cs="Times New Roman"/>
          <w:sz w:val="24"/>
          <w:szCs w:val="24"/>
        </w:rPr>
        <w:t xml:space="preserve"> (1847–48).  In contrast, this chapter will argue that during the 1840s Reynolds increasingly constructed a more optimistic picture, which </w:t>
      </w:r>
      <w:r w:rsidRPr="00865E82">
        <w:rPr>
          <w:rFonts w:ascii="Times New Roman" w:hAnsi="Times New Roman" w:cs="Times New Roman"/>
          <w:sz w:val="24"/>
          <w:szCs w:val="24"/>
        </w:rPr>
        <w:t xml:space="preserve">saw </w:t>
      </w:r>
      <w:r w:rsidR="00B079F4" w:rsidRPr="00865E82">
        <w:rPr>
          <w:rFonts w:ascii="Times New Roman" w:hAnsi="Times New Roman" w:cs="Times New Roman"/>
          <w:sz w:val="24"/>
          <w:szCs w:val="24"/>
        </w:rPr>
        <w:t>great</w:t>
      </w:r>
      <w:r w:rsidRPr="00865E82">
        <w:rPr>
          <w:rFonts w:ascii="Times New Roman" w:hAnsi="Times New Roman" w:cs="Times New Roman"/>
          <w:sz w:val="24"/>
          <w:szCs w:val="24"/>
        </w:rPr>
        <w:t xml:space="preserve"> swathes of the industrious classes undergoing a moral and intellectual revolution that united them as a political force motivated by democratic principles.  It will suggest that the independent respectability of figures like Mary Price and Joseph Wilmot is extended to underpin these broader portrayals.  An important influence </w:t>
      </w:r>
      <w:r w:rsidR="00B079F4" w:rsidRPr="00865E82">
        <w:rPr>
          <w:rFonts w:ascii="Times New Roman" w:hAnsi="Times New Roman" w:cs="Times New Roman"/>
          <w:sz w:val="24"/>
          <w:szCs w:val="24"/>
        </w:rPr>
        <w:t>at play was</w:t>
      </w:r>
      <w:r w:rsidRPr="00865E82">
        <w:rPr>
          <w:rFonts w:ascii="Times New Roman" w:hAnsi="Times New Roman" w:cs="Times New Roman"/>
          <w:sz w:val="24"/>
          <w:szCs w:val="24"/>
        </w:rPr>
        <w:t xml:space="preserve"> Reynolds’s equivocal stance concerning the British state that differed considerably from his decided enmity</w:t>
      </w:r>
      <w:r w:rsidRPr="009331EF">
        <w:rPr>
          <w:rFonts w:ascii="Times New Roman" w:hAnsi="Times New Roman" w:cs="Times New Roman"/>
          <w:sz w:val="24"/>
          <w:szCs w:val="24"/>
        </w:rPr>
        <w:t xml:space="preserve"> towards continental tyranny.  </w:t>
      </w:r>
      <w:r w:rsidR="00EB190C" w:rsidRPr="00406995">
        <w:rPr>
          <w:rFonts w:ascii="Times New Roman" w:hAnsi="Times New Roman" w:cs="Times New Roman"/>
          <w:sz w:val="24"/>
          <w:szCs w:val="24"/>
        </w:rPr>
        <w:t xml:space="preserve">This suggested more moderate forms of protest might achieve success, providing a </w:t>
      </w:r>
      <w:r w:rsidR="00EB190C" w:rsidRPr="00865E82">
        <w:rPr>
          <w:rFonts w:ascii="Times New Roman" w:hAnsi="Times New Roman" w:cs="Times New Roman"/>
          <w:sz w:val="24"/>
          <w:szCs w:val="24"/>
        </w:rPr>
        <w:t xml:space="preserve">framework </w:t>
      </w:r>
      <w:r w:rsidR="00B079F4" w:rsidRPr="00865E82">
        <w:rPr>
          <w:rFonts w:ascii="Times New Roman" w:hAnsi="Times New Roman" w:cs="Times New Roman"/>
          <w:sz w:val="24"/>
          <w:szCs w:val="24"/>
        </w:rPr>
        <w:t>in which</w:t>
      </w:r>
      <w:r w:rsidR="00EB190C" w:rsidRPr="00865E82">
        <w:rPr>
          <w:rFonts w:ascii="Times New Roman" w:hAnsi="Times New Roman" w:cs="Times New Roman"/>
          <w:sz w:val="24"/>
          <w:szCs w:val="24"/>
        </w:rPr>
        <w:t xml:space="preserve"> unruly and violent aspects of human conduct </w:t>
      </w:r>
      <w:r w:rsidR="00CA22F7" w:rsidRPr="00865E82">
        <w:rPr>
          <w:rFonts w:ascii="Times New Roman" w:hAnsi="Times New Roman" w:cs="Times New Roman"/>
          <w:sz w:val="24"/>
          <w:szCs w:val="24"/>
        </w:rPr>
        <w:t>might</w:t>
      </w:r>
      <w:r w:rsidR="00EB190C" w:rsidRPr="00865E82">
        <w:rPr>
          <w:rFonts w:ascii="Times New Roman" w:hAnsi="Times New Roman" w:cs="Times New Roman"/>
          <w:sz w:val="24"/>
          <w:szCs w:val="24"/>
        </w:rPr>
        <w:t xml:space="preserve"> be shown</w:t>
      </w:r>
      <w:r w:rsidR="00CA22F7" w:rsidRPr="00865E82">
        <w:rPr>
          <w:rFonts w:ascii="Times New Roman" w:hAnsi="Times New Roman" w:cs="Times New Roman"/>
          <w:sz w:val="24"/>
          <w:szCs w:val="24"/>
        </w:rPr>
        <w:t xml:space="preserve"> as mostly absent from</w:t>
      </w:r>
      <w:r w:rsidR="00EB190C" w:rsidRPr="00865E82">
        <w:rPr>
          <w:rFonts w:ascii="Times New Roman" w:hAnsi="Times New Roman" w:cs="Times New Roman"/>
          <w:sz w:val="24"/>
          <w:szCs w:val="24"/>
        </w:rPr>
        <w:t xml:space="preserve"> contemporary dissent</w:t>
      </w:r>
      <w:r w:rsidR="00CA22F7" w:rsidRPr="00865E82">
        <w:rPr>
          <w:rFonts w:ascii="Times New Roman" w:hAnsi="Times New Roman" w:cs="Times New Roman"/>
          <w:sz w:val="24"/>
          <w:szCs w:val="24"/>
        </w:rPr>
        <w:t>, helping to</w:t>
      </w:r>
      <w:r w:rsidR="00EB190C" w:rsidRPr="00865E82">
        <w:rPr>
          <w:rFonts w:ascii="Times New Roman" w:hAnsi="Times New Roman" w:cs="Times New Roman"/>
          <w:sz w:val="24"/>
          <w:szCs w:val="24"/>
        </w:rPr>
        <w:t xml:space="preserve"> reinforc</w:t>
      </w:r>
      <w:r w:rsidR="00CA22F7" w:rsidRPr="00865E82">
        <w:rPr>
          <w:rFonts w:ascii="Times New Roman" w:hAnsi="Times New Roman" w:cs="Times New Roman"/>
          <w:sz w:val="24"/>
          <w:szCs w:val="24"/>
        </w:rPr>
        <w:t>e</w:t>
      </w:r>
      <w:r w:rsidR="00EB190C" w:rsidRPr="00865E82">
        <w:rPr>
          <w:rFonts w:ascii="Times New Roman" w:hAnsi="Times New Roman" w:cs="Times New Roman"/>
          <w:sz w:val="24"/>
          <w:szCs w:val="24"/>
        </w:rPr>
        <w:t xml:space="preserve"> a sense of the generally peaceable nature of the industrious classes.  It also made it easier</w:t>
      </w:r>
      <w:r w:rsidR="00EB190C" w:rsidRPr="00330AE5">
        <w:rPr>
          <w:rFonts w:ascii="Times New Roman" w:hAnsi="Times New Roman" w:cs="Times New Roman"/>
          <w:sz w:val="24"/>
          <w:szCs w:val="24"/>
        </w:rPr>
        <w:t xml:space="preserve"> to place the latter in a context that restricted their role in formulating strategies, signalled by how Reynolds handled the question of leadership and his self-promotion in their struggles.  Such factors pointed to a concern that popular opposition needed guidance and could not be trusted to take its own path.  Despite these limitations, it will be argued that Reynolds differed markedly from</w:t>
      </w:r>
      <w:r w:rsidR="00EB190C" w:rsidRPr="00406995">
        <w:rPr>
          <w:rFonts w:ascii="Times New Roman" w:hAnsi="Times New Roman" w:cs="Times New Roman"/>
          <w:sz w:val="24"/>
          <w:szCs w:val="24"/>
        </w:rPr>
        <w:t xml:space="preserve"> most contemporaries and made a significant contribution to the literature and journalism that questioned the prevailing social order.</w:t>
      </w:r>
    </w:p>
    <w:p w:rsidR="00422D80" w:rsidRPr="009331EF" w:rsidRDefault="00422D80" w:rsidP="00422D80">
      <w:pPr>
        <w:spacing w:after="24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It is useful to begin by referring to the treatment of mass protest by writers who influenced the literary environment in which Reynolds operated.  As stated previously, the 1840s and 1850s were notable for texts that focused upon the industrial struggles of the working classes, alongside which social commentators wrote extensively about what Thomas Carlyle called the ‘Condition of England Question’.</w:t>
      </w:r>
      <w:r w:rsidRPr="009331EF">
        <w:rPr>
          <w:rStyle w:val="FootnoteReference"/>
          <w:rFonts w:ascii="Times New Roman" w:hAnsi="Times New Roman" w:cs="Times New Roman"/>
          <w:sz w:val="24"/>
          <w:szCs w:val="24"/>
        </w:rPr>
        <w:footnoteReference w:id="882"/>
      </w:r>
      <w:r w:rsidRPr="009331EF">
        <w:rPr>
          <w:rFonts w:ascii="Times New Roman" w:hAnsi="Times New Roman" w:cs="Times New Roman"/>
          <w:sz w:val="24"/>
          <w:szCs w:val="24"/>
        </w:rPr>
        <w:t xml:space="preserve">  Under certain circumstances, authors allowed there might be peaceful demonstrations against hardship.  In </w:t>
      </w:r>
      <w:r w:rsidRPr="009331EF">
        <w:rPr>
          <w:rFonts w:ascii="Times New Roman" w:hAnsi="Times New Roman" w:cs="Times New Roman"/>
          <w:i/>
          <w:sz w:val="24"/>
          <w:szCs w:val="24"/>
        </w:rPr>
        <w:t>Sybil</w:t>
      </w:r>
      <w:r w:rsidRPr="009331EF">
        <w:rPr>
          <w:rFonts w:ascii="Times New Roman" w:hAnsi="Times New Roman" w:cs="Times New Roman"/>
          <w:sz w:val="24"/>
          <w:szCs w:val="24"/>
        </w:rPr>
        <w:t xml:space="preserve"> (1845), as part of his version of the Plug Plot, Disraeli describes ‘gentle Lancashire insurgents’ quietly entering the grounds of a neighbouring squire and asking for victuals.</w:t>
      </w:r>
      <w:r w:rsidRPr="009331EF">
        <w:rPr>
          <w:rStyle w:val="FootnoteReference"/>
          <w:rFonts w:ascii="Times New Roman" w:hAnsi="Times New Roman" w:cs="Times New Roman"/>
          <w:sz w:val="24"/>
          <w:szCs w:val="24"/>
        </w:rPr>
        <w:footnoteReference w:id="883"/>
      </w:r>
      <w:r w:rsidRPr="009331EF">
        <w:rPr>
          <w:rFonts w:ascii="Times New Roman" w:hAnsi="Times New Roman" w:cs="Times New Roman"/>
          <w:sz w:val="24"/>
          <w:szCs w:val="24"/>
        </w:rPr>
        <w:t xml:space="preserve">  Gaskell achieves the same effect in </w:t>
      </w:r>
      <w:r w:rsidRPr="009331EF">
        <w:rPr>
          <w:rFonts w:ascii="Times New Roman" w:hAnsi="Times New Roman" w:cs="Times New Roman"/>
          <w:i/>
          <w:sz w:val="24"/>
          <w:szCs w:val="24"/>
        </w:rPr>
        <w:t>Mary Barton</w:t>
      </w:r>
      <w:r w:rsidRPr="009331EF">
        <w:rPr>
          <w:rFonts w:ascii="Times New Roman" w:hAnsi="Times New Roman" w:cs="Times New Roman"/>
          <w:sz w:val="24"/>
          <w:szCs w:val="24"/>
        </w:rPr>
        <w:t xml:space="preserve"> (1848) when describing those who gather about John Barton’s house as </w:t>
      </w:r>
      <w:r w:rsidRPr="009331EF">
        <w:rPr>
          <w:rFonts w:ascii="Times New Roman" w:hAnsi="Times New Roman" w:cs="Times New Roman"/>
          <w:sz w:val="24"/>
          <w:szCs w:val="24"/>
        </w:rPr>
        <w:lastRenderedPageBreak/>
        <w:t>he prepares to travel to London to present the first Chartist petition.  In doing so she removes any political aspirations from their hopes of what might be attained from the event.</w:t>
      </w:r>
      <w:r w:rsidRPr="009331EF">
        <w:rPr>
          <w:rStyle w:val="FootnoteReference"/>
          <w:rFonts w:ascii="Times New Roman" w:hAnsi="Times New Roman" w:cs="Times New Roman"/>
          <w:sz w:val="24"/>
          <w:szCs w:val="24"/>
        </w:rPr>
        <w:footnoteReference w:id="884"/>
      </w:r>
      <w:r w:rsidRPr="009331EF">
        <w:rPr>
          <w:rFonts w:ascii="Times New Roman" w:hAnsi="Times New Roman" w:cs="Times New Roman"/>
          <w:sz w:val="24"/>
          <w:szCs w:val="24"/>
        </w:rPr>
        <w:t xml:space="preserve">  However, if mass protest openly challenged social structures, particularly when under Chartist or trade union influences, the same authors invariably associated it with an emotional instability ready to erupt into violence or even terrorism.</w:t>
      </w:r>
      <w:r w:rsidRPr="009331EF">
        <w:rPr>
          <w:rStyle w:val="FootnoteReference"/>
          <w:rFonts w:ascii="Times New Roman" w:hAnsi="Times New Roman" w:cs="Times New Roman"/>
          <w:sz w:val="24"/>
          <w:szCs w:val="24"/>
        </w:rPr>
        <w:footnoteReference w:id="885"/>
      </w:r>
      <w:r w:rsidRPr="009331EF">
        <w:rPr>
          <w:rFonts w:ascii="Times New Roman" w:hAnsi="Times New Roman" w:cs="Times New Roman"/>
          <w:sz w:val="24"/>
          <w:szCs w:val="24"/>
        </w:rPr>
        <w:t xml:space="preserve">  Carlyle portended such representations with the terse statement: ‘Glasgow Thuggery, Chartist torch-meetings, Birmingham riots, Swing conflagrations’.</w:t>
      </w:r>
      <w:r w:rsidRPr="009331EF">
        <w:rPr>
          <w:rStyle w:val="FootnoteReference"/>
          <w:rFonts w:ascii="Times New Roman" w:hAnsi="Times New Roman" w:cs="Times New Roman"/>
          <w:sz w:val="24"/>
          <w:szCs w:val="24"/>
        </w:rPr>
        <w:footnoteReference w:id="886"/>
      </w:r>
      <w:r w:rsidRPr="009331EF">
        <w:rPr>
          <w:rFonts w:ascii="Times New Roman" w:hAnsi="Times New Roman" w:cs="Times New Roman"/>
          <w:sz w:val="24"/>
          <w:szCs w:val="24"/>
        </w:rPr>
        <w:t xml:space="preserve">  In </w:t>
      </w:r>
      <w:r w:rsidRPr="009331EF">
        <w:rPr>
          <w:rFonts w:ascii="Times New Roman" w:hAnsi="Times New Roman" w:cs="Times New Roman"/>
          <w:i/>
          <w:sz w:val="24"/>
          <w:szCs w:val="24"/>
        </w:rPr>
        <w:t>Sybil</w:t>
      </w:r>
      <w:r w:rsidRPr="009331EF">
        <w:rPr>
          <w:rFonts w:ascii="Times New Roman" w:hAnsi="Times New Roman" w:cs="Times New Roman"/>
          <w:sz w:val="24"/>
          <w:szCs w:val="24"/>
        </w:rPr>
        <w:t>, the figure of ‘Bishop’ Hatton, leader of the brutalized Hell-cats of Wodgate, comes under the influence of Field, a Chartist agitator:</w:t>
      </w:r>
    </w:p>
    <w:p w:rsidR="00422D80" w:rsidRPr="009331EF" w:rsidRDefault="00422D80" w:rsidP="00422D80">
      <w:pPr>
        <w:spacing w:after="120"/>
        <w:ind w:left="720"/>
        <w:rPr>
          <w:rFonts w:ascii="Times New Roman" w:hAnsi="Times New Roman" w:cs="Times New Roman"/>
          <w:sz w:val="24"/>
          <w:szCs w:val="24"/>
        </w:rPr>
      </w:pPr>
      <w:r w:rsidRPr="009331EF">
        <w:rPr>
          <w:rFonts w:ascii="Times New Roman" w:hAnsi="Times New Roman" w:cs="Times New Roman"/>
          <w:sz w:val="24"/>
          <w:szCs w:val="24"/>
        </w:rPr>
        <w:t>The Bishop had nothing to do [...] he required action; he embraced the Charter, without having a definite idea what it meant, but he embraced it fervently, and he determined to march into the country at the head of the population of Wodgate, and establish the faith.</w:t>
      </w:r>
      <w:r w:rsidRPr="009331EF">
        <w:rPr>
          <w:rStyle w:val="FootnoteReference"/>
          <w:rFonts w:ascii="Times New Roman" w:hAnsi="Times New Roman" w:cs="Times New Roman"/>
          <w:sz w:val="24"/>
          <w:szCs w:val="24"/>
        </w:rPr>
        <w:footnoteReference w:id="887"/>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The one-eyed Hatton symbolizes the movement’s lack of vision.  His need for excitement drives the action, a frenzied circus show led by a raging demagogue on a white mule, brandishing a hammer and announcing he will destroy the enemies of the people.</w:t>
      </w:r>
      <w:r w:rsidRPr="009331EF">
        <w:rPr>
          <w:rStyle w:val="FootnoteReference"/>
          <w:rFonts w:ascii="Times New Roman" w:hAnsi="Times New Roman" w:cs="Times New Roman"/>
          <w:sz w:val="24"/>
          <w:szCs w:val="24"/>
        </w:rPr>
        <w:footnoteReference w:id="888"/>
      </w:r>
      <w:r w:rsidRPr="009331EF">
        <w:rPr>
          <w:rFonts w:ascii="Times New Roman" w:hAnsi="Times New Roman" w:cs="Times New Roman"/>
          <w:sz w:val="24"/>
          <w:szCs w:val="24"/>
        </w:rPr>
        <w:t xml:space="preserve">  In Gaskell’s </w:t>
      </w:r>
      <w:r w:rsidRPr="009331EF">
        <w:rPr>
          <w:rFonts w:ascii="Times New Roman" w:hAnsi="Times New Roman" w:cs="Times New Roman"/>
          <w:i/>
          <w:iCs/>
          <w:sz w:val="24"/>
          <w:szCs w:val="24"/>
        </w:rPr>
        <w:t>North and Sout</w:t>
      </w:r>
      <w:r w:rsidRPr="009331EF">
        <w:rPr>
          <w:rFonts w:ascii="Times New Roman" w:hAnsi="Times New Roman" w:cs="Times New Roman"/>
          <w:i/>
          <w:sz w:val="24"/>
          <w:szCs w:val="24"/>
        </w:rPr>
        <w:t>h</w:t>
      </w:r>
      <w:r w:rsidRPr="009331EF">
        <w:rPr>
          <w:rFonts w:ascii="Times New Roman" w:hAnsi="Times New Roman" w:cs="Times New Roman"/>
          <w:sz w:val="24"/>
          <w:szCs w:val="24"/>
        </w:rPr>
        <w:t xml:space="preserve"> (1854–55) the novel’s heroine Margaret Hale wanders through industrial Milton with the prospect of a strike looming:</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She saw unusual loiterers in the streets: men with their hands in their pockets sauntering along; loud-laughing and loud-spoken girls clustered together, apparently excited to high spirits, and a boisterous independence of temper and behaviour.</w:t>
      </w:r>
      <w:r w:rsidRPr="009331EF">
        <w:rPr>
          <w:rStyle w:val="FootnoteReference"/>
          <w:rFonts w:ascii="Times New Roman" w:hAnsi="Times New Roman" w:cs="Times New Roman"/>
          <w:sz w:val="24"/>
          <w:szCs w:val="24"/>
        </w:rPr>
        <w:footnoteReference w:id="889"/>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 xml:space="preserve">The phrases ‘unusual loiterers’, ‘sauntering’ and ‘hands in pockets’ suggest how the rhythm of work has been disrupted by ill-intention and overt disrespect among the men, while volubility and ‘high spirits’ point to unnatural excitement in the women.  Both writers indicate a sulphurous atmosphere leading to social breakdown.  In </w:t>
      </w:r>
      <w:r w:rsidRPr="009331EF">
        <w:rPr>
          <w:rFonts w:ascii="Times New Roman" w:hAnsi="Times New Roman" w:cs="Times New Roman"/>
          <w:i/>
          <w:sz w:val="24"/>
          <w:szCs w:val="24"/>
        </w:rPr>
        <w:t>Sybil</w:t>
      </w:r>
      <w:r w:rsidRPr="009331EF">
        <w:rPr>
          <w:rFonts w:ascii="Times New Roman" w:hAnsi="Times New Roman" w:cs="Times New Roman"/>
          <w:sz w:val="24"/>
          <w:szCs w:val="24"/>
        </w:rPr>
        <w:t xml:space="preserve">, this occurs with debauchery and death during the rampage at Mowbray Castle, while in </w:t>
      </w:r>
      <w:r w:rsidRPr="009331EF">
        <w:rPr>
          <w:rFonts w:ascii="Times New Roman" w:hAnsi="Times New Roman" w:cs="Times New Roman"/>
          <w:i/>
          <w:iCs/>
          <w:sz w:val="24"/>
          <w:szCs w:val="24"/>
        </w:rPr>
        <w:t>North and Sout</w:t>
      </w:r>
      <w:r w:rsidRPr="009331EF">
        <w:rPr>
          <w:rFonts w:ascii="Times New Roman" w:hAnsi="Times New Roman" w:cs="Times New Roman"/>
          <w:i/>
          <w:sz w:val="24"/>
          <w:szCs w:val="24"/>
        </w:rPr>
        <w:t>h</w:t>
      </w:r>
      <w:r w:rsidRPr="009331EF">
        <w:rPr>
          <w:rFonts w:ascii="Times New Roman" w:hAnsi="Times New Roman" w:cs="Times New Roman"/>
          <w:sz w:val="24"/>
          <w:szCs w:val="24"/>
        </w:rPr>
        <w:t xml:space="preserve"> there is the riot at the factory of John Thornton, whom the workers regard as epitomizing the </w:t>
      </w:r>
      <w:r w:rsidRPr="009331EF">
        <w:rPr>
          <w:rFonts w:ascii="Times New Roman" w:hAnsi="Times New Roman" w:cs="Times New Roman"/>
          <w:i/>
          <w:sz w:val="24"/>
          <w:szCs w:val="24"/>
        </w:rPr>
        <w:lastRenderedPageBreak/>
        <w:t>laissez-faire</w:t>
      </w:r>
      <w:r w:rsidRPr="009331EF">
        <w:rPr>
          <w:rFonts w:ascii="Times New Roman" w:hAnsi="Times New Roman" w:cs="Times New Roman"/>
          <w:sz w:val="24"/>
          <w:szCs w:val="24"/>
        </w:rPr>
        <w:t xml:space="preserve"> attitudes that have resulted in their plight.</w:t>
      </w:r>
      <w:r w:rsidRPr="009331EF">
        <w:rPr>
          <w:rStyle w:val="FootnoteReference"/>
          <w:rFonts w:ascii="Times New Roman" w:hAnsi="Times New Roman" w:cs="Times New Roman"/>
          <w:sz w:val="24"/>
          <w:szCs w:val="24"/>
        </w:rPr>
        <w:footnoteReference w:id="890"/>
      </w:r>
      <w:r w:rsidRPr="009331EF">
        <w:rPr>
          <w:rFonts w:ascii="Times New Roman" w:hAnsi="Times New Roman" w:cs="Times New Roman"/>
          <w:sz w:val="24"/>
          <w:szCs w:val="24"/>
        </w:rPr>
        <w:t xml:space="preserve">  Cheap weekly periodicals might present a similar perspective, as with ‘The Strike’ a short tale in James Grant’s </w:t>
      </w:r>
      <w:r w:rsidRPr="009331EF">
        <w:rPr>
          <w:rFonts w:ascii="Times New Roman" w:hAnsi="Times New Roman" w:cs="Times New Roman"/>
          <w:i/>
          <w:sz w:val="24"/>
          <w:szCs w:val="24"/>
        </w:rPr>
        <w:t>London Saturday Journal</w:t>
      </w:r>
      <w:r w:rsidRPr="009331EF">
        <w:rPr>
          <w:rFonts w:ascii="Times New Roman" w:hAnsi="Times New Roman" w:cs="Times New Roman"/>
          <w:sz w:val="24"/>
          <w:szCs w:val="24"/>
        </w:rPr>
        <w:t>.</w:t>
      </w:r>
      <w:r w:rsidRPr="009331EF">
        <w:rPr>
          <w:rStyle w:val="FootnoteReference"/>
          <w:rFonts w:ascii="Times New Roman" w:hAnsi="Times New Roman" w:cs="Times New Roman"/>
          <w:sz w:val="24"/>
          <w:szCs w:val="24"/>
        </w:rPr>
        <w:footnoteReference w:id="891"/>
      </w:r>
      <w:r w:rsidRPr="009331EF">
        <w:rPr>
          <w:rFonts w:ascii="Times New Roman" w:hAnsi="Times New Roman" w:cs="Times New Roman"/>
          <w:sz w:val="24"/>
          <w:szCs w:val="24"/>
        </w:rPr>
        <w:t xml:space="preserve">  The central character Roger Stewart is transformed from steady worker into discontented radical on hearing a political speaker who inspires his audience with ‘demoniacal feelings of hatred and revenge’.</w:t>
      </w:r>
      <w:r w:rsidRPr="009331EF">
        <w:rPr>
          <w:rStyle w:val="FootnoteReference"/>
          <w:rFonts w:ascii="Times New Roman" w:hAnsi="Times New Roman" w:cs="Times New Roman"/>
          <w:sz w:val="24"/>
          <w:szCs w:val="24"/>
        </w:rPr>
        <w:footnoteReference w:id="892"/>
      </w:r>
      <w:r w:rsidRPr="009331EF">
        <w:rPr>
          <w:rFonts w:ascii="Times New Roman" w:hAnsi="Times New Roman" w:cs="Times New Roman"/>
          <w:sz w:val="24"/>
          <w:szCs w:val="24"/>
        </w:rPr>
        <w:t xml:space="preserve">  He agitates for strike action against an attempt to reduce wages and then joins a conspiracy to murder his employer.</w:t>
      </w:r>
    </w:p>
    <w:p w:rsidR="00422D80" w:rsidRPr="00CA22F7"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One of Reynolds’s primary aims was to separate the holding of progressive ideas from the violence with which it was so often associated.  Whereas others depicted mass protest positively if it remained subservient to the status quo, he argued it was when imbued with radical perspectives that the most admirable conduct was displayed.  However while promoting this view Reynolds did not give detailed representations of industrial struggles, as seen with Disraeli and Gaskell.  It was suggested in the Introduction that this was influenced by his focus upon London.</w:t>
      </w:r>
      <w:r w:rsidRPr="009331EF">
        <w:rPr>
          <w:rStyle w:val="FootnoteReference"/>
          <w:rFonts w:ascii="Times New Roman" w:hAnsi="Times New Roman" w:cs="Times New Roman"/>
          <w:sz w:val="24"/>
          <w:szCs w:val="24"/>
        </w:rPr>
        <w:footnoteReference w:id="893"/>
      </w:r>
      <w:r w:rsidRPr="009331EF">
        <w:rPr>
          <w:rFonts w:ascii="Times New Roman" w:hAnsi="Times New Roman" w:cs="Times New Roman"/>
          <w:sz w:val="24"/>
          <w:szCs w:val="24"/>
        </w:rPr>
        <w:t xml:space="preserve">  Yet this should not be taken too far since, although not a centre of the ‘great industrial strike’, from 1750–</w:t>
      </w:r>
      <w:r w:rsidRPr="00CA22F7">
        <w:rPr>
          <w:rFonts w:ascii="Times New Roman" w:hAnsi="Times New Roman" w:cs="Times New Roman"/>
          <w:sz w:val="24"/>
          <w:szCs w:val="24"/>
        </w:rPr>
        <w:t>1850 the capit</w:t>
      </w:r>
      <w:r w:rsidR="00406995" w:rsidRPr="00CA22F7">
        <w:rPr>
          <w:rFonts w:ascii="Times New Roman" w:hAnsi="Times New Roman" w:cs="Times New Roman"/>
          <w:sz w:val="24"/>
          <w:szCs w:val="24"/>
        </w:rPr>
        <w:t>a</w:t>
      </w:r>
      <w:r w:rsidRPr="00CA22F7">
        <w:rPr>
          <w:rFonts w:ascii="Times New Roman" w:hAnsi="Times New Roman" w:cs="Times New Roman"/>
          <w:sz w:val="24"/>
          <w:szCs w:val="24"/>
        </w:rPr>
        <w:t>l saw many popular demonstrations, including those in support of Sir Francis Burdett, opposition to the Corn Laws, the mass gatherings in Spa Fields in 1816 and the Queen Caroline affair in 1820.</w:t>
      </w:r>
      <w:r w:rsidRPr="00CA22F7">
        <w:rPr>
          <w:rStyle w:val="FootnoteReference"/>
          <w:rFonts w:ascii="Times New Roman" w:hAnsi="Times New Roman" w:cs="Times New Roman"/>
          <w:sz w:val="24"/>
          <w:szCs w:val="24"/>
        </w:rPr>
        <w:footnoteReference w:id="894"/>
      </w:r>
      <w:r w:rsidRPr="00CA22F7">
        <w:rPr>
          <w:rFonts w:ascii="Times New Roman" w:hAnsi="Times New Roman" w:cs="Times New Roman"/>
          <w:sz w:val="24"/>
          <w:szCs w:val="24"/>
        </w:rPr>
        <w:t xml:space="preserve">  There was also considerable activity across different trades in defence of working conditions, pay rates and apprenticeship schemes.</w:t>
      </w:r>
      <w:r w:rsidRPr="00CA22F7">
        <w:rPr>
          <w:rStyle w:val="FootnoteReference"/>
          <w:rFonts w:ascii="Times New Roman" w:hAnsi="Times New Roman" w:cs="Times New Roman"/>
          <w:sz w:val="24"/>
          <w:szCs w:val="24"/>
        </w:rPr>
        <w:footnoteReference w:id="895"/>
      </w:r>
      <w:r w:rsidRPr="00CA22F7">
        <w:rPr>
          <w:rFonts w:ascii="Times New Roman" w:hAnsi="Times New Roman" w:cs="Times New Roman"/>
          <w:sz w:val="24"/>
          <w:szCs w:val="24"/>
        </w:rPr>
        <w:t xml:space="preserve">  Reynolds paid little attention</w:t>
      </w:r>
      <w:r w:rsidRPr="009331EF">
        <w:rPr>
          <w:rFonts w:ascii="Times New Roman" w:hAnsi="Times New Roman" w:cs="Times New Roman"/>
          <w:sz w:val="24"/>
          <w:szCs w:val="24"/>
        </w:rPr>
        <w:t xml:space="preserve"> to these protests, a lack of engagement possibly due to their conduct.  For example, the events at Spa Fields and the Cato Street Conspiracy were marked by types of activity he deplored including breaking into gun shops and plotting for secretive uprisings.</w:t>
      </w:r>
      <w:r w:rsidRPr="009331EF">
        <w:rPr>
          <w:rStyle w:val="FootnoteReference"/>
          <w:rFonts w:ascii="Times New Roman" w:hAnsi="Times New Roman" w:cs="Times New Roman"/>
          <w:sz w:val="24"/>
          <w:szCs w:val="24"/>
        </w:rPr>
        <w:footnoteReference w:id="896"/>
      </w:r>
      <w:r w:rsidRPr="009331EF">
        <w:rPr>
          <w:rFonts w:ascii="Times New Roman" w:hAnsi="Times New Roman" w:cs="Times New Roman"/>
          <w:sz w:val="24"/>
          <w:szCs w:val="24"/>
        </w:rPr>
        <w:t xml:space="preserve">  The Queen Caroline demonstrations were of a size and order that made them significantly different.</w:t>
      </w:r>
      <w:r w:rsidRPr="009331EF">
        <w:rPr>
          <w:rStyle w:val="FootnoteReference"/>
          <w:rFonts w:ascii="Times New Roman" w:hAnsi="Times New Roman" w:cs="Times New Roman"/>
          <w:sz w:val="24"/>
          <w:szCs w:val="24"/>
        </w:rPr>
        <w:footnoteReference w:id="897"/>
      </w:r>
      <w:r w:rsidRPr="009331EF">
        <w:rPr>
          <w:rFonts w:ascii="Times New Roman" w:hAnsi="Times New Roman" w:cs="Times New Roman"/>
          <w:sz w:val="24"/>
          <w:szCs w:val="24"/>
        </w:rPr>
        <w:t xml:space="preserve">  Nevertheless, their unruliness did </w:t>
      </w:r>
      <w:r w:rsidRPr="009331EF">
        <w:rPr>
          <w:rFonts w:ascii="Times New Roman" w:hAnsi="Times New Roman" w:cs="Times New Roman"/>
          <w:sz w:val="24"/>
          <w:szCs w:val="24"/>
        </w:rPr>
        <w:lastRenderedPageBreak/>
        <w:t>not fit into the picture Reynolds wished to present.</w:t>
      </w:r>
      <w:r w:rsidRPr="009331EF">
        <w:rPr>
          <w:rStyle w:val="FootnoteReference"/>
          <w:rFonts w:ascii="Times New Roman" w:hAnsi="Times New Roman" w:cs="Times New Roman"/>
          <w:sz w:val="24"/>
          <w:szCs w:val="24"/>
        </w:rPr>
        <w:footnoteReference w:id="898"/>
      </w:r>
      <w:r w:rsidRPr="009331EF">
        <w:rPr>
          <w:rFonts w:ascii="Times New Roman" w:hAnsi="Times New Roman" w:cs="Times New Roman"/>
          <w:sz w:val="24"/>
          <w:szCs w:val="24"/>
        </w:rPr>
        <w:t xml:space="preserve">  Consequently, </w:t>
      </w:r>
      <w:r w:rsidRPr="009331EF">
        <w:rPr>
          <w:rFonts w:ascii="Times New Roman" w:hAnsi="Times New Roman" w:cs="Times New Roman"/>
          <w:i/>
          <w:sz w:val="24"/>
          <w:szCs w:val="24"/>
        </w:rPr>
        <w:t>The Mysteries of the Court</w:t>
      </w:r>
      <w:r w:rsidRPr="009331EF">
        <w:rPr>
          <w:rFonts w:ascii="Times New Roman" w:hAnsi="Times New Roman" w:cs="Times New Roman"/>
          <w:sz w:val="24"/>
          <w:szCs w:val="24"/>
        </w:rPr>
        <w:t xml:space="preserve"> (1848–56) devotes much attention to the relationship between Caroline of Brunswick and the Prince Regent, showing considerable sympathy for the former, but there are only passing references to </w:t>
      </w:r>
      <w:r w:rsidRPr="00865E82">
        <w:rPr>
          <w:rFonts w:ascii="Times New Roman" w:hAnsi="Times New Roman" w:cs="Times New Roman"/>
          <w:sz w:val="24"/>
          <w:szCs w:val="24"/>
        </w:rPr>
        <w:t>the popular protests.</w:t>
      </w:r>
      <w:r w:rsidRPr="00865E82">
        <w:rPr>
          <w:rStyle w:val="FootnoteReference"/>
          <w:rFonts w:ascii="Times New Roman" w:hAnsi="Times New Roman" w:cs="Times New Roman"/>
          <w:sz w:val="24"/>
          <w:szCs w:val="24"/>
        </w:rPr>
        <w:footnoteReference w:id="899"/>
      </w:r>
    </w:p>
    <w:p w:rsidR="00422D80" w:rsidRPr="009331EF" w:rsidRDefault="00422D80" w:rsidP="00422D80">
      <w:pPr>
        <w:spacing w:after="120" w:line="360" w:lineRule="auto"/>
        <w:ind w:firstLine="720"/>
        <w:rPr>
          <w:rFonts w:ascii="Times New Roman" w:hAnsi="Times New Roman" w:cs="Times New Roman"/>
          <w:sz w:val="24"/>
          <w:szCs w:val="24"/>
        </w:rPr>
      </w:pPr>
      <w:r w:rsidRPr="00CA22F7">
        <w:rPr>
          <w:rFonts w:ascii="Times New Roman" w:hAnsi="Times New Roman" w:cs="Times New Roman"/>
          <w:sz w:val="24"/>
          <w:szCs w:val="24"/>
        </w:rPr>
        <w:t>It was also suggested in the Introduction that Reynolds’s failure to detail such protest was because his characters did not belong to</w:t>
      </w:r>
      <w:r w:rsidRPr="00CA22F7">
        <w:rPr>
          <w:rFonts w:ascii="Times New Roman" w:hAnsi="Times New Roman" w:cs="Times New Roman"/>
          <w:b/>
          <w:sz w:val="24"/>
          <w:szCs w:val="24"/>
        </w:rPr>
        <w:t xml:space="preserve"> </w:t>
      </w:r>
      <w:r w:rsidRPr="00CA22F7">
        <w:rPr>
          <w:rFonts w:ascii="Times New Roman" w:hAnsi="Times New Roman" w:cs="Times New Roman"/>
          <w:sz w:val="24"/>
          <w:szCs w:val="24"/>
        </w:rPr>
        <w:t>the most politically active workers.  However, when narratives moved outside the capit</w:t>
      </w:r>
      <w:r w:rsidR="00406995" w:rsidRPr="00CA22F7">
        <w:rPr>
          <w:rFonts w:ascii="Times New Roman" w:hAnsi="Times New Roman" w:cs="Times New Roman"/>
          <w:sz w:val="24"/>
          <w:szCs w:val="24"/>
        </w:rPr>
        <w:t>a</w:t>
      </w:r>
      <w:r w:rsidRPr="00CA22F7">
        <w:rPr>
          <w:rFonts w:ascii="Times New Roman" w:hAnsi="Times New Roman" w:cs="Times New Roman"/>
          <w:sz w:val="24"/>
          <w:szCs w:val="24"/>
        </w:rPr>
        <w:t>l to deal with these sectors he still frequently avoided describing their conflicts.  This is seen in Meg Flathers’s</w:t>
      </w:r>
      <w:r w:rsidRPr="009331EF">
        <w:rPr>
          <w:rFonts w:ascii="Times New Roman" w:hAnsi="Times New Roman" w:cs="Times New Roman"/>
          <w:sz w:val="24"/>
          <w:szCs w:val="24"/>
        </w:rPr>
        <w:t xml:space="preserve"> account of the Staffordshire mining district: ‘the habits of the colliers are hereditarily depraved: […] Such was the state of superstitious ignorance which prevailed in the mines, that everyone believed in ghosts and spirits.’</w:t>
      </w:r>
      <w:r w:rsidRPr="009331EF">
        <w:rPr>
          <w:rStyle w:val="FootnoteReference"/>
          <w:rFonts w:ascii="Times New Roman" w:hAnsi="Times New Roman" w:cs="Times New Roman"/>
          <w:sz w:val="24"/>
          <w:szCs w:val="24"/>
        </w:rPr>
        <w:footnoteReference w:id="900"/>
      </w:r>
      <w:r w:rsidRPr="009331EF">
        <w:rPr>
          <w:rFonts w:ascii="Times New Roman" w:hAnsi="Times New Roman" w:cs="Times New Roman"/>
          <w:sz w:val="24"/>
          <w:szCs w:val="24"/>
        </w:rPr>
        <w:t xml:space="preserve">  By describing her childhood the events are from the 1820s rather than the period of heightened unrest in the early 1840s that Disraeli’s </w:t>
      </w:r>
      <w:r w:rsidRPr="009331EF">
        <w:rPr>
          <w:rFonts w:ascii="Times New Roman" w:hAnsi="Times New Roman" w:cs="Times New Roman"/>
          <w:i/>
          <w:sz w:val="24"/>
          <w:szCs w:val="24"/>
        </w:rPr>
        <w:t xml:space="preserve">Sybil </w:t>
      </w:r>
      <w:r w:rsidRPr="009331EF">
        <w:rPr>
          <w:rFonts w:ascii="Times New Roman" w:hAnsi="Times New Roman" w:cs="Times New Roman"/>
          <w:sz w:val="24"/>
          <w:szCs w:val="24"/>
        </w:rPr>
        <w:t>focuses upon.</w:t>
      </w:r>
      <w:r w:rsidRPr="009331EF">
        <w:rPr>
          <w:rStyle w:val="FootnoteReference"/>
          <w:rFonts w:ascii="Times New Roman" w:hAnsi="Times New Roman" w:cs="Times New Roman"/>
          <w:sz w:val="24"/>
          <w:szCs w:val="24"/>
        </w:rPr>
        <w:footnoteReference w:id="901"/>
      </w:r>
      <w:r w:rsidRPr="009331EF">
        <w:rPr>
          <w:rFonts w:ascii="Times New Roman" w:hAnsi="Times New Roman" w:cs="Times New Roman"/>
          <w:sz w:val="24"/>
          <w:szCs w:val="24"/>
        </w:rPr>
        <w:t xml:space="preserve">  Meg emphasises the brutalization and promiscuity of the miners to the extent they seem incapable of escaping their degraded condition.  None express radical ideas or class resentment.  Reynolds is writing soon after the 1842 Plug Plot which these coal fields had played an important role in initiating, bringing about a strike-wave that affected thirty-two counties, particularly in the north of England.</w:t>
      </w:r>
      <w:r w:rsidRPr="009331EF">
        <w:rPr>
          <w:rStyle w:val="FootnoteReference"/>
          <w:rFonts w:ascii="Times New Roman" w:hAnsi="Times New Roman" w:cs="Times New Roman"/>
          <w:sz w:val="24"/>
          <w:szCs w:val="24"/>
        </w:rPr>
        <w:footnoteReference w:id="902"/>
      </w:r>
      <w:r w:rsidRPr="009331EF">
        <w:rPr>
          <w:rFonts w:ascii="Times New Roman" w:hAnsi="Times New Roman" w:cs="Times New Roman"/>
          <w:sz w:val="24"/>
          <w:szCs w:val="24"/>
        </w:rPr>
        <w:t xml:space="preserve">  However, he does not portray any sense of the volatile present being observable in this earlier period of a key section of the industrial workforce.  Meg’s ‘History’ is largely confined to exposing the conditions that prevailed and their deleterious effects upon </w:t>
      </w:r>
      <w:r w:rsidRPr="009331EF">
        <w:rPr>
          <w:rFonts w:ascii="Times New Roman" w:hAnsi="Times New Roman" w:cs="Times New Roman"/>
          <w:sz w:val="24"/>
          <w:szCs w:val="24"/>
        </w:rPr>
        <w:lastRenderedPageBreak/>
        <w:t>the morality of the mineworkers.</w:t>
      </w:r>
      <w:r w:rsidRPr="009331EF">
        <w:rPr>
          <w:rStyle w:val="FootnoteReference"/>
          <w:rFonts w:ascii="Times New Roman" w:hAnsi="Times New Roman" w:cs="Times New Roman"/>
          <w:sz w:val="24"/>
          <w:szCs w:val="24"/>
        </w:rPr>
        <w:footnoteReference w:id="903"/>
      </w:r>
      <w:r w:rsidRPr="009331EF">
        <w:rPr>
          <w:rFonts w:ascii="Times New Roman" w:hAnsi="Times New Roman" w:cs="Times New Roman"/>
          <w:sz w:val="24"/>
          <w:szCs w:val="24"/>
        </w:rPr>
        <w:t xml:space="preserve">  A notable avoidance of discussing social conflict is in </w:t>
      </w:r>
      <w:r w:rsidRPr="009331EF">
        <w:rPr>
          <w:rFonts w:ascii="Times New Roman" w:hAnsi="Times New Roman" w:cs="Times New Roman"/>
          <w:i/>
          <w:sz w:val="24"/>
          <w:szCs w:val="24"/>
        </w:rPr>
        <w:t>Mary Price</w:t>
      </w:r>
      <w:r w:rsidRPr="009331EF">
        <w:rPr>
          <w:rFonts w:ascii="Times New Roman" w:hAnsi="Times New Roman" w:cs="Times New Roman"/>
          <w:sz w:val="24"/>
          <w:szCs w:val="24"/>
        </w:rPr>
        <w:t xml:space="preserve"> (1851–53) a section of which takes place in Kent at the time of the Captain Swing Riots.  Eric Hobsbawm notes the most concentrated activity there was from August to December 1830, continuing until late-1831 with incidents involving arson, machine wrecking and meetings to agitate against sinecures, rents and tithes.</w:t>
      </w:r>
      <w:r w:rsidRPr="009331EF">
        <w:rPr>
          <w:rStyle w:val="FootnoteReference"/>
          <w:rFonts w:ascii="Times New Roman" w:hAnsi="Times New Roman" w:cs="Times New Roman"/>
          <w:sz w:val="24"/>
          <w:szCs w:val="24"/>
        </w:rPr>
        <w:footnoteReference w:id="904"/>
      </w:r>
      <w:r w:rsidRPr="009331EF">
        <w:rPr>
          <w:rFonts w:ascii="Times New Roman" w:hAnsi="Times New Roman" w:cs="Times New Roman"/>
          <w:sz w:val="24"/>
          <w:szCs w:val="24"/>
        </w:rPr>
        <w:t xml:space="preserve">  One such gathering occurred in November 1830 at Mary’s home town of Ashford.</w:t>
      </w:r>
      <w:r w:rsidRPr="009331EF">
        <w:rPr>
          <w:rStyle w:val="FootnoteReference"/>
          <w:rFonts w:ascii="Times New Roman" w:hAnsi="Times New Roman" w:cs="Times New Roman"/>
          <w:sz w:val="24"/>
          <w:szCs w:val="24"/>
        </w:rPr>
        <w:footnoteReference w:id="905"/>
      </w:r>
      <w:r w:rsidRPr="009331EF">
        <w:rPr>
          <w:rFonts w:ascii="Times New Roman" w:hAnsi="Times New Roman" w:cs="Times New Roman"/>
          <w:sz w:val="24"/>
          <w:szCs w:val="24"/>
        </w:rPr>
        <w:t xml:space="preserve">  Although absent for some of this period, she does return to the county staying at Deal and working at Kingston Lodge and Talbot Abbey but no mention of </w:t>
      </w:r>
      <w:r w:rsidRPr="00865E82">
        <w:rPr>
          <w:rFonts w:ascii="Times New Roman" w:hAnsi="Times New Roman" w:cs="Times New Roman"/>
          <w:sz w:val="24"/>
          <w:szCs w:val="24"/>
        </w:rPr>
        <w:t xml:space="preserve">the </w:t>
      </w:r>
      <w:r w:rsidR="00CA22F7" w:rsidRPr="00865E82">
        <w:rPr>
          <w:rFonts w:ascii="Times New Roman" w:hAnsi="Times New Roman" w:cs="Times New Roman"/>
          <w:sz w:val="24"/>
          <w:szCs w:val="24"/>
        </w:rPr>
        <w:t>rural turmoil</w:t>
      </w:r>
      <w:r w:rsidRPr="00865E82">
        <w:rPr>
          <w:rFonts w:ascii="Times New Roman" w:hAnsi="Times New Roman" w:cs="Times New Roman"/>
          <w:sz w:val="24"/>
          <w:szCs w:val="24"/>
        </w:rPr>
        <w:t xml:space="preserve"> is</w:t>
      </w:r>
      <w:r w:rsidRPr="009331EF">
        <w:rPr>
          <w:rFonts w:ascii="Times New Roman" w:hAnsi="Times New Roman" w:cs="Times New Roman"/>
          <w:sz w:val="24"/>
          <w:szCs w:val="24"/>
        </w:rPr>
        <w:t xml:space="preserve"> made.  Such examples point to Reynolds, when writing about the English context, consciously omitting elements of violence from portrayals of protest by the respectable industrious classes.  Alongside this, he rarely promoted physical force, despite contemporary events suggesting it could be used effectively.  When George Julian Harney stood at Wakefield in the 1841 General Election he suffered attacks from employees bribed or cajoled by factory owners, which were quelled by a Chartist response that</w:t>
      </w:r>
      <w:r w:rsidRPr="009331EF">
        <w:rPr>
          <w:rFonts w:ascii="Times New Roman" w:hAnsi="Times New Roman" w:cs="Times New Roman"/>
          <w:bCs/>
          <w:sz w:val="24"/>
          <w:szCs w:val="24"/>
        </w:rPr>
        <w:t xml:space="preserve"> </w:t>
      </w:r>
      <w:r w:rsidRPr="009331EF">
        <w:rPr>
          <w:rFonts w:ascii="Times New Roman" w:hAnsi="Times New Roman" w:cs="Times New Roman"/>
          <w:sz w:val="24"/>
          <w:szCs w:val="24"/>
        </w:rPr>
        <w:t>included ‘six hundred Huddersfield men marching the thirteen miles to the hustings carrying stout staves’.</w:t>
      </w:r>
      <w:r w:rsidRPr="009331EF">
        <w:rPr>
          <w:rStyle w:val="FootnoteReference"/>
          <w:rFonts w:ascii="Times New Roman" w:hAnsi="Times New Roman" w:cs="Times New Roman"/>
          <w:sz w:val="24"/>
          <w:szCs w:val="24"/>
        </w:rPr>
        <w:footnoteReference w:id="906"/>
      </w:r>
      <w:r w:rsidRPr="009331EF">
        <w:rPr>
          <w:rFonts w:ascii="Times New Roman" w:hAnsi="Times New Roman" w:cs="Times New Roman"/>
          <w:sz w:val="24"/>
          <w:szCs w:val="24"/>
        </w:rPr>
        <w:t xml:space="preserve">  Examples of this type of disciplined self-defence by the working class are generally absent in Reynolds’s work.  It is unlikely he would have treated the 1842 bombing of Ibbetson’s knife and file works near Sheffield as phlegmatically as Engels who commented: ‘all the working-men who came to view it regretted only “that the whole concern was not blown into the air”’.</w:t>
      </w:r>
      <w:r w:rsidRPr="009331EF">
        <w:rPr>
          <w:rStyle w:val="FootnoteReference"/>
          <w:rFonts w:ascii="Times New Roman" w:hAnsi="Times New Roman" w:cs="Times New Roman"/>
          <w:sz w:val="24"/>
          <w:szCs w:val="24"/>
        </w:rPr>
        <w:footnoteReference w:id="907"/>
      </w:r>
      <w:r w:rsidRPr="009331EF">
        <w:rPr>
          <w:rFonts w:ascii="Times New Roman" w:hAnsi="Times New Roman" w:cs="Times New Roman"/>
          <w:sz w:val="24"/>
          <w:szCs w:val="24"/>
        </w:rPr>
        <w:t xml:space="preserve">  The result in literary terms was to largely exclude protests such as the 1839 Newport Uprising and the 1842 Plug Plot from his narratives, rather than offer sympathetic representations.  Any references in his novels to rick-burning and the Swing Riots are </w:t>
      </w:r>
      <w:r w:rsidRPr="00CA22F7">
        <w:rPr>
          <w:rFonts w:ascii="Times New Roman" w:hAnsi="Times New Roman" w:cs="Times New Roman"/>
          <w:sz w:val="24"/>
          <w:szCs w:val="24"/>
        </w:rPr>
        <w:t xml:space="preserve">associated with vengeful acts </w:t>
      </w:r>
      <w:r w:rsidR="00406995" w:rsidRPr="00CA22F7">
        <w:rPr>
          <w:rFonts w:ascii="Times New Roman" w:hAnsi="Times New Roman" w:cs="Times New Roman"/>
          <w:sz w:val="24"/>
          <w:szCs w:val="24"/>
        </w:rPr>
        <w:t xml:space="preserve">by </w:t>
      </w:r>
      <w:r w:rsidRPr="00CA22F7">
        <w:rPr>
          <w:rFonts w:ascii="Times New Roman" w:hAnsi="Times New Roman" w:cs="Times New Roman"/>
          <w:sz w:val="24"/>
          <w:szCs w:val="24"/>
        </w:rPr>
        <w:t>the dangerous</w:t>
      </w:r>
      <w:r w:rsidRPr="009331EF">
        <w:rPr>
          <w:rFonts w:ascii="Times New Roman" w:hAnsi="Times New Roman" w:cs="Times New Roman"/>
          <w:sz w:val="24"/>
          <w:szCs w:val="24"/>
        </w:rPr>
        <w:t xml:space="preserve"> classes or individuals who are </w:t>
      </w:r>
      <w:r w:rsidRPr="00865E82">
        <w:rPr>
          <w:rFonts w:ascii="Times New Roman" w:hAnsi="Times New Roman" w:cs="Times New Roman"/>
          <w:sz w:val="24"/>
          <w:szCs w:val="24"/>
        </w:rPr>
        <w:t>psychologically deranged</w:t>
      </w:r>
      <w:r w:rsidR="00CA22F7" w:rsidRPr="00865E82">
        <w:rPr>
          <w:rFonts w:ascii="Times New Roman" w:hAnsi="Times New Roman" w:cs="Times New Roman"/>
          <w:sz w:val="24"/>
          <w:szCs w:val="24"/>
        </w:rPr>
        <w:t>,</w:t>
      </w:r>
      <w:r w:rsidRPr="00865E82">
        <w:rPr>
          <w:rFonts w:ascii="Times New Roman" w:hAnsi="Times New Roman" w:cs="Times New Roman"/>
          <w:sz w:val="24"/>
          <w:szCs w:val="24"/>
        </w:rPr>
        <w:t xml:space="preserve"> not the</w:t>
      </w:r>
      <w:r w:rsidRPr="009331EF">
        <w:rPr>
          <w:rFonts w:ascii="Times New Roman" w:hAnsi="Times New Roman" w:cs="Times New Roman"/>
          <w:sz w:val="24"/>
          <w:szCs w:val="24"/>
        </w:rPr>
        <w:t xml:space="preserve"> oppositional activities of the labouring masses.  It might be argued that such caution meant he refrained from condemning such struggles.  </w:t>
      </w:r>
      <w:r w:rsidRPr="009331EF">
        <w:rPr>
          <w:rFonts w:ascii="Times New Roman" w:hAnsi="Times New Roman" w:cs="Times New Roman"/>
          <w:sz w:val="24"/>
          <w:szCs w:val="24"/>
        </w:rPr>
        <w:lastRenderedPageBreak/>
        <w:t>However, it is more likely his aim was to remain consistent with the view that protest in England must be peaceful:</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The author of ‘THE MYSTERIES OF LONDON’ would not have his readers imagine him to be in favour of ‘physical force.’  No—we abhor war even with foreign powers: but no words are strong enough to express our loathing and abhorrence of the bare idea of that infernal scourge—a civil war.</w:t>
      </w:r>
      <w:r w:rsidRPr="009331EF">
        <w:rPr>
          <w:rStyle w:val="FootnoteReference"/>
          <w:rFonts w:ascii="Times New Roman" w:hAnsi="Times New Roman" w:cs="Times New Roman"/>
          <w:sz w:val="24"/>
          <w:szCs w:val="24"/>
        </w:rPr>
        <w:footnoteReference w:id="908"/>
      </w:r>
    </w:p>
    <w:p w:rsidR="00422D80" w:rsidRPr="009331EF" w:rsidRDefault="00422D80" w:rsidP="00422D80">
      <w:pPr>
        <w:spacing w:after="240" w:line="360" w:lineRule="auto"/>
        <w:rPr>
          <w:rFonts w:ascii="Times New Roman" w:hAnsi="Times New Roman" w:cs="Times New Roman"/>
          <w:sz w:val="24"/>
          <w:szCs w:val="24"/>
        </w:rPr>
      </w:pPr>
      <w:r w:rsidRPr="009331EF">
        <w:rPr>
          <w:rFonts w:ascii="Times New Roman" w:hAnsi="Times New Roman" w:cs="Times New Roman"/>
          <w:sz w:val="24"/>
          <w:szCs w:val="24"/>
        </w:rPr>
        <w:t xml:space="preserve">He opposes physical force particularly in relation to civil war regardless of any implications it may have for social change.  This is apparent when </w:t>
      </w:r>
      <w:r w:rsidRPr="00865E82">
        <w:rPr>
          <w:rFonts w:ascii="Times New Roman" w:hAnsi="Times New Roman" w:cs="Times New Roman"/>
          <w:sz w:val="24"/>
          <w:szCs w:val="24"/>
        </w:rPr>
        <w:t>referring t</w:t>
      </w:r>
      <w:r w:rsidR="00CA22F7" w:rsidRPr="00865E82">
        <w:rPr>
          <w:rFonts w:ascii="Times New Roman" w:hAnsi="Times New Roman" w:cs="Times New Roman"/>
          <w:sz w:val="24"/>
          <w:szCs w:val="24"/>
        </w:rPr>
        <w:t>o</w:t>
      </w:r>
      <w:r w:rsidRPr="00865E82">
        <w:rPr>
          <w:rFonts w:ascii="Times New Roman" w:hAnsi="Times New Roman" w:cs="Times New Roman"/>
          <w:sz w:val="24"/>
          <w:szCs w:val="24"/>
        </w:rPr>
        <w:t xml:space="preserve"> troubles in</w:t>
      </w:r>
      <w:r w:rsidRPr="009331EF">
        <w:rPr>
          <w:rFonts w:ascii="Times New Roman" w:hAnsi="Times New Roman" w:cs="Times New Roman"/>
          <w:sz w:val="24"/>
          <w:szCs w:val="24"/>
        </w:rPr>
        <w:t xml:space="preserve"> Ireland, which he frequently charged as being the responsibility of British governments.</w:t>
      </w:r>
      <w:r w:rsidRPr="009331EF">
        <w:rPr>
          <w:rStyle w:val="FootnoteReference"/>
          <w:rFonts w:ascii="Times New Roman" w:hAnsi="Times New Roman" w:cs="Times New Roman"/>
          <w:sz w:val="24"/>
          <w:szCs w:val="24"/>
        </w:rPr>
        <w:footnoteReference w:id="909"/>
      </w:r>
      <w:r w:rsidRPr="009331EF">
        <w:rPr>
          <w:rFonts w:ascii="Times New Roman" w:hAnsi="Times New Roman" w:cs="Times New Roman"/>
          <w:sz w:val="24"/>
          <w:szCs w:val="24"/>
        </w:rPr>
        <w:t xml:space="preserve">  When Thomas Rainford expresses a wish to improve conditions for the poor it is merged with the aim of removing them </w:t>
      </w:r>
      <w:r w:rsidRPr="00CA22F7">
        <w:rPr>
          <w:rFonts w:ascii="Times New Roman" w:hAnsi="Times New Roman" w:cs="Times New Roman"/>
          <w:sz w:val="24"/>
          <w:szCs w:val="24"/>
        </w:rPr>
        <w:t>from ‘</w:t>
      </w:r>
      <w:r w:rsidR="00286E07" w:rsidRPr="00CA22F7">
        <w:rPr>
          <w:rFonts w:ascii="Times New Roman" w:hAnsi="Times New Roman" w:cs="Times New Roman"/>
          <w:sz w:val="24"/>
          <w:szCs w:val="24"/>
        </w:rPr>
        <w:t xml:space="preserve">scenes of </w:t>
      </w:r>
      <w:r w:rsidRPr="00CA22F7">
        <w:rPr>
          <w:rFonts w:ascii="Times New Roman" w:hAnsi="Times New Roman" w:cs="Times New Roman"/>
          <w:sz w:val="24"/>
          <w:szCs w:val="24"/>
        </w:rPr>
        <w:t>political</w:t>
      </w:r>
      <w:r w:rsidRPr="009331EF">
        <w:rPr>
          <w:rFonts w:ascii="Times New Roman" w:hAnsi="Times New Roman" w:cs="Times New Roman"/>
          <w:sz w:val="24"/>
          <w:szCs w:val="24"/>
        </w:rPr>
        <w:t xml:space="preserve"> excitement’.</w:t>
      </w:r>
      <w:r w:rsidRPr="009331EF">
        <w:rPr>
          <w:rStyle w:val="FootnoteReference"/>
          <w:rFonts w:ascii="Times New Roman" w:hAnsi="Times New Roman" w:cs="Times New Roman"/>
          <w:sz w:val="24"/>
          <w:szCs w:val="24"/>
        </w:rPr>
        <w:footnoteReference w:id="910"/>
      </w:r>
      <w:r w:rsidRPr="009331EF">
        <w:rPr>
          <w:rFonts w:ascii="Times New Roman" w:hAnsi="Times New Roman" w:cs="Times New Roman"/>
          <w:sz w:val="24"/>
          <w:szCs w:val="24"/>
        </w:rPr>
        <w:t xml:space="preserve">  Although Reynolds blames politicians and landlords for the problems, he writes that an ‘unprincipled system of agitation has fanned the flame of the worst feelings and extorted the few pence from the pockets of the half-starving peasantry’.</w:t>
      </w:r>
      <w:r w:rsidRPr="009331EF">
        <w:rPr>
          <w:rStyle w:val="FootnoteReference"/>
          <w:rFonts w:ascii="Times New Roman" w:hAnsi="Times New Roman" w:cs="Times New Roman"/>
          <w:sz w:val="24"/>
          <w:szCs w:val="24"/>
        </w:rPr>
        <w:footnoteReference w:id="911"/>
      </w:r>
      <w:r w:rsidRPr="009331EF">
        <w:rPr>
          <w:rFonts w:ascii="Times New Roman" w:hAnsi="Times New Roman" w:cs="Times New Roman"/>
          <w:sz w:val="24"/>
          <w:szCs w:val="24"/>
        </w:rPr>
        <w:t xml:space="preserve">  Such protest reflects the basest emotions that thrive in desperate circumstances.  Rather than an immoral insurrection, he calls for government to follow the ‘revealed laws and doctrines’ of God which have ‘supplied us with the precepts competent to maintain order and regularity in society’.</w:t>
      </w:r>
      <w:r w:rsidRPr="009331EF">
        <w:rPr>
          <w:rStyle w:val="FootnoteReference"/>
          <w:rFonts w:ascii="Times New Roman" w:hAnsi="Times New Roman" w:cs="Times New Roman"/>
          <w:sz w:val="24"/>
          <w:szCs w:val="24"/>
        </w:rPr>
        <w:footnoteReference w:id="912"/>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 xml:space="preserve">Reticence towards violence is suggested in volume one of </w:t>
      </w:r>
      <w:r w:rsidRPr="009331EF">
        <w:rPr>
          <w:rFonts w:ascii="Times New Roman" w:hAnsi="Times New Roman" w:cs="Times New Roman"/>
          <w:i/>
          <w:sz w:val="24"/>
          <w:szCs w:val="24"/>
        </w:rPr>
        <w:t>The Mysteries of London</w:t>
      </w:r>
      <w:r w:rsidRPr="009331EF">
        <w:rPr>
          <w:rFonts w:ascii="Times New Roman" w:hAnsi="Times New Roman" w:cs="Times New Roman"/>
          <w:sz w:val="24"/>
          <w:szCs w:val="24"/>
        </w:rPr>
        <w:t xml:space="preserve"> </w:t>
      </w:r>
      <w:r w:rsidR="00286E07" w:rsidRPr="00CA22F7">
        <w:rPr>
          <w:rFonts w:ascii="Times New Roman" w:hAnsi="Times New Roman" w:cs="Times New Roman"/>
          <w:sz w:val="24"/>
          <w:szCs w:val="24"/>
        </w:rPr>
        <w:t xml:space="preserve">(1844–48) </w:t>
      </w:r>
      <w:r w:rsidRPr="00CA22F7">
        <w:rPr>
          <w:rFonts w:ascii="Times New Roman" w:hAnsi="Times New Roman" w:cs="Times New Roman"/>
          <w:sz w:val="24"/>
          <w:szCs w:val="24"/>
        </w:rPr>
        <w:t>during</w:t>
      </w:r>
      <w:r w:rsidRPr="009331EF">
        <w:rPr>
          <w:rFonts w:ascii="Times New Roman" w:hAnsi="Times New Roman" w:cs="Times New Roman"/>
          <w:sz w:val="24"/>
          <w:szCs w:val="24"/>
        </w:rPr>
        <w:t xml:space="preserve"> a scene at the Home Office when a minister comments upon the use of rabble-rousing provocateurs to disrupt a mass meeting at Bethnal Green:</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 xml:space="preserve">This speech must be of the most violent and inflammatory kind: it must advocate the use of physical force, denounce the aristocracy, the government, and the parliament in the most blood-thirsty terms; it need not even spare her most gracious majesty.  Let the cry be </w:t>
      </w:r>
      <w:r w:rsidRPr="009331EF">
        <w:rPr>
          <w:rFonts w:ascii="Times New Roman" w:hAnsi="Times New Roman" w:cs="Times New Roman"/>
          <w:i/>
          <w:iCs/>
          <w:sz w:val="24"/>
          <w:szCs w:val="24"/>
        </w:rPr>
        <w:t>Blood</w:t>
      </w:r>
      <w:r w:rsidRPr="009331EF">
        <w:rPr>
          <w:rFonts w:ascii="Times New Roman" w:hAnsi="Times New Roman" w:cs="Times New Roman"/>
          <w:sz w:val="24"/>
          <w:szCs w:val="24"/>
        </w:rPr>
        <w:t>; and let your men, Mr. Inspector, applaud with deafening shouts, every period in this incendiary harangue.</w:t>
      </w:r>
      <w:r w:rsidRPr="009331EF">
        <w:rPr>
          <w:rStyle w:val="FootnoteReference"/>
          <w:rFonts w:ascii="Times New Roman" w:hAnsi="Times New Roman" w:cs="Times New Roman"/>
          <w:sz w:val="24"/>
          <w:szCs w:val="24"/>
        </w:rPr>
        <w:footnoteReference w:id="913"/>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lastRenderedPageBreak/>
        <w:t>Reynolds infers the peacefulness of the demonstrators with the minister’s acknowledgment that the well-disposed will oppose such language.  As such, riot and commotion are artificially introduced into the protest rather than being natural elements.  However, this implicit defence of the majority also censures individuals who would be goaded into expressions of anger since they unwittingly become a tool of the ruling classes.  One official reports on an agent sent to encourage discontent in the mining districts:</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He says that he has no doubt of being enabled to produce a disturbance in the north, and thus afford your lordship the wished-for opportunity of sending more troops in that direction.  When once over-awed by the presence of formidable numbers of bayonets, the pitmen will be compelled to submit to the terms dictated by the coal-mine proprietors; and your lordship’s aims will be thus accomplished.</w:t>
      </w:r>
      <w:r w:rsidRPr="009331EF">
        <w:rPr>
          <w:rStyle w:val="FootnoteReference"/>
          <w:rFonts w:ascii="Times New Roman" w:hAnsi="Times New Roman" w:cs="Times New Roman"/>
          <w:sz w:val="24"/>
          <w:szCs w:val="24"/>
        </w:rPr>
        <w:footnoteReference w:id="914"/>
      </w:r>
    </w:p>
    <w:p w:rsidR="00422D80" w:rsidRPr="009331EF" w:rsidRDefault="00422D80" w:rsidP="00422D80">
      <w:pPr>
        <w:spacing w:after="240" w:line="360" w:lineRule="auto"/>
        <w:rPr>
          <w:rFonts w:ascii="Times New Roman" w:hAnsi="Times New Roman" w:cs="Times New Roman"/>
          <w:sz w:val="24"/>
          <w:szCs w:val="24"/>
        </w:rPr>
      </w:pPr>
      <w:r w:rsidRPr="009331EF">
        <w:rPr>
          <w:rFonts w:ascii="Times New Roman" w:hAnsi="Times New Roman" w:cs="Times New Roman"/>
          <w:sz w:val="24"/>
          <w:szCs w:val="24"/>
        </w:rPr>
        <w:t>His words show the authorities welcoming unruly conduct and their confidence in subduing it suggests that those who promote physical force are either dupes or traitors to the cause of social advancement.  In sharp contrast is a reference to the non-political Rechabites who create financial difficulty through peaceful activity: ‘These Teetotalers must not be encouraged.  They are seriously injuring the Excise-revenues.’</w:t>
      </w:r>
      <w:r w:rsidRPr="009331EF">
        <w:rPr>
          <w:rStyle w:val="FootnoteReference"/>
          <w:rFonts w:ascii="Times New Roman" w:hAnsi="Times New Roman" w:cs="Times New Roman"/>
          <w:sz w:val="24"/>
          <w:szCs w:val="24"/>
        </w:rPr>
        <w:footnoteReference w:id="915"/>
      </w:r>
      <w:r w:rsidRPr="009331EF">
        <w:rPr>
          <w:rFonts w:ascii="Times New Roman" w:hAnsi="Times New Roman" w:cs="Times New Roman"/>
          <w:sz w:val="24"/>
          <w:szCs w:val="24"/>
        </w:rPr>
        <w:t xml:space="preserve">  Here, Reynolds aligns his temperance sympathies with contemporary arguments that denounced the burden of indirect taxation.  Above all, he gives the clear message </w:t>
      </w:r>
      <w:r w:rsidRPr="00602ECA">
        <w:rPr>
          <w:rFonts w:ascii="Times New Roman" w:hAnsi="Times New Roman" w:cs="Times New Roman"/>
          <w:sz w:val="24"/>
          <w:szCs w:val="24"/>
        </w:rPr>
        <w:t xml:space="preserve">that </w:t>
      </w:r>
      <w:r w:rsidR="00406995" w:rsidRPr="00602ECA">
        <w:rPr>
          <w:rFonts w:ascii="Times New Roman" w:hAnsi="Times New Roman" w:cs="Times New Roman"/>
          <w:sz w:val="24"/>
          <w:szCs w:val="24"/>
        </w:rPr>
        <w:t>orderly</w:t>
      </w:r>
      <w:r w:rsidRPr="00602ECA">
        <w:rPr>
          <w:rFonts w:ascii="Times New Roman" w:hAnsi="Times New Roman" w:cs="Times New Roman"/>
          <w:sz w:val="24"/>
          <w:szCs w:val="24"/>
        </w:rPr>
        <w:t xml:space="preserve"> opposition</w:t>
      </w:r>
      <w:r w:rsidRPr="009331EF">
        <w:rPr>
          <w:rFonts w:ascii="Times New Roman" w:hAnsi="Times New Roman" w:cs="Times New Roman"/>
          <w:sz w:val="24"/>
          <w:szCs w:val="24"/>
        </w:rPr>
        <w:t xml:space="preserve"> governed by upstanding values is effective while violence is not.</w:t>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This emphasis upon respectability meant Reynolds was wary of the carnivalesque elements of protest that Mikhail Bakhtin points to when analysing the difference between official and unofficial celebrations in the middle ages:</w:t>
      </w:r>
    </w:p>
    <w:p w:rsidR="00422D80" w:rsidRPr="009331EF" w:rsidRDefault="00422D80" w:rsidP="00422D80">
      <w:pPr>
        <w:ind w:left="720"/>
        <w:rPr>
          <w:rFonts w:ascii="Times New Roman" w:hAnsi="Times New Roman" w:cs="Times New Roman"/>
          <w:sz w:val="24"/>
          <w:szCs w:val="24"/>
        </w:rPr>
      </w:pPr>
      <w:r w:rsidRPr="009331EF">
        <w:rPr>
          <w:rFonts w:ascii="Times New Roman" w:hAnsi="Times New Roman" w:cs="Times New Roman"/>
          <w:sz w:val="24"/>
          <w:szCs w:val="24"/>
        </w:rPr>
        <w:t>[T]he official feast asserted all that was stable, unchanging perennial: the existing hierarchy, the existing religious, political, and moral values, norms and prohibitions. […] carnival celebrated temporary liberation from the prevailing truth and from established order; it marked the suspension of all hierarchical rank, privileges, norms, and prohibitions.</w:t>
      </w:r>
      <w:r w:rsidRPr="009331EF">
        <w:rPr>
          <w:rStyle w:val="FootnoteReference"/>
          <w:rFonts w:ascii="Times New Roman" w:hAnsi="Times New Roman" w:cs="Times New Roman"/>
          <w:sz w:val="24"/>
          <w:szCs w:val="24"/>
        </w:rPr>
        <w:footnoteReference w:id="916"/>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 xml:space="preserve">The volatility of the carnival with its release of emotions and liberated forms of behaviour creates potential for challenging authority.  Noel Parker refers to rural disorders in France during the late-1780s and early-1790s being accompanied by fete elements such as dancing </w:t>
      </w:r>
      <w:r w:rsidRPr="009331EF">
        <w:rPr>
          <w:rFonts w:ascii="Times New Roman" w:hAnsi="Times New Roman" w:cs="Times New Roman"/>
          <w:sz w:val="24"/>
          <w:szCs w:val="24"/>
        </w:rPr>
        <w:lastRenderedPageBreak/>
        <w:t>or planting a May tree that threatened collective violence against a chosen victim.</w:t>
      </w:r>
      <w:r w:rsidRPr="009331EF">
        <w:rPr>
          <w:rStyle w:val="FootnoteReference"/>
          <w:rFonts w:ascii="Times New Roman" w:hAnsi="Times New Roman" w:cs="Times New Roman"/>
          <w:sz w:val="24"/>
          <w:szCs w:val="24"/>
        </w:rPr>
        <w:footnoteReference w:id="917"/>
      </w:r>
      <w:r w:rsidRPr="009331EF">
        <w:rPr>
          <w:rFonts w:ascii="Times New Roman" w:hAnsi="Times New Roman" w:cs="Times New Roman"/>
          <w:sz w:val="24"/>
          <w:szCs w:val="24"/>
        </w:rPr>
        <w:t xml:space="preserve">  Reynolds’s contemporaries distanced themselves from such activities.  Portrayals of unrest by Disraeli and Gaskell contain ritualistic elements with the processions and regalia in </w:t>
      </w:r>
      <w:r w:rsidRPr="009331EF">
        <w:rPr>
          <w:rFonts w:ascii="Times New Roman" w:hAnsi="Times New Roman" w:cs="Times New Roman"/>
          <w:i/>
          <w:sz w:val="24"/>
          <w:szCs w:val="24"/>
        </w:rPr>
        <w:t>Sybil</w:t>
      </w:r>
      <w:r w:rsidRPr="009331EF">
        <w:rPr>
          <w:rFonts w:ascii="Times New Roman" w:hAnsi="Times New Roman" w:cs="Times New Roman"/>
          <w:sz w:val="24"/>
          <w:szCs w:val="24"/>
        </w:rPr>
        <w:t xml:space="preserve"> and the ominous party-like atmosphere in </w:t>
      </w:r>
      <w:r w:rsidRPr="009331EF">
        <w:rPr>
          <w:rFonts w:ascii="Times New Roman" w:hAnsi="Times New Roman" w:cs="Times New Roman"/>
          <w:i/>
          <w:sz w:val="24"/>
          <w:szCs w:val="24"/>
        </w:rPr>
        <w:t>North and South</w:t>
      </w:r>
      <w:r w:rsidRPr="009331EF">
        <w:rPr>
          <w:rFonts w:ascii="Times New Roman" w:hAnsi="Times New Roman" w:cs="Times New Roman"/>
          <w:sz w:val="24"/>
          <w:szCs w:val="24"/>
        </w:rPr>
        <w:t>, each of which anticipate violence.</w:t>
      </w:r>
      <w:r w:rsidRPr="009331EF">
        <w:rPr>
          <w:rFonts w:ascii="Times New Roman" w:hAnsi="Times New Roman" w:cs="Times New Roman"/>
          <w:b/>
          <w:sz w:val="24"/>
          <w:szCs w:val="24"/>
        </w:rPr>
        <w:t xml:space="preserve">  </w:t>
      </w:r>
      <w:r w:rsidRPr="009331EF">
        <w:rPr>
          <w:rFonts w:ascii="Times New Roman" w:hAnsi="Times New Roman" w:cs="Times New Roman"/>
          <w:sz w:val="24"/>
          <w:szCs w:val="24"/>
        </w:rPr>
        <w:t xml:space="preserve">Comic settings allow for more lenient treatment, like the Eatenswill Election in </w:t>
      </w:r>
      <w:r w:rsidRPr="009331EF">
        <w:rPr>
          <w:rFonts w:ascii="Times New Roman" w:hAnsi="Times New Roman" w:cs="Times New Roman"/>
          <w:i/>
          <w:sz w:val="24"/>
          <w:szCs w:val="24"/>
        </w:rPr>
        <w:t>Pickwick Papers</w:t>
      </w:r>
      <w:r w:rsidRPr="009331EF">
        <w:rPr>
          <w:rFonts w:ascii="Times New Roman" w:hAnsi="Times New Roman" w:cs="Times New Roman"/>
          <w:sz w:val="24"/>
          <w:szCs w:val="24"/>
        </w:rPr>
        <w:t xml:space="preserve"> (</w:t>
      </w:r>
      <w:r w:rsidRPr="00602ECA">
        <w:rPr>
          <w:rFonts w:ascii="Times New Roman" w:hAnsi="Times New Roman" w:cs="Times New Roman"/>
          <w:sz w:val="24"/>
          <w:szCs w:val="24"/>
        </w:rPr>
        <w:t>183</w:t>
      </w:r>
      <w:r w:rsidR="00406995" w:rsidRPr="00602ECA">
        <w:rPr>
          <w:rFonts w:ascii="Times New Roman" w:hAnsi="Times New Roman" w:cs="Times New Roman"/>
          <w:sz w:val="24"/>
          <w:szCs w:val="24"/>
        </w:rPr>
        <w:t>6</w:t>
      </w:r>
      <w:r w:rsidRPr="00602ECA">
        <w:rPr>
          <w:rFonts w:ascii="Times New Roman" w:hAnsi="Times New Roman" w:cs="Times New Roman"/>
          <w:sz w:val="24"/>
          <w:szCs w:val="24"/>
        </w:rPr>
        <w:t>–3</w:t>
      </w:r>
      <w:r w:rsidR="00406995" w:rsidRPr="00602ECA">
        <w:rPr>
          <w:rFonts w:ascii="Times New Roman" w:hAnsi="Times New Roman" w:cs="Times New Roman"/>
          <w:sz w:val="24"/>
          <w:szCs w:val="24"/>
        </w:rPr>
        <w:t>7</w:t>
      </w:r>
      <w:r w:rsidRPr="00602ECA">
        <w:rPr>
          <w:rFonts w:ascii="Times New Roman" w:hAnsi="Times New Roman" w:cs="Times New Roman"/>
          <w:sz w:val="24"/>
          <w:szCs w:val="24"/>
        </w:rPr>
        <w:t>)</w:t>
      </w:r>
      <w:r w:rsidRPr="009331EF">
        <w:rPr>
          <w:rFonts w:ascii="Times New Roman" w:hAnsi="Times New Roman" w:cs="Times New Roman"/>
          <w:sz w:val="24"/>
          <w:szCs w:val="24"/>
        </w:rPr>
        <w:t xml:space="preserve"> where contending mobs hoot at candidates, insult the mayor and fight the outnumbered constables.  Nevertheless, Dickens also associates these actions with excessive alcohol consumption, writing that during the period of polling excisable articles ‘were remarkably cheap at all the public-houses’.</w:t>
      </w:r>
      <w:r w:rsidRPr="009331EF">
        <w:rPr>
          <w:rStyle w:val="FootnoteReference"/>
          <w:rFonts w:ascii="Times New Roman" w:hAnsi="Times New Roman" w:cs="Times New Roman"/>
          <w:sz w:val="24"/>
          <w:szCs w:val="24"/>
        </w:rPr>
        <w:footnoteReference w:id="918"/>
      </w:r>
      <w:r w:rsidRPr="009331EF">
        <w:rPr>
          <w:rFonts w:ascii="Times New Roman" w:hAnsi="Times New Roman" w:cs="Times New Roman"/>
          <w:sz w:val="24"/>
          <w:szCs w:val="24"/>
        </w:rPr>
        <w:t xml:space="preserve">  Reynolds is similarly distrustful of such behaviour, as displayed in </w:t>
      </w:r>
      <w:r w:rsidRPr="009331EF">
        <w:rPr>
          <w:rFonts w:ascii="Times New Roman" w:hAnsi="Times New Roman" w:cs="Times New Roman"/>
          <w:i/>
          <w:sz w:val="24"/>
          <w:szCs w:val="24"/>
        </w:rPr>
        <w:t>The Mysteries of London</w:t>
      </w:r>
      <w:r w:rsidRPr="009331EF">
        <w:rPr>
          <w:rFonts w:ascii="Times New Roman" w:hAnsi="Times New Roman" w:cs="Times New Roman"/>
          <w:sz w:val="24"/>
          <w:szCs w:val="24"/>
        </w:rPr>
        <w:t xml:space="preserve"> with the Rottenborough election when Eugene Markham hires the town’s lower orders as a mob to give him vocal support.  Ignorant of the issues at stake, they spend their time in local tap-rooms content to be employed in this way providing they are ‘copiously regaled with beer and tobacco’.</w:t>
      </w:r>
      <w:r w:rsidRPr="009331EF">
        <w:rPr>
          <w:rStyle w:val="FootnoteReference"/>
          <w:rFonts w:ascii="Times New Roman" w:hAnsi="Times New Roman" w:cs="Times New Roman"/>
          <w:sz w:val="24"/>
          <w:szCs w:val="24"/>
        </w:rPr>
        <w:footnoteReference w:id="919"/>
      </w:r>
      <w:r w:rsidRPr="009331EF">
        <w:rPr>
          <w:rFonts w:ascii="Times New Roman" w:hAnsi="Times New Roman" w:cs="Times New Roman"/>
          <w:sz w:val="24"/>
          <w:szCs w:val="24"/>
        </w:rPr>
        <w:t xml:space="preserve">  Such scepticism echoes Disraeli’s recently published </w:t>
      </w:r>
      <w:r w:rsidRPr="009331EF">
        <w:rPr>
          <w:rFonts w:ascii="Times New Roman" w:hAnsi="Times New Roman" w:cs="Times New Roman"/>
          <w:i/>
          <w:iCs/>
          <w:sz w:val="24"/>
          <w:szCs w:val="24"/>
        </w:rPr>
        <w:t>Coningsby</w:t>
      </w:r>
      <w:r w:rsidRPr="009331EF">
        <w:rPr>
          <w:rFonts w:ascii="Times New Roman" w:hAnsi="Times New Roman" w:cs="Times New Roman"/>
          <w:sz w:val="24"/>
          <w:szCs w:val="24"/>
        </w:rPr>
        <w:t xml:space="preserve"> (1844) with its description of the Nomination-day hustings at Darlford, and the manoeuvres of Bull Bluck, Magog Wrath and their hired gangs:</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[T]he safety-valves for all the scamps of the borough, who, receiving a few shillings per head for their nominal service, and as much drink as they liked after the contest, were bribed and organised into peace and sobriety on the days in which their excesses were most to be apprehended.</w:t>
      </w:r>
      <w:r w:rsidRPr="009331EF">
        <w:rPr>
          <w:rStyle w:val="FootnoteReference"/>
          <w:rFonts w:ascii="Times New Roman" w:hAnsi="Times New Roman" w:cs="Times New Roman"/>
          <w:sz w:val="24"/>
          <w:szCs w:val="24"/>
        </w:rPr>
        <w:footnoteReference w:id="920"/>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The belief of those who think authority has bowed to the wishes of the populace is a delusion.  Even in the comedy of Eatenswill, Dickens ends matters with the abrupt confirmation that real power is determined by the forces behind Mr Perker, agent for the candidate Samuel Slumkey, who has a private interview with undecided voters in which his arguments ‘were brief but satisfactory’.</w:t>
      </w:r>
      <w:r w:rsidRPr="009331EF">
        <w:rPr>
          <w:rStyle w:val="FootnoteReference"/>
          <w:rFonts w:ascii="Times New Roman" w:hAnsi="Times New Roman" w:cs="Times New Roman"/>
          <w:sz w:val="24"/>
          <w:szCs w:val="24"/>
        </w:rPr>
        <w:footnoteReference w:id="921"/>
      </w:r>
      <w:r w:rsidRPr="009331EF">
        <w:rPr>
          <w:rFonts w:ascii="Times New Roman" w:hAnsi="Times New Roman" w:cs="Times New Roman"/>
          <w:sz w:val="24"/>
          <w:szCs w:val="24"/>
        </w:rPr>
        <w:t xml:space="preserve">  John Scott writes that the idea of the ‘safety-valve’ mechanism is not entirely wrong but misleading and that carnival can be a ‘dress rehearsal’ for actual defiance, its ‘ritual structure and anonymity’ giving ‘a privileged place to normally suppressed speech and aggression’.</w:t>
      </w:r>
      <w:r w:rsidRPr="009331EF">
        <w:rPr>
          <w:rStyle w:val="FootnoteReference"/>
          <w:rFonts w:ascii="Times New Roman" w:hAnsi="Times New Roman" w:cs="Times New Roman"/>
          <w:sz w:val="24"/>
          <w:szCs w:val="24"/>
        </w:rPr>
        <w:footnoteReference w:id="922"/>
      </w:r>
      <w:r w:rsidRPr="009331EF">
        <w:rPr>
          <w:rFonts w:ascii="Times New Roman" w:hAnsi="Times New Roman" w:cs="Times New Roman"/>
          <w:sz w:val="24"/>
          <w:szCs w:val="24"/>
        </w:rPr>
        <w:t xml:space="preserve">  Reynolds takes a more negative view.  The Rottenborough election sees protest descending into the short-term gratification of drinking and brawling.  The carnivalesque atmosphere, in so far as it exists, proves minimal as a form </w:t>
      </w:r>
      <w:r w:rsidRPr="009331EF">
        <w:rPr>
          <w:rFonts w:ascii="Times New Roman" w:hAnsi="Times New Roman" w:cs="Times New Roman"/>
          <w:sz w:val="24"/>
          <w:szCs w:val="24"/>
        </w:rPr>
        <w:lastRenderedPageBreak/>
        <w:t>of rebellion.  It results in the eighty ‘ragamuffins and tatterdemalions’ who cheer Eugene producing one barracking comment that raises a ‘general titter’.</w:t>
      </w:r>
      <w:r w:rsidRPr="009331EF">
        <w:rPr>
          <w:rStyle w:val="FootnoteReference"/>
          <w:rFonts w:ascii="Times New Roman" w:hAnsi="Times New Roman" w:cs="Times New Roman"/>
          <w:sz w:val="24"/>
          <w:szCs w:val="24"/>
        </w:rPr>
        <w:footnoteReference w:id="923"/>
      </w:r>
      <w:r w:rsidRPr="009331EF">
        <w:rPr>
          <w:rFonts w:ascii="Times New Roman" w:hAnsi="Times New Roman" w:cs="Times New Roman"/>
          <w:sz w:val="24"/>
          <w:szCs w:val="24"/>
        </w:rPr>
        <w:t xml:space="preserve">  Anger is diverted from worthwhile causes as they drunkenly shout for those who provide free beer, tobacco and boiled tripe to keep them side-lined in the political process.  Bakhtin refers to the ‘temporary suspension, both ideal and real, of hierarchical rank created during carnival time’.</w:t>
      </w:r>
      <w:r w:rsidRPr="009331EF">
        <w:rPr>
          <w:rStyle w:val="FootnoteReference"/>
          <w:rFonts w:ascii="Times New Roman" w:hAnsi="Times New Roman" w:cs="Times New Roman"/>
          <w:sz w:val="24"/>
          <w:szCs w:val="24"/>
        </w:rPr>
        <w:footnoteReference w:id="924"/>
      </w:r>
      <w:r w:rsidRPr="009331EF">
        <w:rPr>
          <w:rFonts w:ascii="Times New Roman" w:hAnsi="Times New Roman" w:cs="Times New Roman"/>
          <w:sz w:val="24"/>
          <w:szCs w:val="24"/>
        </w:rPr>
        <w:t xml:space="preserve">  Reynolds, aiming at permanent, thoroughgoing reform, saw nothing to gain in the phantom of ‘ideal’ change.  Carnivalesque behaviour did not lead to political awakening but closed the mind to intellectual development, in some ways a logical extension of Sam Weller’s unruly excesses in </w:t>
      </w:r>
      <w:r w:rsidRPr="009331EF">
        <w:rPr>
          <w:rFonts w:ascii="Times New Roman" w:hAnsi="Times New Roman" w:cs="Times New Roman"/>
          <w:i/>
          <w:iCs/>
          <w:sz w:val="24"/>
          <w:szCs w:val="24"/>
        </w:rPr>
        <w:t>Pickwick Abroad</w:t>
      </w:r>
      <w:r w:rsidRPr="009331EF">
        <w:rPr>
          <w:rFonts w:ascii="Times New Roman" w:hAnsi="Times New Roman" w:cs="Times New Roman"/>
          <w:sz w:val="24"/>
          <w:szCs w:val="24"/>
        </w:rPr>
        <w:t xml:space="preserve"> (1838–39).  One noteworthy aspect of the Rottenborough scene, however, is that the problem is confined to excitable youth and the less respectable fringe of the industrious classes.  As such it may be regarded as a sign of how Reynolds reduced the space granted to this behaviour as he </w:t>
      </w:r>
      <w:r w:rsidRPr="00865E82">
        <w:rPr>
          <w:rFonts w:ascii="Times New Roman" w:hAnsi="Times New Roman" w:cs="Times New Roman"/>
          <w:sz w:val="24"/>
          <w:szCs w:val="24"/>
        </w:rPr>
        <w:t>developed more confiden</w:t>
      </w:r>
      <w:r w:rsidR="00602ECA" w:rsidRPr="00865E82">
        <w:rPr>
          <w:rFonts w:ascii="Times New Roman" w:hAnsi="Times New Roman" w:cs="Times New Roman"/>
          <w:sz w:val="24"/>
          <w:szCs w:val="24"/>
        </w:rPr>
        <w:t>ce in the efficacy</w:t>
      </w:r>
      <w:r w:rsidRPr="00865E82">
        <w:rPr>
          <w:rFonts w:ascii="Times New Roman" w:hAnsi="Times New Roman" w:cs="Times New Roman"/>
          <w:sz w:val="24"/>
          <w:szCs w:val="24"/>
        </w:rPr>
        <w:t xml:space="preserve"> of</w:t>
      </w:r>
      <w:r w:rsidRPr="009331EF">
        <w:rPr>
          <w:rFonts w:ascii="Times New Roman" w:hAnsi="Times New Roman" w:cs="Times New Roman"/>
          <w:sz w:val="24"/>
          <w:szCs w:val="24"/>
        </w:rPr>
        <w:t xml:space="preserve"> mass protest.</w:t>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 xml:space="preserve">Another aspect of Reynolds’s caution, also related to his view of inappropriate conduct, was a reluctance to acknowledge the public house as a valid location for political dissent.  Contemporaries offered contradictory accounts.  In </w:t>
      </w:r>
      <w:r w:rsidRPr="009331EF">
        <w:rPr>
          <w:rFonts w:ascii="Times New Roman" w:hAnsi="Times New Roman" w:cs="Times New Roman"/>
          <w:i/>
          <w:sz w:val="24"/>
          <w:szCs w:val="24"/>
        </w:rPr>
        <w:t>Sybil</w:t>
      </w:r>
      <w:r w:rsidRPr="009331EF">
        <w:rPr>
          <w:rFonts w:ascii="Times New Roman" w:hAnsi="Times New Roman" w:cs="Times New Roman"/>
          <w:sz w:val="24"/>
          <w:szCs w:val="24"/>
        </w:rPr>
        <w:t>, Disraeli devotes fairly positive scenes to miners drinking at the ‘</w:t>
      </w:r>
      <w:r w:rsidRPr="009331EF">
        <w:rPr>
          <w:rFonts w:ascii="Times New Roman" w:hAnsi="Times New Roman" w:cs="Times New Roman"/>
          <w:iCs/>
          <w:sz w:val="24"/>
          <w:szCs w:val="24"/>
        </w:rPr>
        <w:t>Rising Sun’</w:t>
      </w:r>
      <w:r w:rsidRPr="009331EF">
        <w:rPr>
          <w:rFonts w:ascii="Times New Roman" w:hAnsi="Times New Roman" w:cs="Times New Roman"/>
          <w:sz w:val="24"/>
          <w:szCs w:val="24"/>
        </w:rPr>
        <w:t>, where they discuss long shifts and the exploitative ‘tommy’ system.  The leading spokesperson Nixon makes it clear they are prepared to strike for their rights, but the talk also contains an element of conservatism typified by one collier: ‘If the Queen would do something for us poor men, it would be a blessed job.’</w:t>
      </w:r>
      <w:r w:rsidRPr="009331EF">
        <w:rPr>
          <w:rStyle w:val="FootnoteReference"/>
          <w:rFonts w:ascii="Times New Roman" w:hAnsi="Times New Roman" w:cs="Times New Roman"/>
          <w:sz w:val="24"/>
          <w:szCs w:val="24"/>
        </w:rPr>
        <w:footnoteReference w:id="925"/>
      </w:r>
      <w:r w:rsidRPr="009331EF">
        <w:rPr>
          <w:rFonts w:ascii="Times New Roman" w:hAnsi="Times New Roman" w:cs="Times New Roman"/>
          <w:sz w:val="24"/>
          <w:szCs w:val="24"/>
        </w:rPr>
        <w:t xml:space="preserve">  Alongside the idea of Victoria as a unifying figure for the nation there is a strong vein of pragmatism.  Nixon argues that in all the strife he has seen if workers and masters had spoken together peaceful resolutions could have been agreed.  This pragmatic attitude is taken towards the Chartist, Stephen Morley, whose argument for ‘association’ and its implications of Owenite Socialism are seen as idle abstractions, with Nixon rhetorically asking: ‘what’s his Five Points to us?’.</w:t>
      </w:r>
      <w:r w:rsidRPr="009331EF">
        <w:rPr>
          <w:rStyle w:val="FootnoteReference"/>
          <w:rFonts w:ascii="Times New Roman" w:hAnsi="Times New Roman" w:cs="Times New Roman"/>
          <w:sz w:val="24"/>
          <w:szCs w:val="24"/>
        </w:rPr>
        <w:footnoteReference w:id="926"/>
      </w:r>
      <w:r w:rsidRPr="009331EF">
        <w:rPr>
          <w:rFonts w:ascii="Times New Roman" w:hAnsi="Times New Roman" w:cs="Times New Roman"/>
          <w:sz w:val="24"/>
          <w:szCs w:val="24"/>
        </w:rPr>
        <w:t xml:space="preserve">  Such ideas mark Morley as an outsider who does not understand them and has ‘never been down a pit in all his life’.</w:t>
      </w:r>
      <w:r w:rsidRPr="009331EF">
        <w:rPr>
          <w:rStyle w:val="FootnoteReference"/>
          <w:rFonts w:ascii="Times New Roman" w:hAnsi="Times New Roman" w:cs="Times New Roman"/>
          <w:sz w:val="24"/>
          <w:szCs w:val="24"/>
        </w:rPr>
        <w:footnoteReference w:id="927"/>
      </w:r>
      <w:r w:rsidRPr="009331EF">
        <w:rPr>
          <w:rFonts w:ascii="Times New Roman" w:hAnsi="Times New Roman" w:cs="Times New Roman"/>
          <w:sz w:val="24"/>
          <w:szCs w:val="24"/>
        </w:rPr>
        <w:t xml:space="preserve">  In contrast, the ‘</w:t>
      </w:r>
      <w:r w:rsidRPr="009331EF">
        <w:rPr>
          <w:rFonts w:ascii="Times New Roman" w:hAnsi="Times New Roman" w:cs="Times New Roman"/>
          <w:iCs/>
          <w:sz w:val="24"/>
          <w:szCs w:val="24"/>
        </w:rPr>
        <w:t>Cat and Fiddle’</w:t>
      </w:r>
      <w:r w:rsidRPr="009331EF">
        <w:rPr>
          <w:rFonts w:ascii="Times New Roman" w:hAnsi="Times New Roman" w:cs="Times New Roman"/>
          <w:sz w:val="24"/>
          <w:szCs w:val="24"/>
        </w:rPr>
        <w:t xml:space="preserve"> where young factory-hands are excited by reports of rioting is shown less favourably.  Steadiness and reason are abandoned as contradictory ideas are thrown around in the belief they form intelligent discourse.  Mick Radley sees the Queen lending support because she </w:t>
      </w:r>
      <w:r w:rsidRPr="009331EF">
        <w:rPr>
          <w:rFonts w:ascii="Times New Roman" w:hAnsi="Times New Roman" w:cs="Times New Roman"/>
          <w:sz w:val="24"/>
          <w:szCs w:val="24"/>
        </w:rPr>
        <w:lastRenderedPageBreak/>
        <w:t>dislikes girls working in the mills while Devilsdust believes the soldiers will ‘Stick their bayonets into the Capitalists, who have hired them to cut the throats of the working classes’.</w:t>
      </w:r>
      <w:r w:rsidRPr="009331EF">
        <w:rPr>
          <w:rStyle w:val="FootnoteReference"/>
          <w:rFonts w:ascii="Times New Roman" w:hAnsi="Times New Roman" w:cs="Times New Roman"/>
          <w:sz w:val="24"/>
          <w:szCs w:val="24"/>
        </w:rPr>
        <w:footnoteReference w:id="928"/>
      </w:r>
      <w:r w:rsidRPr="009331EF">
        <w:rPr>
          <w:rFonts w:ascii="Times New Roman" w:hAnsi="Times New Roman" w:cs="Times New Roman"/>
          <w:sz w:val="24"/>
          <w:szCs w:val="24"/>
        </w:rPr>
        <w:t xml:space="preserve">  This atmosphere generates wild speculations as they enthuse about the struggle breaking out in Lancashire and gloat over strikers pelting the police:</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‘Well,’ said Devilsdust […] ‘I feel we are on the eve of a regular crisis.’</w:t>
      </w:r>
    </w:p>
    <w:p w:rsidR="00422D80" w:rsidRPr="009331EF" w:rsidRDefault="00422D80" w:rsidP="00422D80">
      <w:pPr>
        <w:spacing w:after="240" w:line="240" w:lineRule="auto"/>
        <w:ind w:left="720" w:firstLine="170"/>
        <w:rPr>
          <w:rFonts w:ascii="Times New Roman" w:hAnsi="Times New Roman" w:cs="Times New Roman"/>
          <w:sz w:val="24"/>
          <w:szCs w:val="24"/>
        </w:rPr>
      </w:pPr>
      <w:r w:rsidRPr="009331EF">
        <w:rPr>
          <w:rFonts w:ascii="Times New Roman" w:hAnsi="Times New Roman" w:cs="Times New Roman"/>
          <w:sz w:val="24"/>
          <w:szCs w:val="24"/>
        </w:rPr>
        <w:t>‘No, by jingo!’ said Mick, and, tossing his cap into the air, he snapped his fingers with delight at the anticipated amusement.</w:t>
      </w:r>
      <w:r w:rsidRPr="009331EF">
        <w:rPr>
          <w:rStyle w:val="FootnoteReference"/>
          <w:rFonts w:ascii="Times New Roman" w:hAnsi="Times New Roman" w:cs="Times New Roman"/>
          <w:sz w:val="24"/>
          <w:szCs w:val="24"/>
        </w:rPr>
        <w:footnoteReference w:id="929"/>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 xml:space="preserve">Physical conflict is viewed with unqualified optimism, Mick’s joyfulness suggesting how struggle can be viewed as a form of entertainment and that the public house is a preparation ground for carnivalesque behaviour.  Elizabeth Gaskell portrays its harmful role in </w:t>
      </w:r>
      <w:r w:rsidRPr="009331EF">
        <w:rPr>
          <w:rFonts w:ascii="Times New Roman" w:hAnsi="Times New Roman" w:cs="Times New Roman"/>
          <w:i/>
          <w:sz w:val="24"/>
          <w:szCs w:val="24"/>
        </w:rPr>
        <w:t>Mary Barton</w:t>
      </w:r>
      <w:r w:rsidRPr="009331EF">
        <w:rPr>
          <w:rFonts w:ascii="Times New Roman" w:hAnsi="Times New Roman" w:cs="Times New Roman"/>
          <w:sz w:val="24"/>
          <w:szCs w:val="24"/>
        </w:rPr>
        <w:t>.  At the strike meeting in the ‘Weaver’s Arms’, she describes the visiting trade union delegate as being like ‘an unsuccessful actor, or a flashy shopman’.</w:t>
      </w:r>
      <w:r w:rsidRPr="009331EF">
        <w:rPr>
          <w:rStyle w:val="FootnoteReference"/>
          <w:rFonts w:ascii="Times New Roman" w:hAnsi="Times New Roman" w:cs="Times New Roman"/>
          <w:sz w:val="24"/>
          <w:szCs w:val="24"/>
        </w:rPr>
        <w:footnoteReference w:id="930"/>
      </w:r>
      <w:r w:rsidRPr="009331EF">
        <w:rPr>
          <w:rFonts w:ascii="Times New Roman" w:hAnsi="Times New Roman" w:cs="Times New Roman"/>
          <w:sz w:val="24"/>
          <w:szCs w:val="24"/>
        </w:rPr>
        <w:t xml:space="preserve">  His dramatic speech with its impressive sounding references linking the struggles of modern Manchester to the intrigues of ancient Rome, along with the free drink available, puts the listeners in a state of mind to accept aggressive ideas they would normally reject.</w:t>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Authors might paint a different picture.  Frances Trollope and Thomas Miller present political discussions taking place far more positively.</w:t>
      </w:r>
      <w:r w:rsidRPr="009331EF">
        <w:rPr>
          <w:rStyle w:val="FootnoteReference"/>
          <w:rFonts w:ascii="Times New Roman" w:hAnsi="Times New Roman" w:cs="Times New Roman"/>
          <w:sz w:val="24"/>
          <w:szCs w:val="24"/>
        </w:rPr>
        <w:footnoteReference w:id="931"/>
      </w:r>
      <w:r w:rsidRPr="009331EF">
        <w:rPr>
          <w:rFonts w:ascii="Times New Roman" w:hAnsi="Times New Roman" w:cs="Times New Roman"/>
          <w:sz w:val="24"/>
          <w:szCs w:val="24"/>
        </w:rPr>
        <w:t xml:space="preserve">  By doing so, they reflected how the pub was a traditional setting for peaceful radical debate.</w:t>
      </w:r>
      <w:r w:rsidRPr="009331EF">
        <w:rPr>
          <w:rStyle w:val="FootnoteReference"/>
          <w:rFonts w:ascii="Times New Roman" w:hAnsi="Times New Roman" w:cs="Times New Roman"/>
          <w:sz w:val="24"/>
          <w:szCs w:val="24"/>
        </w:rPr>
        <w:footnoteReference w:id="932"/>
      </w:r>
      <w:r w:rsidRPr="009331EF">
        <w:rPr>
          <w:rFonts w:ascii="Times New Roman" w:hAnsi="Times New Roman" w:cs="Times New Roman"/>
          <w:sz w:val="24"/>
          <w:szCs w:val="24"/>
        </w:rPr>
        <w:t xml:space="preserve">  Henry Mayhew reported that when wishing to hear workmen with ‘violent political opinions’ he was taken to a tavern: ‘I found the room half full […] they told me that, in their opinion, the primary cause of the depression of the prices among the weavers was the want of suffrage.’</w:t>
      </w:r>
      <w:r w:rsidRPr="009331EF">
        <w:rPr>
          <w:rStyle w:val="FootnoteReference"/>
          <w:rFonts w:ascii="Times New Roman" w:hAnsi="Times New Roman" w:cs="Times New Roman"/>
          <w:sz w:val="24"/>
          <w:szCs w:val="24"/>
        </w:rPr>
        <w:footnoteReference w:id="933"/>
      </w:r>
      <w:r w:rsidRPr="009331EF">
        <w:rPr>
          <w:rFonts w:ascii="Times New Roman" w:hAnsi="Times New Roman" w:cs="Times New Roman"/>
          <w:sz w:val="24"/>
          <w:szCs w:val="24"/>
        </w:rPr>
        <w:t xml:space="preserve">  From the discussion it seems </w:t>
      </w:r>
      <w:r w:rsidRPr="009331EF">
        <w:rPr>
          <w:rFonts w:ascii="Times New Roman" w:hAnsi="Times New Roman" w:cs="Times New Roman"/>
          <w:sz w:val="24"/>
          <w:szCs w:val="24"/>
        </w:rPr>
        <w:lastRenderedPageBreak/>
        <w:t xml:space="preserve">evident that use of the term ‘violent’ was not to suggest unthinking physical force but a progressive, informed outlook, since those present talk about the Charter, rates of pay, foreign competition and underselling by the manufacturers.  This letter to </w:t>
      </w:r>
      <w:r w:rsidRPr="009331EF">
        <w:rPr>
          <w:rFonts w:ascii="Times New Roman" w:hAnsi="Times New Roman" w:cs="Times New Roman"/>
          <w:i/>
          <w:sz w:val="24"/>
          <w:szCs w:val="24"/>
        </w:rPr>
        <w:t>The Morning Chronicle</w:t>
      </w:r>
      <w:r w:rsidRPr="009331EF">
        <w:rPr>
          <w:rFonts w:ascii="Times New Roman" w:hAnsi="Times New Roman" w:cs="Times New Roman"/>
          <w:sz w:val="24"/>
          <w:szCs w:val="24"/>
        </w:rPr>
        <w:t>, published in October 1849, pointed to the public house being a focal point for those with enlightened opinions who would take part in the resurgent Chartist activity during 1850–51 in which Reynolds played a leading role.</w:t>
      </w:r>
      <w:r w:rsidRPr="009331EF">
        <w:rPr>
          <w:rStyle w:val="FootnoteReference"/>
          <w:rFonts w:ascii="Times New Roman" w:hAnsi="Times New Roman" w:cs="Times New Roman"/>
          <w:sz w:val="24"/>
          <w:szCs w:val="24"/>
        </w:rPr>
        <w:footnoteReference w:id="934"/>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For all these writers, the pub was a barometer of political activity and Reynolds usually aligned himself with those who depicted it negatively.  Associating it with conspiratorial gatherings was not without some justification.</w:t>
      </w:r>
      <w:r w:rsidRPr="009331EF">
        <w:rPr>
          <w:rStyle w:val="FootnoteReference"/>
          <w:rFonts w:ascii="Times New Roman" w:hAnsi="Times New Roman" w:cs="Times New Roman"/>
          <w:sz w:val="24"/>
          <w:szCs w:val="24"/>
        </w:rPr>
        <w:footnoteReference w:id="935"/>
      </w:r>
      <w:r w:rsidRPr="009331EF">
        <w:rPr>
          <w:rFonts w:ascii="Times New Roman" w:hAnsi="Times New Roman" w:cs="Times New Roman"/>
          <w:sz w:val="24"/>
          <w:szCs w:val="24"/>
        </w:rPr>
        <w:t xml:space="preserve">  Earlier writings frequently insinuated this troublesome aspect in a modified form.  ‘The Progress of Intemperance’ had shown the environment encouraging the apprentice to participate in heated debate and feel unwarranted dissatisfaction with his employer.  In </w:t>
      </w:r>
      <w:r w:rsidRPr="009331EF">
        <w:rPr>
          <w:rFonts w:ascii="Times New Roman" w:hAnsi="Times New Roman" w:cs="Times New Roman"/>
          <w:i/>
          <w:sz w:val="24"/>
          <w:szCs w:val="24"/>
        </w:rPr>
        <w:t>The Steam Packet</w:t>
      </w:r>
      <w:r w:rsidRPr="009331EF">
        <w:rPr>
          <w:rFonts w:ascii="Times New Roman" w:hAnsi="Times New Roman" w:cs="Times New Roman"/>
          <w:sz w:val="24"/>
          <w:szCs w:val="24"/>
        </w:rPr>
        <w:t xml:space="preserve"> </w:t>
      </w:r>
      <w:r w:rsidRPr="009331EF">
        <w:rPr>
          <w:rFonts w:ascii="Times New Roman" w:hAnsi="Times New Roman" w:cs="Times New Roman"/>
          <w:iCs/>
          <w:sz w:val="24"/>
          <w:szCs w:val="24"/>
        </w:rPr>
        <w:t>(1840),</w:t>
      </w:r>
      <w:r w:rsidRPr="009331EF">
        <w:rPr>
          <w:rFonts w:ascii="Times New Roman" w:hAnsi="Times New Roman" w:cs="Times New Roman"/>
          <w:sz w:val="24"/>
          <w:szCs w:val="24"/>
        </w:rPr>
        <w:t xml:space="preserve"> Mr Pifpaf disputes the Corn-Laws at the ‘</w:t>
      </w:r>
      <w:r w:rsidRPr="009331EF">
        <w:rPr>
          <w:rFonts w:ascii="Times New Roman" w:hAnsi="Times New Roman" w:cs="Times New Roman"/>
          <w:iCs/>
          <w:sz w:val="24"/>
          <w:szCs w:val="24"/>
        </w:rPr>
        <w:t>Musical Bee’:</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 xml:space="preserve">There was ‘excellent company’ in the parlour—if one could but see them through the tobacco smoke; and as the liquor was very good, and the </w:t>
      </w:r>
      <w:r w:rsidRPr="009331EF">
        <w:rPr>
          <w:rFonts w:ascii="Times New Roman" w:hAnsi="Times New Roman" w:cs="Times New Roman"/>
          <w:bCs/>
          <w:sz w:val="24"/>
          <w:szCs w:val="24"/>
        </w:rPr>
        <w:t>gentleman in the fustian coat was very fond of an argument, and the tall young man in the Macintosh sang a capital song, it was all very cozy and comfortable</w:t>
      </w:r>
      <w:r w:rsidRPr="009331EF">
        <w:rPr>
          <w:rFonts w:ascii="Times New Roman" w:hAnsi="Times New Roman" w:cs="Times New Roman"/>
          <w:sz w:val="24"/>
          <w:szCs w:val="24"/>
        </w:rPr>
        <w:t>.</w:t>
      </w:r>
      <w:r w:rsidRPr="009331EF">
        <w:rPr>
          <w:rStyle w:val="FootnoteReference"/>
          <w:rFonts w:ascii="Times New Roman" w:hAnsi="Times New Roman" w:cs="Times New Roman"/>
          <w:sz w:val="24"/>
          <w:szCs w:val="24"/>
        </w:rPr>
        <w:footnoteReference w:id="936"/>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This picture is less disagreeable, but the use of quotation marks indicates the irony in the description of those present.  The thickness of tobacco smoke and strength of alcohol point to what is stimulating the conversation and that the ‘long argument’ was set to continue for some time had not Tom Gibbins interrupted proceedings.  The reference to the argumentative ‘</w:t>
      </w:r>
      <w:r w:rsidRPr="009331EF">
        <w:rPr>
          <w:rFonts w:ascii="Times New Roman" w:hAnsi="Times New Roman" w:cs="Times New Roman"/>
          <w:bCs/>
          <w:sz w:val="24"/>
          <w:szCs w:val="24"/>
        </w:rPr>
        <w:t xml:space="preserve">gentleman in the </w:t>
      </w:r>
      <w:r w:rsidRPr="009331EF">
        <w:rPr>
          <w:rFonts w:ascii="Times New Roman" w:hAnsi="Times New Roman" w:cs="Times New Roman"/>
          <w:sz w:val="24"/>
          <w:szCs w:val="24"/>
        </w:rPr>
        <w:t>fustian coat’ suggests the aggressive attitudes encouraged by Feargus O’Connor’s fiery speeches which at the time of the novel’s publication Reynolds would have opposed.</w:t>
      </w:r>
      <w:r w:rsidRPr="009331EF">
        <w:rPr>
          <w:rStyle w:val="FootnoteReference"/>
          <w:rFonts w:ascii="Times New Roman" w:hAnsi="Times New Roman" w:cs="Times New Roman"/>
          <w:sz w:val="24"/>
          <w:szCs w:val="24"/>
        </w:rPr>
        <w:footnoteReference w:id="937"/>
      </w:r>
      <w:r w:rsidRPr="009331EF">
        <w:rPr>
          <w:rFonts w:ascii="Times New Roman" w:hAnsi="Times New Roman" w:cs="Times New Roman"/>
          <w:sz w:val="24"/>
          <w:szCs w:val="24"/>
        </w:rPr>
        <w:t xml:space="preserve">  Like the comparison made in </w:t>
      </w:r>
      <w:r w:rsidRPr="009331EF">
        <w:rPr>
          <w:rFonts w:ascii="Times New Roman" w:hAnsi="Times New Roman" w:cs="Times New Roman"/>
          <w:i/>
          <w:sz w:val="24"/>
          <w:szCs w:val="24"/>
        </w:rPr>
        <w:t>Pickwick Abroad</w:t>
      </w:r>
      <w:r w:rsidRPr="009331EF">
        <w:rPr>
          <w:rFonts w:ascii="Times New Roman" w:hAnsi="Times New Roman" w:cs="Times New Roman"/>
          <w:sz w:val="24"/>
          <w:szCs w:val="24"/>
        </w:rPr>
        <w:t xml:space="preserve"> between Tracy Tupman’s foolish romantic musings and the discussions at the ‘Crown and Anchor’, Reynolds again presents the public house encouraging narrow-minded acrimony.  However, contemporary events </w:t>
      </w:r>
      <w:r w:rsidRPr="009331EF">
        <w:rPr>
          <w:rFonts w:ascii="Times New Roman" w:hAnsi="Times New Roman" w:cs="Times New Roman"/>
          <w:sz w:val="24"/>
          <w:szCs w:val="24"/>
        </w:rPr>
        <w:lastRenderedPageBreak/>
        <w:t xml:space="preserve">point to him </w:t>
      </w:r>
      <w:r w:rsidRPr="00602ECA">
        <w:rPr>
          <w:rFonts w:ascii="Times New Roman" w:hAnsi="Times New Roman" w:cs="Times New Roman"/>
          <w:sz w:val="24"/>
          <w:szCs w:val="24"/>
        </w:rPr>
        <w:t xml:space="preserve">diminishing </w:t>
      </w:r>
      <w:r w:rsidR="00286E07" w:rsidRPr="00602ECA">
        <w:rPr>
          <w:rFonts w:ascii="Times New Roman" w:hAnsi="Times New Roman" w:cs="Times New Roman"/>
          <w:sz w:val="24"/>
          <w:szCs w:val="24"/>
        </w:rPr>
        <w:t xml:space="preserve">it </w:t>
      </w:r>
      <w:r w:rsidRPr="00602ECA">
        <w:rPr>
          <w:rFonts w:ascii="Times New Roman" w:hAnsi="Times New Roman" w:cs="Times New Roman"/>
          <w:sz w:val="24"/>
          <w:szCs w:val="24"/>
        </w:rPr>
        <w:t>as a centre of progressive protest by acts of omission.  For example, February 1827 witnessed a series of meetings involving silk-weavers, shipwrights, sawyers, printers, watchmakers, bookbinders, coopers and brass-founders taking place at the ‘Golden Lion’ in West Smithfield.</w:t>
      </w:r>
      <w:r w:rsidRPr="00602ECA">
        <w:rPr>
          <w:rStyle w:val="FootnoteReference"/>
          <w:rFonts w:ascii="Times New Roman" w:hAnsi="Times New Roman" w:cs="Times New Roman"/>
          <w:sz w:val="24"/>
          <w:szCs w:val="24"/>
        </w:rPr>
        <w:footnoteReference w:id="938"/>
      </w:r>
      <w:r w:rsidRPr="00602ECA">
        <w:rPr>
          <w:rFonts w:ascii="Times New Roman" w:hAnsi="Times New Roman" w:cs="Times New Roman"/>
          <w:sz w:val="24"/>
          <w:szCs w:val="24"/>
        </w:rPr>
        <w:t xml:space="preserve">  There are many tavern scenes in volume three of </w:t>
      </w:r>
      <w:r w:rsidRPr="00602ECA">
        <w:rPr>
          <w:rFonts w:ascii="Times New Roman" w:hAnsi="Times New Roman" w:cs="Times New Roman"/>
          <w:i/>
          <w:sz w:val="24"/>
          <w:szCs w:val="24"/>
        </w:rPr>
        <w:t>The Mysteries of London</w:t>
      </w:r>
      <w:r w:rsidRPr="00602ECA">
        <w:rPr>
          <w:rFonts w:ascii="Times New Roman" w:hAnsi="Times New Roman" w:cs="Times New Roman"/>
          <w:sz w:val="24"/>
          <w:szCs w:val="24"/>
        </w:rPr>
        <w:t xml:space="preserve"> which covers this year but none contain </w:t>
      </w:r>
      <w:r w:rsidR="00DF7B4F" w:rsidRPr="00602ECA">
        <w:rPr>
          <w:rFonts w:ascii="Times New Roman" w:hAnsi="Times New Roman" w:cs="Times New Roman"/>
          <w:sz w:val="24"/>
          <w:szCs w:val="24"/>
        </w:rPr>
        <w:t>such</w:t>
      </w:r>
      <w:r w:rsidRPr="00602ECA">
        <w:rPr>
          <w:rFonts w:ascii="Times New Roman" w:hAnsi="Times New Roman" w:cs="Times New Roman"/>
          <w:sz w:val="24"/>
          <w:szCs w:val="24"/>
        </w:rPr>
        <w:t xml:space="preserve"> activity</w:t>
      </w:r>
      <w:r w:rsidR="009C2CB1" w:rsidRPr="00602ECA">
        <w:rPr>
          <w:rFonts w:ascii="Times New Roman" w:hAnsi="Times New Roman" w:cs="Times New Roman"/>
          <w:sz w:val="24"/>
          <w:szCs w:val="24"/>
        </w:rPr>
        <w:t>,</w:t>
      </w:r>
      <w:r w:rsidRPr="00602ECA">
        <w:rPr>
          <w:rFonts w:ascii="Times New Roman" w:hAnsi="Times New Roman" w:cs="Times New Roman"/>
          <w:sz w:val="24"/>
          <w:szCs w:val="24"/>
        </w:rPr>
        <w:t xml:space="preserve"> </w:t>
      </w:r>
      <w:r w:rsidR="002D452E" w:rsidRPr="00602ECA">
        <w:rPr>
          <w:rFonts w:ascii="Times New Roman" w:hAnsi="Times New Roman" w:cs="Times New Roman"/>
          <w:sz w:val="24"/>
          <w:szCs w:val="24"/>
        </w:rPr>
        <w:t>highlighting</w:t>
      </w:r>
      <w:r w:rsidRPr="00602ECA">
        <w:rPr>
          <w:rFonts w:ascii="Times New Roman" w:hAnsi="Times New Roman" w:cs="Times New Roman"/>
          <w:sz w:val="24"/>
          <w:szCs w:val="24"/>
        </w:rPr>
        <w:t xml:space="preserve"> </w:t>
      </w:r>
      <w:r w:rsidR="00406995" w:rsidRPr="00602ECA">
        <w:rPr>
          <w:rFonts w:ascii="Times New Roman" w:hAnsi="Times New Roman" w:cs="Times New Roman"/>
          <w:sz w:val="24"/>
          <w:szCs w:val="24"/>
        </w:rPr>
        <w:t>instead</w:t>
      </w:r>
      <w:r w:rsidR="002D452E" w:rsidRPr="00602ECA">
        <w:rPr>
          <w:rFonts w:ascii="Times New Roman" w:hAnsi="Times New Roman" w:cs="Times New Roman"/>
          <w:sz w:val="24"/>
          <w:szCs w:val="24"/>
        </w:rPr>
        <w:t xml:space="preserve"> </w:t>
      </w:r>
      <w:r w:rsidRPr="00602ECA">
        <w:rPr>
          <w:rFonts w:ascii="Times New Roman" w:hAnsi="Times New Roman" w:cs="Times New Roman"/>
          <w:sz w:val="24"/>
          <w:szCs w:val="24"/>
        </w:rPr>
        <w:t>the complaints and criminal scheming of the dangerous</w:t>
      </w:r>
      <w:r w:rsidRPr="009331EF">
        <w:rPr>
          <w:rFonts w:ascii="Times New Roman" w:hAnsi="Times New Roman" w:cs="Times New Roman"/>
          <w:sz w:val="24"/>
          <w:szCs w:val="24"/>
        </w:rPr>
        <w:t xml:space="preserve"> classes.</w:t>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One notable exception occurs towards the end of volume four of the series, by which time Reynolds had participated in the Chartist movement and seemingly modified his teetotal views.</w:t>
      </w:r>
      <w:r w:rsidRPr="009331EF">
        <w:rPr>
          <w:rStyle w:val="FootnoteReference"/>
          <w:rFonts w:ascii="Times New Roman" w:hAnsi="Times New Roman" w:cs="Times New Roman"/>
          <w:sz w:val="24"/>
          <w:szCs w:val="24"/>
        </w:rPr>
        <w:footnoteReference w:id="939"/>
      </w:r>
      <w:r w:rsidRPr="009331EF">
        <w:rPr>
          <w:rFonts w:ascii="Times New Roman" w:hAnsi="Times New Roman" w:cs="Times New Roman"/>
          <w:sz w:val="24"/>
          <w:szCs w:val="24"/>
        </w:rPr>
        <w:t xml:space="preserve">  A scene at the ‘Bengal Arms’ forms an unexpected interlude during the ramble of Jack Rily and Vitriol Bob through central London before their fatal combat at Shooter’s Hill.  From a commercial angle, it is possible Reynolds felt it necessary to disrupt the wanderings of the two villains which</w:t>
      </w:r>
      <w:r w:rsidRPr="009331EF">
        <w:rPr>
          <w:rFonts w:ascii="Times New Roman" w:hAnsi="Times New Roman" w:cs="Times New Roman"/>
          <w:b/>
          <w:sz w:val="24"/>
          <w:szCs w:val="24"/>
        </w:rPr>
        <w:t xml:space="preserve"> </w:t>
      </w:r>
      <w:r w:rsidRPr="009331EF">
        <w:rPr>
          <w:rFonts w:ascii="Times New Roman" w:hAnsi="Times New Roman" w:cs="Times New Roman"/>
          <w:sz w:val="24"/>
          <w:szCs w:val="24"/>
        </w:rPr>
        <w:t>had extended over several pages.  If so, he used the textual space provided to demonstrate how advanced political perspectives were now voiced in the public house, emphasised by the tavern interior being used to illustrate the weekly number (See Appendix J):</w:t>
      </w:r>
    </w:p>
    <w:p w:rsidR="00422D80" w:rsidRPr="009331EF" w:rsidRDefault="00422D80" w:rsidP="00422D80">
      <w:pPr>
        <w:spacing w:after="120" w:line="240" w:lineRule="auto"/>
        <w:ind w:left="720"/>
        <w:rPr>
          <w:rFonts w:ascii="Times New Roman" w:hAnsi="Times New Roman" w:cs="Times New Roman"/>
          <w:sz w:val="24"/>
          <w:szCs w:val="24"/>
        </w:rPr>
      </w:pPr>
      <w:r w:rsidRPr="009331EF">
        <w:rPr>
          <w:rFonts w:ascii="Times New Roman" w:hAnsi="Times New Roman" w:cs="Times New Roman"/>
          <w:sz w:val="24"/>
          <w:szCs w:val="24"/>
        </w:rPr>
        <w:t>It is always filled with a motley assembly of guests; and ale is the beverage most in request—while to one who indulges in a cigar, at least ten patronise the unaffected enjoyment of the clay-pipe.</w:t>
      </w:r>
    </w:p>
    <w:p w:rsidR="00422D80" w:rsidRPr="009331EF" w:rsidRDefault="00422D80" w:rsidP="00422D80">
      <w:pPr>
        <w:spacing w:after="240" w:line="240" w:lineRule="auto"/>
        <w:ind w:left="720" w:firstLine="340"/>
        <w:rPr>
          <w:rFonts w:ascii="Times New Roman" w:hAnsi="Times New Roman" w:cs="Times New Roman"/>
          <w:sz w:val="24"/>
          <w:szCs w:val="24"/>
        </w:rPr>
      </w:pPr>
      <w:r w:rsidRPr="009331EF">
        <w:rPr>
          <w:rFonts w:ascii="Times New Roman" w:hAnsi="Times New Roman" w:cs="Times New Roman"/>
          <w:sz w:val="24"/>
          <w:szCs w:val="24"/>
        </w:rPr>
        <w:t>On the present occasion the company was numerous: the tobacco-smoke hung like a dense mist in the place, the gas-burners showing dimly through the pestiferous haze;—and the heat was intense.</w:t>
      </w:r>
      <w:r w:rsidRPr="009331EF">
        <w:rPr>
          <w:rStyle w:val="FootnoteReference"/>
          <w:rFonts w:ascii="Times New Roman" w:hAnsi="Times New Roman" w:cs="Times New Roman"/>
          <w:sz w:val="24"/>
          <w:szCs w:val="24"/>
        </w:rPr>
        <w:footnoteReference w:id="940"/>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 xml:space="preserve">Although there is a ‘pestiferous haze’ and a broken pipe is shown strewn across the floor, the description is less critical than usual.  The term ‘motley assembly’ is </w:t>
      </w:r>
      <w:r w:rsidRPr="00602ECA">
        <w:rPr>
          <w:rFonts w:ascii="Times New Roman" w:hAnsi="Times New Roman" w:cs="Times New Roman"/>
          <w:sz w:val="24"/>
          <w:szCs w:val="24"/>
        </w:rPr>
        <w:t xml:space="preserve">not </w:t>
      </w:r>
      <w:r w:rsidR="000018C2" w:rsidRPr="00602ECA">
        <w:rPr>
          <w:rFonts w:ascii="Times New Roman" w:hAnsi="Times New Roman" w:cs="Times New Roman"/>
          <w:sz w:val="24"/>
          <w:szCs w:val="24"/>
        </w:rPr>
        <w:t>as</w:t>
      </w:r>
      <w:r w:rsidRPr="00602ECA">
        <w:rPr>
          <w:rFonts w:ascii="Times New Roman" w:hAnsi="Times New Roman" w:cs="Times New Roman"/>
          <w:sz w:val="24"/>
          <w:szCs w:val="24"/>
        </w:rPr>
        <w:t xml:space="preserve"> pejorative</w:t>
      </w:r>
      <w:r w:rsidRPr="009331EF">
        <w:rPr>
          <w:rFonts w:ascii="Times New Roman" w:hAnsi="Times New Roman" w:cs="Times New Roman"/>
          <w:sz w:val="24"/>
          <w:szCs w:val="24"/>
        </w:rPr>
        <w:t xml:space="preserve"> as that used for those frequenting the ‘Stout House’ whose language ‘would have engendered a pestilence’.</w:t>
      </w:r>
      <w:r w:rsidRPr="009331EF">
        <w:rPr>
          <w:rStyle w:val="FootnoteReference"/>
          <w:rFonts w:ascii="Times New Roman" w:hAnsi="Times New Roman" w:cs="Times New Roman"/>
          <w:sz w:val="24"/>
          <w:szCs w:val="24"/>
        </w:rPr>
        <w:footnoteReference w:id="941"/>
      </w:r>
      <w:r w:rsidRPr="009331EF">
        <w:rPr>
          <w:rFonts w:ascii="Times New Roman" w:hAnsi="Times New Roman" w:cs="Times New Roman"/>
          <w:sz w:val="24"/>
          <w:szCs w:val="24"/>
        </w:rPr>
        <w:t xml:space="preserve">  Similarly, the phrase ‘unaffected enjoyment of the clay-pipe’ is more innocent sounding than when men light up at Saffron Hill and the pub is ‘impregnated with the narcotic fumes of the strongest and worst tobacco—that bastard opium of the poor’.</w:t>
      </w:r>
      <w:r w:rsidRPr="009331EF">
        <w:rPr>
          <w:rStyle w:val="FootnoteReference"/>
          <w:rFonts w:ascii="Times New Roman" w:hAnsi="Times New Roman" w:cs="Times New Roman"/>
          <w:sz w:val="24"/>
          <w:szCs w:val="24"/>
        </w:rPr>
        <w:footnoteReference w:id="942"/>
      </w:r>
      <w:r w:rsidRPr="009331EF">
        <w:rPr>
          <w:rFonts w:ascii="Times New Roman" w:hAnsi="Times New Roman" w:cs="Times New Roman"/>
          <w:sz w:val="24"/>
          <w:szCs w:val="24"/>
        </w:rPr>
        <w:t xml:space="preserve">  In the ‘Bengal Arms’, focus is placed upon the dispute between a ‘traditionalist’, a ‘little, stout, </w:t>
      </w:r>
      <w:r w:rsidRPr="009331EF">
        <w:rPr>
          <w:rFonts w:ascii="Times New Roman" w:hAnsi="Times New Roman" w:cs="Times New Roman"/>
          <w:sz w:val="24"/>
          <w:szCs w:val="24"/>
        </w:rPr>
        <w:lastRenderedPageBreak/>
        <w:t>podgy individual, with a bald head and a round, red, good-humoured countenance’ and a ‘tall, thin, sallow-faced individual with radical views’.</w:t>
      </w:r>
      <w:r w:rsidRPr="009331EF">
        <w:rPr>
          <w:rStyle w:val="FootnoteReference"/>
          <w:rFonts w:ascii="Times New Roman" w:hAnsi="Times New Roman" w:cs="Times New Roman"/>
          <w:sz w:val="24"/>
          <w:szCs w:val="24"/>
        </w:rPr>
        <w:footnoteReference w:id="943"/>
      </w:r>
      <w:r w:rsidRPr="009331EF">
        <w:rPr>
          <w:rFonts w:ascii="Times New Roman" w:hAnsi="Times New Roman" w:cs="Times New Roman"/>
          <w:sz w:val="24"/>
          <w:szCs w:val="24"/>
        </w:rPr>
        <w:t xml:space="preserve">  The latter overwhelms his conservative-minded opponent, by attacking the abuses of City dignitaries, the monarchy and aristocracy.  What Reynolds terms the ‘truth’ and ‘justice’ of his words are accepted by those listening, suggesting such opinions are now commonplace.  Also significant about the altercation is that the sallow-faced man makes no attempt to be courteous, striking the table with a clenched fist, calling his opponent a fool and regarding him with contempt, entirely at odds with the conduct associated with independent respectability.  The illustration accentuates his roughness, shabby dress and aggressive manner, </w:t>
      </w:r>
      <w:r w:rsidRPr="00602ECA">
        <w:rPr>
          <w:rFonts w:ascii="Times New Roman" w:hAnsi="Times New Roman" w:cs="Times New Roman"/>
          <w:sz w:val="24"/>
          <w:szCs w:val="24"/>
        </w:rPr>
        <w:t xml:space="preserve">glaring with arm stretched </w:t>
      </w:r>
      <w:r w:rsidR="000018C2" w:rsidRPr="00602ECA">
        <w:rPr>
          <w:rFonts w:ascii="Times New Roman" w:hAnsi="Times New Roman" w:cs="Times New Roman"/>
          <w:sz w:val="24"/>
          <w:szCs w:val="24"/>
        </w:rPr>
        <w:t xml:space="preserve">threateningly </w:t>
      </w:r>
      <w:r w:rsidRPr="00602ECA">
        <w:rPr>
          <w:rFonts w:ascii="Times New Roman" w:hAnsi="Times New Roman" w:cs="Times New Roman"/>
          <w:sz w:val="24"/>
          <w:szCs w:val="24"/>
        </w:rPr>
        <w:t>across the table.  Reynolds may have been influenced by Chartist audiences who did not</w:t>
      </w:r>
      <w:r w:rsidRPr="009331EF">
        <w:rPr>
          <w:rFonts w:ascii="Times New Roman" w:hAnsi="Times New Roman" w:cs="Times New Roman"/>
          <w:sz w:val="24"/>
          <w:szCs w:val="24"/>
        </w:rPr>
        <w:t xml:space="preserve"> sit easily alongside the </w:t>
      </w:r>
      <w:r w:rsidRPr="009331EF">
        <w:rPr>
          <w:rFonts w:ascii="Times New Roman" w:hAnsi="Times New Roman" w:cs="Times New Roman"/>
          <w:bCs/>
          <w:sz w:val="24"/>
          <w:szCs w:val="24"/>
        </w:rPr>
        <w:t>sober teetotal gatherings</w:t>
      </w:r>
      <w:r w:rsidRPr="009331EF">
        <w:rPr>
          <w:rFonts w:ascii="Times New Roman" w:hAnsi="Times New Roman" w:cs="Times New Roman"/>
          <w:sz w:val="24"/>
          <w:szCs w:val="24"/>
        </w:rPr>
        <w:t xml:space="preserve"> he had spoken to during 1840–41.  Additionally, fellow-leaders such as Feargus O’Connor were notable for provocative oratory.  The ‘Bengal Arms’ scene acknowledges that well-considered, progressive theories were not restricted to the visually respectable sections of the industrious classes but extended to those for whom ‘rules of etiquette’ probably meant very little.  This point is reiterated as the discussion continues:</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The discourse was now taken up by several other individuals present, the bald-headed gentleman declining to pursue it farther; and the sallow-faced guest fearlessly and ably dissected the whole social and governmental system, concluding with an emphatic declaration that the community should agitate morally, but unweariedly, for those reforms which were so much needed.</w:t>
      </w:r>
      <w:r w:rsidRPr="009331EF">
        <w:rPr>
          <w:rStyle w:val="FootnoteReference"/>
          <w:rFonts w:ascii="Times New Roman" w:hAnsi="Times New Roman" w:cs="Times New Roman"/>
          <w:sz w:val="24"/>
          <w:szCs w:val="24"/>
        </w:rPr>
        <w:footnoteReference w:id="944"/>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 xml:space="preserve">Whereas William Pocock’s complaint in the ‘Dark House’ is highly emotive and the grievances of the dangerous classes in the boozing-kens are anecdotal and betray their psychological instability, the sallow-faced man’s arguments are factual and rational.  He speaks ‘succinctly’ and dissects social issues, demonstrating that the working classes are finding their voice and becoming intellectually enthused with political matters.  Importantly, the concluding call for moral agitation points to how aggressive manners do not automatically imply support for physical force strategies.  When several others join the debate, showing a similar ability to remain focused upon these topics, it reinforces the sense that a broader, more considered engagement with social issues is developing.  </w:t>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 xml:space="preserve">Despite the seeming concession to belligerent attitudes in the ‘Bengal Arms’, it remained central to Reynolds’s presentation that the independent respectability pervading the </w:t>
      </w:r>
      <w:r w:rsidRPr="009331EF">
        <w:rPr>
          <w:rFonts w:ascii="Times New Roman" w:hAnsi="Times New Roman" w:cs="Times New Roman"/>
          <w:sz w:val="24"/>
          <w:szCs w:val="24"/>
        </w:rPr>
        <w:lastRenderedPageBreak/>
        <w:t xml:space="preserve">protest of the industrious classes involved the decorum and propriety advanced by his </w:t>
      </w:r>
      <w:r w:rsidRPr="009331EF">
        <w:rPr>
          <w:rFonts w:ascii="Times New Roman" w:hAnsi="Times New Roman" w:cs="Times New Roman"/>
          <w:i/>
          <w:sz w:val="24"/>
          <w:szCs w:val="24"/>
        </w:rPr>
        <w:t>Teetotaler</w:t>
      </w:r>
      <w:r w:rsidRPr="009331EF">
        <w:rPr>
          <w:rFonts w:ascii="Times New Roman" w:hAnsi="Times New Roman" w:cs="Times New Roman"/>
          <w:sz w:val="24"/>
          <w:szCs w:val="24"/>
        </w:rPr>
        <w:t xml:space="preserve"> and </w:t>
      </w:r>
      <w:r w:rsidRPr="009331EF">
        <w:rPr>
          <w:rFonts w:ascii="Times New Roman" w:hAnsi="Times New Roman" w:cs="Times New Roman"/>
          <w:i/>
          <w:sz w:val="24"/>
          <w:szCs w:val="24"/>
        </w:rPr>
        <w:t>Miscellany</w:t>
      </w:r>
      <w:r w:rsidRPr="009331EF">
        <w:rPr>
          <w:rFonts w:ascii="Times New Roman" w:hAnsi="Times New Roman" w:cs="Times New Roman"/>
          <w:sz w:val="24"/>
          <w:szCs w:val="24"/>
        </w:rPr>
        <w:t xml:space="preserve"> articles.  A template for later depictions might have been the procession on 21 April </w:t>
      </w:r>
      <w:smartTag w:uri="urn:schemas-microsoft-com:office:smarttags" w:element="metricconverter">
        <w:smartTagPr>
          <w:attr w:name="ProductID" w:val="1834 in"/>
        </w:smartTagPr>
        <w:r w:rsidRPr="009331EF">
          <w:rPr>
            <w:rFonts w:ascii="Times New Roman" w:hAnsi="Times New Roman" w:cs="Times New Roman"/>
            <w:sz w:val="24"/>
            <w:szCs w:val="24"/>
          </w:rPr>
          <w:t>1834 in</w:t>
        </w:r>
      </w:smartTag>
      <w:r w:rsidRPr="009331EF">
        <w:rPr>
          <w:rFonts w:ascii="Times New Roman" w:hAnsi="Times New Roman" w:cs="Times New Roman"/>
          <w:sz w:val="24"/>
          <w:szCs w:val="24"/>
        </w:rPr>
        <w:t xml:space="preserve"> support of the Tolpuddle Martyrs with reports across the political spectrum noting its good behaviour</w:t>
      </w:r>
      <w:r w:rsidRPr="00602ECA">
        <w:rPr>
          <w:rFonts w:ascii="Times New Roman" w:hAnsi="Times New Roman" w:cs="Times New Roman"/>
          <w:sz w:val="24"/>
          <w:szCs w:val="24"/>
        </w:rPr>
        <w:t>.</w:t>
      </w:r>
      <w:r w:rsidRPr="00602ECA">
        <w:rPr>
          <w:rStyle w:val="FootnoteReference"/>
          <w:rFonts w:ascii="Times New Roman" w:hAnsi="Times New Roman" w:cs="Times New Roman"/>
          <w:sz w:val="24"/>
          <w:szCs w:val="24"/>
        </w:rPr>
        <w:footnoteReference w:id="945"/>
      </w:r>
      <w:r w:rsidRPr="00602ECA">
        <w:rPr>
          <w:rFonts w:ascii="Times New Roman" w:hAnsi="Times New Roman" w:cs="Times New Roman"/>
          <w:sz w:val="24"/>
          <w:szCs w:val="24"/>
        </w:rPr>
        <w:t xml:space="preserve">  </w:t>
      </w:r>
      <w:r w:rsidR="008D6F21" w:rsidRPr="00602ECA">
        <w:rPr>
          <w:rFonts w:ascii="Times New Roman" w:hAnsi="Times New Roman" w:cs="Times New Roman"/>
          <w:sz w:val="24"/>
          <w:szCs w:val="24"/>
        </w:rPr>
        <w:t>Although not</w:t>
      </w:r>
      <w:r w:rsidRPr="00602ECA">
        <w:rPr>
          <w:rFonts w:ascii="Times New Roman" w:hAnsi="Times New Roman" w:cs="Times New Roman"/>
          <w:sz w:val="24"/>
          <w:szCs w:val="24"/>
        </w:rPr>
        <w:t xml:space="preserve"> referring</w:t>
      </w:r>
      <w:r w:rsidRPr="009331EF">
        <w:rPr>
          <w:rFonts w:ascii="Times New Roman" w:hAnsi="Times New Roman" w:cs="Times New Roman"/>
          <w:sz w:val="24"/>
          <w:szCs w:val="24"/>
        </w:rPr>
        <w:t xml:space="preserve"> to the event, Reynolds argues such peaceful conduct could have progressive intent.  Iorwerth Prothero writes that the desire for respectability among radical artisans in the 1820s and 1830s led many to defend their status and challenge social structures in a manner that ‘could at times lead to ‘revolutionary’ conclusions’.</w:t>
      </w:r>
      <w:r w:rsidRPr="009331EF">
        <w:rPr>
          <w:rStyle w:val="FootnoteReference"/>
          <w:rFonts w:ascii="Times New Roman" w:hAnsi="Times New Roman" w:cs="Times New Roman"/>
          <w:sz w:val="24"/>
          <w:szCs w:val="24"/>
        </w:rPr>
        <w:footnoteReference w:id="946"/>
      </w:r>
      <w:r w:rsidRPr="009331EF">
        <w:rPr>
          <w:rFonts w:ascii="Times New Roman" w:hAnsi="Times New Roman" w:cs="Times New Roman"/>
          <w:sz w:val="24"/>
          <w:szCs w:val="24"/>
        </w:rPr>
        <w:t xml:space="preserve">  Henry Mayhew suggests this link when comparing ‘the skilled operative of the West-end to the unskilled workman of the Eastern quarter of London’, noting ‘the moral and intellectual change is so great that it seems as if we were in a new land among another race’.</w:t>
      </w:r>
      <w:r w:rsidRPr="009331EF">
        <w:rPr>
          <w:rStyle w:val="FootnoteReference"/>
          <w:rFonts w:ascii="Times New Roman" w:hAnsi="Times New Roman" w:cs="Times New Roman"/>
          <w:sz w:val="24"/>
          <w:szCs w:val="24"/>
        </w:rPr>
        <w:footnoteReference w:id="947"/>
      </w:r>
      <w:r w:rsidRPr="009331EF">
        <w:rPr>
          <w:rFonts w:ascii="Times New Roman" w:hAnsi="Times New Roman" w:cs="Times New Roman"/>
          <w:sz w:val="24"/>
          <w:szCs w:val="24"/>
        </w:rPr>
        <w:t xml:space="preserve">  For Mayhew this had profound implications, writing that the artisans ‘are almost to a man red-hot politicians’ with a strong sense of their importance in the State whereas unskilled labourers were ‘as unpolitical as footmen’ or tended to ‘lean towards the maintenance “of things as they are”’.</w:t>
      </w:r>
      <w:r w:rsidRPr="009331EF">
        <w:rPr>
          <w:rStyle w:val="FootnoteReference"/>
          <w:rFonts w:ascii="Times New Roman" w:hAnsi="Times New Roman" w:cs="Times New Roman"/>
          <w:sz w:val="24"/>
          <w:szCs w:val="24"/>
        </w:rPr>
        <w:footnoteReference w:id="948"/>
      </w:r>
      <w:r w:rsidRPr="009331EF">
        <w:rPr>
          <w:rFonts w:ascii="Times New Roman" w:hAnsi="Times New Roman" w:cs="Times New Roman"/>
          <w:sz w:val="24"/>
          <w:szCs w:val="24"/>
        </w:rPr>
        <w:t xml:space="preserve">  </w:t>
      </w:r>
      <w:r w:rsidR="00602ECA">
        <w:rPr>
          <w:rFonts w:ascii="Times New Roman" w:hAnsi="Times New Roman" w:cs="Times New Roman"/>
          <w:sz w:val="24"/>
          <w:szCs w:val="24"/>
        </w:rPr>
        <w:t>Belief in such ‘</w:t>
      </w:r>
      <w:r w:rsidRPr="009331EF">
        <w:rPr>
          <w:rFonts w:ascii="Times New Roman" w:hAnsi="Times New Roman" w:cs="Times New Roman"/>
          <w:sz w:val="24"/>
          <w:szCs w:val="24"/>
        </w:rPr>
        <w:t>respectability</w:t>
      </w:r>
      <w:r w:rsidR="00602ECA">
        <w:rPr>
          <w:rFonts w:ascii="Times New Roman" w:hAnsi="Times New Roman" w:cs="Times New Roman"/>
          <w:sz w:val="24"/>
          <w:szCs w:val="24"/>
        </w:rPr>
        <w:t>’</w:t>
      </w:r>
      <w:r w:rsidRPr="009331EF">
        <w:rPr>
          <w:rFonts w:ascii="Times New Roman" w:hAnsi="Times New Roman" w:cs="Times New Roman"/>
          <w:sz w:val="24"/>
          <w:szCs w:val="24"/>
        </w:rPr>
        <w:t xml:space="preserve"> leading to the advancement of the industrious classes allowed Reynolds to make confident assertions for the future: ‘Thank God, no despotism—no tyranny can arrest the progress of that mighty intellectual movement which is now perceptible amongst the industrious millions of these realms.’</w:t>
      </w:r>
      <w:r w:rsidRPr="009331EF">
        <w:rPr>
          <w:rStyle w:val="FootnoteReference"/>
          <w:rFonts w:ascii="Times New Roman" w:hAnsi="Times New Roman" w:cs="Times New Roman"/>
          <w:sz w:val="24"/>
          <w:szCs w:val="24"/>
        </w:rPr>
        <w:footnoteReference w:id="949"/>
      </w:r>
      <w:r w:rsidRPr="009331EF">
        <w:rPr>
          <w:rFonts w:ascii="Times New Roman" w:hAnsi="Times New Roman" w:cs="Times New Roman"/>
          <w:sz w:val="24"/>
          <w:szCs w:val="24"/>
        </w:rPr>
        <w:t xml:space="preserve">  Unconstrained by religious dogma or superstition, the aim was ‘to model the mind on the solid basis of Common Sense’.</w:t>
      </w:r>
      <w:r w:rsidRPr="009331EF">
        <w:rPr>
          <w:rStyle w:val="FootnoteReference"/>
          <w:rFonts w:ascii="Times New Roman" w:hAnsi="Times New Roman" w:cs="Times New Roman"/>
          <w:sz w:val="24"/>
          <w:szCs w:val="24"/>
        </w:rPr>
        <w:footnoteReference w:id="950"/>
      </w:r>
      <w:r w:rsidRPr="009331EF">
        <w:rPr>
          <w:rFonts w:ascii="Times New Roman" w:hAnsi="Times New Roman" w:cs="Times New Roman"/>
          <w:sz w:val="24"/>
          <w:szCs w:val="24"/>
        </w:rPr>
        <w:t xml:space="preserve">  Its embrace of the arts and sciences was particularly impressive since England had no system of national education, meaning this powerful movement was largely self-driven.  Reynolds conveys how growing enlightenment is infusing contemporary protest through the hostility of Eugene Markham towards his boot-maker:</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 xml:space="preserve">The scoundrel! he reads the </w:t>
      </w:r>
      <w:r w:rsidRPr="009331EF">
        <w:rPr>
          <w:rFonts w:ascii="Times New Roman" w:hAnsi="Times New Roman" w:cs="Times New Roman"/>
          <w:i/>
          <w:iCs/>
          <w:sz w:val="24"/>
          <w:szCs w:val="24"/>
        </w:rPr>
        <w:t>Dispatch</w:t>
      </w:r>
      <w:r w:rsidRPr="009331EF">
        <w:rPr>
          <w:rFonts w:ascii="Times New Roman" w:hAnsi="Times New Roman" w:cs="Times New Roman"/>
          <w:sz w:val="24"/>
          <w:szCs w:val="24"/>
        </w:rPr>
        <w:t xml:space="preserve">, does he?—the journal that possesses more influence over the masses than even pulpits, governments, sovereigns, or religious tracts!  The villain!  I always thought that man was a democrat at heart; because one day when I told him if he didn’t vote for the Tory Churchwarden he would lose my custom, he smiled—yes smiled!  And so he reads the </w:t>
      </w:r>
      <w:r w:rsidRPr="009331EF">
        <w:rPr>
          <w:rFonts w:ascii="Times New Roman" w:hAnsi="Times New Roman" w:cs="Times New Roman"/>
          <w:i/>
          <w:iCs/>
          <w:sz w:val="24"/>
          <w:szCs w:val="24"/>
        </w:rPr>
        <w:t>Dispatch</w:t>
      </w:r>
      <w:r w:rsidRPr="009331EF">
        <w:rPr>
          <w:rFonts w:ascii="Times New Roman" w:hAnsi="Times New Roman" w:cs="Times New Roman"/>
          <w:sz w:val="24"/>
          <w:szCs w:val="24"/>
        </w:rPr>
        <w:t xml:space="preserve">—the people’s </w:t>
      </w:r>
      <w:r w:rsidRPr="009331EF">
        <w:rPr>
          <w:rFonts w:ascii="Times New Roman" w:hAnsi="Times New Roman" w:cs="Times New Roman"/>
          <w:sz w:val="24"/>
          <w:szCs w:val="24"/>
        </w:rPr>
        <w:lastRenderedPageBreak/>
        <w:t>journal—the vehicle of all argument against our blessed constitution — the champion to which all who fancy themselves oppressed, fly as naturally as bees to flowers!</w:t>
      </w:r>
      <w:r w:rsidRPr="009331EF">
        <w:rPr>
          <w:rStyle w:val="FootnoteReference"/>
          <w:rFonts w:ascii="Times New Roman" w:hAnsi="Times New Roman" w:cs="Times New Roman"/>
          <w:sz w:val="24"/>
          <w:szCs w:val="24"/>
        </w:rPr>
        <w:footnoteReference w:id="951"/>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 xml:space="preserve">Eugene’s fury at the man smiling in his face points to the disdain of an artisan refusing to be cowed into political submission by those who give their custom.  The forthright rejection of being told whom he must vote for sees the respectable protest of Mary Price and Joseph Wilmot firmly linked to a democratic outlook.  Just as important, alongside the boot-maker stand the masses who read the </w:t>
      </w:r>
      <w:r w:rsidRPr="009331EF">
        <w:rPr>
          <w:rFonts w:ascii="Times New Roman" w:hAnsi="Times New Roman" w:cs="Times New Roman"/>
          <w:i/>
          <w:sz w:val="24"/>
          <w:szCs w:val="24"/>
        </w:rPr>
        <w:t>Dispatch</w:t>
      </w:r>
      <w:r w:rsidRPr="009331EF">
        <w:rPr>
          <w:rFonts w:ascii="Times New Roman" w:hAnsi="Times New Roman" w:cs="Times New Roman"/>
          <w:sz w:val="24"/>
          <w:szCs w:val="24"/>
        </w:rPr>
        <w:t>.  Eugene not only acknowledges the paper’s great influence but that people are attracted to it as their freely chosen source of information, making its radicalism a reflection of their natural inclinations and pointing to the existence of widespread oppositional sentiment.</w:t>
      </w:r>
      <w:r w:rsidRPr="009331EF">
        <w:rPr>
          <w:rStyle w:val="FootnoteReference"/>
          <w:rFonts w:ascii="Times New Roman" w:hAnsi="Times New Roman" w:cs="Times New Roman"/>
          <w:sz w:val="24"/>
          <w:szCs w:val="24"/>
        </w:rPr>
        <w:footnoteReference w:id="952"/>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This suggests why Reynolds handles mass protest in England rather differently to that on the Continent where he took a more relaxed attitude towards the use of physical force, highlighted by frequent praise of France’s struggles for liberty since the late-eighteenth century.  Many saw this as part of his Francophile attitudes and led to accusations of his supporting French manners and customs as a means of degrading ‘Englishness’.</w:t>
      </w:r>
      <w:r w:rsidRPr="009331EF">
        <w:rPr>
          <w:rStyle w:val="FootnoteReference"/>
          <w:rFonts w:ascii="Times New Roman" w:hAnsi="Times New Roman" w:cs="Times New Roman"/>
          <w:sz w:val="24"/>
          <w:szCs w:val="24"/>
        </w:rPr>
        <w:footnoteReference w:id="953"/>
      </w:r>
      <w:r w:rsidRPr="009331EF">
        <w:rPr>
          <w:rFonts w:ascii="Times New Roman" w:hAnsi="Times New Roman" w:cs="Times New Roman"/>
          <w:sz w:val="24"/>
          <w:szCs w:val="24"/>
        </w:rPr>
        <w:t xml:space="preserve">  However, Reynolds’s enthusiasm was due to regarding such methods as the only possible way to combat continental tyranny, as in </w:t>
      </w:r>
      <w:r w:rsidRPr="009331EF">
        <w:rPr>
          <w:rFonts w:ascii="Times New Roman" w:hAnsi="Times New Roman" w:cs="Times New Roman"/>
          <w:i/>
          <w:sz w:val="24"/>
          <w:szCs w:val="24"/>
        </w:rPr>
        <w:t>The Mysteries of London</w:t>
      </w:r>
      <w:r w:rsidRPr="009331EF">
        <w:rPr>
          <w:rFonts w:ascii="Times New Roman" w:hAnsi="Times New Roman" w:cs="Times New Roman"/>
          <w:sz w:val="24"/>
          <w:szCs w:val="24"/>
        </w:rPr>
        <w:t xml:space="preserve"> when the overthrow of the despotic Angelo III is located in the fictional Italian state of Castelcicala.  With compromise impossible, Richard Markham is justified in leading the uprising which uses military means to overthrow a dictatorship that rests upon the support of foreign forces.</w:t>
      </w:r>
      <w:r w:rsidRPr="009331EF">
        <w:rPr>
          <w:rStyle w:val="FootnoteReference"/>
          <w:rFonts w:ascii="Times New Roman" w:hAnsi="Times New Roman" w:cs="Times New Roman"/>
          <w:sz w:val="24"/>
          <w:szCs w:val="24"/>
        </w:rPr>
        <w:footnoteReference w:id="954"/>
      </w:r>
      <w:r w:rsidRPr="009331EF">
        <w:rPr>
          <w:rFonts w:ascii="Times New Roman" w:hAnsi="Times New Roman" w:cs="Times New Roman"/>
          <w:sz w:val="24"/>
          <w:szCs w:val="24"/>
        </w:rPr>
        <w:t xml:space="preserve">  Reynolds’s later reaction to the 1848 February Revolution in France is in line with this perspective:</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 xml:space="preserve">We are averse to the exercise of physical force;—but France has shown that when moral agitation fails, violence </w:t>
      </w:r>
      <w:r w:rsidRPr="009331EF">
        <w:rPr>
          <w:rFonts w:ascii="Times New Roman" w:hAnsi="Times New Roman" w:cs="Times New Roman"/>
          <w:i/>
          <w:sz w:val="24"/>
          <w:szCs w:val="24"/>
        </w:rPr>
        <w:t>must</w:t>
      </w:r>
      <w:r w:rsidRPr="009331EF">
        <w:rPr>
          <w:rFonts w:ascii="Times New Roman" w:hAnsi="Times New Roman" w:cs="Times New Roman"/>
          <w:sz w:val="24"/>
          <w:szCs w:val="24"/>
        </w:rPr>
        <w:t xml:space="preserve"> be used; —and if freedom can be gained by the loss of a few drops of blood—why, then those drops of blood should be shed cheerfully.</w:t>
      </w:r>
      <w:r w:rsidRPr="009331EF">
        <w:rPr>
          <w:rStyle w:val="FootnoteReference"/>
          <w:rFonts w:ascii="Times New Roman" w:hAnsi="Times New Roman" w:cs="Times New Roman"/>
          <w:sz w:val="24"/>
          <w:szCs w:val="24"/>
        </w:rPr>
        <w:footnoteReference w:id="955"/>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lastRenderedPageBreak/>
        <w:t xml:space="preserve">He remains consistent that force is permissible against tyranny, while emphasising that it be </w:t>
      </w:r>
      <w:r w:rsidRPr="00D72C5F">
        <w:rPr>
          <w:rFonts w:ascii="Times New Roman" w:hAnsi="Times New Roman" w:cs="Times New Roman"/>
          <w:sz w:val="24"/>
          <w:szCs w:val="24"/>
        </w:rPr>
        <w:t xml:space="preserve">confined to </w:t>
      </w:r>
      <w:r w:rsidR="00D416C4" w:rsidRPr="00D72C5F">
        <w:rPr>
          <w:rFonts w:ascii="Times New Roman" w:hAnsi="Times New Roman" w:cs="Times New Roman"/>
          <w:sz w:val="24"/>
          <w:szCs w:val="24"/>
        </w:rPr>
        <w:t>places</w:t>
      </w:r>
      <w:r w:rsidRPr="00D72C5F">
        <w:rPr>
          <w:rFonts w:ascii="Times New Roman" w:hAnsi="Times New Roman" w:cs="Times New Roman"/>
          <w:sz w:val="24"/>
          <w:szCs w:val="24"/>
        </w:rPr>
        <w:t xml:space="preserve"> suffering</w:t>
      </w:r>
      <w:r w:rsidRPr="009331EF">
        <w:rPr>
          <w:rFonts w:ascii="Times New Roman" w:hAnsi="Times New Roman" w:cs="Times New Roman"/>
          <w:sz w:val="24"/>
          <w:szCs w:val="24"/>
        </w:rPr>
        <w:t xml:space="preserve"> autocratic rule as practised by the Austrian Kaiser and Muscovite Czar.</w:t>
      </w:r>
      <w:r w:rsidRPr="009331EF">
        <w:rPr>
          <w:rStyle w:val="FootnoteReference"/>
          <w:rFonts w:ascii="Times New Roman" w:hAnsi="Times New Roman" w:cs="Times New Roman"/>
          <w:sz w:val="24"/>
          <w:szCs w:val="24"/>
        </w:rPr>
        <w:footnoteReference w:id="956"/>
      </w:r>
      <w:r w:rsidRPr="009331EF">
        <w:rPr>
          <w:rFonts w:ascii="Times New Roman" w:hAnsi="Times New Roman" w:cs="Times New Roman"/>
          <w:sz w:val="24"/>
          <w:szCs w:val="24"/>
        </w:rPr>
        <w:t xml:space="preserve">  To dilute the implications of his words, he employs the understated phrase ‘the loss of a few drops of blood’.  Nevertheless, the parting comment that they be cheerfully accepted suggests a realistic approach towards the use of violence in these countries.</w:t>
      </w:r>
      <w:r w:rsidRPr="009331EF">
        <w:rPr>
          <w:rStyle w:val="FootnoteReference"/>
          <w:rFonts w:ascii="Times New Roman" w:hAnsi="Times New Roman" w:cs="Times New Roman"/>
          <w:sz w:val="24"/>
          <w:szCs w:val="24"/>
        </w:rPr>
        <w:footnoteReference w:id="957"/>
      </w:r>
      <w:r w:rsidRPr="009331EF">
        <w:rPr>
          <w:rFonts w:ascii="Times New Roman" w:hAnsi="Times New Roman" w:cs="Times New Roman"/>
          <w:sz w:val="24"/>
          <w:szCs w:val="24"/>
        </w:rPr>
        <w:t xml:space="preserve">  The words do, however, mark a shift in line with Reynolds’s political development, with their ready support for more radical uprisings, viewing the events of 1848 as being in the interest of French workers whereas those of 1830 had established bourgeois rule.</w:t>
      </w:r>
      <w:r w:rsidRPr="009331EF">
        <w:rPr>
          <w:rStyle w:val="FootnoteReference"/>
          <w:rFonts w:ascii="Times New Roman" w:hAnsi="Times New Roman" w:cs="Times New Roman"/>
          <w:sz w:val="24"/>
          <w:szCs w:val="24"/>
        </w:rPr>
        <w:footnoteReference w:id="958"/>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Another factor influencing Reynolds was the belief that violent protest was in keeping with the continental character.  When Alfred de Rosann daringly takes part in a duel it is presented as signifying a national trait:</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It is in this particular point that the Frenchman differs so materially from the Englishman; not that the discrepancy consists in the courage of the one, and the cowardice of the other, because such an assertion would be ridiculous and false in the extreme.  An Englishman is as brave as a Frenchman; but the valour of the former is mingled with caution and prudence, and the dauntlessness of the latter is blind, and indifferent to consequences.  Thus was it, that often on the field of battle the magnanimity and lion-daring of the sons of Gaul were rendered unavailing, and necessitated to succumb, by the cool and calculating courage of those who fought under the British standard.  The Frenchman is all vivacity and rashness; he is like the mettled steed that hears the bugle of the huntsman and the howling of the dog; he often experiences defeat and disgrace, by aiming at impossibilities in a moment of excitement: he rushes headlong upon the bayonet, and does not wait to wrest it from the enemy’s grasp.</w:t>
      </w:r>
      <w:r w:rsidRPr="009331EF">
        <w:rPr>
          <w:rStyle w:val="FootnoteReference"/>
          <w:rFonts w:ascii="Times New Roman" w:hAnsi="Times New Roman" w:cs="Times New Roman"/>
          <w:sz w:val="24"/>
          <w:szCs w:val="24"/>
        </w:rPr>
        <w:footnoteReference w:id="959"/>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 xml:space="preserve">In the novel, Reynolds praises the courage displayed by Parisians during the 1830 Revolution but here there is ambiguity.  He divides the excitable French from the sober English, dismissing as ‘ridiculous’ any idea that the former are braver.  </w:t>
      </w:r>
      <w:r w:rsidRPr="00D72C5F">
        <w:rPr>
          <w:rFonts w:ascii="Times New Roman" w:hAnsi="Times New Roman" w:cs="Times New Roman"/>
          <w:sz w:val="24"/>
          <w:szCs w:val="24"/>
        </w:rPr>
        <w:t xml:space="preserve">The phrases ‘blind and indifferent’, ‘vivacity and rashness’, and ‘rushes headlong’ repeatedly suggest </w:t>
      </w:r>
      <w:r w:rsidR="00D416C4" w:rsidRPr="00D72C5F">
        <w:rPr>
          <w:rFonts w:ascii="Times New Roman" w:hAnsi="Times New Roman" w:cs="Times New Roman"/>
          <w:sz w:val="24"/>
          <w:szCs w:val="24"/>
        </w:rPr>
        <w:t xml:space="preserve">a </w:t>
      </w:r>
      <w:r w:rsidRPr="00D72C5F">
        <w:rPr>
          <w:rFonts w:ascii="Times New Roman" w:hAnsi="Times New Roman" w:cs="Times New Roman"/>
          <w:sz w:val="24"/>
          <w:szCs w:val="24"/>
        </w:rPr>
        <w:t xml:space="preserve">boldness </w:t>
      </w:r>
      <w:r w:rsidR="00D416C4" w:rsidRPr="00D72C5F">
        <w:rPr>
          <w:rFonts w:ascii="Times New Roman" w:hAnsi="Times New Roman" w:cs="Times New Roman"/>
          <w:sz w:val="24"/>
          <w:szCs w:val="24"/>
        </w:rPr>
        <w:t xml:space="preserve">emanating </w:t>
      </w:r>
      <w:r w:rsidRPr="00D72C5F">
        <w:rPr>
          <w:rFonts w:ascii="Times New Roman" w:hAnsi="Times New Roman" w:cs="Times New Roman"/>
          <w:sz w:val="24"/>
          <w:szCs w:val="24"/>
        </w:rPr>
        <w:t xml:space="preserve">from lack of thought and a reckless activity </w:t>
      </w:r>
      <w:r w:rsidR="00EC07ED" w:rsidRPr="00D72C5F">
        <w:rPr>
          <w:rFonts w:ascii="Times New Roman" w:hAnsi="Times New Roman" w:cs="Times New Roman"/>
          <w:sz w:val="24"/>
          <w:szCs w:val="24"/>
        </w:rPr>
        <w:t xml:space="preserve">that </w:t>
      </w:r>
      <w:r w:rsidRPr="00D72C5F">
        <w:rPr>
          <w:rFonts w:ascii="Times New Roman" w:hAnsi="Times New Roman" w:cs="Times New Roman"/>
          <w:sz w:val="24"/>
          <w:szCs w:val="24"/>
        </w:rPr>
        <w:t>lea</w:t>
      </w:r>
      <w:r w:rsidR="00EC07ED" w:rsidRPr="00D72C5F">
        <w:rPr>
          <w:rFonts w:ascii="Times New Roman" w:hAnsi="Times New Roman" w:cs="Times New Roman"/>
          <w:sz w:val="24"/>
          <w:szCs w:val="24"/>
        </w:rPr>
        <w:t>ds</w:t>
      </w:r>
      <w:r w:rsidRPr="00D72C5F">
        <w:rPr>
          <w:rFonts w:ascii="Times New Roman" w:hAnsi="Times New Roman" w:cs="Times New Roman"/>
          <w:sz w:val="24"/>
          <w:szCs w:val="24"/>
        </w:rPr>
        <w:t xml:space="preserve"> to ‘defeat</w:t>
      </w:r>
      <w:r w:rsidRPr="009331EF">
        <w:rPr>
          <w:rFonts w:ascii="Times New Roman" w:hAnsi="Times New Roman" w:cs="Times New Roman"/>
          <w:sz w:val="24"/>
          <w:szCs w:val="24"/>
        </w:rPr>
        <w:t xml:space="preserve"> and disgrace’.  In contrast, the English are associated with ‘caution and prudence’ and ‘cool and calculating courage’, exemplified by calmness on the battlefield where they are not carried away aiming </w:t>
      </w:r>
      <w:r w:rsidRPr="009331EF">
        <w:rPr>
          <w:rFonts w:ascii="Times New Roman" w:hAnsi="Times New Roman" w:cs="Times New Roman"/>
          <w:sz w:val="24"/>
          <w:szCs w:val="24"/>
        </w:rPr>
        <w:lastRenderedPageBreak/>
        <w:t>for ‘impossibilities’.  They do not lack courage but are more thoughtful in their methods.  Reynolds was not alone in applying this view to social struggles.  Engels also argued for the bravery of English workers, while acknowledging they were not as overtly political in attempting to overthrow governments.  Acquiescence to oppressive rule was only superficial and beneath a calm exterior they were equally restless with a courage ‘second to none’.</w:t>
      </w:r>
      <w:r w:rsidRPr="009331EF">
        <w:rPr>
          <w:rStyle w:val="FootnoteReference"/>
          <w:rFonts w:ascii="Times New Roman" w:hAnsi="Times New Roman" w:cs="Times New Roman"/>
          <w:sz w:val="24"/>
          <w:szCs w:val="24"/>
        </w:rPr>
        <w:footnoteReference w:id="960"/>
      </w:r>
      <w:r w:rsidRPr="009331EF">
        <w:rPr>
          <w:rFonts w:ascii="Times New Roman" w:hAnsi="Times New Roman" w:cs="Times New Roman"/>
          <w:sz w:val="24"/>
          <w:szCs w:val="24"/>
        </w:rPr>
        <w:t xml:space="preserve">  The rejection of violence was no indication of inability to fight for their rights.</w:t>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This points to why when Reynolds discusses protest in relation to contemporary events it is generally their ‘English’ not ‘continental’ characteristics that are praised.  It is apparent in his treatment of the 1848 anti-income tax demonstration in Trafalgar Square, which sees him downplay the presence of violent or carnivalesque elements through paratextual insertions.</w:t>
      </w:r>
      <w:r w:rsidRPr="009331EF">
        <w:rPr>
          <w:rStyle w:val="FootnoteReference"/>
          <w:rFonts w:ascii="Times New Roman" w:hAnsi="Times New Roman" w:cs="Times New Roman"/>
          <w:sz w:val="24"/>
          <w:szCs w:val="24"/>
        </w:rPr>
        <w:footnoteReference w:id="961"/>
      </w:r>
      <w:r w:rsidRPr="009331EF">
        <w:rPr>
          <w:rFonts w:ascii="Times New Roman" w:hAnsi="Times New Roman" w:cs="Times New Roman"/>
          <w:sz w:val="24"/>
          <w:szCs w:val="24"/>
        </w:rPr>
        <w:t xml:space="preserve">  The lengthy accompanying footnote, extracted from the </w:t>
      </w:r>
      <w:r w:rsidRPr="009331EF">
        <w:rPr>
          <w:rFonts w:ascii="Times New Roman" w:hAnsi="Times New Roman" w:cs="Times New Roman"/>
          <w:i/>
          <w:sz w:val="24"/>
          <w:szCs w:val="24"/>
        </w:rPr>
        <w:t>Constitutionel</w:t>
      </w:r>
      <w:r w:rsidRPr="009331EF">
        <w:rPr>
          <w:rFonts w:ascii="Times New Roman" w:hAnsi="Times New Roman" w:cs="Times New Roman"/>
          <w:sz w:val="24"/>
          <w:szCs w:val="24"/>
        </w:rPr>
        <w:t xml:space="preserve"> newspaper, refers to the recent February uprising in France.  An introductory comment gives a proletarian slant to proceedings by referring to the ‘noble conduct of the Parisian operatives’, before moving to a laudatory account of the events:</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The apartment of the Duke de Nemours had alone been thrown into disorder, but nothing was taken away.  The apartments of the other members of the royal family remained intact.  Not a picture was touched in the saloons of the late Duke of Orleans, containing, as they did, a celebrated collection.</w:t>
      </w:r>
      <w:r w:rsidRPr="009331EF">
        <w:rPr>
          <w:rStyle w:val="FootnoteReference"/>
          <w:rFonts w:ascii="Times New Roman" w:hAnsi="Times New Roman" w:cs="Times New Roman"/>
          <w:sz w:val="24"/>
          <w:szCs w:val="24"/>
        </w:rPr>
        <w:footnoteReference w:id="962"/>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Reynolds uses the report to define the unrest by traits of honesty and restraint, highlighting how the masses spurn the fabulous wealth of an avowed enemy that is suddenly made available to them.</w:t>
      </w:r>
      <w:r w:rsidRPr="009331EF">
        <w:rPr>
          <w:rStyle w:val="FootnoteReference"/>
          <w:rFonts w:ascii="Times New Roman" w:hAnsi="Times New Roman" w:cs="Times New Roman"/>
          <w:sz w:val="24"/>
          <w:szCs w:val="24"/>
        </w:rPr>
        <w:footnoteReference w:id="963"/>
      </w:r>
      <w:r w:rsidRPr="009331EF">
        <w:rPr>
          <w:rFonts w:ascii="Times New Roman" w:hAnsi="Times New Roman" w:cs="Times New Roman"/>
          <w:sz w:val="24"/>
          <w:szCs w:val="24"/>
        </w:rPr>
        <w:t xml:space="preserve">  This is followed immediately by a footnoted extract from the </w:t>
      </w:r>
      <w:r w:rsidRPr="009331EF">
        <w:rPr>
          <w:rFonts w:ascii="Times New Roman" w:hAnsi="Times New Roman" w:cs="Times New Roman"/>
          <w:i/>
          <w:sz w:val="24"/>
          <w:szCs w:val="24"/>
        </w:rPr>
        <w:t>London Telegraph</w:t>
      </w:r>
      <w:r w:rsidRPr="009331EF">
        <w:rPr>
          <w:rFonts w:ascii="Times New Roman" w:hAnsi="Times New Roman" w:cs="Times New Roman"/>
          <w:sz w:val="24"/>
          <w:szCs w:val="24"/>
        </w:rPr>
        <w:t xml:space="preserve"> quoting his speech at Trafalgar Square, which in calling for opposition to ‘oppressive taxation’ stresses the importance of peaceful behaviour and that ‘there be no disturbance’.</w:t>
      </w:r>
      <w:r w:rsidRPr="009331EF">
        <w:rPr>
          <w:rStyle w:val="FootnoteReference"/>
          <w:rFonts w:ascii="Times New Roman" w:hAnsi="Times New Roman" w:cs="Times New Roman"/>
          <w:sz w:val="24"/>
          <w:szCs w:val="24"/>
        </w:rPr>
        <w:footnoteReference w:id="964"/>
      </w:r>
      <w:r w:rsidRPr="009331EF">
        <w:rPr>
          <w:rFonts w:ascii="Times New Roman" w:hAnsi="Times New Roman" w:cs="Times New Roman"/>
          <w:sz w:val="24"/>
          <w:szCs w:val="24"/>
        </w:rPr>
        <w:t xml:space="preserve">  The reports are accompanied by a lengthy narrative digression which merges </w:t>
      </w:r>
      <w:r w:rsidRPr="009331EF">
        <w:rPr>
          <w:rFonts w:ascii="Times New Roman" w:hAnsi="Times New Roman" w:cs="Times New Roman"/>
          <w:sz w:val="24"/>
          <w:szCs w:val="24"/>
        </w:rPr>
        <w:lastRenderedPageBreak/>
        <w:t>commentary upon the recent uprisings in Europe, particularly that in France against Louis-Philippe, with activities in England.  As Mary Shannon notes, both the digression and reports emphasise the need for moral force.</w:t>
      </w:r>
      <w:r w:rsidRPr="009331EF">
        <w:rPr>
          <w:rStyle w:val="FootnoteReference"/>
          <w:rFonts w:ascii="Times New Roman" w:hAnsi="Times New Roman" w:cs="Times New Roman"/>
          <w:sz w:val="24"/>
          <w:szCs w:val="24"/>
        </w:rPr>
        <w:footnoteReference w:id="965"/>
      </w:r>
      <w:r w:rsidRPr="009331EF">
        <w:rPr>
          <w:rFonts w:ascii="Times New Roman" w:hAnsi="Times New Roman" w:cs="Times New Roman"/>
          <w:sz w:val="24"/>
          <w:szCs w:val="24"/>
        </w:rPr>
        <w:t xml:space="preserve">  It becomes a test of resolve to show the authorities that ‘the working-classes of England could conduct themselves in a quiet orderly manner when met to discuss their wrongs’.</w:t>
      </w:r>
      <w:r w:rsidRPr="009331EF">
        <w:rPr>
          <w:rStyle w:val="FootnoteReference"/>
          <w:rFonts w:ascii="Times New Roman" w:hAnsi="Times New Roman" w:cs="Times New Roman"/>
          <w:sz w:val="24"/>
          <w:szCs w:val="24"/>
        </w:rPr>
        <w:footnoteReference w:id="966"/>
      </w:r>
      <w:r w:rsidRPr="009331EF">
        <w:rPr>
          <w:rFonts w:ascii="Times New Roman" w:hAnsi="Times New Roman" w:cs="Times New Roman"/>
          <w:sz w:val="24"/>
          <w:szCs w:val="24"/>
        </w:rPr>
        <w:t xml:space="preserve">  This does not prevent it from being a time for decisive action, as indicated by the concluding lines of the digression:</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 xml:space="preserve">The time has come when all true Reformers must band together for the public weal.  Let there be union,—union of all sects and parties, who are in favour of </w:t>
      </w:r>
      <w:r w:rsidRPr="009331EF">
        <w:rPr>
          <w:rFonts w:ascii="Times New Roman" w:hAnsi="Times New Roman" w:cs="Times New Roman"/>
          <w:i/>
          <w:sz w:val="24"/>
          <w:szCs w:val="24"/>
        </w:rPr>
        <w:t>progress</w:t>
      </w:r>
      <w:r w:rsidRPr="009331EF">
        <w:rPr>
          <w:rFonts w:ascii="Times New Roman" w:hAnsi="Times New Roman" w:cs="Times New Roman"/>
          <w:sz w:val="24"/>
          <w:szCs w:val="24"/>
        </w:rPr>
        <w:t>, no matter what their denomination may be,—whether Republicans, Radicals, Chartists, or Democrats.  ‘Union is Strength,’ says the proverb; and the truth thereof may be fully justified and borne out in the present age, and in the grand work of moral agitation for the People’s Rights.</w:t>
      </w:r>
      <w:r w:rsidRPr="009331EF">
        <w:rPr>
          <w:rStyle w:val="FootnoteReference"/>
          <w:rFonts w:ascii="Times New Roman" w:hAnsi="Times New Roman" w:cs="Times New Roman"/>
          <w:sz w:val="24"/>
          <w:szCs w:val="24"/>
        </w:rPr>
        <w:footnoteReference w:id="967"/>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 xml:space="preserve">Continuing the collaborative perspective of his </w:t>
      </w:r>
      <w:r w:rsidRPr="009331EF">
        <w:rPr>
          <w:rFonts w:ascii="Times New Roman" w:hAnsi="Times New Roman" w:cs="Times New Roman"/>
          <w:i/>
          <w:sz w:val="24"/>
          <w:szCs w:val="24"/>
        </w:rPr>
        <w:t>Teetotaler</w:t>
      </w:r>
      <w:r w:rsidRPr="009331EF">
        <w:rPr>
          <w:rFonts w:ascii="Times New Roman" w:hAnsi="Times New Roman" w:cs="Times New Roman"/>
          <w:sz w:val="24"/>
          <w:szCs w:val="24"/>
        </w:rPr>
        <w:t xml:space="preserve"> articles, stress is placed upon the need for union across radical sections of the industrious classes, seeking a broad consensus to avoid the excesses of what he saw as political fanaticism. It is perhaps no coincidence that in this English context, Socialists and Communists are not named in the progressive alliance.  Ambivalence towards the use of physical force made them unreliable partners when it came to abiding by the call for ‘moral agitation’.  There was no such reservation when commentary turned to the political situation in France where political despotism justified their methods.</w:t>
      </w:r>
      <w:r w:rsidRPr="009331EF">
        <w:rPr>
          <w:rStyle w:val="FootnoteReference"/>
          <w:rFonts w:ascii="Times New Roman" w:hAnsi="Times New Roman" w:cs="Times New Roman"/>
          <w:sz w:val="24"/>
          <w:szCs w:val="24"/>
        </w:rPr>
        <w:footnoteReference w:id="968"/>
      </w:r>
      <w:r w:rsidRPr="009331EF">
        <w:rPr>
          <w:rFonts w:ascii="Times New Roman" w:hAnsi="Times New Roman" w:cs="Times New Roman"/>
          <w:sz w:val="24"/>
          <w:szCs w:val="24"/>
        </w:rPr>
        <w:t xml:space="preserve">  By combining elements of the text in this way, Reynolds ably promotes his republican internationalism, suggesting that although situations differ, French and British workers are united through sharing an unblemished character.  Although the former may display a more </w:t>
      </w:r>
      <w:r w:rsidRPr="00EC07ED">
        <w:rPr>
          <w:rFonts w:ascii="Times New Roman" w:hAnsi="Times New Roman" w:cs="Times New Roman"/>
          <w:sz w:val="24"/>
          <w:szCs w:val="24"/>
        </w:rPr>
        <w:t xml:space="preserve">volatile </w:t>
      </w:r>
      <w:r w:rsidR="008D6F21" w:rsidRPr="00EC07ED">
        <w:rPr>
          <w:rFonts w:ascii="Times New Roman" w:hAnsi="Times New Roman" w:cs="Times New Roman"/>
          <w:sz w:val="24"/>
          <w:szCs w:val="24"/>
        </w:rPr>
        <w:t>temperament</w:t>
      </w:r>
      <w:r w:rsidRPr="00EC07ED">
        <w:rPr>
          <w:rFonts w:ascii="Times New Roman" w:hAnsi="Times New Roman" w:cs="Times New Roman"/>
          <w:sz w:val="24"/>
          <w:szCs w:val="24"/>
        </w:rPr>
        <w:t xml:space="preserve">, both will adopt peaceful </w:t>
      </w:r>
      <w:r w:rsidR="008D6F21" w:rsidRPr="00EC07ED">
        <w:rPr>
          <w:rFonts w:ascii="Times New Roman" w:hAnsi="Times New Roman" w:cs="Times New Roman"/>
          <w:sz w:val="24"/>
          <w:szCs w:val="24"/>
        </w:rPr>
        <w:t>types</w:t>
      </w:r>
      <w:r w:rsidRPr="00EC07ED">
        <w:rPr>
          <w:rFonts w:ascii="Times New Roman" w:hAnsi="Times New Roman" w:cs="Times New Roman"/>
          <w:sz w:val="24"/>
          <w:szCs w:val="24"/>
        </w:rPr>
        <w:t xml:space="preserve"> of protest</w:t>
      </w:r>
      <w:r w:rsidRPr="009331EF">
        <w:rPr>
          <w:rFonts w:ascii="Times New Roman" w:hAnsi="Times New Roman" w:cs="Times New Roman"/>
          <w:sz w:val="24"/>
          <w:szCs w:val="24"/>
        </w:rPr>
        <w:t xml:space="preserve"> if the opportunity arises.</w:t>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 xml:space="preserve">Ian Haywood writes how the contemporary press parodied the 1848 demonstration as a childish display of empty bravado, exemplified by a youth in French military regalia throwing stones and singing revolutionary songs only to surrender when confronted by authority: ‘The contested public space of Trafalgar Square […] is treated as a playground, a tom fool travesty of revolutionary agency and a comic distortion of what Bakhtin calls the </w:t>
      </w:r>
      <w:r w:rsidRPr="009331EF">
        <w:rPr>
          <w:rFonts w:ascii="Times New Roman" w:hAnsi="Times New Roman" w:cs="Times New Roman"/>
          <w:sz w:val="24"/>
          <w:szCs w:val="24"/>
        </w:rPr>
        <w:lastRenderedPageBreak/>
        <w:t>‘carnival square’.’</w:t>
      </w:r>
      <w:r w:rsidRPr="009331EF">
        <w:rPr>
          <w:rStyle w:val="FootnoteReference"/>
          <w:rFonts w:ascii="Times New Roman" w:hAnsi="Times New Roman" w:cs="Times New Roman"/>
          <w:sz w:val="24"/>
          <w:szCs w:val="24"/>
        </w:rPr>
        <w:footnoteReference w:id="969"/>
      </w:r>
      <w:r w:rsidRPr="009331EF">
        <w:rPr>
          <w:rFonts w:ascii="Times New Roman" w:hAnsi="Times New Roman" w:cs="Times New Roman"/>
          <w:sz w:val="24"/>
          <w:szCs w:val="24"/>
        </w:rPr>
        <w:t xml:space="preserve">  Reynolds angrily rejects this derision and the attempt to smear the working classes as a ‘mob’:</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The insensates!  Do they not reflect that if ten or fifteen thousand persons meet for the purpose of discussing some grand political question, some five or six hundred pickpockets and mischievous boys are certain to intrude themselves into the assemblage?</w:t>
      </w:r>
      <w:r w:rsidRPr="009331EF">
        <w:rPr>
          <w:rStyle w:val="FootnoteReference"/>
          <w:rFonts w:ascii="Times New Roman" w:hAnsi="Times New Roman" w:cs="Times New Roman"/>
          <w:sz w:val="24"/>
          <w:szCs w:val="24"/>
        </w:rPr>
        <w:footnoteReference w:id="970"/>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 xml:space="preserve">He does not support the gathering by defending its carnivalesque aspects but by dismissing them.  There is no attempt to endow misbehaviour with revolutionary fervour.  However, whereas journals such as </w:t>
      </w:r>
      <w:r w:rsidRPr="009331EF">
        <w:rPr>
          <w:rFonts w:ascii="Times New Roman" w:hAnsi="Times New Roman" w:cs="Times New Roman"/>
          <w:i/>
          <w:sz w:val="24"/>
          <w:szCs w:val="24"/>
        </w:rPr>
        <w:t>Punch</w:t>
      </w:r>
      <w:r w:rsidRPr="009331EF">
        <w:rPr>
          <w:rFonts w:ascii="Times New Roman" w:hAnsi="Times New Roman" w:cs="Times New Roman"/>
          <w:sz w:val="24"/>
          <w:szCs w:val="24"/>
        </w:rPr>
        <w:t xml:space="preserve"> make unruliness the essence of the demonstration, Reynolds treats it as an unwelcome fringe element, reducing the ‘black sheep’ to a small minority whose troublesome presence is diminished to petty crime and juvenile waywardness.</w:t>
      </w:r>
      <w:r w:rsidRPr="009331EF">
        <w:rPr>
          <w:rStyle w:val="FootnoteReference"/>
          <w:rFonts w:ascii="Times New Roman" w:hAnsi="Times New Roman" w:cs="Times New Roman"/>
          <w:sz w:val="24"/>
          <w:szCs w:val="24"/>
        </w:rPr>
        <w:footnoteReference w:id="971"/>
      </w:r>
      <w:r w:rsidRPr="009331EF">
        <w:rPr>
          <w:rFonts w:ascii="Times New Roman" w:hAnsi="Times New Roman" w:cs="Times New Roman"/>
          <w:sz w:val="24"/>
          <w:szCs w:val="24"/>
        </w:rPr>
        <w:t xml:space="preserve">  </w:t>
      </w:r>
      <w:r w:rsidR="00286E07" w:rsidRPr="00EC07ED">
        <w:rPr>
          <w:rFonts w:ascii="Times New Roman" w:hAnsi="Times New Roman" w:cs="Times New Roman"/>
          <w:sz w:val="24"/>
          <w:szCs w:val="24"/>
        </w:rPr>
        <w:t>Meanwhile</w:t>
      </w:r>
      <w:r w:rsidRPr="00EC07ED">
        <w:rPr>
          <w:rFonts w:ascii="Times New Roman" w:hAnsi="Times New Roman" w:cs="Times New Roman"/>
          <w:sz w:val="24"/>
          <w:szCs w:val="24"/>
        </w:rPr>
        <w:t>, he</w:t>
      </w:r>
      <w:r w:rsidRPr="009331EF">
        <w:rPr>
          <w:rFonts w:ascii="Times New Roman" w:hAnsi="Times New Roman" w:cs="Times New Roman"/>
          <w:sz w:val="24"/>
          <w:szCs w:val="24"/>
        </w:rPr>
        <w:t xml:space="preserve"> elevates the majority as signifying the peaceful involvement of the masses with a ‘grand political question’.  This incorporates the event into his confident perspective of the period, reflected in the comment upon the years 1827 to 1846 at the start of volume four of </w:t>
      </w:r>
      <w:r w:rsidRPr="009331EF">
        <w:rPr>
          <w:rFonts w:ascii="Times New Roman" w:hAnsi="Times New Roman" w:cs="Times New Roman"/>
          <w:i/>
          <w:sz w:val="24"/>
          <w:szCs w:val="24"/>
        </w:rPr>
        <w:t xml:space="preserve">The </w:t>
      </w:r>
      <w:r w:rsidRPr="009331EF">
        <w:rPr>
          <w:rFonts w:ascii="Times New Roman" w:hAnsi="Times New Roman" w:cs="Times New Roman"/>
          <w:i/>
          <w:iCs/>
          <w:sz w:val="24"/>
          <w:szCs w:val="24"/>
        </w:rPr>
        <w:t>Mysteries of London</w:t>
      </w:r>
      <w:r w:rsidRPr="009331EF">
        <w:rPr>
          <w:rFonts w:ascii="Times New Roman" w:hAnsi="Times New Roman" w:cs="Times New Roman"/>
          <w:sz w:val="24"/>
          <w:szCs w:val="24"/>
        </w:rPr>
        <w:t>:</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During nineteen years, then, did the value of Monarchy experience a rapid and signal decline: and, though it still endures, it is hastening with whirlwind speed to total annihilation. […] Monarchy falling, will drag down the ancient Aristocracy along with it; and the twenty-six millions of these realms all starting fair together on a principle of universal equality, those who succeed in reaching the goals of VIRTUE and TALENT will constitute and form a new Aristocracy.</w:t>
      </w:r>
      <w:r w:rsidRPr="009331EF">
        <w:rPr>
          <w:rStyle w:val="FootnoteReference"/>
          <w:rFonts w:ascii="Times New Roman" w:hAnsi="Times New Roman" w:cs="Times New Roman"/>
          <w:sz w:val="24"/>
          <w:szCs w:val="24"/>
        </w:rPr>
        <w:footnoteReference w:id="972"/>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 xml:space="preserve">Reynolds suggests the decline of the British upper classes is inevitable and that change is occurring without the need for violence.  A society will emerge that offers not social equality but opportunity </w:t>
      </w:r>
      <w:r w:rsidRPr="00D72C5F">
        <w:rPr>
          <w:rFonts w:ascii="Times New Roman" w:hAnsi="Times New Roman" w:cs="Times New Roman"/>
          <w:sz w:val="24"/>
          <w:szCs w:val="24"/>
        </w:rPr>
        <w:t xml:space="preserve">for all, with the ‘new Aristocracy’ based upon individual virtue and talent.  This modern organisation will allow for the accumulation of wealth, but only </w:t>
      </w:r>
      <w:r w:rsidR="00EC07ED" w:rsidRPr="00D72C5F">
        <w:rPr>
          <w:rFonts w:ascii="Times New Roman" w:hAnsi="Times New Roman" w:cs="Times New Roman"/>
          <w:sz w:val="24"/>
          <w:szCs w:val="24"/>
        </w:rPr>
        <w:t>that which has been duly earned</w:t>
      </w:r>
      <w:r w:rsidRPr="00D72C5F">
        <w:rPr>
          <w:rFonts w:ascii="Times New Roman" w:hAnsi="Times New Roman" w:cs="Times New Roman"/>
          <w:sz w:val="24"/>
          <w:szCs w:val="24"/>
        </w:rPr>
        <w:t>.</w:t>
      </w:r>
      <w:r w:rsidRPr="009331EF">
        <w:rPr>
          <w:rFonts w:ascii="Times New Roman" w:hAnsi="Times New Roman" w:cs="Times New Roman"/>
          <w:sz w:val="24"/>
          <w:szCs w:val="24"/>
        </w:rPr>
        <w:t xml:space="preserve"> </w:t>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 xml:space="preserve">Although Reynolds increasingly associated mass protest with radical political ideas, it is a sign of his caution that he rarely depicts those involved discussing contemporary affairs in a detailed manner.  In </w:t>
      </w:r>
      <w:r w:rsidRPr="009331EF">
        <w:rPr>
          <w:rFonts w:ascii="Times New Roman" w:hAnsi="Times New Roman" w:cs="Times New Roman"/>
          <w:i/>
          <w:sz w:val="24"/>
          <w:szCs w:val="24"/>
        </w:rPr>
        <w:t>Sybil</w:t>
      </w:r>
      <w:r w:rsidRPr="009331EF">
        <w:rPr>
          <w:rFonts w:ascii="Times New Roman" w:hAnsi="Times New Roman" w:cs="Times New Roman"/>
          <w:sz w:val="24"/>
          <w:szCs w:val="24"/>
        </w:rPr>
        <w:t xml:space="preserve">, Disraeli introduces the youthful Devilsdust as a self-educated, </w:t>
      </w:r>
      <w:r w:rsidRPr="009331EF">
        <w:rPr>
          <w:rFonts w:ascii="Times New Roman" w:hAnsi="Times New Roman" w:cs="Times New Roman"/>
          <w:sz w:val="24"/>
          <w:szCs w:val="24"/>
        </w:rPr>
        <w:lastRenderedPageBreak/>
        <w:t xml:space="preserve">leading light in the local Literary and Scientific Institute with knowledge of how important excise duty is to the government, while in </w:t>
      </w:r>
      <w:r w:rsidRPr="009331EF">
        <w:rPr>
          <w:rFonts w:ascii="Times New Roman" w:hAnsi="Times New Roman" w:cs="Times New Roman"/>
          <w:i/>
          <w:sz w:val="24"/>
          <w:szCs w:val="24"/>
        </w:rPr>
        <w:t>North and South</w:t>
      </w:r>
      <w:r w:rsidRPr="009331EF">
        <w:rPr>
          <w:rFonts w:ascii="Times New Roman" w:hAnsi="Times New Roman" w:cs="Times New Roman"/>
          <w:sz w:val="24"/>
          <w:szCs w:val="24"/>
        </w:rPr>
        <w:t xml:space="preserve"> Gaskell often describes Nicholas Higgins analysing trade union activity from a class-based perspective.</w:t>
      </w:r>
      <w:r w:rsidRPr="009331EF">
        <w:rPr>
          <w:rStyle w:val="FootnoteReference"/>
          <w:rFonts w:ascii="Times New Roman" w:hAnsi="Times New Roman" w:cs="Times New Roman"/>
          <w:sz w:val="24"/>
          <w:szCs w:val="24"/>
        </w:rPr>
        <w:footnoteReference w:id="973"/>
      </w:r>
      <w:r w:rsidRPr="009331EF">
        <w:rPr>
          <w:rFonts w:ascii="Times New Roman" w:hAnsi="Times New Roman" w:cs="Times New Roman"/>
          <w:sz w:val="24"/>
          <w:szCs w:val="24"/>
        </w:rPr>
        <w:t xml:space="preserve">  In contrast, </w:t>
      </w:r>
      <w:r w:rsidRPr="009331EF">
        <w:rPr>
          <w:rFonts w:ascii="Times New Roman" w:hAnsi="Times New Roman" w:cs="Times New Roman"/>
          <w:i/>
          <w:sz w:val="24"/>
          <w:szCs w:val="24"/>
        </w:rPr>
        <w:t xml:space="preserve">The </w:t>
      </w:r>
      <w:r w:rsidRPr="009331EF">
        <w:rPr>
          <w:rFonts w:ascii="Times New Roman" w:hAnsi="Times New Roman" w:cs="Times New Roman"/>
          <w:i/>
          <w:iCs/>
          <w:sz w:val="24"/>
          <w:szCs w:val="24"/>
        </w:rPr>
        <w:t>Mysteries of London</w:t>
      </w:r>
      <w:r w:rsidRPr="009331EF">
        <w:rPr>
          <w:rFonts w:ascii="Times New Roman" w:hAnsi="Times New Roman" w:cs="Times New Roman"/>
          <w:sz w:val="24"/>
          <w:szCs w:val="24"/>
        </w:rPr>
        <w:t xml:space="preserve"> presents the wishes of the English industrious classes through</w:t>
      </w:r>
      <w:r w:rsidRPr="009331EF">
        <w:rPr>
          <w:rFonts w:ascii="Times New Roman" w:hAnsi="Times New Roman" w:cs="Times New Roman"/>
          <w:b/>
          <w:sz w:val="24"/>
          <w:szCs w:val="24"/>
        </w:rPr>
        <w:t xml:space="preserve"> </w:t>
      </w:r>
      <w:r w:rsidRPr="009331EF">
        <w:rPr>
          <w:rFonts w:ascii="Times New Roman" w:hAnsi="Times New Roman" w:cs="Times New Roman"/>
          <w:sz w:val="24"/>
          <w:szCs w:val="24"/>
        </w:rPr>
        <w:t>two major events; the parliamentary speech of Lord Arthur Ellingham set in 1827 and Richard Markham’s return from Castelcicala, as Prince of Montoni, in 1846.  Each promotes a litany of reforms to resolve the social problems of their respective nations.</w:t>
      </w:r>
      <w:r w:rsidRPr="009331EF">
        <w:rPr>
          <w:rStyle w:val="FootnoteReference"/>
          <w:rFonts w:ascii="Times New Roman" w:hAnsi="Times New Roman" w:cs="Times New Roman"/>
          <w:sz w:val="24"/>
          <w:szCs w:val="24"/>
        </w:rPr>
        <w:footnoteReference w:id="974"/>
      </w:r>
      <w:r w:rsidRPr="009331EF">
        <w:rPr>
          <w:rFonts w:ascii="Times New Roman" w:hAnsi="Times New Roman" w:cs="Times New Roman"/>
          <w:sz w:val="24"/>
          <w:szCs w:val="24"/>
        </w:rPr>
        <w:t xml:space="preserve">  Ellingham refers to the poor having no stake in the country and attacks the landed interest as a ‘tremendous monopoly’.</w:t>
      </w:r>
      <w:r w:rsidRPr="009331EF">
        <w:rPr>
          <w:rStyle w:val="FootnoteReference"/>
          <w:rFonts w:ascii="Times New Roman" w:hAnsi="Times New Roman" w:cs="Times New Roman"/>
          <w:sz w:val="24"/>
          <w:szCs w:val="24"/>
        </w:rPr>
        <w:footnoteReference w:id="975"/>
      </w:r>
      <w:r w:rsidRPr="009331EF">
        <w:rPr>
          <w:rFonts w:ascii="Times New Roman" w:hAnsi="Times New Roman" w:cs="Times New Roman"/>
          <w:sz w:val="24"/>
          <w:szCs w:val="24"/>
        </w:rPr>
        <w:t xml:space="preserve">  The only way to counter this, short of revolution, is by increasing the number of landowners, an idea Markham echoes when saying that the law of primogeniture must end to enable a gradual division of the land.  Both argue for universal manhood suffrage, with Ellingham looking to an extension in the franchise that would ‘give every man who earned his own bread by the sweat of his brow, a stake and interest in the country’s welfare’.</w:t>
      </w:r>
      <w:r w:rsidRPr="009331EF">
        <w:rPr>
          <w:rStyle w:val="FootnoteReference"/>
          <w:rFonts w:ascii="Times New Roman" w:hAnsi="Times New Roman" w:cs="Times New Roman"/>
          <w:sz w:val="24"/>
          <w:szCs w:val="24"/>
        </w:rPr>
        <w:footnoteReference w:id="976"/>
      </w:r>
      <w:r w:rsidRPr="009331EF">
        <w:rPr>
          <w:rFonts w:ascii="Times New Roman" w:hAnsi="Times New Roman" w:cs="Times New Roman"/>
          <w:sz w:val="24"/>
          <w:szCs w:val="24"/>
        </w:rPr>
        <w:t xml:space="preserve">  They also suggest state intervention to ensure decent earnings for the labouring classes, Ellingham calling for a minimum wage and the compulsion of ‘property’ to provide work.  The crowds by cheering the two men indicate they support such ideas which are more socially progressive than those advocated by parliamentarians of the day, including radicals whose views on financial reform were quite timid.</w:t>
      </w:r>
      <w:r w:rsidRPr="009331EF">
        <w:rPr>
          <w:rStyle w:val="FootnoteReference"/>
          <w:rFonts w:ascii="Times New Roman" w:hAnsi="Times New Roman" w:cs="Times New Roman"/>
          <w:sz w:val="24"/>
          <w:szCs w:val="24"/>
        </w:rPr>
        <w:footnoteReference w:id="977"/>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Alongside this enlightened perspective, those who greet Ellingham’s arrival at Parliament display peaceable intent:</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The multitude consisted chiefly of members of the industrious classes, many individuals being accompanied by their wives and children.  They were attired in the best raiment that they possessed; and their conduct was most orderly and creditable.</w:t>
      </w:r>
    </w:p>
    <w:p w:rsidR="00422D80" w:rsidRPr="00D72C5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 xml:space="preserve">The crowds neither cheered the popular, nor hissed the unpopular legislators who </w:t>
      </w:r>
      <w:r w:rsidRPr="00D72C5F">
        <w:rPr>
          <w:rFonts w:ascii="Times New Roman" w:hAnsi="Times New Roman" w:cs="Times New Roman"/>
          <w:sz w:val="24"/>
          <w:szCs w:val="24"/>
        </w:rPr>
        <w:t>passed through the mass which had divided to make way for them.</w:t>
      </w:r>
      <w:r w:rsidRPr="00D72C5F">
        <w:rPr>
          <w:rStyle w:val="FootnoteReference"/>
          <w:rFonts w:ascii="Times New Roman" w:hAnsi="Times New Roman" w:cs="Times New Roman"/>
          <w:sz w:val="24"/>
          <w:szCs w:val="24"/>
        </w:rPr>
        <w:footnoteReference w:id="978"/>
      </w:r>
    </w:p>
    <w:p w:rsidR="00422D80" w:rsidRPr="009331EF" w:rsidRDefault="00422D80" w:rsidP="00422D80">
      <w:pPr>
        <w:spacing w:after="120" w:line="360" w:lineRule="auto"/>
        <w:rPr>
          <w:rFonts w:ascii="Times New Roman" w:hAnsi="Times New Roman" w:cs="Times New Roman"/>
          <w:sz w:val="24"/>
          <w:szCs w:val="24"/>
        </w:rPr>
      </w:pPr>
      <w:r w:rsidRPr="00D72C5F">
        <w:rPr>
          <w:rFonts w:ascii="Times New Roman" w:hAnsi="Times New Roman" w:cs="Times New Roman"/>
          <w:sz w:val="24"/>
          <w:szCs w:val="24"/>
        </w:rPr>
        <w:t>There is no bitterness or misbehaviour,</w:t>
      </w:r>
      <w:r w:rsidRPr="009331EF">
        <w:rPr>
          <w:rFonts w:ascii="Times New Roman" w:hAnsi="Times New Roman" w:cs="Times New Roman"/>
          <w:sz w:val="24"/>
          <w:szCs w:val="24"/>
        </w:rPr>
        <w:t xml:space="preserve"> with all determined to present themselves at their best as Reynolds highlights their cleanliness, orderliness and domesticity.  They maintain a </w:t>
      </w:r>
      <w:r w:rsidRPr="009331EF">
        <w:rPr>
          <w:rFonts w:ascii="Times New Roman" w:hAnsi="Times New Roman" w:cs="Times New Roman"/>
          <w:sz w:val="24"/>
          <w:szCs w:val="24"/>
        </w:rPr>
        <w:lastRenderedPageBreak/>
        <w:t>dignified silence, clearing a path for privileged opponents who walk past, not degrading the protest with cheap catcalls or vulgarity, far-removed from the ‘ragamuffins and tatterdemalions’ at the Rottenborough election.  The crowd leave it for Ellingham to present their grievances and reserve any cheers for him alone, suggesting how they discriminate between true friends of the people and rowdy demagogues.  Remaining for hours until he reappears after the session ends, they applaud again despite his motion being overwhelmingly defeated: ‘it was the voice of a generous and grateful people, expressing the sincerest thanks for the efforts which the noble patriot had exerted in their cause’.</w:t>
      </w:r>
      <w:r w:rsidRPr="009331EF">
        <w:rPr>
          <w:rStyle w:val="FootnoteReference"/>
          <w:rFonts w:ascii="Times New Roman" w:hAnsi="Times New Roman" w:cs="Times New Roman"/>
          <w:sz w:val="24"/>
          <w:szCs w:val="24"/>
        </w:rPr>
        <w:footnoteReference w:id="979"/>
      </w:r>
      <w:r w:rsidRPr="009331EF">
        <w:rPr>
          <w:rFonts w:ascii="Times New Roman" w:hAnsi="Times New Roman" w:cs="Times New Roman"/>
          <w:sz w:val="24"/>
          <w:szCs w:val="24"/>
        </w:rPr>
        <w:t xml:space="preserve">  The scene, as night descends and there is ‘profound silence’ broken only by the applause for Ellingham, is one of grandeur and solemnity, encapsulating their moral fortitude and confirming his statement: ‘It was too frequently alleged […] that those classes were thoughtless, improvident, ungrateful, and intellectually dull; but this assertion he emphatically denied.’</w:t>
      </w:r>
      <w:r w:rsidRPr="009331EF">
        <w:rPr>
          <w:rStyle w:val="FootnoteReference"/>
          <w:rFonts w:ascii="Times New Roman" w:hAnsi="Times New Roman" w:cs="Times New Roman"/>
          <w:sz w:val="24"/>
          <w:szCs w:val="24"/>
        </w:rPr>
        <w:footnoteReference w:id="980"/>
      </w:r>
      <w:r w:rsidRPr="009331EF">
        <w:rPr>
          <w:rFonts w:ascii="Times New Roman" w:hAnsi="Times New Roman" w:cs="Times New Roman"/>
          <w:sz w:val="24"/>
          <w:szCs w:val="24"/>
        </w:rPr>
        <w:t xml:space="preserve">  These qualities are carried forward to those who greet Richard Markham.  Beneath a peaceful surface, Thomas Rainford</w:t>
      </w:r>
      <w:r w:rsidRPr="009331EF">
        <w:rPr>
          <w:rFonts w:ascii="Times New Roman" w:hAnsi="Times New Roman" w:cs="Times New Roman"/>
          <w:b/>
          <w:sz w:val="24"/>
          <w:szCs w:val="24"/>
        </w:rPr>
        <w:t xml:space="preserve"> </w:t>
      </w:r>
      <w:r w:rsidRPr="009331EF">
        <w:rPr>
          <w:rFonts w:ascii="Times New Roman" w:hAnsi="Times New Roman" w:cs="Times New Roman"/>
          <w:sz w:val="24"/>
          <w:szCs w:val="24"/>
        </w:rPr>
        <w:t>suggests</w:t>
      </w:r>
      <w:r w:rsidRPr="009331EF">
        <w:rPr>
          <w:rFonts w:ascii="Times New Roman" w:hAnsi="Times New Roman" w:cs="Times New Roman"/>
          <w:bCs/>
          <w:sz w:val="24"/>
          <w:szCs w:val="24"/>
        </w:rPr>
        <w:t xml:space="preserve"> </w:t>
      </w:r>
      <w:r w:rsidRPr="009331EF">
        <w:rPr>
          <w:rFonts w:ascii="Times New Roman" w:hAnsi="Times New Roman" w:cs="Times New Roman"/>
          <w:sz w:val="24"/>
          <w:szCs w:val="24"/>
        </w:rPr>
        <w:t>their inherent oppositional nature to Lady Frances Ellingham:</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Do you imagine that the English people would have assembled in vast crowds to hail and welcome one of their own royal Dukes?  No indeed! And yet they seem as if they could not testify their joy in too lively a manner, when the Prince of Montoni appears amongst them.</w:t>
      </w:r>
      <w:r w:rsidRPr="009331EF">
        <w:rPr>
          <w:rStyle w:val="FootnoteReference"/>
          <w:rFonts w:ascii="Times New Roman" w:hAnsi="Times New Roman" w:cs="Times New Roman"/>
          <w:sz w:val="24"/>
          <w:szCs w:val="24"/>
        </w:rPr>
        <w:footnoteReference w:id="981"/>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 xml:space="preserve">It is a controlled exuberance, not threatening but defiant and prepared to accept long-term </w:t>
      </w:r>
      <w:r w:rsidRPr="00EC07ED">
        <w:rPr>
          <w:rFonts w:ascii="Times New Roman" w:hAnsi="Times New Roman" w:cs="Times New Roman"/>
          <w:sz w:val="24"/>
          <w:szCs w:val="24"/>
        </w:rPr>
        <w:t>struggle.  Underlying</w:t>
      </w:r>
      <w:r w:rsidRPr="009331EF">
        <w:rPr>
          <w:rFonts w:ascii="Times New Roman" w:hAnsi="Times New Roman" w:cs="Times New Roman"/>
          <w:sz w:val="24"/>
          <w:szCs w:val="24"/>
        </w:rPr>
        <w:t xml:space="preserve"> the celebratory optimism, where cheering and gaiety replace the rather sombre atmosphere of the earlier gathering, the very presence of the crowd supporting progressive figures is a reproach to an establishment that clings to hidebound tradition and privilege.  Rainford points to Ellingham’s profound impact:</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[H]e has at least succeeded in giving such an impetus to Liberal sentiments out of doors—beyond the walls of the Senate-house—that he has taught millions to think, who never thought before, upon their political condition. […] The millions recognise and appreciate his conscientiousness—is unwonted strivings in their behalf; and they adore him as their champion.</w:t>
      </w:r>
      <w:r w:rsidRPr="009331EF">
        <w:rPr>
          <w:rStyle w:val="FootnoteReference"/>
          <w:rFonts w:ascii="Times New Roman" w:hAnsi="Times New Roman" w:cs="Times New Roman"/>
          <w:sz w:val="24"/>
          <w:szCs w:val="24"/>
        </w:rPr>
        <w:footnoteReference w:id="982"/>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 xml:space="preserve">His words proclaim the industrious classes are now intellectually engaged with innovative political ideas, in contrast to the stultifying inertia within Parliament, where Ellingham has for nearly two decades failed to move either Tory or Whig politician.  Those who support him are determinedly loyal with the patience displayed for a few hours in 1827 now extended </w:t>
      </w:r>
      <w:r w:rsidRPr="009331EF">
        <w:rPr>
          <w:rFonts w:ascii="Times New Roman" w:hAnsi="Times New Roman" w:cs="Times New Roman"/>
          <w:sz w:val="24"/>
          <w:szCs w:val="24"/>
        </w:rPr>
        <w:lastRenderedPageBreak/>
        <w:t xml:space="preserve">over many years, highlighting the deontological nature of their protest whereby material concerns are secondary to the virtuous aspect of their behaviour, evidence that they are worthy of the democratic advances Reynolds believes are at hand.  </w:t>
      </w:r>
      <w:r w:rsidRPr="009331EF">
        <w:rPr>
          <w:rFonts w:ascii="Times New Roman" w:hAnsi="Times New Roman" w:cs="Times New Roman"/>
          <w:bCs/>
          <w:sz w:val="24"/>
          <w:szCs w:val="24"/>
        </w:rPr>
        <w:t>The role</w:t>
      </w:r>
      <w:r w:rsidRPr="009331EF">
        <w:rPr>
          <w:rFonts w:ascii="Times New Roman" w:hAnsi="Times New Roman" w:cs="Times New Roman"/>
          <w:sz w:val="24"/>
          <w:szCs w:val="24"/>
        </w:rPr>
        <w:t xml:space="preserve"> Rainford attributes to Ellingham differs fundamentally from that which Disraeli gives figures such as Henry Coningsby and Charles Egremont.  While all discuss a national moral revival, their </w:t>
      </w:r>
      <w:r w:rsidRPr="00EC07ED">
        <w:rPr>
          <w:rFonts w:ascii="Times New Roman" w:hAnsi="Times New Roman" w:cs="Times New Roman"/>
          <w:sz w:val="24"/>
          <w:szCs w:val="24"/>
        </w:rPr>
        <w:t>aims</w:t>
      </w:r>
      <w:r w:rsidR="008D6F21" w:rsidRPr="00EC07ED">
        <w:rPr>
          <w:rFonts w:ascii="Times New Roman" w:hAnsi="Times New Roman" w:cs="Times New Roman"/>
          <w:sz w:val="24"/>
          <w:szCs w:val="24"/>
        </w:rPr>
        <w:t xml:space="preserve"> are different</w:t>
      </w:r>
      <w:r w:rsidRPr="00EC07ED">
        <w:rPr>
          <w:rFonts w:ascii="Times New Roman" w:hAnsi="Times New Roman" w:cs="Times New Roman"/>
          <w:sz w:val="24"/>
          <w:szCs w:val="24"/>
        </w:rPr>
        <w:t>.</w:t>
      </w:r>
      <w:r w:rsidRPr="009331EF">
        <w:rPr>
          <w:rFonts w:ascii="Times New Roman" w:hAnsi="Times New Roman" w:cs="Times New Roman"/>
          <w:sz w:val="24"/>
          <w:szCs w:val="24"/>
        </w:rPr>
        <w:t xml:space="preserve">  In 1838, Disraeli outlined a concept of the Conservative cause that anticipated the ‘Young England’ agenda of his fiction: ‘I mean the splendour of the Crown, the lustre of the peerage, the privilege of the Commons, the rights of the poor.  I mean the harmonious union, that magnificent concord of all interests’.</w:t>
      </w:r>
      <w:r w:rsidRPr="009331EF">
        <w:rPr>
          <w:rStyle w:val="FootnoteReference"/>
          <w:rFonts w:ascii="Times New Roman" w:hAnsi="Times New Roman" w:cs="Times New Roman"/>
          <w:sz w:val="24"/>
          <w:szCs w:val="24"/>
        </w:rPr>
        <w:footnoteReference w:id="983"/>
      </w:r>
      <w:r w:rsidRPr="009331EF">
        <w:rPr>
          <w:rFonts w:ascii="Times New Roman" w:hAnsi="Times New Roman" w:cs="Times New Roman"/>
          <w:sz w:val="24"/>
          <w:szCs w:val="24"/>
        </w:rPr>
        <w:t xml:space="preserve">  His trilogy of novels from the mid-1840s, </w:t>
      </w:r>
      <w:r w:rsidRPr="009331EF">
        <w:rPr>
          <w:rFonts w:ascii="Times New Roman" w:hAnsi="Times New Roman" w:cs="Times New Roman"/>
          <w:i/>
          <w:sz w:val="24"/>
          <w:szCs w:val="24"/>
        </w:rPr>
        <w:t>Coningsby</w:t>
      </w:r>
      <w:r w:rsidRPr="009331EF">
        <w:rPr>
          <w:rFonts w:ascii="Times New Roman" w:hAnsi="Times New Roman" w:cs="Times New Roman"/>
          <w:sz w:val="24"/>
          <w:szCs w:val="24"/>
        </w:rPr>
        <w:t xml:space="preserve">, </w:t>
      </w:r>
      <w:r w:rsidRPr="009331EF">
        <w:rPr>
          <w:rFonts w:ascii="Times New Roman" w:hAnsi="Times New Roman" w:cs="Times New Roman"/>
          <w:i/>
          <w:sz w:val="24"/>
          <w:szCs w:val="24"/>
        </w:rPr>
        <w:t>Sybil</w:t>
      </w:r>
      <w:r w:rsidRPr="009331EF">
        <w:rPr>
          <w:rFonts w:ascii="Times New Roman" w:hAnsi="Times New Roman" w:cs="Times New Roman"/>
          <w:sz w:val="24"/>
          <w:szCs w:val="24"/>
        </w:rPr>
        <w:t xml:space="preserve"> and </w:t>
      </w:r>
      <w:r w:rsidRPr="009331EF">
        <w:rPr>
          <w:rFonts w:ascii="Times New Roman" w:hAnsi="Times New Roman" w:cs="Times New Roman"/>
          <w:i/>
          <w:sz w:val="24"/>
          <w:szCs w:val="24"/>
        </w:rPr>
        <w:t>Tancred</w:t>
      </w:r>
      <w:r w:rsidRPr="009331EF">
        <w:rPr>
          <w:rFonts w:ascii="Times New Roman" w:hAnsi="Times New Roman" w:cs="Times New Roman"/>
          <w:sz w:val="24"/>
          <w:szCs w:val="24"/>
        </w:rPr>
        <w:t>, argued that the aristocracy needed to serve the crown and lead the people, showing proper concern for their needs, while the Church had to play a major role in regenerating the nation.</w:t>
      </w:r>
      <w:r w:rsidRPr="009331EF">
        <w:rPr>
          <w:rStyle w:val="FootnoteReference"/>
          <w:rFonts w:ascii="Times New Roman" w:hAnsi="Times New Roman" w:cs="Times New Roman"/>
          <w:sz w:val="24"/>
          <w:szCs w:val="24"/>
        </w:rPr>
        <w:footnoteReference w:id="984"/>
      </w:r>
      <w:r w:rsidRPr="009331EF">
        <w:rPr>
          <w:rFonts w:ascii="Times New Roman" w:hAnsi="Times New Roman" w:cs="Times New Roman"/>
          <w:sz w:val="24"/>
          <w:szCs w:val="24"/>
        </w:rPr>
        <w:t xml:space="preserve">  In contrast, Ellingham looks to modernise the social and political system, and the support he receives from the masses suggests they seek the same rather than yearning for the imagined security of traditional hierarchies.</w:t>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 xml:space="preserve">In </w:t>
      </w:r>
      <w:r w:rsidRPr="009331EF">
        <w:rPr>
          <w:rFonts w:ascii="Times New Roman" w:hAnsi="Times New Roman" w:cs="Times New Roman"/>
          <w:i/>
          <w:sz w:val="24"/>
          <w:szCs w:val="24"/>
        </w:rPr>
        <w:t>The Soldier’s Wife</w:t>
      </w:r>
      <w:r w:rsidRPr="009331EF">
        <w:rPr>
          <w:rFonts w:ascii="Times New Roman" w:hAnsi="Times New Roman" w:cs="Times New Roman"/>
          <w:sz w:val="24"/>
          <w:szCs w:val="24"/>
        </w:rPr>
        <w:t xml:space="preserve"> (1852–53), Reynolds develops his presentation of politically-oriented protest among the lower ranks of the army and the working class.  Although the establishment pits one against the other, he argues for their essential unity as sections of the population oppressed by aristocratic tyranny, a view that corresponds fully with his journalism.</w:t>
      </w:r>
      <w:r w:rsidRPr="009331EF">
        <w:rPr>
          <w:rStyle w:val="FootnoteReference"/>
          <w:rFonts w:ascii="Times New Roman" w:hAnsi="Times New Roman" w:cs="Times New Roman"/>
          <w:sz w:val="24"/>
          <w:szCs w:val="24"/>
        </w:rPr>
        <w:footnoteReference w:id="985"/>
      </w:r>
      <w:r w:rsidRPr="009331EF">
        <w:rPr>
          <w:rFonts w:ascii="Times New Roman" w:hAnsi="Times New Roman" w:cs="Times New Roman"/>
          <w:sz w:val="24"/>
          <w:szCs w:val="24"/>
        </w:rPr>
        <w:t xml:space="preserve">  At times, Reynolds directly states soldiers are part of the industrious classes and potential allies in their struggle.</w:t>
      </w:r>
      <w:r w:rsidRPr="009331EF">
        <w:rPr>
          <w:rStyle w:val="FootnoteReference"/>
          <w:rFonts w:ascii="Times New Roman" w:hAnsi="Times New Roman" w:cs="Times New Roman"/>
          <w:sz w:val="24"/>
          <w:szCs w:val="24"/>
        </w:rPr>
        <w:footnoteReference w:id="986"/>
      </w:r>
      <w:r w:rsidRPr="009331EF">
        <w:rPr>
          <w:rFonts w:ascii="Times New Roman" w:hAnsi="Times New Roman" w:cs="Times New Roman"/>
          <w:sz w:val="24"/>
          <w:szCs w:val="24"/>
        </w:rPr>
        <w:t xml:space="preserve">  It is unsurprising, therefore, that </w:t>
      </w:r>
      <w:r w:rsidRPr="00D72C5F">
        <w:rPr>
          <w:rFonts w:ascii="Times New Roman" w:hAnsi="Times New Roman" w:cs="Times New Roman"/>
          <w:sz w:val="24"/>
          <w:szCs w:val="24"/>
        </w:rPr>
        <w:t>through the novel he</w:t>
      </w:r>
      <w:r w:rsidRPr="009331EF">
        <w:rPr>
          <w:rFonts w:ascii="Times New Roman" w:hAnsi="Times New Roman" w:cs="Times New Roman"/>
          <w:sz w:val="24"/>
          <w:szCs w:val="24"/>
        </w:rPr>
        <w:t xml:space="preserve"> affords them a clearer vision of social injustice than the dull villagers of rural Oakleigh, who are easily befuddled by the smooth talking recruitment officer, Sergeant Langley.  It is also a more positive portrayal than allowed many domestic staff who accept subordination </w:t>
      </w:r>
      <w:r w:rsidRPr="009331EF">
        <w:rPr>
          <w:rFonts w:ascii="Times New Roman" w:hAnsi="Times New Roman" w:cs="Times New Roman"/>
          <w:sz w:val="24"/>
          <w:szCs w:val="24"/>
        </w:rPr>
        <w:lastRenderedPageBreak/>
        <w:t>unquestioningly and descend into acts of spitefulness and petty theft.  However, the troops inhabit an awkward position because they are also agents of the state for whom the discipline of army life severely restricts how they can express their opposition.</w:t>
      </w:r>
      <w:r w:rsidRPr="009331EF">
        <w:rPr>
          <w:rStyle w:val="FootnoteReference"/>
          <w:rFonts w:ascii="Times New Roman" w:hAnsi="Times New Roman" w:cs="Times New Roman"/>
          <w:sz w:val="24"/>
          <w:szCs w:val="24"/>
        </w:rPr>
        <w:footnoteReference w:id="987"/>
      </w:r>
      <w:r w:rsidRPr="009331EF">
        <w:rPr>
          <w:rFonts w:ascii="Times New Roman" w:hAnsi="Times New Roman" w:cs="Times New Roman"/>
          <w:sz w:val="24"/>
          <w:szCs w:val="24"/>
        </w:rPr>
        <w:t xml:space="preserve">  Reynolds depicts the same binary division that exists in society at large by following John Wade’s analysis of the role wealth plays in securing rank.</w:t>
      </w:r>
      <w:r w:rsidRPr="009331EF">
        <w:rPr>
          <w:rStyle w:val="FootnoteReference"/>
          <w:rFonts w:ascii="Times New Roman" w:hAnsi="Times New Roman" w:cs="Times New Roman"/>
          <w:sz w:val="24"/>
          <w:szCs w:val="24"/>
        </w:rPr>
        <w:footnoteReference w:id="988"/>
      </w:r>
      <w:r w:rsidRPr="009331EF">
        <w:rPr>
          <w:rFonts w:ascii="Times New Roman" w:hAnsi="Times New Roman" w:cs="Times New Roman"/>
          <w:sz w:val="24"/>
          <w:szCs w:val="24"/>
        </w:rPr>
        <w:t xml:space="preserve">  This is typified by the pampered twenty year old Fitzmorris, elevated without knowledge or experience while the long-serving Lieutenant Heathcote is denied promotion because of his plebeian origins.  The officers are trained to domineer over the troops:</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The grand aim is to make them complete automatons—to regulate their movements, their proceedings, and their conduct, to the rigid standard of an enslaving discipline—and to limit their opinions as much as possible within the circumscribed sphere.</w:t>
      </w:r>
      <w:r w:rsidRPr="009331EF">
        <w:rPr>
          <w:rStyle w:val="FootnoteReference"/>
          <w:rFonts w:ascii="Times New Roman" w:hAnsi="Times New Roman" w:cs="Times New Roman"/>
          <w:sz w:val="24"/>
          <w:szCs w:val="24"/>
        </w:rPr>
        <w:footnoteReference w:id="989"/>
      </w:r>
    </w:p>
    <w:p w:rsidR="00422D80" w:rsidRPr="009331EF" w:rsidRDefault="00422D80" w:rsidP="00422D80">
      <w:pPr>
        <w:spacing w:after="240" w:line="360" w:lineRule="auto"/>
        <w:rPr>
          <w:rFonts w:ascii="Times New Roman" w:hAnsi="Times New Roman" w:cs="Times New Roman"/>
          <w:sz w:val="24"/>
          <w:szCs w:val="24"/>
        </w:rPr>
      </w:pPr>
      <w:r w:rsidRPr="009331EF">
        <w:rPr>
          <w:rFonts w:ascii="Times New Roman" w:hAnsi="Times New Roman" w:cs="Times New Roman"/>
          <w:sz w:val="24"/>
          <w:szCs w:val="24"/>
        </w:rPr>
        <w:t>Reynolds argues that the goal is to turn men into unthinking machines, making life a battle for their minds and morals in which each act of defiance sees them risking the fury of superiors.  The threat of instant punishment means they dare not show independent spirit openly, but this does not point to lack of courage.  They reject drink and sexual depravity by spending some of the pittance received in subscribing to a library and purchasing a democratic journal, forgoing lower forms of gratification to expand their intellectual horizons.  It is a depiction that parallels Reynolds’s frequent references to the popularity of his newspaper among troops despite many attempts to ban its reading.</w:t>
      </w:r>
      <w:r w:rsidRPr="009331EF">
        <w:rPr>
          <w:rStyle w:val="FootnoteReference"/>
          <w:rFonts w:ascii="Times New Roman" w:hAnsi="Times New Roman" w:cs="Times New Roman"/>
          <w:sz w:val="24"/>
          <w:szCs w:val="24"/>
        </w:rPr>
        <w:footnoteReference w:id="990"/>
      </w:r>
      <w:r w:rsidRPr="009331EF">
        <w:rPr>
          <w:rFonts w:ascii="Times New Roman" w:hAnsi="Times New Roman" w:cs="Times New Roman"/>
          <w:sz w:val="24"/>
          <w:szCs w:val="24"/>
        </w:rPr>
        <w:t xml:space="preserve">  Such actions show them boldly considering political views that rebut the brutal regime.  Their determination is expressed by the communal readings held to aid less literate colleagues.  Reynolds notes the implications of such an existence:</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 xml:space="preserve">The tyranny of superiors makes democrats of the inferiors who are tyrannized over.  Lonsdale found amongst his comrades many men who had never troubled themselves with political opinions at all, until they entered the ranks—where the despotism under </w:t>
      </w:r>
      <w:r w:rsidRPr="009331EF">
        <w:rPr>
          <w:rFonts w:ascii="Times New Roman" w:hAnsi="Times New Roman" w:cs="Times New Roman"/>
          <w:sz w:val="24"/>
          <w:szCs w:val="24"/>
        </w:rPr>
        <w:lastRenderedPageBreak/>
        <w:t>which they smarted proving suggestive, soon began to make them think that human beings were not created to be enchained body and soul, and that there must be something wrong in the system which reduced one class of men to the condition of trembling slaves in the presence of another class.</w:t>
      </w:r>
      <w:r w:rsidRPr="009331EF">
        <w:rPr>
          <w:rStyle w:val="FootnoteReference"/>
          <w:rFonts w:ascii="Times New Roman" w:hAnsi="Times New Roman" w:cs="Times New Roman"/>
          <w:sz w:val="24"/>
          <w:szCs w:val="24"/>
        </w:rPr>
        <w:footnoteReference w:id="991"/>
      </w:r>
    </w:p>
    <w:p w:rsidR="00422D80" w:rsidRPr="009331EF" w:rsidRDefault="00422D80" w:rsidP="00422D80">
      <w:pPr>
        <w:spacing w:after="240" w:line="360" w:lineRule="auto"/>
        <w:rPr>
          <w:rFonts w:ascii="Times New Roman" w:hAnsi="Times New Roman" w:cs="Times New Roman"/>
          <w:sz w:val="24"/>
          <w:szCs w:val="24"/>
        </w:rPr>
      </w:pPr>
      <w:r w:rsidRPr="009331EF">
        <w:rPr>
          <w:rFonts w:ascii="Times New Roman" w:hAnsi="Times New Roman" w:cs="Times New Roman"/>
          <w:sz w:val="24"/>
          <w:szCs w:val="24"/>
        </w:rPr>
        <w:t>This highly positive comment suggests human nature will rebel against tyranny rather than cower before it.  In the barrack-room, general resentment against mistreatment is transformed into a keener sense of social injustice, imbued with a consciousness that denies the right of one class to dominate another.  These sentiments are voiced when concern over Frederick Lonsdale’s arrest after being harshly accused of drunkenness leads to discussion about army reform.  An elderly soldier calls for each regiment to elect its officers on merit rather than having individuals of privileged background imposed upon them.  He contrasts their degradation to the more democratic conditions prevailing in the French National Guard and the Militia in the United States: ‘With all our talk, and bluster, and braggadocio, we are only a set of slaves in comparison with the people of the great American Union.’</w:t>
      </w:r>
      <w:r w:rsidRPr="009331EF">
        <w:rPr>
          <w:rStyle w:val="FootnoteReference"/>
          <w:rFonts w:ascii="Times New Roman" w:hAnsi="Times New Roman" w:cs="Times New Roman"/>
          <w:sz w:val="24"/>
          <w:szCs w:val="24"/>
        </w:rPr>
        <w:footnoteReference w:id="992"/>
      </w:r>
      <w:r w:rsidRPr="009331EF">
        <w:rPr>
          <w:rFonts w:ascii="Times New Roman" w:hAnsi="Times New Roman" w:cs="Times New Roman"/>
          <w:sz w:val="24"/>
          <w:szCs w:val="24"/>
        </w:rPr>
        <w:t xml:space="preserve">  His comments point to the greater freedom available in Republics and by cutting through empty boasts about British liberty display a sober recognition of their true position and the industrious classes generally. </w:t>
      </w:r>
    </w:p>
    <w:p w:rsidR="00422D80" w:rsidRPr="009331EF" w:rsidRDefault="00422D80" w:rsidP="00422D80">
      <w:pPr>
        <w:spacing w:after="24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 xml:space="preserve">The failure of </w:t>
      </w:r>
      <w:r w:rsidRPr="006939E8">
        <w:rPr>
          <w:rFonts w:ascii="Times New Roman" w:hAnsi="Times New Roman" w:cs="Times New Roman"/>
          <w:sz w:val="24"/>
          <w:szCs w:val="24"/>
        </w:rPr>
        <w:t>officers to</w:t>
      </w:r>
      <w:r w:rsidR="00EC07ED" w:rsidRPr="006939E8">
        <w:rPr>
          <w:rFonts w:ascii="Times New Roman" w:hAnsi="Times New Roman" w:cs="Times New Roman"/>
          <w:sz w:val="24"/>
          <w:szCs w:val="24"/>
        </w:rPr>
        <w:t xml:space="preserve"> assert total domination</w:t>
      </w:r>
      <w:r w:rsidRPr="006939E8">
        <w:rPr>
          <w:rFonts w:ascii="Times New Roman" w:hAnsi="Times New Roman" w:cs="Times New Roman"/>
          <w:sz w:val="24"/>
          <w:szCs w:val="24"/>
        </w:rPr>
        <w:t xml:space="preserve"> results</w:t>
      </w:r>
      <w:r w:rsidRPr="009331EF">
        <w:rPr>
          <w:rFonts w:ascii="Times New Roman" w:hAnsi="Times New Roman" w:cs="Times New Roman"/>
          <w:sz w:val="24"/>
          <w:szCs w:val="24"/>
        </w:rPr>
        <w:t xml:space="preserve"> in continual shows of dissent, as when troops refuse to join in with their enjoyment at punishment rituals, experiencing instead loathing and horror during Frederick’s floggings.  The deepest resistance occurs before the Middleton demonstration, when they are expected to put down those who have gathered peacefully.  Their superiors confine them to barracks through fear they will fraternise with workers and then personally supervise the ‘rough-sharpening’ of bayonets.</w:t>
      </w:r>
      <w:r w:rsidRPr="009331EF">
        <w:rPr>
          <w:rStyle w:val="FootnoteReference"/>
          <w:rFonts w:ascii="Times New Roman" w:hAnsi="Times New Roman" w:cs="Times New Roman"/>
          <w:sz w:val="24"/>
          <w:szCs w:val="24"/>
        </w:rPr>
        <w:footnoteReference w:id="993"/>
      </w:r>
      <w:r w:rsidRPr="009331EF">
        <w:rPr>
          <w:rFonts w:ascii="Times New Roman" w:hAnsi="Times New Roman" w:cs="Times New Roman"/>
          <w:sz w:val="24"/>
          <w:szCs w:val="24"/>
        </w:rPr>
        <w:t xml:space="preserve">  The attack upon the crowd results in a stark division of responses.  Officers who view protest as tantamount to treason feel satisfied that ‘the “riff-raff and rabble” were dispersed; […] an example of terrorism had been afforded which would not very speedily be forgotten’.</w:t>
      </w:r>
      <w:r w:rsidRPr="009331EF">
        <w:rPr>
          <w:rStyle w:val="FootnoteReference"/>
          <w:rFonts w:ascii="Times New Roman" w:hAnsi="Times New Roman" w:cs="Times New Roman"/>
          <w:sz w:val="24"/>
          <w:szCs w:val="24"/>
        </w:rPr>
        <w:footnoteReference w:id="994"/>
      </w:r>
      <w:r w:rsidRPr="009331EF">
        <w:rPr>
          <w:rFonts w:ascii="Times New Roman" w:hAnsi="Times New Roman" w:cs="Times New Roman"/>
          <w:sz w:val="24"/>
          <w:szCs w:val="24"/>
        </w:rPr>
        <w:t xml:space="preserve">  In contrast, troops are dismayed at the slaughter but with no constructive way of voicing their anger find relief in liquor from the canteen ‘to escape from the dark and dismal impressions </w:t>
      </w:r>
      <w:r w:rsidRPr="009331EF">
        <w:rPr>
          <w:rFonts w:ascii="Times New Roman" w:hAnsi="Times New Roman" w:cs="Times New Roman"/>
          <w:sz w:val="24"/>
          <w:szCs w:val="24"/>
        </w:rPr>
        <w:lastRenderedPageBreak/>
        <w:t>left upon their minds’.</w:t>
      </w:r>
      <w:r w:rsidRPr="009331EF">
        <w:rPr>
          <w:rStyle w:val="FootnoteReference"/>
          <w:rFonts w:ascii="Times New Roman" w:hAnsi="Times New Roman" w:cs="Times New Roman"/>
          <w:sz w:val="24"/>
          <w:szCs w:val="24"/>
        </w:rPr>
        <w:footnoteReference w:id="995"/>
      </w:r>
      <w:r w:rsidRPr="009331EF">
        <w:rPr>
          <w:rFonts w:ascii="Times New Roman" w:hAnsi="Times New Roman" w:cs="Times New Roman"/>
          <w:sz w:val="24"/>
          <w:szCs w:val="24"/>
        </w:rPr>
        <w:t xml:space="preserve">  For Reynolds, despite the scene revealing the troops as an arm of the state, they are an unwilling one and remain a potential source of rebellion against aristocratic tyranny.</w:t>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bCs/>
          <w:sz w:val="24"/>
          <w:szCs w:val="24"/>
        </w:rPr>
        <w:t>The Middleton meeting is notable for its strong echoes of the 1819 Peterloo Massacre in Manchester.</w:t>
      </w:r>
      <w:r w:rsidRPr="009331EF">
        <w:rPr>
          <w:rStyle w:val="FootnoteReference"/>
          <w:rFonts w:ascii="Times New Roman" w:hAnsi="Times New Roman" w:cs="Times New Roman"/>
          <w:sz w:val="24"/>
          <w:szCs w:val="24"/>
        </w:rPr>
        <w:footnoteReference w:id="996"/>
      </w:r>
      <w:r w:rsidRPr="009331EF">
        <w:rPr>
          <w:rFonts w:ascii="Times New Roman" w:hAnsi="Times New Roman" w:cs="Times New Roman"/>
          <w:bCs/>
          <w:sz w:val="24"/>
          <w:szCs w:val="24"/>
        </w:rPr>
        <w:t xml:space="preserve">  Reynolds places greater emphasis than usual upon the class nature of those present.  A</w:t>
      </w:r>
      <w:r w:rsidRPr="009331EF">
        <w:rPr>
          <w:rFonts w:ascii="Times New Roman" w:hAnsi="Times New Roman" w:cs="Times New Roman"/>
          <w:sz w:val="24"/>
          <w:szCs w:val="24"/>
        </w:rPr>
        <w:t>fter using the looser term ‘industrious classes’ twice, he refers to the ‘working classes’ six times, as well as ‘sons of toil’, ‘working man’ and ‘working men’.</w:t>
      </w:r>
      <w:r w:rsidRPr="009331EF">
        <w:rPr>
          <w:rStyle w:val="FootnoteReference"/>
          <w:rFonts w:ascii="Times New Roman" w:hAnsi="Times New Roman" w:cs="Times New Roman"/>
          <w:sz w:val="24"/>
          <w:szCs w:val="24"/>
        </w:rPr>
        <w:footnoteReference w:id="997"/>
      </w:r>
      <w:r w:rsidRPr="009331EF">
        <w:rPr>
          <w:rFonts w:ascii="Times New Roman" w:hAnsi="Times New Roman" w:cs="Times New Roman"/>
          <w:bCs/>
          <w:sz w:val="24"/>
          <w:szCs w:val="24"/>
        </w:rPr>
        <w:t xml:space="preserve">  </w:t>
      </w:r>
      <w:r w:rsidRPr="009331EF">
        <w:rPr>
          <w:rFonts w:ascii="Times New Roman" w:hAnsi="Times New Roman" w:cs="Times New Roman"/>
          <w:sz w:val="24"/>
          <w:szCs w:val="24"/>
        </w:rPr>
        <w:t>This contrasts sharply with Lady Georgiana Hatfield’s description of those greeting Richard Markham in London as a ‘vast congregation of all classes’.</w:t>
      </w:r>
      <w:r w:rsidRPr="009331EF">
        <w:rPr>
          <w:rStyle w:val="FootnoteReference"/>
          <w:rFonts w:ascii="Times New Roman" w:hAnsi="Times New Roman" w:cs="Times New Roman"/>
          <w:sz w:val="24"/>
          <w:szCs w:val="24"/>
        </w:rPr>
        <w:footnoteReference w:id="998"/>
      </w:r>
      <w:r w:rsidRPr="009331EF">
        <w:rPr>
          <w:rFonts w:ascii="Times New Roman" w:hAnsi="Times New Roman" w:cs="Times New Roman"/>
          <w:sz w:val="24"/>
          <w:szCs w:val="24"/>
        </w:rPr>
        <w:t xml:space="preserve">  </w:t>
      </w:r>
      <w:r w:rsidRPr="009331EF">
        <w:rPr>
          <w:rFonts w:ascii="Times New Roman" w:hAnsi="Times New Roman" w:cs="Times New Roman"/>
          <w:bCs/>
          <w:sz w:val="24"/>
          <w:szCs w:val="24"/>
        </w:rPr>
        <w:t>The meeting sees p</w:t>
      </w:r>
      <w:r w:rsidRPr="009331EF">
        <w:rPr>
          <w:rFonts w:ascii="Times New Roman" w:hAnsi="Times New Roman" w:cs="Times New Roman"/>
          <w:sz w:val="24"/>
          <w:szCs w:val="24"/>
        </w:rPr>
        <w:t>olitical and economic aims being combined in a way that closely follows the perspective called ‘the Charter and something more’ which Reynolds advocated.</w:t>
      </w:r>
      <w:r w:rsidRPr="009331EF">
        <w:rPr>
          <w:rStyle w:val="FootnoteReference"/>
          <w:rFonts w:ascii="Times New Roman" w:hAnsi="Times New Roman" w:cs="Times New Roman"/>
          <w:sz w:val="24"/>
          <w:szCs w:val="24"/>
        </w:rPr>
        <w:footnoteReference w:id="999"/>
      </w:r>
      <w:r w:rsidRPr="009331EF">
        <w:rPr>
          <w:rFonts w:ascii="Times New Roman" w:hAnsi="Times New Roman" w:cs="Times New Roman"/>
          <w:sz w:val="24"/>
          <w:szCs w:val="24"/>
        </w:rPr>
        <w:t xml:space="preserve">  The protest is by those who are willing to work but can find no employment.  It has arisen out of poverty, as their straitened appearance attests, but is also a response to the outmoded political system, voiced by a speaker who refers to the ‘fraud’ of the 1832 Reform Bill.</w:t>
      </w:r>
      <w:r w:rsidRPr="009331EF">
        <w:rPr>
          <w:rStyle w:val="FootnoteReference"/>
          <w:rFonts w:ascii="Times New Roman" w:hAnsi="Times New Roman" w:cs="Times New Roman"/>
          <w:sz w:val="24"/>
          <w:szCs w:val="24"/>
        </w:rPr>
        <w:footnoteReference w:id="1000"/>
      </w:r>
      <w:r w:rsidRPr="009331EF">
        <w:rPr>
          <w:rFonts w:ascii="Times New Roman" w:hAnsi="Times New Roman" w:cs="Times New Roman"/>
          <w:bCs/>
          <w:sz w:val="24"/>
          <w:szCs w:val="24"/>
        </w:rPr>
        <w:t xml:space="preserve">  </w:t>
      </w:r>
      <w:r w:rsidRPr="009331EF">
        <w:rPr>
          <w:rFonts w:ascii="Times New Roman" w:hAnsi="Times New Roman" w:cs="Times New Roman"/>
          <w:sz w:val="24"/>
          <w:szCs w:val="24"/>
        </w:rPr>
        <w:t>T</w:t>
      </w:r>
      <w:r w:rsidRPr="009331EF">
        <w:rPr>
          <w:rFonts w:ascii="Times New Roman" w:hAnsi="Times New Roman" w:cs="Times New Roman"/>
          <w:bCs/>
          <w:sz w:val="24"/>
          <w:szCs w:val="24"/>
        </w:rPr>
        <w:t>he gathering is the last in a series that have become increasingly determined and is unb</w:t>
      </w:r>
      <w:r w:rsidRPr="009331EF">
        <w:rPr>
          <w:rFonts w:ascii="Times New Roman" w:hAnsi="Times New Roman" w:cs="Times New Roman"/>
          <w:sz w:val="24"/>
          <w:szCs w:val="24"/>
        </w:rPr>
        <w:t>owed by the troops sent to monitor events, looking to their leaders for the course of action to pursue:</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In a calm, firm voice, the chairman reminded the meeting that it was the privilege of Englishmen to assemble for the purpose of discussing grievances and petitioning for redress—that such were the objects of the present assemblage—that these objects were fully proven by the documents to be submitted for the approbation of the meeting—that as they were all unarmed, and therefore incapable of mischief even if they possessed the inclination, it would be the most outrageous exercise of tyranny on the part of the authorities to prevent the continuation of the proceedings.</w:t>
      </w:r>
      <w:r w:rsidRPr="009331EF">
        <w:rPr>
          <w:rStyle w:val="FootnoteReference"/>
          <w:rFonts w:ascii="Times New Roman" w:hAnsi="Times New Roman" w:cs="Times New Roman"/>
          <w:sz w:val="24"/>
          <w:szCs w:val="24"/>
        </w:rPr>
        <w:footnoteReference w:id="1001"/>
      </w:r>
    </w:p>
    <w:p w:rsidR="00422D80" w:rsidRPr="00EC07ED" w:rsidRDefault="00422D80" w:rsidP="00422D80">
      <w:pPr>
        <w:spacing w:after="240" w:line="360" w:lineRule="auto"/>
        <w:rPr>
          <w:rFonts w:ascii="Times New Roman" w:hAnsi="Times New Roman" w:cs="Times New Roman"/>
          <w:sz w:val="24"/>
          <w:szCs w:val="24"/>
        </w:rPr>
      </w:pPr>
      <w:r w:rsidRPr="009331EF">
        <w:rPr>
          <w:rFonts w:ascii="Times New Roman" w:hAnsi="Times New Roman" w:cs="Times New Roman"/>
          <w:sz w:val="24"/>
          <w:szCs w:val="24"/>
        </w:rPr>
        <w:lastRenderedPageBreak/>
        <w:t xml:space="preserve">The chairman advises it is the duty of all to defend their rights and failure to do so would be an act of cowardice, since they have assembled for peaceful discussion not violence.  The outcome of the meeting relies upon the popular will of those attending, in contrast to the decisions taken by an undemocratic Parliament that excludes the wishes </w:t>
      </w:r>
      <w:r w:rsidRPr="006939E8">
        <w:rPr>
          <w:rFonts w:ascii="Times New Roman" w:hAnsi="Times New Roman" w:cs="Times New Roman"/>
          <w:sz w:val="24"/>
          <w:szCs w:val="24"/>
        </w:rPr>
        <w:t>of the ma</w:t>
      </w:r>
      <w:r w:rsidR="00EC07ED" w:rsidRPr="006939E8">
        <w:rPr>
          <w:rFonts w:ascii="Times New Roman" w:hAnsi="Times New Roman" w:cs="Times New Roman"/>
          <w:sz w:val="24"/>
          <w:szCs w:val="24"/>
        </w:rPr>
        <w:t>jority</w:t>
      </w:r>
      <w:r w:rsidRPr="006939E8">
        <w:rPr>
          <w:rFonts w:ascii="Times New Roman" w:hAnsi="Times New Roman" w:cs="Times New Roman"/>
          <w:sz w:val="24"/>
          <w:szCs w:val="24"/>
        </w:rPr>
        <w:t xml:space="preserve"> of the</w:t>
      </w:r>
      <w:r w:rsidRPr="009331EF">
        <w:rPr>
          <w:rFonts w:ascii="Times New Roman" w:hAnsi="Times New Roman" w:cs="Times New Roman"/>
          <w:sz w:val="24"/>
          <w:szCs w:val="24"/>
        </w:rPr>
        <w:t xml:space="preserve"> population.  The Mayor who arrives to disperse them </w:t>
      </w:r>
      <w:r w:rsidRPr="009331EF">
        <w:rPr>
          <w:rFonts w:ascii="Times New Roman" w:hAnsi="Times New Roman" w:cs="Times New Roman"/>
          <w:iCs/>
          <w:sz w:val="24"/>
          <w:szCs w:val="24"/>
        </w:rPr>
        <w:t xml:space="preserve">reads the Riot Act in a bullying tone, </w:t>
      </w:r>
      <w:r w:rsidRPr="009331EF">
        <w:rPr>
          <w:rFonts w:ascii="Times New Roman" w:hAnsi="Times New Roman" w:cs="Times New Roman"/>
          <w:sz w:val="24"/>
          <w:szCs w:val="24"/>
        </w:rPr>
        <w:t>appealing to laws imposed under Charles II.  It is a contrast that symbolises how workers are representing freedoms of the modern age against the monarchical tyranny of olden times.  Such protest raises them from poverty-induced submissiveness, with Reynolds describing the psychological impact as being how ‘a dead body may be galvanised [when] inspired with a thrill of patriotic enthusiasm in the consciousness that their’s was the cause of right and justice’.</w:t>
      </w:r>
      <w:r w:rsidRPr="009331EF">
        <w:rPr>
          <w:rStyle w:val="FootnoteReference"/>
          <w:rFonts w:ascii="Times New Roman" w:hAnsi="Times New Roman" w:cs="Times New Roman"/>
          <w:sz w:val="24"/>
          <w:szCs w:val="24"/>
        </w:rPr>
        <w:footnoteReference w:id="1002"/>
      </w:r>
      <w:r w:rsidRPr="009331EF">
        <w:rPr>
          <w:rFonts w:ascii="Times New Roman" w:hAnsi="Times New Roman" w:cs="Times New Roman"/>
          <w:sz w:val="24"/>
          <w:szCs w:val="24"/>
        </w:rPr>
        <w:t xml:space="preserve">  The claims made become part </w:t>
      </w:r>
      <w:r w:rsidRPr="006939E8">
        <w:rPr>
          <w:rFonts w:ascii="Times New Roman" w:hAnsi="Times New Roman" w:cs="Times New Roman"/>
          <w:sz w:val="24"/>
          <w:szCs w:val="24"/>
        </w:rPr>
        <w:t>of a</w:t>
      </w:r>
      <w:r w:rsidR="00EC07ED" w:rsidRPr="006939E8">
        <w:rPr>
          <w:rFonts w:ascii="Times New Roman" w:hAnsi="Times New Roman" w:cs="Times New Roman"/>
          <w:sz w:val="24"/>
          <w:szCs w:val="24"/>
        </w:rPr>
        <w:t>n</w:t>
      </w:r>
      <w:r w:rsidRPr="006939E8">
        <w:rPr>
          <w:rFonts w:ascii="Times New Roman" w:hAnsi="Times New Roman" w:cs="Times New Roman"/>
          <w:sz w:val="24"/>
          <w:szCs w:val="24"/>
        </w:rPr>
        <w:t xml:space="preserve"> endeavour to</w:t>
      </w:r>
      <w:r w:rsidRPr="009331EF">
        <w:rPr>
          <w:rFonts w:ascii="Times New Roman" w:hAnsi="Times New Roman" w:cs="Times New Roman"/>
          <w:sz w:val="24"/>
          <w:szCs w:val="24"/>
        </w:rPr>
        <w:t xml:space="preserve"> improve the nation’s moral standing, not driven primarily by self-interest but a </w:t>
      </w:r>
      <w:r w:rsidRPr="00EC07ED">
        <w:rPr>
          <w:rFonts w:ascii="Times New Roman" w:hAnsi="Times New Roman" w:cs="Times New Roman"/>
          <w:sz w:val="24"/>
          <w:szCs w:val="24"/>
        </w:rPr>
        <w:t>sense of duty to ‘the millions of their fellow-workers and toilers throughout the land’.</w:t>
      </w:r>
      <w:r w:rsidRPr="00EC07ED">
        <w:rPr>
          <w:rStyle w:val="FootnoteReference"/>
          <w:rFonts w:ascii="Times New Roman" w:hAnsi="Times New Roman" w:cs="Times New Roman"/>
          <w:sz w:val="24"/>
          <w:szCs w:val="24"/>
        </w:rPr>
        <w:footnoteReference w:id="1003"/>
      </w:r>
      <w:r w:rsidRPr="00EC07ED">
        <w:rPr>
          <w:rFonts w:ascii="Times New Roman" w:hAnsi="Times New Roman" w:cs="Times New Roman"/>
          <w:sz w:val="24"/>
          <w:szCs w:val="24"/>
        </w:rPr>
        <w:t xml:space="preserve">  Although ending in a bloody retreat, it is an impressive display by a radicalised assembly of over ten thousand men and women united through poverty and a consuming interest in the state of the country.</w:t>
      </w:r>
    </w:p>
    <w:p w:rsidR="00422D80" w:rsidRPr="009331EF" w:rsidRDefault="00422D80" w:rsidP="00422D80">
      <w:pPr>
        <w:spacing w:after="120" w:line="360" w:lineRule="auto"/>
        <w:ind w:firstLine="720"/>
        <w:rPr>
          <w:rFonts w:ascii="Times New Roman" w:hAnsi="Times New Roman" w:cs="Times New Roman"/>
          <w:sz w:val="24"/>
          <w:szCs w:val="24"/>
        </w:rPr>
      </w:pPr>
      <w:r w:rsidRPr="00EC07ED">
        <w:rPr>
          <w:rFonts w:ascii="Times New Roman" w:hAnsi="Times New Roman" w:cs="Times New Roman"/>
          <w:sz w:val="24"/>
          <w:szCs w:val="24"/>
        </w:rPr>
        <w:t xml:space="preserve">As with the crowds who greet Ellingham and Markham, those at Middleton see themselves as part of a great moral movement, </w:t>
      </w:r>
      <w:r w:rsidRPr="00EC07ED">
        <w:rPr>
          <w:rFonts w:ascii="Times New Roman" w:hAnsi="Times New Roman" w:cs="Times New Roman"/>
          <w:iCs/>
          <w:sz w:val="24"/>
          <w:szCs w:val="24"/>
        </w:rPr>
        <w:t>indicated by the aim of sending a petition to ‘humbly’ implore their rights.</w:t>
      </w:r>
      <w:r w:rsidRPr="00EC07ED">
        <w:rPr>
          <w:rStyle w:val="FootnoteReference"/>
          <w:rFonts w:ascii="Times New Roman" w:hAnsi="Times New Roman" w:cs="Times New Roman"/>
          <w:sz w:val="24"/>
          <w:szCs w:val="24"/>
        </w:rPr>
        <w:footnoteReference w:id="1004"/>
      </w:r>
      <w:r w:rsidRPr="00EC07ED">
        <w:rPr>
          <w:rFonts w:ascii="Times New Roman" w:hAnsi="Times New Roman" w:cs="Times New Roman"/>
          <w:sz w:val="24"/>
          <w:szCs w:val="24"/>
        </w:rPr>
        <w:t xml:space="preserve"> </w:t>
      </w:r>
      <w:r w:rsidRPr="00EC07ED">
        <w:rPr>
          <w:rFonts w:ascii="Times New Roman" w:hAnsi="Times New Roman" w:cs="Times New Roman"/>
          <w:iCs/>
          <w:sz w:val="24"/>
          <w:szCs w:val="24"/>
        </w:rPr>
        <w:t xml:space="preserve"> This phrasing combines desire for progress with due regard for prevailing social structures, </w:t>
      </w:r>
      <w:r w:rsidRPr="00EC07ED">
        <w:rPr>
          <w:rFonts w:ascii="Times New Roman" w:hAnsi="Times New Roman" w:cs="Times New Roman"/>
          <w:sz w:val="24"/>
          <w:szCs w:val="24"/>
        </w:rPr>
        <w:t>displaying how moderate conduct and reasoned language does not necessarily diminish progressive intent, as evidenced by the tone of many Chartist</w:t>
      </w:r>
      <w:r w:rsidRPr="009331EF">
        <w:rPr>
          <w:rFonts w:ascii="Times New Roman" w:hAnsi="Times New Roman" w:cs="Times New Roman"/>
          <w:sz w:val="24"/>
          <w:szCs w:val="24"/>
        </w:rPr>
        <w:t xml:space="preserve"> letters and appeals.</w:t>
      </w:r>
      <w:r w:rsidRPr="009331EF">
        <w:rPr>
          <w:rStyle w:val="FootnoteReference"/>
          <w:rFonts w:ascii="Times New Roman" w:hAnsi="Times New Roman" w:cs="Times New Roman"/>
          <w:sz w:val="24"/>
          <w:szCs w:val="24"/>
        </w:rPr>
        <w:footnoteReference w:id="1005"/>
      </w:r>
      <w:r w:rsidRPr="009331EF">
        <w:rPr>
          <w:rFonts w:ascii="Times New Roman" w:hAnsi="Times New Roman" w:cs="Times New Roman"/>
          <w:sz w:val="24"/>
          <w:szCs w:val="24"/>
        </w:rPr>
        <w:t xml:space="preserve">  They will not be misled into violence by inflammatory speeches or goaded into riotous behaviour by the abusive </w:t>
      </w:r>
      <w:r w:rsidRPr="009331EF">
        <w:rPr>
          <w:rFonts w:ascii="Times New Roman" w:hAnsi="Times New Roman" w:cs="Times New Roman"/>
          <w:iCs/>
          <w:sz w:val="24"/>
          <w:szCs w:val="24"/>
        </w:rPr>
        <w:t>Mayor.  When a woman is trampled by his horse and her baby killed, Reynolds writes that although raised to anger ‘there was nothing really menacing in the aspect of the assemblage, tumultuous though it had grown’.</w:t>
      </w:r>
      <w:r w:rsidRPr="009331EF">
        <w:rPr>
          <w:rStyle w:val="FootnoteReference"/>
          <w:rFonts w:ascii="Times New Roman" w:hAnsi="Times New Roman" w:cs="Times New Roman"/>
          <w:sz w:val="24"/>
          <w:szCs w:val="24"/>
        </w:rPr>
        <w:footnoteReference w:id="1006"/>
      </w:r>
      <w:r w:rsidRPr="009331EF">
        <w:rPr>
          <w:rFonts w:ascii="Times New Roman" w:hAnsi="Times New Roman" w:cs="Times New Roman"/>
          <w:iCs/>
          <w:sz w:val="24"/>
          <w:szCs w:val="24"/>
        </w:rPr>
        <w:t xml:space="preserve">  Not intending to cause harm themselves, they believe the same of their opponents and have no fear that cavalry or troops will be turned against them.  Even after the atrocities that see many </w:t>
      </w:r>
      <w:r w:rsidRPr="009331EF">
        <w:rPr>
          <w:rFonts w:ascii="Times New Roman" w:hAnsi="Times New Roman" w:cs="Times New Roman"/>
          <w:iCs/>
          <w:sz w:val="24"/>
          <w:szCs w:val="24"/>
        </w:rPr>
        <w:lastRenderedPageBreak/>
        <w:t xml:space="preserve">killed or maimed, their response remains peaceful, shown by </w:t>
      </w:r>
      <w:r w:rsidRPr="009331EF">
        <w:rPr>
          <w:rFonts w:ascii="Times New Roman" w:hAnsi="Times New Roman" w:cs="Times New Roman"/>
          <w:sz w:val="24"/>
          <w:szCs w:val="24"/>
        </w:rPr>
        <w:t>the reaction towards Frederick Lonsdale as he walks home the following day:</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[H]e noticed that the working men whom he passed looked upon him, some with unrestrained horror and aversion, others with mournful commiseration.  Those who were least acquainted with the imperious tyranny of that discipline which rules the private soldier as with a rod of iron, naturally held these soldiers themselves responsible for the hideous deeds that had been done: but others who were better instructed upon the subject, knew that the private soldier was naught but a mechanical and automaton-made being, whose position was but too well calculated to excite a mournful pity.</w:t>
      </w:r>
      <w:r w:rsidRPr="009331EF">
        <w:rPr>
          <w:rStyle w:val="FootnoteReference"/>
          <w:rFonts w:ascii="Times New Roman" w:hAnsi="Times New Roman" w:cs="Times New Roman"/>
          <w:sz w:val="24"/>
          <w:szCs w:val="24"/>
        </w:rPr>
        <w:footnoteReference w:id="1007"/>
      </w:r>
    </w:p>
    <w:p w:rsidR="00422D80" w:rsidRPr="009331EF" w:rsidRDefault="00422D80" w:rsidP="00422D80">
      <w:pPr>
        <w:spacing w:after="120" w:line="360" w:lineRule="auto"/>
        <w:rPr>
          <w:rFonts w:ascii="Times New Roman" w:hAnsi="Times New Roman" w:cs="Times New Roman"/>
          <w:iCs/>
          <w:sz w:val="24"/>
          <w:szCs w:val="24"/>
        </w:rPr>
      </w:pPr>
      <w:r w:rsidRPr="009331EF">
        <w:rPr>
          <w:rFonts w:ascii="Times New Roman" w:hAnsi="Times New Roman" w:cs="Times New Roman"/>
          <w:sz w:val="24"/>
          <w:szCs w:val="24"/>
        </w:rPr>
        <w:t xml:space="preserve">Reynolds largely absolves the troops of guilt as mere cogs in a machine, although this </w:t>
      </w:r>
      <w:r w:rsidRPr="009331EF">
        <w:rPr>
          <w:rFonts w:ascii="Times New Roman" w:hAnsi="Times New Roman" w:cs="Times New Roman"/>
          <w:iCs/>
          <w:sz w:val="24"/>
          <w:szCs w:val="24"/>
        </w:rPr>
        <w:t>description appears inconsistent with their thoughtful discussions in the barrack-room.</w:t>
      </w:r>
      <w:r w:rsidRPr="009331EF">
        <w:rPr>
          <w:rFonts w:ascii="Times New Roman" w:hAnsi="Times New Roman" w:cs="Times New Roman"/>
          <w:sz w:val="24"/>
          <w:szCs w:val="24"/>
        </w:rPr>
        <w:t xml:space="preserve">  He rejects as expressions of ignorance the anger of workers who might seek retribution.  The </w:t>
      </w:r>
      <w:r w:rsidRPr="009331EF">
        <w:rPr>
          <w:rFonts w:ascii="Times New Roman" w:hAnsi="Times New Roman" w:cs="Times New Roman"/>
          <w:iCs/>
          <w:sz w:val="24"/>
          <w:szCs w:val="24"/>
        </w:rPr>
        <w:t xml:space="preserve">wisest display </w:t>
      </w:r>
      <w:r w:rsidRPr="009331EF">
        <w:rPr>
          <w:rFonts w:ascii="Times New Roman" w:hAnsi="Times New Roman" w:cs="Times New Roman"/>
          <w:sz w:val="24"/>
          <w:szCs w:val="24"/>
        </w:rPr>
        <w:t xml:space="preserve">‘mournful commiseration’, suggesting awareness of the brutalizing effects of army life and ability to empathise with those who have caused suffering.  It is an attitude that signals moral strength, Christian forgiveness and the resolve to continue struggling for </w:t>
      </w:r>
      <w:r w:rsidRPr="009331EF">
        <w:rPr>
          <w:rFonts w:ascii="Times New Roman" w:hAnsi="Times New Roman" w:cs="Times New Roman"/>
          <w:iCs/>
          <w:sz w:val="24"/>
          <w:szCs w:val="24"/>
        </w:rPr>
        <w:t>gradual change.</w:t>
      </w:r>
    </w:p>
    <w:p w:rsidR="00422D80" w:rsidRPr="009331EF" w:rsidRDefault="00422D80" w:rsidP="00422D80">
      <w:pPr>
        <w:spacing w:after="240" w:line="360" w:lineRule="auto"/>
        <w:ind w:firstLine="720"/>
        <w:rPr>
          <w:rFonts w:ascii="Times New Roman" w:hAnsi="Times New Roman" w:cs="Times New Roman"/>
          <w:iCs/>
          <w:sz w:val="24"/>
          <w:szCs w:val="24"/>
        </w:rPr>
      </w:pPr>
      <w:r w:rsidRPr="009331EF">
        <w:rPr>
          <w:rFonts w:ascii="Times New Roman" w:hAnsi="Times New Roman" w:cs="Times New Roman"/>
          <w:iCs/>
          <w:sz w:val="24"/>
          <w:szCs w:val="24"/>
        </w:rPr>
        <w:t>For Reynolds, the peaceful nature of the Middleton protest was more important than the question of physically confronting opposition, an aspect reflected in his coverage of contemporary industrial conflict, as seen during the 1853</w:t>
      </w:r>
      <w:r w:rsidRPr="009331EF">
        <w:rPr>
          <w:rFonts w:ascii="Times New Roman" w:hAnsi="Times New Roman" w:cs="Times New Roman"/>
          <w:sz w:val="24"/>
          <w:szCs w:val="24"/>
        </w:rPr>
        <w:t>–</w:t>
      </w:r>
      <w:r w:rsidRPr="009331EF">
        <w:rPr>
          <w:rFonts w:ascii="Times New Roman" w:hAnsi="Times New Roman" w:cs="Times New Roman"/>
          <w:iCs/>
          <w:sz w:val="24"/>
          <w:szCs w:val="24"/>
        </w:rPr>
        <w:t>54 lock out of the Preston cotton operatives.</w:t>
      </w:r>
      <w:r w:rsidRPr="009331EF">
        <w:rPr>
          <w:rStyle w:val="FootnoteReference"/>
          <w:rFonts w:ascii="Times New Roman" w:hAnsi="Times New Roman" w:cs="Times New Roman"/>
          <w:sz w:val="24"/>
          <w:szCs w:val="24"/>
        </w:rPr>
        <w:footnoteReference w:id="1008"/>
      </w:r>
      <w:r w:rsidRPr="009331EF">
        <w:rPr>
          <w:rFonts w:ascii="Times New Roman" w:hAnsi="Times New Roman" w:cs="Times New Roman"/>
          <w:sz w:val="24"/>
          <w:szCs w:val="24"/>
        </w:rPr>
        <w:t xml:space="preserve"> </w:t>
      </w:r>
      <w:r w:rsidRPr="009331EF">
        <w:rPr>
          <w:rFonts w:ascii="Times New Roman" w:hAnsi="Times New Roman" w:cs="Times New Roman"/>
          <w:iCs/>
          <w:sz w:val="24"/>
          <w:szCs w:val="24"/>
        </w:rPr>
        <w:t xml:space="preserve"> Reports highlighted the positive qualities of the struggle: ‘the admirable general-ship of those who conduct</w:t>
      </w:r>
      <w:r w:rsidRPr="009331EF">
        <w:rPr>
          <w:rFonts w:ascii="Times New Roman" w:hAnsi="Times New Roman" w:cs="Times New Roman"/>
          <w:sz w:val="24"/>
          <w:szCs w:val="24"/>
        </w:rPr>
        <w:t>—</w:t>
      </w:r>
      <w:r w:rsidRPr="009331EF">
        <w:rPr>
          <w:rFonts w:ascii="Times New Roman" w:hAnsi="Times New Roman" w:cs="Times New Roman"/>
          <w:iCs/>
          <w:sz w:val="24"/>
          <w:szCs w:val="24"/>
        </w:rPr>
        <w:t>the perfect discipline of those who suffer</w:t>
      </w:r>
      <w:r w:rsidRPr="009331EF">
        <w:rPr>
          <w:rFonts w:ascii="Times New Roman" w:hAnsi="Times New Roman" w:cs="Times New Roman"/>
          <w:sz w:val="24"/>
          <w:szCs w:val="24"/>
        </w:rPr>
        <w:t>—</w:t>
      </w:r>
      <w:r w:rsidRPr="009331EF">
        <w:rPr>
          <w:rFonts w:ascii="Times New Roman" w:hAnsi="Times New Roman" w:cs="Times New Roman"/>
          <w:iCs/>
          <w:sz w:val="24"/>
          <w:szCs w:val="24"/>
        </w:rPr>
        <w:t>and the unprecedented liberality of those who sympathise’, the latter pointing to ‘the humanity of their fellow-sufferers throughout the kingdom’.</w:t>
      </w:r>
      <w:r w:rsidRPr="009331EF">
        <w:rPr>
          <w:rStyle w:val="FootnoteReference"/>
          <w:rFonts w:ascii="Times New Roman" w:hAnsi="Times New Roman" w:cs="Times New Roman"/>
          <w:sz w:val="24"/>
          <w:szCs w:val="24"/>
        </w:rPr>
        <w:footnoteReference w:id="1009"/>
      </w:r>
      <w:r w:rsidRPr="009331EF">
        <w:rPr>
          <w:rFonts w:ascii="Times New Roman" w:hAnsi="Times New Roman" w:cs="Times New Roman"/>
          <w:iCs/>
          <w:sz w:val="24"/>
          <w:szCs w:val="24"/>
        </w:rPr>
        <w:t xml:space="preserve">  The favourable reference to the trade union leaders confirmed Reynolds’s belief in working-class organization.  However, the raising of enormous funds and good behaviour of strikers could not hide the reality that the Preston operatives, along with many others, were defeated.</w:t>
      </w:r>
      <w:r w:rsidRPr="009331EF">
        <w:rPr>
          <w:rStyle w:val="FootnoteReference"/>
          <w:rFonts w:ascii="Times New Roman" w:hAnsi="Times New Roman" w:cs="Times New Roman"/>
          <w:sz w:val="24"/>
          <w:szCs w:val="24"/>
        </w:rPr>
        <w:footnoteReference w:id="1010"/>
      </w:r>
      <w:r w:rsidRPr="009331EF">
        <w:rPr>
          <w:rFonts w:ascii="Times New Roman" w:hAnsi="Times New Roman" w:cs="Times New Roman"/>
          <w:iCs/>
          <w:sz w:val="24"/>
          <w:szCs w:val="24"/>
        </w:rPr>
        <w:t xml:space="preserve">  This is why t</w:t>
      </w:r>
      <w:r w:rsidRPr="009331EF">
        <w:rPr>
          <w:rFonts w:ascii="Times New Roman" w:hAnsi="Times New Roman" w:cs="Times New Roman"/>
          <w:sz w:val="24"/>
          <w:szCs w:val="24"/>
        </w:rPr>
        <w:t xml:space="preserve">he 1855 Hyde Park demonstrations </w:t>
      </w:r>
      <w:r w:rsidRPr="009331EF">
        <w:rPr>
          <w:rFonts w:ascii="Times New Roman" w:hAnsi="Times New Roman" w:cs="Times New Roman"/>
          <w:iCs/>
          <w:sz w:val="24"/>
          <w:szCs w:val="24"/>
        </w:rPr>
        <w:t xml:space="preserve">against </w:t>
      </w:r>
      <w:r w:rsidRPr="009331EF">
        <w:rPr>
          <w:rFonts w:ascii="Times New Roman" w:hAnsi="Times New Roman" w:cs="Times New Roman"/>
          <w:sz w:val="24"/>
          <w:szCs w:val="24"/>
        </w:rPr>
        <w:t xml:space="preserve">Lord Robert Grosvenor’s Sunday Trading Bill take on added significance because they represented how peaceful methods could achieve tangible results.  </w:t>
      </w:r>
      <w:r w:rsidRPr="009331EF">
        <w:rPr>
          <w:rFonts w:ascii="Times New Roman" w:hAnsi="Times New Roman" w:cs="Times New Roman"/>
          <w:i/>
          <w:iCs/>
          <w:sz w:val="24"/>
          <w:szCs w:val="24"/>
        </w:rPr>
        <w:lastRenderedPageBreak/>
        <w:t>Reynolds’s Newspaper</w:t>
      </w:r>
      <w:r w:rsidRPr="009331EF">
        <w:rPr>
          <w:rFonts w:ascii="Times New Roman" w:hAnsi="Times New Roman" w:cs="Times New Roman"/>
          <w:iCs/>
          <w:sz w:val="24"/>
          <w:szCs w:val="24"/>
        </w:rPr>
        <w:t xml:space="preserve"> pictured the protest </w:t>
      </w:r>
      <w:r w:rsidRPr="009331EF">
        <w:rPr>
          <w:rFonts w:ascii="Times New Roman" w:hAnsi="Times New Roman" w:cs="Times New Roman"/>
          <w:sz w:val="24"/>
          <w:szCs w:val="24"/>
        </w:rPr>
        <w:t>as working people defending their right to enjoy innocent recreation on the Sabbath:</w:t>
      </w:r>
      <w:r w:rsidRPr="009331EF">
        <w:rPr>
          <w:rStyle w:val="FootnoteReference"/>
          <w:rFonts w:ascii="Times New Roman" w:hAnsi="Times New Roman" w:cs="Times New Roman"/>
          <w:sz w:val="24"/>
          <w:szCs w:val="24"/>
        </w:rPr>
        <w:footnoteReference w:id="1011"/>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There was an assemblage of thousands of persons, who went to the rendezvous sternly resolved to offer a grand moral protest against a special instance of the overgrown tyranny and presumptuous arrogance of the Aristocracy.  But they did not go thither with weapons drawn, with banners flying, and with trumpets sounding; they dragged no cannon through the streets—they raised no barricades.  Words were their only missiles; language was their only weapon; the justice of their cause was the shield behind which they fought; the sense of right against might gave them the tremendous moral power which ensured success.</w:t>
      </w:r>
      <w:r w:rsidRPr="009331EF">
        <w:rPr>
          <w:rStyle w:val="FootnoteReference"/>
          <w:rFonts w:ascii="Times New Roman" w:hAnsi="Times New Roman" w:cs="Times New Roman"/>
          <w:sz w:val="24"/>
          <w:szCs w:val="24"/>
        </w:rPr>
        <w:footnoteReference w:id="1012"/>
      </w:r>
    </w:p>
    <w:p w:rsidR="00422D80" w:rsidRPr="009331EF" w:rsidRDefault="00EC07ED" w:rsidP="00422D80">
      <w:pPr>
        <w:spacing w:after="120" w:line="360" w:lineRule="auto"/>
        <w:rPr>
          <w:rFonts w:ascii="Times New Roman" w:hAnsi="Times New Roman" w:cs="Times New Roman"/>
          <w:sz w:val="24"/>
          <w:szCs w:val="24"/>
        </w:rPr>
      </w:pPr>
      <w:r w:rsidRPr="003F7D79">
        <w:rPr>
          <w:rFonts w:ascii="Times New Roman" w:hAnsi="Times New Roman" w:cs="Times New Roman"/>
          <w:sz w:val="24"/>
          <w:szCs w:val="24"/>
        </w:rPr>
        <w:t>All is shown</w:t>
      </w:r>
      <w:r w:rsidR="00422D80" w:rsidRPr="003F7D79">
        <w:rPr>
          <w:rFonts w:ascii="Times New Roman" w:hAnsi="Times New Roman" w:cs="Times New Roman"/>
          <w:sz w:val="24"/>
          <w:szCs w:val="24"/>
        </w:rPr>
        <w:t xml:space="preserve"> within</w:t>
      </w:r>
      <w:r w:rsidR="00422D80" w:rsidRPr="009331EF">
        <w:rPr>
          <w:rFonts w:ascii="Times New Roman" w:hAnsi="Times New Roman" w:cs="Times New Roman"/>
          <w:sz w:val="24"/>
          <w:szCs w:val="24"/>
        </w:rPr>
        <w:t xml:space="preserve"> the framework of the great intellectual movement taking place, promoting the principles of freedom of assembly and peaceful dissent.  </w:t>
      </w:r>
      <w:r w:rsidR="00422D80" w:rsidRPr="009331EF">
        <w:rPr>
          <w:rFonts w:ascii="Times New Roman" w:hAnsi="Times New Roman" w:cs="Times New Roman"/>
          <w:iCs/>
          <w:sz w:val="24"/>
          <w:szCs w:val="24"/>
        </w:rPr>
        <w:t xml:space="preserve">Reynolds emphasised </w:t>
      </w:r>
      <w:r w:rsidR="00422D80" w:rsidRPr="003F7D79">
        <w:rPr>
          <w:rFonts w:ascii="Times New Roman" w:hAnsi="Times New Roman" w:cs="Times New Roman"/>
          <w:iCs/>
          <w:sz w:val="24"/>
          <w:szCs w:val="24"/>
        </w:rPr>
        <w:t>this by being partial in his</w:t>
      </w:r>
      <w:r w:rsidR="00422D80" w:rsidRPr="009331EF">
        <w:rPr>
          <w:rFonts w:ascii="Times New Roman" w:hAnsi="Times New Roman" w:cs="Times New Roman"/>
          <w:iCs/>
          <w:sz w:val="24"/>
          <w:szCs w:val="24"/>
        </w:rPr>
        <w:t xml:space="preserve"> coverage, which largely ignored smaller gatherings that took place over the following weekends and involved unruly elements.</w:t>
      </w:r>
      <w:r w:rsidR="00422D80" w:rsidRPr="009331EF">
        <w:rPr>
          <w:rStyle w:val="FootnoteReference"/>
          <w:rFonts w:ascii="Times New Roman" w:hAnsi="Times New Roman" w:cs="Times New Roman"/>
          <w:sz w:val="24"/>
          <w:szCs w:val="24"/>
        </w:rPr>
        <w:footnoteReference w:id="1013"/>
      </w:r>
      <w:r w:rsidR="00422D80" w:rsidRPr="009331EF">
        <w:rPr>
          <w:rFonts w:ascii="Times New Roman" w:hAnsi="Times New Roman" w:cs="Times New Roman"/>
          <w:sz w:val="24"/>
          <w:szCs w:val="24"/>
        </w:rPr>
        <w:t xml:space="preserve">  The people are described as refusing to be treated as serfs, while exercising a stern moral determination to reject violence.  They forego the carnivalesque trappings of banners or regalia, while the disavowal of ‘weapons drawn’, ‘cannon’ and ‘barricades’ ensures separation from how events are conducted on the Continent.  In Britain ‘language’ is the weapon of choice:</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To sum up,—the people have asserted their power, and are now conscious of it.  Had they chosen to go farther, the police ruffians would have been powerless to perpetrate their atrocities: but even as the matter stands, the brutalities of those fiends and the captures they made deteriorate not in the slightest degree the importance of the grand victory gained by the Democracy over the Aristocracy.  Great principles were asserted by comparatively the simplest means; and the immense physical power of the Government has reeled at the shock dealt it by the moral power of the people.  Though enslaved, the masses have shown how impatient they are of their slavery, and how stupendous is the act of injustice which, by denying them the expression of their sentiments through the medium of representation, compels them to have recourse to this species of demonstration.</w:t>
      </w:r>
      <w:r w:rsidRPr="009331EF">
        <w:rPr>
          <w:rStyle w:val="FootnoteReference"/>
          <w:rFonts w:ascii="Times New Roman" w:hAnsi="Times New Roman" w:cs="Times New Roman"/>
          <w:sz w:val="24"/>
          <w:szCs w:val="24"/>
        </w:rPr>
        <w:footnoteReference w:id="1014"/>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 xml:space="preserve">The summary is highly optimistic with success gained through the ‘simplest means’. </w:t>
      </w:r>
      <w:r w:rsidR="003F7D79">
        <w:rPr>
          <w:rFonts w:ascii="Times New Roman" w:hAnsi="Times New Roman" w:cs="Times New Roman"/>
          <w:sz w:val="24"/>
          <w:szCs w:val="24"/>
        </w:rPr>
        <w:t xml:space="preserve"> </w:t>
      </w:r>
      <w:r w:rsidRPr="009331EF">
        <w:rPr>
          <w:rFonts w:ascii="Times New Roman" w:hAnsi="Times New Roman" w:cs="Times New Roman"/>
          <w:sz w:val="24"/>
          <w:szCs w:val="24"/>
        </w:rPr>
        <w:t xml:space="preserve">There was no need for detailed planning, a broad unity of purpose was sufficient.  It is a sign of the times that the masses are </w:t>
      </w:r>
      <w:r w:rsidRPr="003F7D79">
        <w:rPr>
          <w:rFonts w:ascii="Times New Roman" w:hAnsi="Times New Roman" w:cs="Times New Roman"/>
          <w:sz w:val="24"/>
          <w:szCs w:val="24"/>
        </w:rPr>
        <w:t>impatient for change but remain peaceable even</w:t>
      </w:r>
      <w:r w:rsidRPr="009331EF">
        <w:rPr>
          <w:rFonts w:ascii="Times New Roman" w:hAnsi="Times New Roman" w:cs="Times New Roman"/>
          <w:sz w:val="24"/>
          <w:szCs w:val="24"/>
        </w:rPr>
        <w:t xml:space="preserve"> in the face of brutal </w:t>
      </w:r>
      <w:r w:rsidRPr="009331EF">
        <w:rPr>
          <w:rFonts w:ascii="Times New Roman" w:hAnsi="Times New Roman" w:cs="Times New Roman"/>
          <w:sz w:val="24"/>
          <w:szCs w:val="24"/>
        </w:rPr>
        <w:lastRenderedPageBreak/>
        <w:t>opposition.  Being physically beaten back is of little account.  Reynolds suggests that had force been used sheer weight of numbers would have defeated the police ruffians and so the decision not to retaliate is testament to resolve not weakness.  The ‘immense physical power’ of the state has proved unable to diminish either the moral aspect of the protest or its enormous psychological impact.  Reference is made to the ‘two memorable days’, echoing the ‘Three days of July’ in 1830 and giving Hyde Park the revolutionary connotations of the Parisian boulevards.  The event has revealed to the industrious classes that they can attain their goals peacefully and served notice that the Government must grant them democratic rights.</w:t>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ab/>
        <w:t>The preceding analysis has argued for an optimistic view of Reynolds’s presentation of mass protest, as increasingly emphasising political engagement and peaceful conduct.  However, ambivalence persisted.  On the one hand, he confidently accepts the people have made great strides, quoting George White, the Bradford Chartist: ‘They are rapidly acquiring a knowledge of their rights, and rejecting the foolish mummeries of bygone days.’</w:t>
      </w:r>
      <w:r w:rsidRPr="009331EF">
        <w:rPr>
          <w:rStyle w:val="FootnoteReference"/>
          <w:rFonts w:ascii="Times New Roman" w:hAnsi="Times New Roman" w:cs="Times New Roman"/>
          <w:sz w:val="24"/>
          <w:szCs w:val="24"/>
        </w:rPr>
        <w:footnoteReference w:id="1015"/>
      </w:r>
      <w:r w:rsidRPr="009331EF">
        <w:rPr>
          <w:rFonts w:ascii="Times New Roman" w:hAnsi="Times New Roman" w:cs="Times New Roman"/>
          <w:sz w:val="24"/>
          <w:szCs w:val="24"/>
        </w:rPr>
        <w:t xml:space="preserve">  Yet, alongside such claims, he frequently questions whether they are living up to this vision.  In </w:t>
      </w:r>
      <w:r w:rsidRPr="009331EF">
        <w:rPr>
          <w:rFonts w:ascii="Times New Roman" w:hAnsi="Times New Roman" w:cs="Times New Roman"/>
          <w:i/>
          <w:iCs/>
          <w:sz w:val="24"/>
          <w:szCs w:val="24"/>
        </w:rPr>
        <w:t>The Mysteries of London</w:t>
      </w:r>
      <w:r w:rsidRPr="009331EF">
        <w:rPr>
          <w:rFonts w:ascii="Times New Roman" w:hAnsi="Times New Roman" w:cs="Times New Roman"/>
          <w:sz w:val="24"/>
          <w:szCs w:val="24"/>
        </w:rPr>
        <w:t>, the respected Republican Thomas Armstrong refers to ‘the grovelling spirit of the industrious millions’.</w:t>
      </w:r>
      <w:r w:rsidRPr="009331EF">
        <w:rPr>
          <w:rStyle w:val="FootnoteReference"/>
          <w:rFonts w:ascii="Times New Roman" w:hAnsi="Times New Roman" w:cs="Times New Roman"/>
          <w:sz w:val="24"/>
          <w:szCs w:val="24"/>
        </w:rPr>
        <w:footnoteReference w:id="1016"/>
      </w:r>
      <w:r w:rsidRPr="009331EF">
        <w:rPr>
          <w:rFonts w:ascii="Times New Roman" w:hAnsi="Times New Roman" w:cs="Times New Roman"/>
          <w:sz w:val="24"/>
          <w:szCs w:val="24"/>
        </w:rPr>
        <w:t xml:space="preserve">  This occurs in a number published during 1844, before the author’s radicalism had fully matured, but similar scenes appear later, like that from 1847 involving Mr Prout, the fiery inmate of the King’s Bench Prison, who condemns the English as ‘a nation of paltry cowards’ for submitting before their oppressive institutions.  Reynolds seemingly approves: ‘there was something terribly real and awfully sincere—aye, and sternly true—in that man’s denunciations!’.</w:t>
      </w:r>
      <w:r w:rsidRPr="009331EF">
        <w:rPr>
          <w:rStyle w:val="FootnoteReference"/>
          <w:rFonts w:ascii="Times New Roman" w:hAnsi="Times New Roman" w:cs="Times New Roman"/>
          <w:sz w:val="24"/>
          <w:szCs w:val="24"/>
        </w:rPr>
        <w:footnoteReference w:id="1017"/>
      </w:r>
      <w:r w:rsidRPr="009331EF">
        <w:rPr>
          <w:rFonts w:ascii="Times New Roman" w:hAnsi="Times New Roman" w:cs="Times New Roman"/>
          <w:sz w:val="24"/>
          <w:szCs w:val="24"/>
        </w:rPr>
        <w:t xml:space="preserve">  He not only confirms the genuineness of Prout’s feelings but accepts their accuracy. </w:t>
      </w:r>
      <w:r w:rsidR="003F7D79">
        <w:rPr>
          <w:rFonts w:ascii="Times New Roman" w:hAnsi="Times New Roman" w:cs="Times New Roman"/>
          <w:sz w:val="24"/>
          <w:szCs w:val="24"/>
        </w:rPr>
        <w:t xml:space="preserve"> </w:t>
      </w:r>
      <w:r w:rsidRPr="009331EF">
        <w:rPr>
          <w:rFonts w:ascii="Times New Roman" w:hAnsi="Times New Roman" w:cs="Times New Roman"/>
          <w:sz w:val="24"/>
          <w:szCs w:val="24"/>
        </w:rPr>
        <w:t>The suggestion that the industrious classes remain wanting is implied in commentary about attitudes towards royalty:</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i/>
          <w:sz w:val="24"/>
          <w:szCs w:val="24"/>
        </w:rPr>
        <w:t>The more a Sovereign is deified, the more the people are abased</w:t>
      </w:r>
      <w:r w:rsidRPr="009331EF">
        <w:rPr>
          <w:rFonts w:ascii="Times New Roman" w:hAnsi="Times New Roman" w:cs="Times New Roman"/>
          <w:sz w:val="24"/>
          <w:szCs w:val="24"/>
        </w:rPr>
        <w:t>. […] and the individual who looks on royalty as something infallible—divine—supernally grand and awe-inspiring, is a drivelling, narrow-minded idiot, unworthy of the enjoyment of political freedom.</w:t>
      </w:r>
      <w:r w:rsidRPr="009331EF">
        <w:rPr>
          <w:rStyle w:val="FootnoteReference"/>
          <w:rFonts w:ascii="Times New Roman" w:hAnsi="Times New Roman" w:cs="Times New Roman"/>
          <w:sz w:val="24"/>
          <w:szCs w:val="24"/>
        </w:rPr>
        <w:footnoteReference w:id="1018"/>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lastRenderedPageBreak/>
        <w:t>Here rebuke turns to insult, because anyone holding superstitious reverence for monarchy is ‘an enemy to his own interests’.</w:t>
      </w:r>
      <w:r w:rsidRPr="009331EF">
        <w:rPr>
          <w:rStyle w:val="FootnoteReference"/>
          <w:rFonts w:ascii="Times New Roman" w:hAnsi="Times New Roman" w:cs="Times New Roman"/>
          <w:sz w:val="24"/>
          <w:szCs w:val="24"/>
        </w:rPr>
        <w:footnoteReference w:id="1019"/>
      </w:r>
      <w:r w:rsidRPr="009331EF">
        <w:rPr>
          <w:rFonts w:ascii="Times New Roman" w:hAnsi="Times New Roman" w:cs="Times New Roman"/>
          <w:sz w:val="24"/>
          <w:szCs w:val="24"/>
        </w:rPr>
        <w:t xml:space="preserve">  For </w:t>
      </w:r>
      <w:r w:rsidRPr="003F7D79">
        <w:rPr>
          <w:rFonts w:ascii="Times New Roman" w:hAnsi="Times New Roman" w:cs="Times New Roman"/>
          <w:sz w:val="24"/>
          <w:szCs w:val="24"/>
        </w:rPr>
        <w:t xml:space="preserve">the people </w:t>
      </w:r>
      <w:r w:rsidR="00460BB7" w:rsidRPr="003F7D79">
        <w:rPr>
          <w:rFonts w:ascii="Times New Roman" w:hAnsi="Times New Roman" w:cs="Times New Roman"/>
          <w:sz w:val="24"/>
          <w:szCs w:val="24"/>
        </w:rPr>
        <w:t>it</w:t>
      </w:r>
      <w:r w:rsidRPr="003F7D79">
        <w:rPr>
          <w:rFonts w:ascii="Times New Roman" w:hAnsi="Times New Roman" w:cs="Times New Roman"/>
          <w:sz w:val="24"/>
          <w:szCs w:val="24"/>
        </w:rPr>
        <w:t xml:space="preserve"> is detrimental</w:t>
      </w:r>
      <w:r w:rsidRPr="009331EF">
        <w:rPr>
          <w:rFonts w:ascii="Times New Roman" w:hAnsi="Times New Roman" w:cs="Times New Roman"/>
          <w:sz w:val="24"/>
          <w:szCs w:val="24"/>
        </w:rPr>
        <w:t xml:space="preserve"> to their intellectual and moral standing and undermines the struggle for democracy.  A general air of pessimism seems especially prevalent in </w:t>
      </w:r>
      <w:r w:rsidRPr="009331EF">
        <w:rPr>
          <w:rFonts w:ascii="Times New Roman" w:hAnsi="Times New Roman" w:cs="Times New Roman"/>
          <w:i/>
          <w:sz w:val="24"/>
          <w:szCs w:val="24"/>
        </w:rPr>
        <w:t>The Seamstress</w:t>
      </w:r>
      <w:r w:rsidRPr="009331EF">
        <w:rPr>
          <w:rFonts w:ascii="Times New Roman" w:hAnsi="Times New Roman" w:cs="Times New Roman"/>
          <w:sz w:val="24"/>
          <w:szCs w:val="24"/>
        </w:rPr>
        <w:t xml:space="preserve"> (1850).  Helen Rogers points to Reynolds using the plight of needlewomen to promote male suffrage and stimulate male workers rather than encouraging women to act themselves.</w:t>
      </w:r>
      <w:r w:rsidRPr="009331EF">
        <w:rPr>
          <w:rStyle w:val="FootnoteReference"/>
          <w:rFonts w:ascii="Times New Roman" w:hAnsi="Times New Roman" w:cs="Times New Roman"/>
          <w:sz w:val="24"/>
          <w:szCs w:val="24"/>
        </w:rPr>
        <w:footnoteReference w:id="1020"/>
      </w:r>
      <w:r w:rsidRPr="009331EF">
        <w:rPr>
          <w:rFonts w:ascii="Times New Roman" w:hAnsi="Times New Roman" w:cs="Times New Roman"/>
          <w:sz w:val="24"/>
          <w:szCs w:val="24"/>
        </w:rPr>
        <w:t xml:space="preserve">  However, the novel’s dominant tone is one of scepticism towards the ability of the industrious classes as a whole, men and women, to protest constructively against their exploitation.  Virginia Mordaunt’s weakness, the product of unmitigated toil, is </w:t>
      </w:r>
      <w:r w:rsidRPr="003F7D79">
        <w:rPr>
          <w:rFonts w:ascii="Times New Roman" w:hAnsi="Times New Roman" w:cs="Times New Roman"/>
          <w:sz w:val="24"/>
          <w:szCs w:val="24"/>
        </w:rPr>
        <w:t>transposed upon</w:t>
      </w:r>
      <w:r w:rsidR="00460BB7" w:rsidRPr="003F7D79">
        <w:rPr>
          <w:rFonts w:ascii="Times New Roman" w:hAnsi="Times New Roman" w:cs="Times New Roman"/>
          <w:sz w:val="24"/>
          <w:szCs w:val="24"/>
        </w:rPr>
        <w:t xml:space="preserve"> many</w:t>
      </w:r>
      <w:r w:rsidRPr="003F7D79">
        <w:rPr>
          <w:rFonts w:ascii="Times New Roman" w:hAnsi="Times New Roman" w:cs="Times New Roman"/>
          <w:sz w:val="24"/>
          <w:szCs w:val="24"/>
        </w:rPr>
        <w:t>, who</w:t>
      </w:r>
      <w:r w:rsidRPr="009331EF">
        <w:rPr>
          <w:rFonts w:ascii="Times New Roman" w:hAnsi="Times New Roman" w:cs="Times New Roman"/>
          <w:sz w:val="24"/>
          <w:szCs w:val="24"/>
        </w:rPr>
        <w:t xml:space="preserve"> lacking her virtue descend into dissipation and debauchery.  The gin-addicted couple in the front attic of Mrs Drake’s lodging house portend the hapless figures that swarm around the gloomy Minories.</w:t>
      </w:r>
      <w:r w:rsidRPr="009331EF">
        <w:rPr>
          <w:rStyle w:val="FootnoteReference"/>
          <w:rFonts w:ascii="Times New Roman" w:hAnsi="Times New Roman" w:cs="Times New Roman"/>
          <w:sz w:val="24"/>
          <w:szCs w:val="24"/>
        </w:rPr>
        <w:footnoteReference w:id="1021"/>
      </w:r>
      <w:r w:rsidRPr="009331EF">
        <w:rPr>
          <w:rFonts w:ascii="Times New Roman" w:hAnsi="Times New Roman" w:cs="Times New Roman"/>
          <w:sz w:val="24"/>
          <w:szCs w:val="24"/>
        </w:rPr>
        <w:t xml:space="preserve">  Crime and immorality is the outcome for innumerable seamstresses who face the stark choice between ‘starvation—suicide—and infamy!’</w:t>
      </w:r>
      <w:r w:rsidRPr="009331EF">
        <w:rPr>
          <w:rStyle w:val="FootnoteReference"/>
          <w:rFonts w:ascii="Times New Roman" w:hAnsi="Times New Roman" w:cs="Times New Roman"/>
          <w:sz w:val="24"/>
          <w:szCs w:val="24"/>
        </w:rPr>
        <w:footnoteReference w:id="1022"/>
      </w:r>
      <w:r w:rsidRPr="009331EF">
        <w:rPr>
          <w:rFonts w:ascii="Times New Roman" w:hAnsi="Times New Roman" w:cs="Times New Roman"/>
          <w:sz w:val="24"/>
          <w:szCs w:val="24"/>
        </w:rPr>
        <w:t xml:space="preserve">  Such </w:t>
      </w:r>
      <w:r w:rsidRPr="003F7D79">
        <w:rPr>
          <w:rFonts w:ascii="Times New Roman" w:hAnsi="Times New Roman" w:cs="Times New Roman"/>
          <w:sz w:val="24"/>
          <w:szCs w:val="24"/>
        </w:rPr>
        <w:t xml:space="preserve">pictures suggest </w:t>
      </w:r>
      <w:r w:rsidR="00460BB7" w:rsidRPr="003F7D79">
        <w:rPr>
          <w:rFonts w:ascii="Times New Roman" w:hAnsi="Times New Roman" w:cs="Times New Roman"/>
          <w:sz w:val="24"/>
          <w:szCs w:val="24"/>
        </w:rPr>
        <w:t>the</w:t>
      </w:r>
      <w:r w:rsidRPr="003F7D79">
        <w:rPr>
          <w:rFonts w:ascii="Times New Roman" w:hAnsi="Times New Roman" w:cs="Times New Roman"/>
          <w:sz w:val="24"/>
          <w:szCs w:val="24"/>
        </w:rPr>
        <w:t xml:space="preserve"> widespread lack of political awareness and moral strength </w:t>
      </w:r>
      <w:r w:rsidR="00460BB7" w:rsidRPr="003F7D79">
        <w:rPr>
          <w:rFonts w:ascii="Times New Roman" w:hAnsi="Times New Roman" w:cs="Times New Roman"/>
          <w:sz w:val="24"/>
          <w:szCs w:val="24"/>
        </w:rPr>
        <w:t xml:space="preserve">needed </w:t>
      </w:r>
      <w:r w:rsidRPr="003F7D79">
        <w:rPr>
          <w:rFonts w:ascii="Times New Roman" w:hAnsi="Times New Roman" w:cs="Times New Roman"/>
          <w:sz w:val="24"/>
          <w:szCs w:val="24"/>
        </w:rPr>
        <w:t>to assert independent respectability.  Even the communal response to Virginia’s illness contains ambig</w:t>
      </w:r>
      <w:r w:rsidRPr="009331EF">
        <w:rPr>
          <w:rFonts w:ascii="Times New Roman" w:hAnsi="Times New Roman" w:cs="Times New Roman"/>
          <w:sz w:val="24"/>
          <w:szCs w:val="24"/>
        </w:rPr>
        <w:t xml:space="preserve">uity.  While it expresses spontaneous generosity and anger at social injustice, those involved are marked by instability.  The neighbours who lend support have earlier mocked her protestations against the advances of </w:t>
      </w:r>
      <w:r w:rsidRPr="001A7EF8">
        <w:rPr>
          <w:rFonts w:ascii="Times New Roman" w:hAnsi="Times New Roman" w:cs="Times New Roman"/>
          <w:sz w:val="24"/>
          <w:szCs w:val="24"/>
        </w:rPr>
        <w:t>the foreman from the army-clothier’s where she works who enters her room unannounced</w:t>
      </w:r>
      <w:r w:rsidRPr="00004D65">
        <w:rPr>
          <w:rFonts w:ascii="Times New Roman" w:hAnsi="Times New Roman" w:cs="Times New Roman"/>
          <w:sz w:val="24"/>
          <w:szCs w:val="24"/>
        </w:rPr>
        <w:t xml:space="preserve"> one evening in an attempt to obtain sexual favours</w:t>
      </w:r>
      <w:r w:rsidRPr="009331EF">
        <w:rPr>
          <w:rFonts w:ascii="Times New Roman" w:hAnsi="Times New Roman" w:cs="Times New Roman"/>
          <w:sz w:val="24"/>
          <w:szCs w:val="24"/>
        </w:rPr>
        <w:t xml:space="preserve">.  When they answer her screams for help he easily puts them off by pretending it is a joke, leading Reynolds to comment: ‘To rouse the neighbourhood on account of </w:t>
      </w:r>
      <w:r w:rsidRPr="009331EF">
        <w:rPr>
          <w:rFonts w:ascii="Times New Roman" w:hAnsi="Times New Roman" w:cs="Times New Roman"/>
          <w:i/>
          <w:sz w:val="24"/>
          <w:szCs w:val="24"/>
        </w:rPr>
        <w:t>such a trifle</w:t>
      </w:r>
      <w:r w:rsidRPr="009331EF">
        <w:rPr>
          <w:rFonts w:ascii="Times New Roman" w:hAnsi="Times New Roman" w:cs="Times New Roman"/>
          <w:sz w:val="24"/>
          <w:szCs w:val="24"/>
        </w:rPr>
        <w:t>, was something too preposterous in the estimation of those who could not understand the principles of delicacy, purity, and virtue which inspired our heroine.’</w:t>
      </w:r>
      <w:r w:rsidRPr="009331EF">
        <w:rPr>
          <w:rStyle w:val="FootnoteReference"/>
          <w:rFonts w:ascii="Times New Roman" w:hAnsi="Times New Roman" w:cs="Times New Roman"/>
          <w:sz w:val="24"/>
          <w:szCs w:val="24"/>
        </w:rPr>
        <w:footnoteReference w:id="1023"/>
      </w:r>
      <w:r w:rsidRPr="009331EF">
        <w:rPr>
          <w:rFonts w:ascii="Times New Roman" w:hAnsi="Times New Roman" w:cs="Times New Roman"/>
          <w:sz w:val="24"/>
          <w:szCs w:val="24"/>
        </w:rPr>
        <w:t xml:space="preserve">  He recognizes these people have not lost their humanity, they are not cruel but thoughtless and unable to appreciate Virginia’s fine qualities.  A sense of proper conduct is beyond them so that later their drunken revelries prevent her sleeping when she lies in bed severely ill.</w:t>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lastRenderedPageBreak/>
        <w:t>Given such portrayals are coupled with a general reticence in Reynolds’s fiction to engage fully with the organised struggles of workers, it is unsurprising the issue of leadership looms large and questions how far they are an independent force for change.  Sara Hackenb</w:t>
      </w:r>
      <w:r w:rsidR="002415D3">
        <w:rPr>
          <w:rFonts w:ascii="Times New Roman" w:hAnsi="Times New Roman" w:cs="Times New Roman"/>
          <w:sz w:val="24"/>
          <w:szCs w:val="24"/>
        </w:rPr>
        <w:t>e</w:t>
      </w:r>
      <w:bookmarkStart w:id="3" w:name="_GoBack"/>
      <w:bookmarkEnd w:id="3"/>
      <w:r w:rsidRPr="009331EF">
        <w:rPr>
          <w:rFonts w:ascii="Times New Roman" w:hAnsi="Times New Roman" w:cs="Times New Roman"/>
          <w:sz w:val="24"/>
          <w:szCs w:val="24"/>
        </w:rPr>
        <w:t>rg notes the ‘heroic narrative status’ acquired by Richard Markham in the Castelcicalan revolution.</w:t>
      </w:r>
      <w:r w:rsidRPr="009331EF">
        <w:rPr>
          <w:rStyle w:val="FootnoteReference"/>
          <w:rFonts w:ascii="Times New Roman" w:hAnsi="Times New Roman" w:cs="Times New Roman"/>
          <w:sz w:val="24"/>
          <w:szCs w:val="24"/>
        </w:rPr>
        <w:footnoteReference w:id="1024"/>
      </w:r>
      <w:r w:rsidRPr="009331EF">
        <w:rPr>
          <w:rFonts w:ascii="Times New Roman" w:hAnsi="Times New Roman" w:cs="Times New Roman"/>
          <w:sz w:val="24"/>
          <w:szCs w:val="24"/>
        </w:rPr>
        <w:t xml:space="preserve">  Here a despotic ruler issues an authoritarian proclamation, which has ‘destroyed the freedom of the press, promulgated a law to suppress political meetings, and menaced the country with martial law’.</w:t>
      </w:r>
      <w:r w:rsidRPr="009331EF">
        <w:rPr>
          <w:rStyle w:val="FootnoteReference"/>
          <w:rFonts w:ascii="Times New Roman" w:hAnsi="Times New Roman" w:cs="Times New Roman"/>
          <w:sz w:val="24"/>
          <w:szCs w:val="24"/>
        </w:rPr>
        <w:footnoteReference w:id="1025"/>
      </w:r>
      <w:r w:rsidRPr="009331EF">
        <w:rPr>
          <w:rFonts w:ascii="Times New Roman" w:hAnsi="Times New Roman" w:cs="Times New Roman"/>
          <w:sz w:val="24"/>
          <w:szCs w:val="24"/>
        </w:rPr>
        <w:t xml:space="preserve">  The restrictions, with Reynolds’s use of the term ‘ordinance’, strongly echo those imposed by Charles X that led to the French Revolution </w:t>
      </w:r>
      <w:r w:rsidRPr="00460BB7">
        <w:rPr>
          <w:rFonts w:ascii="Times New Roman" w:hAnsi="Times New Roman" w:cs="Times New Roman"/>
          <w:sz w:val="24"/>
          <w:szCs w:val="24"/>
        </w:rPr>
        <w:t>of July 1830.  However</w:t>
      </w:r>
      <w:r w:rsidRPr="009331EF">
        <w:rPr>
          <w:rFonts w:ascii="Times New Roman" w:hAnsi="Times New Roman" w:cs="Times New Roman"/>
          <w:sz w:val="24"/>
          <w:szCs w:val="24"/>
        </w:rPr>
        <w:t xml:space="preserve">, while the spark for both uprisings is similar, his presentation of the role played by the industrious classes is different.  In </w:t>
      </w:r>
      <w:r w:rsidRPr="009331EF">
        <w:rPr>
          <w:rFonts w:ascii="Times New Roman" w:hAnsi="Times New Roman" w:cs="Times New Roman"/>
          <w:i/>
          <w:iCs/>
          <w:sz w:val="24"/>
          <w:szCs w:val="24"/>
        </w:rPr>
        <w:t>Alfred</w:t>
      </w:r>
      <w:r w:rsidRPr="009331EF">
        <w:rPr>
          <w:rFonts w:ascii="Times New Roman" w:hAnsi="Times New Roman" w:cs="Times New Roman"/>
          <w:sz w:val="24"/>
          <w:szCs w:val="24"/>
        </w:rPr>
        <w:t>, Reynolds points to secretive preparations organized by well-informed, powerful figures.</w:t>
      </w:r>
      <w:r w:rsidRPr="009331EF">
        <w:rPr>
          <w:rStyle w:val="FootnoteReference"/>
          <w:rFonts w:ascii="Times New Roman" w:hAnsi="Times New Roman" w:cs="Times New Roman"/>
          <w:sz w:val="24"/>
          <w:szCs w:val="24"/>
        </w:rPr>
        <w:footnoteReference w:id="1026"/>
      </w:r>
      <w:r w:rsidRPr="009331EF">
        <w:rPr>
          <w:rFonts w:ascii="Times New Roman" w:hAnsi="Times New Roman" w:cs="Times New Roman"/>
          <w:sz w:val="24"/>
          <w:szCs w:val="24"/>
        </w:rPr>
        <w:t xml:space="preserve">  However, he also foregrounds the spontaneous aspect of the revolt, emphasising the Parisians’ courage and initiative with the setting up of barricades and use of paving stones to compensate for lack of weaponry.  Everywhere different sections of the populace fight bravely, whichever side they support.</w:t>
      </w:r>
      <w:r w:rsidRPr="009331EF">
        <w:rPr>
          <w:rStyle w:val="FootnoteReference"/>
          <w:rFonts w:ascii="Times New Roman" w:hAnsi="Times New Roman" w:cs="Times New Roman"/>
          <w:sz w:val="24"/>
          <w:szCs w:val="24"/>
        </w:rPr>
        <w:footnoteReference w:id="1027"/>
      </w:r>
      <w:r w:rsidRPr="009331EF">
        <w:rPr>
          <w:rFonts w:ascii="Times New Roman" w:hAnsi="Times New Roman" w:cs="Times New Roman"/>
          <w:sz w:val="24"/>
          <w:szCs w:val="24"/>
        </w:rPr>
        <w:t xml:space="preserve">  In Castelcicala, the rebellion is enacted largely by military forces under Markham’s command and sees the spirit of the Parisian citizenry transformed into the zeal of the Constitutionalist army.  The bravery and self-sacrifice associated with the Parisians in 1830 are largely transferred to a valiant individual.  It is Richard Markham’s heroism, lack of personal ambition and popular image that gathers support and brings victory.  The role of the masses becomes rather circumscribed, typified by their involvement at Villabella:</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As at Estella, the windows were thronged with faces—the streets were crowded with spectators—and every testimonial of an enthusiastic welcome awaited the champion of Constitutional Liberty.</w:t>
      </w:r>
    </w:p>
    <w:p w:rsidR="00422D80" w:rsidRPr="009331EF" w:rsidRDefault="00422D80" w:rsidP="00422D80">
      <w:pPr>
        <w:spacing w:after="240" w:line="240" w:lineRule="auto"/>
        <w:ind w:left="720" w:firstLine="170"/>
        <w:rPr>
          <w:rFonts w:ascii="Times New Roman" w:hAnsi="Times New Roman" w:cs="Times New Roman"/>
          <w:sz w:val="24"/>
          <w:szCs w:val="24"/>
        </w:rPr>
      </w:pPr>
      <w:r w:rsidRPr="009331EF">
        <w:rPr>
          <w:rFonts w:ascii="Times New Roman" w:hAnsi="Times New Roman" w:cs="Times New Roman"/>
          <w:sz w:val="24"/>
          <w:szCs w:val="24"/>
        </w:rPr>
        <w:t>Then resounded, too, myriads of voices, exclaiming, ‘Long live Alberto!’—‘Long live the General!’—‘Down with the Tyrant!’—‘Death to the Austrians!’</w:t>
      </w:r>
      <w:r w:rsidRPr="009331EF">
        <w:rPr>
          <w:rStyle w:val="FootnoteReference"/>
          <w:rFonts w:ascii="Times New Roman" w:hAnsi="Times New Roman" w:cs="Times New Roman"/>
          <w:sz w:val="24"/>
          <w:szCs w:val="24"/>
        </w:rPr>
        <w:footnoteReference w:id="1028"/>
      </w:r>
    </w:p>
    <w:p w:rsidR="00422D80" w:rsidRPr="00460BB7"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Although enthusiastic, they are pushed into the background, participating as cheerleaders for the Constitutionalist forces.</w:t>
      </w:r>
      <w:r w:rsidRPr="009331EF">
        <w:rPr>
          <w:rStyle w:val="FootnoteReference"/>
          <w:rFonts w:ascii="Times New Roman" w:hAnsi="Times New Roman" w:cs="Times New Roman"/>
          <w:sz w:val="24"/>
          <w:szCs w:val="24"/>
        </w:rPr>
        <w:footnoteReference w:id="1029"/>
      </w:r>
      <w:r w:rsidRPr="009331EF">
        <w:rPr>
          <w:rFonts w:ascii="Times New Roman" w:hAnsi="Times New Roman" w:cs="Times New Roman"/>
          <w:sz w:val="24"/>
          <w:szCs w:val="24"/>
        </w:rPr>
        <w:t xml:space="preserve">  The change of conflict from popular uprising in the </w:t>
      </w:r>
      <w:r w:rsidRPr="009331EF">
        <w:rPr>
          <w:rFonts w:ascii="Times New Roman" w:hAnsi="Times New Roman" w:cs="Times New Roman"/>
          <w:sz w:val="24"/>
          <w:szCs w:val="24"/>
        </w:rPr>
        <w:lastRenderedPageBreak/>
        <w:t xml:space="preserve">boulevards to manoeuvres on the battlefield is highlighted by the associated chapter titles.  That </w:t>
      </w:r>
      <w:r w:rsidRPr="00460BB7">
        <w:rPr>
          <w:rFonts w:ascii="Times New Roman" w:hAnsi="Times New Roman" w:cs="Times New Roman"/>
          <w:sz w:val="24"/>
          <w:szCs w:val="24"/>
        </w:rPr>
        <w:t xml:space="preserve">which sees Charles X’s </w:t>
      </w:r>
      <w:r w:rsidR="00A9153B" w:rsidRPr="00460BB7">
        <w:rPr>
          <w:rFonts w:ascii="Times New Roman" w:hAnsi="Times New Roman" w:cs="Times New Roman"/>
          <w:sz w:val="24"/>
          <w:szCs w:val="24"/>
        </w:rPr>
        <w:t xml:space="preserve">overthrow </w:t>
      </w:r>
      <w:r w:rsidRPr="00460BB7">
        <w:rPr>
          <w:rFonts w:ascii="Times New Roman" w:hAnsi="Times New Roman" w:cs="Times New Roman"/>
          <w:sz w:val="24"/>
          <w:szCs w:val="24"/>
        </w:rPr>
        <w:t>is headed ‘The Citizens of Paris’, while the Castelcicalan uprising is presented by the names of military campaigns, including ‘The Battles of Piacre and Abrantani’ and ‘The Battle of Montoni’.</w:t>
      </w:r>
      <w:r w:rsidRPr="00460BB7">
        <w:rPr>
          <w:rStyle w:val="FootnoteReference"/>
          <w:rFonts w:ascii="Times New Roman" w:hAnsi="Times New Roman" w:cs="Times New Roman"/>
          <w:sz w:val="24"/>
          <w:szCs w:val="24"/>
        </w:rPr>
        <w:footnoteReference w:id="1030"/>
      </w:r>
    </w:p>
    <w:p w:rsidR="00422D80" w:rsidRPr="009331EF" w:rsidRDefault="00422D80" w:rsidP="00422D80">
      <w:pPr>
        <w:spacing w:after="120" w:line="360" w:lineRule="auto"/>
        <w:ind w:firstLine="720"/>
        <w:rPr>
          <w:rFonts w:ascii="Times New Roman" w:hAnsi="Times New Roman" w:cs="Times New Roman"/>
          <w:sz w:val="24"/>
          <w:szCs w:val="24"/>
        </w:rPr>
      </w:pPr>
      <w:r w:rsidRPr="00460BB7">
        <w:rPr>
          <w:rFonts w:ascii="Times New Roman" w:hAnsi="Times New Roman" w:cs="Times New Roman"/>
          <w:sz w:val="24"/>
          <w:szCs w:val="24"/>
        </w:rPr>
        <w:t>Reynolds continues this trend when dealing with less tumultuous events in England, making his portrayals lag behind the perspective of contemporaries who allocated a more active role to the industrious classes in organising their struggles.  John Gast, leader of many strikes and campaigns in the capit</w:t>
      </w:r>
      <w:r w:rsidR="00A9153B" w:rsidRPr="00460BB7">
        <w:rPr>
          <w:rFonts w:ascii="Times New Roman" w:hAnsi="Times New Roman" w:cs="Times New Roman"/>
          <w:sz w:val="24"/>
          <w:szCs w:val="24"/>
        </w:rPr>
        <w:t>a</w:t>
      </w:r>
      <w:r w:rsidRPr="00460BB7">
        <w:rPr>
          <w:rFonts w:ascii="Times New Roman" w:hAnsi="Times New Roman" w:cs="Times New Roman"/>
          <w:sz w:val="24"/>
          <w:szCs w:val="24"/>
        </w:rPr>
        <w:t>l during</w:t>
      </w:r>
      <w:r w:rsidRPr="009331EF">
        <w:rPr>
          <w:rFonts w:ascii="Times New Roman" w:hAnsi="Times New Roman" w:cs="Times New Roman"/>
          <w:sz w:val="24"/>
          <w:szCs w:val="24"/>
        </w:rPr>
        <w:t xml:space="preserve"> the early-nineteenth century, sought a union of mechanics to reduce unemployment through enforcing a reduction in hours, arguing that labour ‘the creator of wealth, must also be recognised politically so that its interests would be attended to’.</w:t>
      </w:r>
      <w:r w:rsidRPr="009331EF">
        <w:rPr>
          <w:rStyle w:val="FootnoteReference"/>
          <w:rFonts w:ascii="Times New Roman" w:hAnsi="Times New Roman" w:cs="Times New Roman"/>
          <w:sz w:val="24"/>
          <w:szCs w:val="24"/>
        </w:rPr>
        <w:footnoteReference w:id="1031"/>
      </w:r>
      <w:r w:rsidRPr="009331EF">
        <w:rPr>
          <w:rFonts w:ascii="Times New Roman" w:hAnsi="Times New Roman" w:cs="Times New Roman"/>
          <w:sz w:val="24"/>
          <w:szCs w:val="24"/>
        </w:rPr>
        <w:t xml:space="preserve">  E. P. Thompson writes that fundamental questions regarding political, social and economic issues were raised ‘not only by men of the upper classes […] but by thousands of articulate men’.</w:t>
      </w:r>
      <w:r w:rsidRPr="009331EF">
        <w:rPr>
          <w:rStyle w:val="FootnoteReference"/>
          <w:rFonts w:ascii="Times New Roman" w:hAnsi="Times New Roman" w:cs="Times New Roman"/>
          <w:sz w:val="24"/>
          <w:szCs w:val="24"/>
        </w:rPr>
        <w:footnoteReference w:id="1032"/>
      </w:r>
      <w:r w:rsidRPr="009331EF">
        <w:rPr>
          <w:rFonts w:ascii="Times New Roman" w:hAnsi="Times New Roman" w:cs="Times New Roman"/>
          <w:sz w:val="24"/>
          <w:szCs w:val="24"/>
        </w:rPr>
        <w:t xml:space="preserve">  Reynolds sought similar recognition for the industrious classes but his pictures rarely suggest such active decision-making, showing them largely limited to supporting programmes created by others.  The arena of radical politics is ceded to middle and upper-class characters led by well-heeled philanthropists, a theme stretching back to writings for </w:t>
      </w:r>
      <w:r w:rsidRPr="009331EF">
        <w:rPr>
          <w:rFonts w:ascii="Times New Roman" w:hAnsi="Times New Roman" w:cs="Times New Roman"/>
          <w:i/>
          <w:sz w:val="24"/>
          <w:szCs w:val="24"/>
        </w:rPr>
        <w:t>The Teetotaler</w:t>
      </w:r>
      <w:r w:rsidRPr="009331EF">
        <w:rPr>
          <w:rFonts w:ascii="Times New Roman" w:hAnsi="Times New Roman" w:cs="Times New Roman"/>
          <w:sz w:val="24"/>
          <w:szCs w:val="24"/>
        </w:rPr>
        <w:t>.  Such leaders might include the ‘sterling English gentleman’ Sir Arthur Ellingham and the charitable Sir William Trevelyan with political opinions ‘of the most liberal tendency’.</w:t>
      </w:r>
      <w:r w:rsidRPr="009331EF">
        <w:rPr>
          <w:rStyle w:val="FootnoteReference"/>
          <w:rFonts w:ascii="Times New Roman" w:hAnsi="Times New Roman" w:cs="Times New Roman"/>
          <w:sz w:val="24"/>
          <w:szCs w:val="24"/>
        </w:rPr>
        <w:footnoteReference w:id="1033"/>
      </w:r>
      <w:r w:rsidRPr="009331EF">
        <w:rPr>
          <w:rFonts w:ascii="Times New Roman" w:hAnsi="Times New Roman" w:cs="Times New Roman"/>
          <w:sz w:val="24"/>
          <w:szCs w:val="24"/>
        </w:rPr>
        <w:t xml:space="preserve">  Thomas Rainford points to the role played by Ellingham: ‘For nineteen years has Arthur now struggled in the interests of the middle and industrious classes: […] The millions recognise and appreciate his conscientious—his unwearied strivings in their behalf; and they adore him as their champion.’</w:t>
      </w:r>
      <w:r w:rsidRPr="003F7D79">
        <w:rPr>
          <w:rStyle w:val="FootnoteReference"/>
          <w:rFonts w:ascii="Times New Roman" w:hAnsi="Times New Roman" w:cs="Times New Roman"/>
          <w:sz w:val="24"/>
          <w:szCs w:val="24"/>
        </w:rPr>
        <w:footnoteReference w:id="1034"/>
      </w:r>
      <w:r w:rsidRPr="003F7D79">
        <w:rPr>
          <w:rFonts w:ascii="Times New Roman" w:hAnsi="Times New Roman" w:cs="Times New Roman"/>
          <w:sz w:val="24"/>
          <w:szCs w:val="24"/>
        </w:rPr>
        <w:t xml:space="preserve">  Although Rainford is</w:t>
      </w:r>
      <w:r w:rsidRPr="009331EF">
        <w:rPr>
          <w:rFonts w:ascii="Times New Roman" w:hAnsi="Times New Roman" w:cs="Times New Roman"/>
          <w:sz w:val="24"/>
          <w:szCs w:val="24"/>
        </w:rPr>
        <w:t xml:space="preserve"> Ellingham’s brother and exaggeration might be expected in his appraisal, it is consistent with that of the crowds outside Parliament.  The profound silence of the ‘multitude’ in 1827 has almost religious overtones with Ellingham assuming the qualities of an emergent messiah-like figure set to lead them from bondage, but unlike the advocates of physical force who used similar imagery at early Chartist conventions he will do so peacefully.  This spiritual tone is repeated </w:t>
      </w:r>
      <w:r w:rsidRPr="009331EF">
        <w:rPr>
          <w:rFonts w:ascii="Times New Roman" w:hAnsi="Times New Roman" w:cs="Times New Roman"/>
          <w:sz w:val="24"/>
          <w:szCs w:val="24"/>
        </w:rPr>
        <w:lastRenderedPageBreak/>
        <w:t>when the masses shower blessings upon him and Markham and their voices are said to reach ‘the blue arch of heaven’.</w:t>
      </w:r>
      <w:r w:rsidRPr="009331EF">
        <w:rPr>
          <w:rStyle w:val="FootnoteReference"/>
          <w:rFonts w:ascii="Times New Roman" w:hAnsi="Times New Roman" w:cs="Times New Roman"/>
          <w:sz w:val="24"/>
          <w:szCs w:val="24"/>
        </w:rPr>
        <w:footnoteReference w:id="1035"/>
      </w:r>
      <w:r w:rsidRPr="009331EF">
        <w:rPr>
          <w:rFonts w:ascii="Times New Roman" w:hAnsi="Times New Roman" w:cs="Times New Roman"/>
          <w:sz w:val="24"/>
          <w:szCs w:val="24"/>
        </w:rPr>
        <w:t xml:space="preserve">  Admiration and gratitude characterize the conversation between two working-class men outside his mansion:</w:t>
      </w:r>
    </w:p>
    <w:p w:rsidR="00422D80" w:rsidRPr="009331EF" w:rsidRDefault="00422D80" w:rsidP="00422D80">
      <w:pPr>
        <w:spacing w:after="120" w:line="240" w:lineRule="auto"/>
        <w:ind w:left="720"/>
        <w:rPr>
          <w:rFonts w:ascii="Times New Roman" w:hAnsi="Times New Roman" w:cs="Times New Roman"/>
          <w:sz w:val="24"/>
          <w:szCs w:val="24"/>
        </w:rPr>
      </w:pPr>
      <w:r w:rsidRPr="009331EF">
        <w:rPr>
          <w:rFonts w:ascii="Times New Roman" w:hAnsi="Times New Roman" w:cs="Times New Roman"/>
          <w:sz w:val="24"/>
          <w:szCs w:val="24"/>
        </w:rPr>
        <w:t>‘That is where the Earl lives.  God bless him!’</w:t>
      </w:r>
    </w:p>
    <w:p w:rsidR="00422D80" w:rsidRPr="009331EF" w:rsidRDefault="00422D80" w:rsidP="00422D80">
      <w:pPr>
        <w:spacing w:after="240" w:line="240" w:lineRule="auto"/>
        <w:ind w:left="720" w:firstLine="170"/>
        <w:rPr>
          <w:rFonts w:ascii="Times New Roman" w:hAnsi="Times New Roman" w:cs="Times New Roman"/>
          <w:sz w:val="24"/>
          <w:szCs w:val="24"/>
        </w:rPr>
      </w:pPr>
      <w:r w:rsidRPr="009331EF">
        <w:rPr>
          <w:rFonts w:ascii="Times New Roman" w:hAnsi="Times New Roman" w:cs="Times New Roman"/>
          <w:sz w:val="24"/>
          <w:szCs w:val="24"/>
        </w:rPr>
        <w:t>‘Yes—God bless him!’ repeated his companion, with the emphasis of unfeigned sincerity: ‘for he is the people’s friend.’</w:t>
      </w:r>
      <w:r w:rsidRPr="009331EF">
        <w:rPr>
          <w:rStyle w:val="FootnoteReference"/>
          <w:rFonts w:ascii="Times New Roman" w:hAnsi="Times New Roman" w:cs="Times New Roman"/>
          <w:sz w:val="24"/>
          <w:szCs w:val="24"/>
        </w:rPr>
        <w:footnoteReference w:id="1036"/>
      </w:r>
    </w:p>
    <w:p w:rsidR="00422D80" w:rsidRPr="009331EF" w:rsidRDefault="00422D80" w:rsidP="00422D80">
      <w:pPr>
        <w:spacing w:after="120" w:line="360" w:lineRule="auto"/>
        <w:rPr>
          <w:rFonts w:ascii="Times New Roman" w:hAnsi="Times New Roman" w:cs="Times New Roman"/>
          <w:sz w:val="24"/>
          <w:szCs w:val="24"/>
        </w:rPr>
      </w:pPr>
      <w:r w:rsidRPr="009331EF">
        <w:rPr>
          <w:rFonts w:ascii="Times New Roman" w:hAnsi="Times New Roman" w:cs="Times New Roman"/>
          <w:sz w:val="24"/>
          <w:szCs w:val="24"/>
        </w:rPr>
        <w:t>There is no antipathy towards the title or wealth of the man who has cut through the barriers of class to be their political voice and they accept his leadership unquestioningly.  Such protest does not mark those involved as an independent force but as supporters of reform-minded sections of the upper classes</w:t>
      </w:r>
      <w:r w:rsidRPr="009331EF">
        <w:rPr>
          <w:rFonts w:ascii="Times New Roman" w:hAnsi="Times New Roman" w:cs="Times New Roman"/>
          <w:bCs/>
          <w:sz w:val="24"/>
          <w:szCs w:val="24"/>
        </w:rPr>
        <w:t>.  Throughout</w:t>
      </w:r>
      <w:r w:rsidRPr="009331EF">
        <w:rPr>
          <w:rFonts w:ascii="Times New Roman" w:hAnsi="Times New Roman" w:cs="Times New Roman"/>
          <w:sz w:val="24"/>
          <w:szCs w:val="24"/>
        </w:rPr>
        <w:t xml:space="preserve"> the two crowd scenes none utter a </w:t>
      </w:r>
      <w:r w:rsidRPr="009331EF">
        <w:rPr>
          <w:rFonts w:ascii="Times New Roman" w:hAnsi="Times New Roman" w:cs="Times New Roman"/>
          <w:bCs/>
          <w:sz w:val="24"/>
          <w:szCs w:val="24"/>
        </w:rPr>
        <w:t>political</w:t>
      </w:r>
      <w:r w:rsidRPr="009331EF">
        <w:rPr>
          <w:rFonts w:ascii="Times New Roman" w:hAnsi="Times New Roman" w:cs="Times New Roman"/>
          <w:sz w:val="24"/>
          <w:szCs w:val="24"/>
        </w:rPr>
        <w:t xml:space="preserve"> idea, each key point being contributed by an aristocratic figure.  As in Castelcicala, the implementation of social change passes from their hands.</w:t>
      </w:r>
      <w:r w:rsidRPr="009331EF">
        <w:rPr>
          <w:rFonts w:ascii="Times New Roman" w:hAnsi="Times New Roman" w:cs="Times New Roman"/>
          <w:bCs/>
          <w:sz w:val="24"/>
          <w:szCs w:val="24"/>
        </w:rPr>
        <w:t xml:space="preserve">  </w:t>
      </w:r>
      <w:r w:rsidRPr="009331EF">
        <w:rPr>
          <w:rFonts w:ascii="Times New Roman" w:hAnsi="Times New Roman" w:cs="Times New Roman"/>
          <w:sz w:val="24"/>
          <w:szCs w:val="24"/>
        </w:rPr>
        <w:t xml:space="preserve">This tendency is reinforced by how Reynolds increasingly places himself at the forefront of popular protest, combining radicalism with philanthropy, and displaying many values present in </w:t>
      </w:r>
      <w:r w:rsidRPr="009331EF">
        <w:rPr>
          <w:rFonts w:ascii="Times New Roman" w:hAnsi="Times New Roman" w:cs="Times New Roman"/>
          <w:i/>
          <w:sz w:val="24"/>
          <w:szCs w:val="24"/>
        </w:rPr>
        <w:t>The Teetotaler</w:t>
      </w:r>
      <w:r w:rsidRPr="009331EF">
        <w:rPr>
          <w:rFonts w:ascii="Times New Roman" w:hAnsi="Times New Roman" w:cs="Times New Roman"/>
          <w:sz w:val="24"/>
          <w:szCs w:val="24"/>
        </w:rPr>
        <w:t xml:space="preserve"> although enhanced by more democratic and socially progressive aims.  The self-assurance this suggests was exemplified by the front-page portrait that introduced the opening volume of the </w:t>
      </w:r>
      <w:r w:rsidRPr="009331EF">
        <w:rPr>
          <w:rFonts w:ascii="Times New Roman" w:hAnsi="Times New Roman" w:cs="Times New Roman"/>
          <w:i/>
          <w:sz w:val="24"/>
          <w:szCs w:val="24"/>
        </w:rPr>
        <w:t xml:space="preserve">Miscellany </w:t>
      </w:r>
      <w:r w:rsidRPr="009331EF">
        <w:rPr>
          <w:rFonts w:ascii="Times New Roman" w:hAnsi="Times New Roman" w:cs="Times New Roman"/>
          <w:sz w:val="24"/>
          <w:szCs w:val="24"/>
        </w:rPr>
        <w:t>(see Appendix K).</w:t>
      </w:r>
      <w:r w:rsidRPr="009331EF">
        <w:rPr>
          <w:rStyle w:val="FootnoteReference"/>
          <w:rFonts w:ascii="Times New Roman" w:hAnsi="Times New Roman" w:cs="Times New Roman"/>
          <w:sz w:val="24"/>
          <w:szCs w:val="24"/>
        </w:rPr>
        <w:footnoteReference w:id="1037"/>
      </w:r>
      <w:r w:rsidRPr="009331EF">
        <w:rPr>
          <w:rFonts w:ascii="Times New Roman" w:hAnsi="Times New Roman" w:cs="Times New Roman"/>
          <w:sz w:val="24"/>
          <w:szCs w:val="24"/>
        </w:rPr>
        <w:t xml:space="preserve">  Such confidence was noticeable when he first thrust himself before a teetotal audience and within a few weeks had assumed a leading position in the movement.</w:t>
      </w:r>
      <w:r w:rsidRPr="009331EF">
        <w:rPr>
          <w:rStyle w:val="FootnoteReference"/>
          <w:rFonts w:ascii="Times New Roman" w:hAnsi="Times New Roman" w:cs="Times New Roman"/>
          <w:sz w:val="24"/>
          <w:szCs w:val="24"/>
        </w:rPr>
        <w:footnoteReference w:id="1038"/>
      </w:r>
      <w:r w:rsidRPr="009331EF">
        <w:rPr>
          <w:rFonts w:ascii="Times New Roman" w:hAnsi="Times New Roman" w:cs="Times New Roman"/>
          <w:sz w:val="24"/>
          <w:szCs w:val="24"/>
        </w:rPr>
        <w:t xml:space="preserve">  The role was closely replayed after the Trafalgar Square meeting, which saw him enjoy a rapid rise in Chartist circles.  It is worthwhile revisiting several scenes that have been discussed above from this angle.</w:t>
      </w:r>
    </w:p>
    <w:p w:rsidR="00422D80" w:rsidRPr="00460BB7"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 xml:space="preserve">Reynolds’s somewhat self-centred attitude is suggested by how the footnotes in </w:t>
      </w:r>
      <w:r w:rsidRPr="009331EF">
        <w:rPr>
          <w:rFonts w:ascii="Times New Roman" w:hAnsi="Times New Roman" w:cs="Times New Roman"/>
          <w:i/>
          <w:sz w:val="24"/>
          <w:szCs w:val="24"/>
        </w:rPr>
        <w:t>The Mysteries of London</w:t>
      </w:r>
      <w:r w:rsidRPr="009331EF">
        <w:rPr>
          <w:rFonts w:ascii="Times New Roman" w:hAnsi="Times New Roman" w:cs="Times New Roman"/>
          <w:sz w:val="24"/>
          <w:szCs w:val="24"/>
        </w:rPr>
        <w:t xml:space="preserve">, concerning the Trafalgar Square and Clerkenwell-Green meetings in March 1848, taken from the </w:t>
      </w:r>
      <w:r w:rsidRPr="009331EF">
        <w:rPr>
          <w:rFonts w:ascii="Times New Roman" w:hAnsi="Times New Roman" w:cs="Times New Roman"/>
          <w:i/>
          <w:sz w:val="24"/>
          <w:szCs w:val="24"/>
        </w:rPr>
        <w:t>London Telegraph</w:t>
      </w:r>
      <w:r w:rsidRPr="009331EF">
        <w:rPr>
          <w:rFonts w:ascii="Times New Roman" w:hAnsi="Times New Roman" w:cs="Times New Roman"/>
          <w:sz w:val="24"/>
          <w:szCs w:val="24"/>
        </w:rPr>
        <w:t>, are largely composed of his speeches with no other contributors mentioned.</w:t>
      </w:r>
      <w:r w:rsidRPr="009331EF">
        <w:rPr>
          <w:rStyle w:val="FootnoteReference"/>
          <w:rFonts w:ascii="Times New Roman" w:hAnsi="Times New Roman" w:cs="Times New Roman"/>
          <w:sz w:val="24"/>
          <w:szCs w:val="24"/>
        </w:rPr>
        <w:footnoteReference w:id="1039"/>
      </w:r>
      <w:r w:rsidRPr="009331EF">
        <w:rPr>
          <w:rFonts w:ascii="Times New Roman" w:hAnsi="Times New Roman" w:cs="Times New Roman"/>
          <w:sz w:val="24"/>
          <w:szCs w:val="24"/>
        </w:rPr>
        <w:t xml:space="preserve">  The associated comments referring to the upper classes suggest how he views his involvement: ‘They will not discriminate between honest politicians and the respectable working-classes on the one hand, and the ragamuffinery of </w:t>
      </w:r>
      <w:r w:rsidRPr="009331EF">
        <w:rPr>
          <w:rFonts w:ascii="Times New Roman" w:hAnsi="Times New Roman" w:cs="Times New Roman"/>
          <w:sz w:val="24"/>
          <w:szCs w:val="24"/>
        </w:rPr>
        <w:lastRenderedPageBreak/>
        <w:t>society on the other.  They confound us all together in the sweeping appellation of “</w:t>
      </w:r>
      <w:r w:rsidRPr="009331EF">
        <w:rPr>
          <w:rFonts w:ascii="Times New Roman" w:hAnsi="Times New Roman" w:cs="Times New Roman"/>
          <w:i/>
          <w:sz w:val="24"/>
          <w:szCs w:val="24"/>
        </w:rPr>
        <w:t>the mob!</w:t>
      </w:r>
      <w:r w:rsidRPr="009331EF">
        <w:rPr>
          <w:rFonts w:ascii="Times New Roman" w:hAnsi="Times New Roman" w:cs="Times New Roman"/>
          <w:sz w:val="24"/>
          <w:szCs w:val="24"/>
        </w:rPr>
        <w:t>”’.</w:t>
      </w:r>
      <w:r w:rsidRPr="009331EF">
        <w:rPr>
          <w:rStyle w:val="FootnoteReference"/>
          <w:rFonts w:ascii="Times New Roman" w:hAnsi="Times New Roman" w:cs="Times New Roman"/>
          <w:sz w:val="24"/>
          <w:szCs w:val="24"/>
        </w:rPr>
        <w:footnoteReference w:id="1040"/>
      </w:r>
      <w:r w:rsidRPr="009331EF">
        <w:rPr>
          <w:rFonts w:ascii="Times New Roman" w:hAnsi="Times New Roman" w:cs="Times New Roman"/>
          <w:sz w:val="24"/>
          <w:szCs w:val="24"/>
        </w:rPr>
        <w:t xml:space="preserve">  In line with his cautious radicalism, the separation of the ‘ragamuffinery’ from the masses confirms he is targeting the decent majority not the degraded minority.  As Mary Shannon writes, ‘Reynolds the narrator uses the plural ‘us’ to link himself to his ‘respectable’ readers’ whom he feels might be among the crowd or sympathise with their radical aims.</w:t>
      </w:r>
      <w:r w:rsidRPr="009331EF">
        <w:rPr>
          <w:rStyle w:val="FootnoteReference"/>
          <w:rFonts w:ascii="Times New Roman" w:hAnsi="Times New Roman" w:cs="Times New Roman"/>
          <w:sz w:val="24"/>
          <w:szCs w:val="24"/>
        </w:rPr>
        <w:footnoteReference w:id="1041"/>
      </w:r>
      <w:r w:rsidRPr="009331EF">
        <w:rPr>
          <w:rFonts w:ascii="Times New Roman" w:hAnsi="Times New Roman" w:cs="Times New Roman"/>
          <w:sz w:val="24"/>
          <w:szCs w:val="24"/>
        </w:rPr>
        <w:t xml:space="preserve">  Yet there is a dual aspect to his attitude, suggested by Patrick Joyce’s description of the gentleman leader in whom followers might ‘elevate supposedly superior and inherited </w:t>
      </w:r>
      <w:r w:rsidRPr="00460BB7">
        <w:rPr>
          <w:rFonts w:ascii="Times New Roman" w:hAnsi="Times New Roman" w:cs="Times New Roman"/>
          <w:sz w:val="24"/>
          <w:szCs w:val="24"/>
        </w:rPr>
        <w:t>qualities of leadership’ and who ‘represented the transcendence of class: by the high becoming low he showed that all people were one’.</w:t>
      </w:r>
      <w:r w:rsidRPr="00460BB7">
        <w:rPr>
          <w:rStyle w:val="FootnoteReference"/>
          <w:rFonts w:ascii="Times New Roman" w:hAnsi="Times New Roman" w:cs="Times New Roman"/>
          <w:sz w:val="24"/>
          <w:szCs w:val="24"/>
        </w:rPr>
        <w:footnoteReference w:id="1042"/>
      </w:r>
      <w:r w:rsidRPr="00460BB7">
        <w:rPr>
          <w:rFonts w:ascii="Times New Roman" w:hAnsi="Times New Roman" w:cs="Times New Roman"/>
          <w:sz w:val="24"/>
          <w:szCs w:val="24"/>
        </w:rPr>
        <w:t xml:space="preserve">  As the middle-class author presents himself united with the industrious classes in advocating their interests he simultaneously separates himself by implying the possession of superior qualities that allow him to occupy a central position in their struggles.  With this in mind he inserts himself into the text:</w:t>
      </w:r>
    </w:p>
    <w:p w:rsidR="00422D80" w:rsidRPr="00460BB7" w:rsidRDefault="00422D80" w:rsidP="00422D80">
      <w:pPr>
        <w:spacing w:after="240" w:line="240" w:lineRule="auto"/>
        <w:ind w:left="720"/>
        <w:rPr>
          <w:rFonts w:ascii="Times New Roman" w:hAnsi="Times New Roman" w:cs="Times New Roman"/>
          <w:sz w:val="24"/>
          <w:szCs w:val="24"/>
        </w:rPr>
      </w:pPr>
      <w:r w:rsidRPr="00460BB7">
        <w:rPr>
          <w:rFonts w:ascii="Times New Roman" w:hAnsi="Times New Roman" w:cs="Times New Roman"/>
          <w:sz w:val="24"/>
          <w:szCs w:val="24"/>
        </w:rPr>
        <w:t>Some of our readers may perhaps ask us wherefore we broach it at all?  We will reply by means of a few questions.  Is not every individual member of a society interested in the welfare of that society? or ought he not at least to be so?  Is he not justified in denouncing the errors or the downright turpitude of the magistrates whom that society has chosen to govern it, and who derive their power only from its good will and pleasure? or is it not indeed his duty to proclaim those errors and that turpitude?</w:t>
      </w:r>
      <w:r w:rsidRPr="00460BB7">
        <w:rPr>
          <w:rStyle w:val="FootnoteReference"/>
          <w:rFonts w:ascii="Times New Roman" w:hAnsi="Times New Roman" w:cs="Times New Roman"/>
          <w:sz w:val="24"/>
          <w:szCs w:val="24"/>
        </w:rPr>
        <w:footnoteReference w:id="1043"/>
      </w:r>
    </w:p>
    <w:p w:rsidR="00422D80" w:rsidRPr="009331EF" w:rsidRDefault="00422D80" w:rsidP="00422D80">
      <w:pPr>
        <w:spacing w:after="120" w:line="360" w:lineRule="auto"/>
        <w:rPr>
          <w:rFonts w:ascii="Times New Roman" w:hAnsi="Times New Roman" w:cs="Times New Roman"/>
          <w:sz w:val="24"/>
          <w:szCs w:val="24"/>
        </w:rPr>
      </w:pPr>
      <w:r w:rsidRPr="00460BB7">
        <w:rPr>
          <w:rFonts w:ascii="Times New Roman" w:hAnsi="Times New Roman" w:cs="Times New Roman"/>
          <w:sz w:val="24"/>
          <w:szCs w:val="24"/>
        </w:rPr>
        <w:t xml:space="preserve">It is the duty of all to challenge despotism for the common good.  However, the contribution he makes is a specific one, as exposer of injustice and educator of the people through fiction and journalism.  Such narrative insertions see Reynolds presenting himself as an Ellingham-like figure responsible for the intellectual </w:t>
      </w:r>
      <w:r w:rsidR="00A9153B" w:rsidRPr="00460BB7">
        <w:rPr>
          <w:rFonts w:ascii="Times New Roman" w:hAnsi="Times New Roman" w:cs="Times New Roman"/>
          <w:sz w:val="24"/>
          <w:szCs w:val="24"/>
        </w:rPr>
        <w:t>progress</w:t>
      </w:r>
      <w:r w:rsidRPr="00460BB7">
        <w:rPr>
          <w:rFonts w:ascii="Times New Roman" w:hAnsi="Times New Roman" w:cs="Times New Roman"/>
          <w:sz w:val="24"/>
          <w:szCs w:val="24"/>
        </w:rPr>
        <w:t xml:space="preserve"> of</w:t>
      </w:r>
      <w:r w:rsidRPr="009331EF">
        <w:rPr>
          <w:rFonts w:ascii="Times New Roman" w:hAnsi="Times New Roman" w:cs="Times New Roman"/>
          <w:sz w:val="24"/>
          <w:szCs w:val="24"/>
        </w:rPr>
        <w:t xml:space="preserve"> the masses.  This occurs in </w:t>
      </w:r>
      <w:r w:rsidRPr="009331EF">
        <w:rPr>
          <w:rFonts w:ascii="Times New Roman" w:hAnsi="Times New Roman" w:cs="Times New Roman"/>
          <w:i/>
          <w:sz w:val="24"/>
          <w:szCs w:val="24"/>
        </w:rPr>
        <w:t>The Seamstress</w:t>
      </w:r>
      <w:r w:rsidRPr="009331EF">
        <w:rPr>
          <w:rFonts w:ascii="Times New Roman" w:hAnsi="Times New Roman" w:cs="Times New Roman"/>
          <w:sz w:val="24"/>
          <w:szCs w:val="24"/>
        </w:rPr>
        <w:t xml:space="preserve"> where Reynolds generally depicts the industrious classes unable to envisage the social advancement he espouses.  It is his authorial commentary that forms the mainstay of the novel’s protest by condemning </w:t>
      </w:r>
      <w:r w:rsidRPr="009331EF">
        <w:rPr>
          <w:rFonts w:ascii="Times New Roman" w:hAnsi="Times New Roman" w:cs="Times New Roman"/>
          <w:bCs/>
          <w:sz w:val="24"/>
          <w:szCs w:val="24"/>
        </w:rPr>
        <w:t xml:space="preserve">the people’s suffering, </w:t>
      </w:r>
      <w:r w:rsidRPr="009331EF">
        <w:rPr>
          <w:rFonts w:ascii="Times New Roman" w:hAnsi="Times New Roman" w:cs="Times New Roman"/>
          <w:sz w:val="24"/>
          <w:szCs w:val="24"/>
        </w:rPr>
        <w:t>the Capitalists for their ‘Palatial establishments built on blood’ and the Aristocracy for being the ‘most loathsomely corrupt, demoralized, and profligate class of persons that ever scandalized a country’.</w:t>
      </w:r>
      <w:r w:rsidRPr="009331EF">
        <w:rPr>
          <w:rStyle w:val="FootnoteReference"/>
          <w:rFonts w:ascii="Times New Roman" w:hAnsi="Times New Roman" w:cs="Times New Roman"/>
          <w:sz w:val="24"/>
          <w:szCs w:val="24"/>
        </w:rPr>
        <w:footnoteReference w:id="1044"/>
      </w:r>
      <w:r w:rsidRPr="009331EF">
        <w:rPr>
          <w:rFonts w:ascii="Times New Roman" w:hAnsi="Times New Roman" w:cs="Times New Roman"/>
          <w:sz w:val="24"/>
          <w:szCs w:val="24"/>
        </w:rPr>
        <w:t xml:space="preserve">  He gives advice about how the masses should structure their protest, directing London’s starving needlewomen away from interviews with the Queen.  While allowing for Victoria’s possible sympathy and good intentions, it is a worthless exercise that would be diverted into the wiles </w:t>
      </w:r>
      <w:r w:rsidRPr="009331EF">
        <w:rPr>
          <w:rFonts w:ascii="Times New Roman" w:hAnsi="Times New Roman" w:cs="Times New Roman"/>
          <w:sz w:val="24"/>
          <w:szCs w:val="24"/>
        </w:rPr>
        <w:lastRenderedPageBreak/>
        <w:t>of Ministers who are responsible for the laws and taxes that have caused their plight.</w:t>
      </w:r>
      <w:r w:rsidRPr="009331EF">
        <w:rPr>
          <w:rStyle w:val="FootnoteReference"/>
          <w:rFonts w:ascii="Times New Roman" w:hAnsi="Times New Roman" w:cs="Times New Roman"/>
          <w:sz w:val="24"/>
          <w:szCs w:val="24"/>
        </w:rPr>
        <w:footnoteReference w:id="1045"/>
      </w:r>
      <w:r w:rsidRPr="009331EF">
        <w:rPr>
          <w:rFonts w:ascii="Times New Roman" w:hAnsi="Times New Roman" w:cs="Times New Roman"/>
          <w:sz w:val="24"/>
          <w:szCs w:val="24"/>
        </w:rPr>
        <w:t xml:space="preserve">  The reader is told to expect no help from these quarters since the profits of companies who run the slop trade provide support to the ‘pensioners, placemen, and sinecurists’ of the government and wider establishment.</w:t>
      </w:r>
      <w:r w:rsidRPr="009331EF">
        <w:rPr>
          <w:rStyle w:val="FootnoteReference"/>
          <w:rFonts w:ascii="Times New Roman" w:hAnsi="Times New Roman" w:cs="Times New Roman"/>
          <w:sz w:val="24"/>
          <w:szCs w:val="24"/>
        </w:rPr>
        <w:footnoteReference w:id="1046"/>
      </w:r>
      <w:r w:rsidRPr="009331EF">
        <w:rPr>
          <w:rFonts w:ascii="Times New Roman" w:hAnsi="Times New Roman" w:cs="Times New Roman"/>
          <w:sz w:val="24"/>
          <w:szCs w:val="24"/>
        </w:rPr>
        <w:t xml:space="preserve">  However, authorial intrusion goes beyond such advice.  When the neighbours rally to aid Virginia during her illness, Reynolds inserts himself into the scene as follows:</w:t>
      </w:r>
    </w:p>
    <w:p w:rsidR="00422D80" w:rsidRPr="009331EF" w:rsidRDefault="00422D80" w:rsidP="00422D80">
      <w:pPr>
        <w:spacing w:after="240" w:line="240" w:lineRule="auto"/>
        <w:ind w:left="720"/>
        <w:rPr>
          <w:rFonts w:ascii="Times New Roman" w:hAnsi="Times New Roman" w:cs="Times New Roman"/>
          <w:sz w:val="24"/>
          <w:szCs w:val="24"/>
        </w:rPr>
      </w:pPr>
      <w:r w:rsidRPr="009331EF">
        <w:rPr>
          <w:rFonts w:ascii="Times New Roman" w:hAnsi="Times New Roman" w:cs="Times New Roman"/>
          <w:sz w:val="24"/>
          <w:szCs w:val="24"/>
        </w:rPr>
        <w:t>[B]ecause they are thus generous, thus noble-hearted, thus magnanimous, and thus humane, that the writer of this tale loves them so well—devotes himself so fervidly to their interests—and swears by all that is sacred never to desert their cause so long as he has the power to wield a pen or raise a voice to proclaim their wrongs and assert their rights!</w:t>
      </w:r>
      <w:r w:rsidRPr="009331EF">
        <w:rPr>
          <w:rStyle w:val="FootnoteReference"/>
          <w:rFonts w:ascii="Times New Roman" w:hAnsi="Times New Roman" w:cs="Times New Roman"/>
          <w:sz w:val="24"/>
          <w:szCs w:val="24"/>
        </w:rPr>
        <w:footnoteReference w:id="1047"/>
      </w:r>
    </w:p>
    <w:p w:rsidR="00422D80" w:rsidRPr="009331EF" w:rsidRDefault="00422D80" w:rsidP="00422D80">
      <w:pPr>
        <w:spacing w:after="120" w:line="360" w:lineRule="auto"/>
        <w:rPr>
          <w:rFonts w:ascii="Times New Roman" w:hAnsi="Times New Roman" w:cs="Times New Roman"/>
          <w:bCs/>
          <w:sz w:val="24"/>
          <w:szCs w:val="24"/>
        </w:rPr>
      </w:pPr>
      <w:r w:rsidRPr="009331EF">
        <w:rPr>
          <w:rFonts w:ascii="Times New Roman" w:hAnsi="Times New Roman" w:cs="Times New Roman"/>
          <w:sz w:val="24"/>
          <w:szCs w:val="24"/>
        </w:rPr>
        <w:t>Although having questioned their unruly behaviour, he declares his devotion as the individual who provides a voice of protest against their suffering.  He will display the loyalty shown by Ellingham towards those who cheered him outside Parliament and in the streets of London.  Reynolds’s support is based upon recognition of their kindness and humanity, seemingly conditioned by their moral qualities rather than political acumen.  Following this passage, Virginia expresses the hope ‘that there shall yet come an HOUR and arise a MAN to give freedom to those enslaved masses and evoke all the grand and noble qualities which now lie concealed beneath the weight of tyranny and oppression!’.</w:t>
      </w:r>
      <w:r w:rsidRPr="009331EF">
        <w:rPr>
          <w:rStyle w:val="FootnoteReference"/>
          <w:rFonts w:ascii="Times New Roman" w:hAnsi="Times New Roman" w:cs="Times New Roman"/>
          <w:bCs/>
          <w:sz w:val="24"/>
          <w:szCs w:val="24"/>
        </w:rPr>
        <w:footnoteReference w:id="1048"/>
      </w:r>
      <w:r w:rsidRPr="009331EF">
        <w:rPr>
          <w:rFonts w:ascii="Times New Roman" w:hAnsi="Times New Roman" w:cs="Times New Roman"/>
          <w:sz w:val="24"/>
          <w:szCs w:val="24"/>
        </w:rPr>
        <w:t xml:space="preserve">  Freedom is attainable one day through an emergent unnamed saviour, but the preceding profession of allegiance makes clear Reynolds is this person who will empower the industrious classes by unlocking their intellectual and moral potential.</w:t>
      </w:r>
    </w:p>
    <w:p w:rsidR="00422D80" w:rsidRPr="009331EF"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 xml:space="preserve">It was noted that the Middleton demonstration in </w:t>
      </w:r>
      <w:r w:rsidRPr="009331EF">
        <w:rPr>
          <w:rFonts w:ascii="Times New Roman" w:hAnsi="Times New Roman" w:cs="Times New Roman"/>
          <w:i/>
          <w:sz w:val="24"/>
          <w:szCs w:val="24"/>
        </w:rPr>
        <w:t>The Soldier’s Wife</w:t>
      </w:r>
      <w:r w:rsidRPr="009331EF">
        <w:rPr>
          <w:rFonts w:ascii="Times New Roman" w:hAnsi="Times New Roman" w:cs="Times New Roman"/>
          <w:sz w:val="24"/>
          <w:szCs w:val="24"/>
        </w:rPr>
        <w:t xml:space="preserve"> marked a more active role for the working classes.  Added to which the speakers are not confirmed as being from a higher social rank and although looked to for advice are not openly idolised in the manner of Ellingham or Markham.  However, elsewhere Reynolds appears to place himself in the narrative through the laudatory references to an unnamed democratic weekly journal that ‘most fearlessly advocated the private soldier’s cause, exposed the tyrannies to which he was subjected, and as mercilessly denounced the horrors of the lash’.</w:t>
      </w:r>
      <w:r w:rsidRPr="009331EF">
        <w:rPr>
          <w:rStyle w:val="FootnoteReference"/>
          <w:rFonts w:ascii="Times New Roman" w:hAnsi="Times New Roman" w:cs="Times New Roman"/>
          <w:sz w:val="24"/>
          <w:szCs w:val="24"/>
        </w:rPr>
        <w:footnoteReference w:id="1049"/>
      </w:r>
      <w:r w:rsidRPr="009331EF">
        <w:rPr>
          <w:rFonts w:ascii="Times New Roman" w:hAnsi="Times New Roman" w:cs="Times New Roman"/>
          <w:sz w:val="24"/>
          <w:szCs w:val="24"/>
        </w:rPr>
        <w:t xml:space="preserve">  It would inevitably suggest to the reader this was </w:t>
      </w:r>
      <w:r w:rsidRPr="009331EF">
        <w:rPr>
          <w:rFonts w:ascii="Times New Roman" w:hAnsi="Times New Roman" w:cs="Times New Roman"/>
          <w:i/>
          <w:iCs/>
          <w:sz w:val="24"/>
          <w:szCs w:val="24"/>
        </w:rPr>
        <w:t>Reynolds’s Newspaper</w:t>
      </w:r>
      <w:r w:rsidRPr="009331EF">
        <w:rPr>
          <w:rFonts w:ascii="Times New Roman" w:hAnsi="Times New Roman" w:cs="Times New Roman"/>
          <w:sz w:val="24"/>
          <w:szCs w:val="24"/>
        </w:rPr>
        <w:t xml:space="preserve"> with its constant coverage of the issue, </w:t>
      </w:r>
      <w:r w:rsidRPr="009331EF">
        <w:rPr>
          <w:rFonts w:ascii="Times New Roman" w:hAnsi="Times New Roman" w:cs="Times New Roman"/>
          <w:sz w:val="24"/>
          <w:szCs w:val="24"/>
        </w:rPr>
        <w:lastRenderedPageBreak/>
        <w:t>particularly during the novel’s serialization.</w:t>
      </w:r>
      <w:r w:rsidRPr="009331EF">
        <w:rPr>
          <w:rStyle w:val="FootnoteReference"/>
          <w:rFonts w:ascii="Times New Roman" w:hAnsi="Times New Roman" w:cs="Times New Roman"/>
          <w:bCs/>
          <w:sz w:val="24"/>
          <w:szCs w:val="24"/>
        </w:rPr>
        <w:footnoteReference w:id="1050"/>
      </w:r>
      <w:r w:rsidRPr="009331EF">
        <w:rPr>
          <w:rFonts w:ascii="Times New Roman" w:hAnsi="Times New Roman" w:cs="Times New Roman"/>
          <w:sz w:val="24"/>
          <w:szCs w:val="24"/>
        </w:rPr>
        <w:t xml:space="preserve">  The continuation of the comment is also significant: ‘The martinets of the army tremble at the power of that press; and they use all their endeavours to vilify and cast odium upon any liberal prints which express sympathy towards the private soldier.’</w:t>
      </w:r>
      <w:r w:rsidRPr="009331EF">
        <w:rPr>
          <w:rStyle w:val="FootnoteReference"/>
          <w:rFonts w:ascii="Times New Roman" w:hAnsi="Times New Roman" w:cs="Times New Roman"/>
          <w:sz w:val="24"/>
          <w:szCs w:val="24"/>
        </w:rPr>
        <w:footnoteReference w:id="1051"/>
      </w:r>
      <w:r w:rsidRPr="009331EF">
        <w:rPr>
          <w:rFonts w:ascii="Times New Roman" w:hAnsi="Times New Roman" w:cs="Times New Roman"/>
          <w:sz w:val="24"/>
          <w:szCs w:val="24"/>
        </w:rPr>
        <w:t xml:space="preserve">  Claims of the paper’s influence indicate how Reynolds has progressed from the 1848 Trafalgar Square demonstration when his writings expressed sympathy for the industrious classes.  Now as a powerful editor he is feared by the military tyrants having become what Gramsci terms an ‘intellectual’, part of an élite with the special ability to be ‘an organiser of masses of men’.</w:t>
      </w:r>
      <w:r w:rsidRPr="009331EF">
        <w:rPr>
          <w:rStyle w:val="FootnoteReference"/>
          <w:rFonts w:ascii="Times New Roman" w:eastAsia="Calibri" w:hAnsi="Times New Roman" w:cs="Times New Roman"/>
          <w:sz w:val="24"/>
          <w:szCs w:val="24"/>
        </w:rPr>
        <w:footnoteReference w:id="1052"/>
      </w:r>
      <w:r w:rsidRPr="009331EF">
        <w:rPr>
          <w:rFonts w:ascii="Times New Roman" w:hAnsi="Times New Roman" w:cs="Times New Roman"/>
          <w:sz w:val="24"/>
          <w:szCs w:val="24"/>
        </w:rPr>
        <w:t xml:space="preserve">  He is a ‘permanent persuader’ whose task is to ‘assimilate and to conquer “ideologically” the traditional intellectuals’.</w:t>
      </w:r>
      <w:r w:rsidRPr="009331EF">
        <w:rPr>
          <w:rStyle w:val="FootnoteReference"/>
          <w:rFonts w:ascii="Times New Roman" w:eastAsia="Calibri" w:hAnsi="Times New Roman" w:cs="Times New Roman"/>
          <w:sz w:val="24"/>
          <w:szCs w:val="24"/>
        </w:rPr>
        <w:footnoteReference w:id="1053"/>
      </w:r>
      <w:r w:rsidRPr="009331EF">
        <w:rPr>
          <w:rFonts w:ascii="Times New Roman" w:hAnsi="Times New Roman" w:cs="Times New Roman"/>
          <w:sz w:val="24"/>
          <w:szCs w:val="24"/>
        </w:rPr>
        <w:t xml:space="preserve">  As Terry Eagleton writes, this individual will help bring the social and political transition into effect with their prime role being to lend the class they promote ‘some homogeneous self-consciousness in the cultural, political and economic fields’.</w:t>
      </w:r>
      <w:r w:rsidRPr="009331EF">
        <w:rPr>
          <w:rStyle w:val="FootnoteReference"/>
          <w:rFonts w:ascii="Times New Roman" w:eastAsia="Calibri" w:hAnsi="Times New Roman" w:cs="Times New Roman"/>
          <w:sz w:val="24"/>
          <w:szCs w:val="24"/>
        </w:rPr>
        <w:footnoteReference w:id="1054"/>
      </w:r>
      <w:r w:rsidRPr="009331EF">
        <w:rPr>
          <w:rFonts w:ascii="Times New Roman" w:hAnsi="Times New Roman" w:cs="Times New Roman"/>
          <w:sz w:val="24"/>
          <w:szCs w:val="24"/>
        </w:rPr>
        <w:t xml:space="preserve">  Reynolds could claim to cover all of these areas with his novels, newspapers and Chartist activity.  His popularity had seen him a star speaker at meetings around Britain and voted top of the list to the Central Committee of the NCA.</w:t>
      </w:r>
      <w:r w:rsidRPr="009331EF">
        <w:rPr>
          <w:rStyle w:val="FootnoteReference"/>
          <w:rFonts w:ascii="Times New Roman" w:eastAsia="Calibri" w:hAnsi="Times New Roman" w:cs="Times New Roman"/>
          <w:sz w:val="24"/>
          <w:szCs w:val="24"/>
        </w:rPr>
        <w:footnoteReference w:id="1055"/>
      </w:r>
      <w:r w:rsidRPr="009331EF">
        <w:rPr>
          <w:rFonts w:ascii="Times New Roman" w:hAnsi="Times New Roman" w:cs="Times New Roman"/>
          <w:sz w:val="24"/>
          <w:szCs w:val="24"/>
        </w:rPr>
        <w:t xml:space="preserve">  Increasing sales of his newspaper allowed him to boast of undermining the hegemony of the officer class, from local barracks in England to the camps at Sebastopol.</w:t>
      </w:r>
      <w:r w:rsidRPr="009331EF">
        <w:rPr>
          <w:rStyle w:val="FootnoteReference"/>
          <w:rFonts w:ascii="Times New Roman" w:hAnsi="Times New Roman" w:cs="Times New Roman"/>
          <w:bCs/>
          <w:sz w:val="24"/>
          <w:szCs w:val="24"/>
        </w:rPr>
        <w:footnoteReference w:id="1056"/>
      </w:r>
      <w:r w:rsidRPr="009331EF">
        <w:rPr>
          <w:rFonts w:ascii="Times New Roman" w:hAnsi="Times New Roman" w:cs="Times New Roman"/>
          <w:sz w:val="24"/>
          <w:szCs w:val="24"/>
        </w:rPr>
        <w:t xml:space="preserve">  The fear shown by the class enemies confirms the correctness of his leadership.</w:t>
      </w:r>
    </w:p>
    <w:p w:rsidR="00422D80" w:rsidRPr="00004D65" w:rsidRDefault="00422D80" w:rsidP="00422D80">
      <w:pPr>
        <w:spacing w:after="120" w:line="360" w:lineRule="auto"/>
        <w:ind w:firstLine="720"/>
        <w:rPr>
          <w:rFonts w:ascii="Times New Roman" w:hAnsi="Times New Roman" w:cs="Times New Roman"/>
          <w:sz w:val="24"/>
          <w:szCs w:val="24"/>
        </w:rPr>
      </w:pPr>
      <w:r w:rsidRPr="009331EF">
        <w:rPr>
          <w:rFonts w:ascii="Times New Roman" w:hAnsi="Times New Roman" w:cs="Times New Roman"/>
          <w:sz w:val="24"/>
          <w:szCs w:val="24"/>
        </w:rPr>
        <w:t xml:space="preserve">This chapter has marked the development of Reynolds’s portrayals of mass protest in fiction and journalism from reluctant scepticism concerning the Bethnal Green demonstration to positive appraisals of gatherings at Trafalgar Square and beyond.  Lack of such protest in early parts of </w:t>
      </w:r>
      <w:r w:rsidRPr="009331EF">
        <w:rPr>
          <w:rFonts w:ascii="Times New Roman" w:hAnsi="Times New Roman" w:cs="Times New Roman"/>
          <w:i/>
          <w:iCs/>
          <w:sz w:val="24"/>
          <w:szCs w:val="24"/>
        </w:rPr>
        <w:t>The Mysteries of London</w:t>
      </w:r>
      <w:r w:rsidRPr="009331EF">
        <w:rPr>
          <w:rFonts w:ascii="Times New Roman" w:hAnsi="Times New Roman" w:cs="Times New Roman"/>
          <w:sz w:val="24"/>
          <w:szCs w:val="24"/>
        </w:rPr>
        <w:t xml:space="preserve"> makes Eugene Markham’s excitement towards his boot-maker appear as panic by the ruling classes towards a few radicals rather than justified concern at widespread class-conscious activity among the masses.  By the end of volume four, however, his words seem extremely prescient as depictions of demonstrations in England become more commonplace.  Their peacefulness is testament to widespread intellectual and moral advancement.  The psychological instability and violent turmoil contained in the </w:t>
      </w:r>
      <w:r w:rsidRPr="009331EF">
        <w:rPr>
          <w:rFonts w:ascii="Times New Roman" w:hAnsi="Times New Roman" w:cs="Times New Roman"/>
          <w:sz w:val="24"/>
          <w:szCs w:val="24"/>
        </w:rPr>
        <w:lastRenderedPageBreak/>
        <w:t>portrayals of Disraeli and Gaskell is removed, to be located in the actions of those driven to despair like Frederick Lonsdale or the brutalized dangerous classes.  However, the question of leadership weighs heavily upon Reynolds’s representations which perform a delicate balancing act between portraying the agency of the industrious classes and their continued reliance upon middle and upper-</w:t>
      </w:r>
      <w:r w:rsidRPr="00460BB7">
        <w:rPr>
          <w:rFonts w:ascii="Times New Roman" w:hAnsi="Times New Roman" w:cs="Times New Roman"/>
          <w:sz w:val="24"/>
          <w:szCs w:val="24"/>
        </w:rPr>
        <w:t xml:space="preserve">class </w:t>
      </w:r>
      <w:r w:rsidR="00A9153B" w:rsidRPr="00460BB7">
        <w:rPr>
          <w:rFonts w:ascii="Times New Roman" w:hAnsi="Times New Roman" w:cs="Times New Roman"/>
          <w:sz w:val="24"/>
          <w:szCs w:val="24"/>
        </w:rPr>
        <w:t>figures</w:t>
      </w:r>
      <w:r w:rsidRPr="00460BB7">
        <w:rPr>
          <w:rFonts w:ascii="Times New Roman" w:hAnsi="Times New Roman" w:cs="Times New Roman"/>
          <w:sz w:val="24"/>
          <w:szCs w:val="24"/>
        </w:rPr>
        <w:t>.</w:t>
      </w:r>
      <w:r w:rsidRPr="009331EF">
        <w:rPr>
          <w:rFonts w:ascii="Times New Roman" w:hAnsi="Times New Roman" w:cs="Times New Roman"/>
          <w:sz w:val="24"/>
          <w:szCs w:val="24"/>
        </w:rPr>
        <w:t xml:space="preserve">  He always praises individuals from the working classes who become involved in their own advancement, even in works written well before his adoption of Chartist aims.  However, he does not argue with any consistency that they take the leadership role upon themselves, and there is a constant sense in his work of the need for guidance from radical, well-to-do individuals, whether Richard Markham, Arthur Ellingham or, indeed, himself.</w:t>
      </w:r>
    </w:p>
    <w:p w:rsidR="00422D80" w:rsidRPr="00004D65" w:rsidRDefault="00422D80" w:rsidP="00422D80">
      <w:pPr>
        <w:spacing w:after="160" w:line="259" w:lineRule="auto"/>
        <w:rPr>
          <w:rFonts w:ascii="Times New Roman" w:hAnsi="Times New Roman" w:cs="Times New Roman"/>
          <w:sz w:val="24"/>
          <w:szCs w:val="24"/>
        </w:rPr>
      </w:pPr>
    </w:p>
    <w:p w:rsidR="00690DF3" w:rsidRDefault="00690DF3" w:rsidP="00690DF3">
      <w:pPr>
        <w:spacing w:after="120" w:line="360" w:lineRule="auto"/>
        <w:ind w:firstLine="720"/>
        <w:rPr>
          <w:rFonts w:ascii="Times New Roman" w:hAnsi="Times New Roman" w:cs="Times New Roman"/>
          <w:sz w:val="24"/>
          <w:szCs w:val="24"/>
        </w:rPr>
      </w:pPr>
    </w:p>
    <w:p w:rsidR="00690DF3" w:rsidRDefault="00690DF3" w:rsidP="00690DF3">
      <w:pPr>
        <w:rPr>
          <w:rFonts w:ascii="Times New Roman" w:hAnsi="Times New Roman" w:cs="Times New Roman"/>
          <w:sz w:val="24"/>
          <w:szCs w:val="24"/>
        </w:rPr>
        <w:sectPr w:rsidR="00690DF3">
          <w:footnotePr>
            <w:numRestart w:val="eachSect"/>
          </w:footnotePr>
          <w:pgSz w:w="11906" w:h="16838"/>
          <w:pgMar w:top="1440" w:right="1440" w:bottom="1440" w:left="1440" w:header="708" w:footer="708" w:gutter="0"/>
          <w:cols w:space="708"/>
          <w:docGrid w:linePitch="360"/>
        </w:sectPr>
      </w:pPr>
    </w:p>
    <w:p w:rsidR="00690DF3" w:rsidRDefault="00690DF3" w:rsidP="00690DF3">
      <w:pPr>
        <w:rPr>
          <w:rFonts w:ascii="Times New Roman" w:hAnsi="Times New Roman" w:cs="Times New Roman"/>
          <w:sz w:val="24"/>
          <w:szCs w:val="24"/>
        </w:rPr>
      </w:pPr>
      <w:r>
        <w:rPr>
          <w:rFonts w:ascii="Times New Roman" w:hAnsi="Times New Roman" w:cs="Times New Roman"/>
          <w:sz w:val="24"/>
          <w:szCs w:val="24"/>
        </w:rPr>
        <w:lastRenderedPageBreak/>
        <w:br w:type="page"/>
      </w:r>
    </w:p>
    <w:p w:rsidR="0005445D" w:rsidRPr="00752F02" w:rsidRDefault="0005445D" w:rsidP="0005445D">
      <w:pPr>
        <w:jc w:val="center"/>
        <w:rPr>
          <w:rFonts w:ascii="Times New Roman" w:hAnsi="Times New Roman" w:cs="Times New Roman"/>
          <w:b/>
          <w:sz w:val="24"/>
          <w:szCs w:val="24"/>
          <w:u w:val="single"/>
        </w:rPr>
      </w:pPr>
      <w:r w:rsidRPr="00752F02">
        <w:rPr>
          <w:rFonts w:ascii="Times New Roman" w:hAnsi="Times New Roman" w:cs="Times New Roman"/>
          <w:b/>
          <w:sz w:val="24"/>
          <w:szCs w:val="24"/>
          <w:u w:val="single"/>
        </w:rPr>
        <w:lastRenderedPageBreak/>
        <w:t>Conclusion</w:t>
      </w:r>
    </w:p>
    <w:p w:rsidR="00C23137" w:rsidRPr="00460BB7" w:rsidRDefault="00C23137" w:rsidP="00C23137">
      <w:pPr>
        <w:spacing w:after="120" w:line="360" w:lineRule="auto"/>
        <w:ind w:firstLine="720"/>
        <w:rPr>
          <w:rFonts w:ascii="Times New Roman" w:hAnsi="Times New Roman" w:cs="Times New Roman"/>
          <w:bCs/>
          <w:sz w:val="24"/>
          <w:szCs w:val="24"/>
        </w:rPr>
      </w:pPr>
      <w:bookmarkStart w:id="4" w:name="_Hlk505606867"/>
      <w:r w:rsidRPr="00752F02">
        <w:rPr>
          <w:rFonts w:ascii="Times New Roman" w:hAnsi="Times New Roman" w:cs="Times New Roman"/>
          <w:bCs/>
          <w:sz w:val="24"/>
          <w:szCs w:val="24"/>
        </w:rPr>
        <w:t>T</w:t>
      </w:r>
      <w:r w:rsidRPr="00752F02">
        <w:rPr>
          <w:rFonts w:ascii="Times New Roman" w:hAnsi="Times New Roman" w:cs="Times New Roman"/>
          <w:sz w:val="24"/>
          <w:szCs w:val="24"/>
        </w:rPr>
        <w:t xml:space="preserve">he thesis has argued that </w:t>
      </w:r>
      <w:r w:rsidRPr="00460BB7">
        <w:rPr>
          <w:rFonts w:ascii="Times New Roman" w:hAnsi="Times New Roman" w:cs="Times New Roman"/>
          <w:sz w:val="24"/>
          <w:szCs w:val="24"/>
        </w:rPr>
        <w:t xml:space="preserve">Reynolds saw fiction and journalism as a means to educate his readership, </w:t>
      </w:r>
      <w:r w:rsidRPr="00460BB7">
        <w:rPr>
          <w:rFonts w:ascii="Times New Roman" w:hAnsi="Times New Roman" w:cs="Times New Roman"/>
          <w:bCs/>
          <w:sz w:val="24"/>
          <w:szCs w:val="24"/>
        </w:rPr>
        <w:t>providing guidance for the conduct of their social and political protest. It has also emphasised that with such an important goal in mind, to make this aspect of his writing genuinely valuable, he endowed it with a high degree of complexity.  This would see him portray a wide range of dissent weaving through his texts, with the different forms constantly diverging and converging in terms of their qualities and the methods they adopted.  The aim was to provide readers with weekly entertainment that might shape both their outlook and behaviour. While holding a confident perspective of the nineteenth century as a period of advancement for the industrious classes, Reynolds gave continual warnings about the pitfalls to be avoided.  H</w:t>
      </w:r>
      <w:r w:rsidRPr="00460BB7">
        <w:rPr>
          <w:rFonts w:ascii="Times New Roman" w:hAnsi="Times New Roman" w:cs="Times New Roman"/>
          <w:sz w:val="24"/>
          <w:szCs w:val="24"/>
        </w:rPr>
        <w:t>e</w:t>
      </w:r>
      <w:r w:rsidRPr="00460BB7">
        <w:rPr>
          <w:rFonts w:ascii="Times New Roman" w:hAnsi="Times New Roman" w:cs="Times New Roman"/>
          <w:bCs/>
          <w:sz w:val="24"/>
          <w:szCs w:val="24"/>
        </w:rPr>
        <w:t xml:space="preserve"> emphasised that for Britain </w:t>
      </w:r>
      <w:r w:rsidRPr="00460BB7">
        <w:rPr>
          <w:rFonts w:ascii="Times New Roman" w:hAnsi="Times New Roman"/>
          <w:sz w:val="24"/>
          <w:szCs w:val="24"/>
        </w:rPr>
        <w:t xml:space="preserve">any hope in </w:t>
      </w:r>
      <w:r w:rsidRPr="00460BB7">
        <w:rPr>
          <w:rFonts w:ascii="Times New Roman" w:hAnsi="Times New Roman" w:cs="Times New Roman"/>
          <w:sz w:val="24"/>
          <w:szCs w:val="24"/>
        </w:rPr>
        <w:t>violent</w:t>
      </w:r>
      <w:r w:rsidRPr="00460BB7">
        <w:rPr>
          <w:rFonts w:ascii="Times New Roman" w:hAnsi="Times New Roman"/>
          <w:sz w:val="24"/>
          <w:szCs w:val="24"/>
        </w:rPr>
        <w:t xml:space="preserve"> or immoral opposition bringing positive change was delusional.  The former </w:t>
      </w:r>
      <w:r w:rsidRPr="00460BB7">
        <w:rPr>
          <w:rFonts w:ascii="Times New Roman" w:hAnsi="Times New Roman" w:cs="Times New Roman"/>
          <w:sz w:val="24"/>
          <w:szCs w:val="24"/>
        </w:rPr>
        <w:t xml:space="preserve">provided the state with an excuse to exercise tyrannical power while the latter </w:t>
      </w:r>
      <w:r w:rsidRPr="00460BB7">
        <w:rPr>
          <w:rFonts w:ascii="Times New Roman" w:hAnsi="Times New Roman"/>
          <w:sz w:val="24"/>
          <w:szCs w:val="24"/>
        </w:rPr>
        <w:t xml:space="preserve">saw </w:t>
      </w:r>
      <w:r w:rsidRPr="00460BB7">
        <w:rPr>
          <w:rFonts w:ascii="Times New Roman" w:hAnsi="Times New Roman" w:cs="Times New Roman"/>
          <w:sz w:val="24"/>
          <w:szCs w:val="24"/>
        </w:rPr>
        <w:t>the masses embrace the values of the system that oppressed them in a manner that invariably reinforced its rule</w:t>
      </w:r>
      <w:r w:rsidRPr="00460BB7">
        <w:rPr>
          <w:rFonts w:ascii="Times New Roman" w:hAnsi="Times New Roman"/>
          <w:sz w:val="24"/>
          <w:szCs w:val="24"/>
        </w:rPr>
        <w:t>.  I</w:t>
      </w:r>
      <w:r w:rsidRPr="00460BB7">
        <w:rPr>
          <w:rFonts w:ascii="Times New Roman" w:hAnsi="Times New Roman" w:cs="Times New Roman"/>
          <w:bCs/>
          <w:sz w:val="24"/>
          <w:szCs w:val="24"/>
        </w:rPr>
        <w:t>t was noted that while his depictions gradually incorporated more democratic aims in line with his own political progress, they also displayed a strong element of continuation by retaining</w:t>
      </w:r>
      <w:r w:rsidRPr="00752F02">
        <w:rPr>
          <w:rFonts w:ascii="Times New Roman" w:hAnsi="Times New Roman" w:cs="Times New Roman"/>
          <w:bCs/>
          <w:sz w:val="24"/>
          <w:szCs w:val="24"/>
        </w:rPr>
        <w:t xml:space="preserve"> many conservative values he held from earlier years.  This meant the cautiousness expressed by his </w:t>
      </w:r>
      <w:r w:rsidRPr="00752F02">
        <w:rPr>
          <w:rFonts w:ascii="Times New Roman" w:hAnsi="Times New Roman" w:cs="Times New Roman"/>
          <w:sz w:val="24"/>
          <w:szCs w:val="24"/>
        </w:rPr>
        <w:t>excursion into teetotalism during 1840</w:t>
      </w:r>
      <w:r w:rsidRPr="00752F02">
        <w:rPr>
          <w:rFonts w:ascii="Times New Roman" w:hAnsi="Times New Roman"/>
          <w:sz w:val="24"/>
          <w:szCs w:val="24"/>
        </w:rPr>
        <w:t>–</w:t>
      </w:r>
      <w:r w:rsidRPr="00752F02">
        <w:rPr>
          <w:rFonts w:ascii="Times New Roman" w:hAnsi="Times New Roman" w:cs="Times New Roman"/>
          <w:sz w:val="24"/>
          <w:szCs w:val="24"/>
        </w:rPr>
        <w:t xml:space="preserve">41 with its concerns over individual vice was discernible </w:t>
      </w:r>
      <w:r w:rsidRPr="00752F02">
        <w:rPr>
          <w:rFonts w:ascii="Times New Roman" w:hAnsi="Times New Roman" w:cs="Times New Roman"/>
          <w:bCs/>
          <w:sz w:val="24"/>
          <w:szCs w:val="24"/>
        </w:rPr>
        <w:t xml:space="preserve">in later writings during and after his period of Chartist activity.  Just as importantly, in terms of placing limits </w:t>
      </w:r>
      <w:r w:rsidRPr="00460BB7">
        <w:rPr>
          <w:rFonts w:ascii="Times New Roman" w:hAnsi="Times New Roman" w:cs="Times New Roman"/>
          <w:bCs/>
          <w:sz w:val="24"/>
          <w:szCs w:val="24"/>
        </w:rPr>
        <w:t>upon his radicalism, Reynolds presents what he sees as the correct moral basis for protest not only to attack the debauchery and violence of the dangerous classes but to question the views of enlightened contemporaries.  In doing so, while he looked to the industrious classes achieving rapid political advance, he tied them to a far more gradualist approach when proposing changes to the economic structures of society.</w:t>
      </w:r>
      <w:bookmarkEnd w:id="4"/>
    </w:p>
    <w:p w:rsidR="0005445D" w:rsidRPr="00752F02" w:rsidRDefault="00B13D09" w:rsidP="0005445D">
      <w:pPr>
        <w:spacing w:after="120" w:line="360" w:lineRule="auto"/>
        <w:ind w:firstLine="720"/>
        <w:rPr>
          <w:rFonts w:asciiTheme="majorBidi" w:hAnsiTheme="majorBidi" w:cstheme="majorBidi"/>
          <w:sz w:val="24"/>
          <w:szCs w:val="24"/>
        </w:rPr>
      </w:pPr>
      <w:r w:rsidRPr="00460BB7">
        <w:rPr>
          <w:rFonts w:ascii="Times New Roman" w:hAnsi="Times New Roman" w:cs="Times New Roman"/>
          <w:bCs/>
          <w:sz w:val="24"/>
          <w:szCs w:val="24"/>
        </w:rPr>
        <w:t>Central to the argument has been how Reynolds’s portrayal rested upon a sense of the need for protest to maintain an appropriate balance of its psychological and</w:t>
      </w:r>
      <w:r w:rsidRPr="00752F02">
        <w:rPr>
          <w:rFonts w:ascii="Times New Roman" w:hAnsi="Times New Roman" w:cs="Times New Roman"/>
          <w:bCs/>
          <w:sz w:val="24"/>
          <w:szCs w:val="24"/>
        </w:rPr>
        <w:t xml:space="preserve"> moral aspects.  His fear of the failure to do so can be summarized by considering his usage of a mental state </w:t>
      </w:r>
      <w:r w:rsidR="0005445D" w:rsidRPr="00752F02">
        <w:rPr>
          <w:rFonts w:ascii="Times New Roman" w:hAnsi="Times New Roman" w:cs="Times New Roman"/>
          <w:bCs/>
          <w:sz w:val="24"/>
          <w:szCs w:val="24"/>
        </w:rPr>
        <w:t xml:space="preserve">that contemporaries termed </w:t>
      </w:r>
      <w:r w:rsidR="0005445D" w:rsidRPr="00752F02">
        <w:rPr>
          <w:rFonts w:ascii="Times New Roman" w:hAnsi="Times New Roman" w:cs="Times New Roman"/>
          <w:sz w:val="24"/>
          <w:szCs w:val="24"/>
        </w:rPr>
        <w:t>monomania, a condition in which individuals became morbidly obsessed with the attainment of a single goal.</w:t>
      </w:r>
      <w:r w:rsidR="0005445D" w:rsidRPr="00752F02">
        <w:rPr>
          <w:rStyle w:val="FootnoteReference"/>
          <w:rFonts w:ascii="Times New Roman" w:eastAsia="Times New Roman" w:hAnsi="Times New Roman"/>
          <w:sz w:val="24"/>
          <w:szCs w:val="24"/>
          <w:lang w:eastAsia="en-GB"/>
        </w:rPr>
        <w:footnoteReference w:id="1057"/>
      </w:r>
      <w:r w:rsidR="0005445D" w:rsidRPr="00752F02">
        <w:rPr>
          <w:rFonts w:ascii="Times New Roman" w:eastAsia="Times New Roman" w:hAnsi="Times New Roman" w:cs="Times New Roman"/>
          <w:sz w:val="24"/>
          <w:szCs w:val="24"/>
          <w:lang w:eastAsia="en-GB"/>
        </w:rPr>
        <w:t xml:space="preserve">  Among several of Reynolds’s </w:t>
      </w:r>
      <w:r w:rsidR="0005445D" w:rsidRPr="00752F02">
        <w:rPr>
          <w:rFonts w:asciiTheme="majorBidi" w:hAnsiTheme="majorBidi" w:cstheme="majorBidi"/>
          <w:sz w:val="24"/>
          <w:szCs w:val="24"/>
        </w:rPr>
        <w:t>characters who suffer this way, James Melmoth i</w:t>
      </w:r>
      <w:r w:rsidR="0005445D" w:rsidRPr="00752F02">
        <w:rPr>
          <w:rFonts w:ascii="Times New Roman" w:hAnsi="Times New Roman" w:cs="Times New Roman"/>
          <w:sz w:val="24"/>
          <w:szCs w:val="24"/>
        </w:rPr>
        <w:t xml:space="preserve">n </w:t>
      </w:r>
      <w:r w:rsidR="0005445D" w:rsidRPr="00752F02">
        <w:rPr>
          <w:rFonts w:ascii="Times New Roman" w:hAnsi="Times New Roman" w:cs="Times New Roman"/>
          <w:i/>
          <w:sz w:val="24"/>
          <w:szCs w:val="24"/>
        </w:rPr>
        <w:t>The Mysteries of the Court</w:t>
      </w:r>
      <w:r w:rsidR="0005445D" w:rsidRPr="00752F02">
        <w:rPr>
          <w:rFonts w:asciiTheme="majorBidi" w:hAnsiTheme="majorBidi" w:cstheme="majorBidi"/>
          <w:sz w:val="24"/>
          <w:szCs w:val="24"/>
        </w:rPr>
        <w:t xml:space="preserve"> (1848</w:t>
      </w:r>
      <w:r w:rsidR="0005445D" w:rsidRPr="00752F02">
        <w:rPr>
          <w:rFonts w:ascii="Times New Roman" w:hAnsi="Times New Roman"/>
          <w:sz w:val="24"/>
          <w:szCs w:val="24"/>
        </w:rPr>
        <w:t xml:space="preserve">–56) </w:t>
      </w:r>
      <w:r w:rsidR="0005445D" w:rsidRPr="00752F02">
        <w:rPr>
          <w:rFonts w:asciiTheme="majorBidi" w:hAnsiTheme="majorBidi" w:cstheme="majorBidi"/>
          <w:sz w:val="24"/>
          <w:szCs w:val="24"/>
        </w:rPr>
        <w:t xml:space="preserve">is arguably the most </w:t>
      </w:r>
      <w:r w:rsidR="0005445D" w:rsidRPr="00752F02">
        <w:rPr>
          <w:rFonts w:asciiTheme="majorBidi" w:hAnsiTheme="majorBidi" w:cstheme="majorBidi"/>
          <w:sz w:val="24"/>
          <w:szCs w:val="24"/>
        </w:rPr>
        <w:lastRenderedPageBreak/>
        <w:t>significant in terms of discussing its negative affects upon protest.</w:t>
      </w:r>
      <w:r w:rsidR="0005445D" w:rsidRPr="00752F02">
        <w:rPr>
          <w:rStyle w:val="FootnoteReference"/>
          <w:rFonts w:ascii="Times New Roman" w:hAnsi="Times New Roman"/>
          <w:sz w:val="24"/>
          <w:szCs w:val="24"/>
        </w:rPr>
        <w:footnoteReference w:id="1058"/>
      </w:r>
      <w:r w:rsidR="0005445D" w:rsidRPr="00752F02">
        <w:rPr>
          <w:rFonts w:asciiTheme="majorBidi" w:hAnsiTheme="majorBidi" w:cstheme="majorBidi"/>
          <w:sz w:val="24"/>
          <w:szCs w:val="24"/>
        </w:rPr>
        <w:t xml:space="preserve">  His deeds exemplify how </w:t>
      </w:r>
      <w:r w:rsidRPr="00460BB7">
        <w:rPr>
          <w:rFonts w:asciiTheme="majorBidi" w:hAnsiTheme="majorBidi" w:cstheme="majorBidi"/>
          <w:sz w:val="24"/>
          <w:szCs w:val="24"/>
        </w:rPr>
        <w:t>such</w:t>
      </w:r>
      <w:r w:rsidR="0005445D" w:rsidRPr="00460BB7">
        <w:rPr>
          <w:rFonts w:asciiTheme="majorBidi" w:hAnsiTheme="majorBidi" w:cstheme="majorBidi"/>
          <w:sz w:val="24"/>
          <w:szCs w:val="24"/>
        </w:rPr>
        <w:t xml:space="preserve"> imbalance can turn protest from justified complaint into horrific deeds</w:t>
      </w:r>
      <w:r w:rsidR="0005445D" w:rsidRPr="00460BB7">
        <w:rPr>
          <w:rFonts w:ascii="Times New Roman" w:hAnsi="Times New Roman" w:cs="Times New Roman"/>
          <w:sz w:val="24"/>
          <w:szCs w:val="24"/>
        </w:rPr>
        <w:t xml:space="preserve">. </w:t>
      </w:r>
      <w:r w:rsidR="0005445D" w:rsidRPr="00460BB7">
        <w:rPr>
          <w:rFonts w:asciiTheme="majorBidi" w:hAnsiTheme="majorBidi" w:cstheme="majorBidi"/>
          <w:sz w:val="24"/>
          <w:szCs w:val="24"/>
        </w:rPr>
        <w:t xml:space="preserve"> Initially he appears to represent what is best in the industrious classes, a journeyman hatter who has suffered for his principles when denounced for expressing radical political opinions.  Blacklisted and unable to find employment, he and his family live in a squalid garret but despite unremitting poverty </w:t>
      </w:r>
      <w:r w:rsidR="0005445D" w:rsidRPr="00460BB7">
        <w:rPr>
          <w:rFonts w:ascii="Times New Roman" w:hAnsi="Times New Roman" w:cs="Times New Roman"/>
          <w:sz w:val="24"/>
          <w:szCs w:val="24"/>
        </w:rPr>
        <w:t>they befriend the novel’s heroine Rose Foster after rescuing her from the streets.</w:t>
      </w:r>
      <w:r w:rsidR="0005445D" w:rsidRPr="00460BB7">
        <w:rPr>
          <w:rStyle w:val="FootnoteReference"/>
          <w:rFonts w:ascii="Times New Roman" w:hAnsi="Times New Roman"/>
          <w:sz w:val="24"/>
          <w:szCs w:val="24"/>
        </w:rPr>
        <w:footnoteReference w:id="1059"/>
      </w:r>
      <w:r w:rsidR="0005445D" w:rsidRPr="00460BB7">
        <w:rPr>
          <w:rFonts w:ascii="Times New Roman" w:hAnsi="Times New Roman" w:cs="Times New Roman"/>
          <w:sz w:val="24"/>
          <w:szCs w:val="24"/>
        </w:rPr>
        <w:t xml:space="preserve">  </w:t>
      </w:r>
      <w:r w:rsidR="0005445D" w:rsidRPr="00460BB7">
        <w:rPr>
          <w:rFonts w:ascii="Times New Roman" w:hAnsi="Times New Roman" w:cs="Times New Roman"/>
          <w:bCs/>
          <w:sz w:val="24"/>
          <w:szCs w:val="24"/>
        </w:rPr>
        <w:t>Melmoth knows who is responsible for the misery of the respectable poor.  When analysing Rose’s fate, he attacks not only the aristocracy who forcefully seduce working-class girls but the dangerous classes who collude in the process for financial gain.  Even when mental instability sees him wreaking vengeance upon the world through carrying out grave desecrations, he voices valid commentary upon social ills: ‘</w:t>
      </w:r>
      <w:r w:rsidR="0005445D" w:rsidRPr="00460BB7">
        <w:rPr>
          <w:rFonts w:asciiTheme="majorBidi" w:hAnsiTheme="majorBidi" w:cstheme="majorBidi"/>
          <w:sz w:val="24"/>
          <w:szCs w:val="24"/>
        </w:rPr>
        <w:t>I am not the victim of heaven’s wrath</w:t>
      </w:r>
      <w:r w:rsidR="0005445D" w:rsidRPr="00460BB7">
        <w:rPr>
          <w:rFonts w:ascii="Times New Roman" w:hAnsi="Times New Roman" w:cs="Times New Roman"/>
          <w:sz w:val="24"/>
          <w:szCs w:val="24"/>
        </w:rPr>
        <w:t>—</w:t>
      </w:r>
      <w:r w:rsidR="0005445D" w:rsidRPr="00460BB7">
        <w:rPr>
          <w:rFonts w:asciiTheme="majorBidi" w:hAnsiTheme="majorBidi" w:cstheme="majorBidi"/>
          <w:sz w:val="24"/>
          <w:szCs w:val="24"/>
        </w:rPr>
        <w:t>but of society’s injustice: I am not a sacrifice to the vengeance of Providence</w:t>
      </w:r>
      <w:r w:rsidR="0005445D" w:rsidRPr="00460BB7">
        <w:rPr>
          <w:rFonts w:ascii="Times New Roman" w:hAnsi="Times New Roman" w:cs="Times New Roman"/>
          <w:sz w:val="24"/>
          <w:szCs w:val="24"/>
        </w:rPr>
        <w:t>—</w:t>
      </w:r>
      <w:r w:rsidR="0005445D" w:rsidRPr="00460BB7">
        <w:rPr>
          <w:rFonts w:asciiTheme="majorBidi" w:hAnsiTheme="majorBidi" w:cstheme="majorBidi"/>
          <w:sz w:val="24"/>
          <w:szCs w:val="24"/>
        </w:rPr>
        <w:t>but to the tyranny of Man!’</w:t>
      </w:r>
      <w:r w:rsidR="0005445D" w:rsidRPr="00460BB7">
        <w:rPr>
          <w:rStyle w:val="FootnoteReference"/>
          <w:rFonts w:ascii="Times New Roman" w:hAnsi="Times New Roman"/>
          <w:sz w:val="24"/>
          <w:szCs w:val="24"/>
        </w:rPr>
        <w:footnoteReference w:id="1060"/>
      </w:r>
      <w:r w:rsidR="0005445D" w:rsidRPr="00460BB7">
        <w:rPr>
          <w:rFonts w:asciiTheme="majorBidi" w:hAnsiTheme="majorBidi" w:cstheme="majorBidi"/>
          <w:sz w:val="24"/>
          <w:szCs w:val="24"/>
        </w:rPr>
        <w:t xml:space="preserve">  </w:t>
      </w:r>
      <w:r w:rsidR="0005445D" w:rsidRPr="00460BB7">
        <w:rPr>
          <w:rFonts w:ascii="Times New Roman" w:hAnsi="Times New Roman" w:cs="Times New Roman"/>
          <w:sz w:val="24"/>
          <w:szCs w:val="24"/>
        </w:rPr>
        <w:t>In conversations with Tim Meagles, he attacks the ‘</w:t>
      </w:r>
      <w:r w:rsidR="0005445D" w:rsidRPr="00460BB7">
        <w:rPr>
          <w:rFonts w:asciiTheme="majorBidi" w:hAnsiTheme="majorBidi" w:cstheme="majorBidi"/>
          <w:sz w:val="24"/>
          <w:szCs w:val="24"/>
        </w:rPr>
        <w:t>titled rogues, pensioned rascals, high-born demireps and bloated hypocrites’.</w:t>
      </w:r>
      <w:r w:rsidR="0005445D" w:rsidRPr="00460BB7">
        <w:rPr>
          <w:rStyle w:val="FootnoteReference"/>
          <w:rFonts w:ascii="Times New Roman" w:hAnsi="Times New Roman"/>
          <w:sz w:val="24"/>
          <w:szCs w:val="24"/>
        </w:rPr>
        <w:footnoteReference w:id="1061"/>
      </w:r>
      <w:r w:rsidR="0005445D" w:rsidRPr="00460BB7">
        <w:rPr>
          <w:rFonts w:asciiTheme="majorBidi" w:hAnsiTheme="majorBidi" w:cstheme="majorBidi"/>
          <w:sz w:val="24"/>
          <w:szCs w:val="24"/>
        </w:rPr>
        <w:t xml:space="preserve">  </w:t>
      </w:r>
      <w:r w:rsidR="0005445D" w:rsidRPr="00460BB7">
        <w:rPr>
          <w:rFonts w:ascii="Times New Roman" w:hAnsi="Times New Roman" w:cs="Times New Roman"/>
          <w:sz w:val="24"/>
          <w:szCs w:val="24"/>
        </w:rPr>
        <w:t>His words echo Reynolds’s view of how the ruling classes invoke providence to deflect blame from the laws they enact that cause misery for the masses while they themselves live in wanton luxury off the public purse.  A</w:t>
      </w:r>
      <w:r w:rsidR="0005445D" w:rsidRPr="00460BB7">
        <w:rPr>
          <w:rFonts w:asciiTheme="majorBidi" w:hAnsiTheme="majorBidi" w:cstheme="majorBidi"/>
          <w:sz w:val="24"/>
          <w:szCs w:val="24"/>
        </w:rPr>
        <w:t xml:space="preserve"> more clearly political element intrudes when criticism is extended</w:t>
      </w:r>
      <w:r w:rsidR="0005445D" w:rsidRPr="00752F02">
        <w:rPr>
          <w:rFonts w:asciiTheme="majorBidi" w:hAnsiTheme="majorBidi" w:cstheme="majorBidi"/>
          <w:sz w:val="24"/>
          <w:szCs w:val="24"/>
        </w:rPr>
        <w:t xml:space="preserve"> to the judiciary that ‘transports, or imprisons men who demand their rights’.</w:t>
      </w:r>
      <w:r w:rsidR="0005445D" w:rsidRPr="00752F02">
        <w:rPr>
          <w:rStyle w:val="FootnoteReference"/>
          <w:rFonts w:ascii="Times New Roman" w:hAnsi="Times New Roman"/>
          <w:sz w:val="24"/>
          <w:szCs w:val="24"/>
        </w:rPr>
        <w:footnoteReference w:id="1062"/>
      </w:r>
      <w:r w:rsidR="0005445D" w:rsidRPr="00752F02">
        <w:rPr>
          <w:rFonts w:asciiTheme="majorBidi" w:hAnsiTheme="majorBidi" w:cstheme="majorBidi"/>
          <w:sz w:val="24"/>
          <w:szCs w:val="24"/>
        </w:rPr>
        <w:t xml:space="preserve">  Not only is this an implicit reference to his former persecution but an acknowledgment that the working classes are a force capable of struggle.</w:t>
      </w:r>
    </w:p>
    <w:p w:rsidR="0005445D" w:rsidRPr="00460BB7" w:rsidRDefault="0005445D" w:rsidP="0005445D">
      <w:pPr>
        <w:spacing w:after="120" w:line="360" w:lineRule="auto"/>
        <w:rPr>
          <w:rFonts w:ascii="Times New Roman" w:hAnsi="Times New Roman" w:cs="Times New Roman"/>
          <w:sz w:val="24"/>
          <w:szCs w:val="24"/>
        </w:rPr>
      </w:pPr>
      <w:r w:rsidRPr="00752F02">
        <w:rPr>
          <w:rFonts w:ascii="Times New Roman" w:hAnsi="Times New Roman" w:cs="Times New Roman"/>
          <w:bCs/>
          <w:sz w:val="24"/>
          <w:szCs w:val="24"/>
        </w:rPr>
        <w:tab/>
      </w:r>
      <w:r w:rsidRPr="00752F02">
        <w:rPr>
          <w:rFonts w:asciiTheme="majorBidi" w:hAnsiTheme="majorBidi" w:cstheme="majorBidi"/>
          <w:sz w:val="24"/>
          <w:szCs w:val="24"/>
        </w:rPr>
        <w:t xml:space="preserve">However, from the beginning there are signs of waywardness.  In a state of rage, </w:t>
      </w:r>
      <w:r w:rsidRPr="00752F02">
        <w:rPr>
          <w:rFonts w:ascii="Times New Roman" w:hAnsi="Times New Roman" w:cs="Times New Roman"/>
          <w:sz w:val="24"/>
          <w:szCs w:val="24"/>
        </w:rPr>
        <w:t>Melmoth believes he has woken from a dream and mocks his earlier generosity.  Refusing to accept subjugation any longer, he proclaims ‘</w:t>
      </w:r>
      <w:r w:rsidRPr="00752F02">
        <w:rPr>
          <w:rFonts w:ascii="Times New Roman" w:hAnsi="Times New Roman" w:cs="Times New Roman"/>
          <w:bCs/>
          <w:sz w:val="24"/>
          <w:szCs w:val="24"/>
        </w:rPr>
        <w:t>war against our oppressors’.</w:t>
      </w:r>
      <w:r w:rsidRPr="00752F02">
        <w:rPr>
          <w:rStyle w:val="FootnoteReference"/>
          <w:rFonts w:ascii="Times New Roman" w:hAnsi="Times New Roman"/>
          <w:sz w:val="24"/>
          <w:szCs w:val="24"/>
        </w:rPr>
        <w:footnoteReference w:id="1063"/>
      </w:r>
      <w:r w:rsidRPr="00752F02">
        <w:rPr>
          <w:rFonts w:ascii="Times New Roman" w:hAnsi="Times New Roman" w:cs="Times New Roman"/>
          <w:sz w:val="24"/>
          <w:szCs w:val="24"/>
        </w:rPr>
        <w:t xml:space="preserve">  His fanaticism marks a loss of moral compass in which stoicism and restraint are abandoned and </w:t>
      </w:r>
      <w:r w:rsidRPr="00752F02">
        <w:rPr>
          <w:rFonts w:ascii="Times New Roman" w:hAnsi="Times New Roman" w:cs="Times New Roman"/>
          <w:bCs/>
          <w:sz w:val="24"/>
          <w:szCs w:val="24"/>
        </w:rPr>
        <w:t>honest toil discarded for criminality</w:t>
      </w:r>
      <w:r w:rsidRPr="00752F02">
        <w:rPr>
          <w:rFonts w:ascii="Times New Roman" w:hAnsi="Times New Roman" w:cs="Times New Roman"/>
          <w:sz w:val="24"/>
          <w:szCs w:val="24"/>
        </w:rPr>
        <w:t>.  The indiscriminate nature of h</w:t>
      </w:r>
      <w:r w:rsidRPr="00752F02">
        <w:rPr>
          <w:rFonts w:asciiTheme="majorBidi" w:hAnsiTheme="majorBidi" w:cstheme="majorBidi"/>
          <w:sz w:val="24"/>
          <w:szCs w:val="24"/>
        </w:rPr>
        <w:t xml:space="preserve">is </w:t>
      </w:r>
      <w:r w:rsidRPr="00752F02">
        <w:rPr>
          <w:rFonts w:ascii="Times New Roman" w:hAnsi="Times New Roman" w:cs="Times New Roman"/>
          <w:sz w:val="24"/>
          <w:szCs w:val="24"/>
        </w:rPr>
        <w:t xml:space="preserve">perspective is </w:t>
      </w:r>
      <w:r w:rsidRPr="00752F02">
        <w:rPr>
          <w:rFonts w:ascii="Times New Roman" w:hAnsi="Times New Roman" w:cs="Times New Roman"/>
          <w:bCs/>
          <w:sz w:val="24"/>
          <w:szCs w:val="24"/>
        </w:rPr>
        <w:t>demonstrated by the i</w:t>
      </w:r>
      <w:r w:rsidRPr="00752F02">
        <w:rPr>
          <w:rFonts w:ascii="Times New Roman" w:hAnsi="Times New Roman" w:cs="Times New Roman"/>
          <w:sz w:val="24"/>
          <w:szCs w:val="24"/>
        </w:rPr>
        <w:t xml:space="preserve">nitial rejection of Rose’s idea to ask for help from </w:t>
      </w:r>
      <w:r w:rsidRPr="00752F02">
        <w:rPr>
          <w:rFonts w:ascii="Times New Roman" w:hAnsi="Times New Roman" w:cs="Times New Roman"/>
          <w:bCs/>
          <w:sz w:val="24"/>
          <w:szCs w:val="24"/>
        </w:rPr>
        <w:t xml:space="preserve">the well-intentioned </w:t>
      </w:r>
      <w:r w:rsidRPr="00752F02">
        <w:rPr>
          <w:rFonts w:ascii="Times New Roman" w:hAnsi="Times New Roman" w:cs="Times New Roman"/>
          <w:sz w:val="24"/>
          <w:szCs w:val="24"/>
        </w:rPr>
        <w:t xml:space="preserve">Tim Meagles because he cannot accept there are those among the ranks of the wealthy prepared to aid the </w:t>
      </w:r>
      <w:r w:rsidRPr="00752F02">
        <w:rPr>
          <w:rFonts w:ascii="Times New Roman" w:hAnsi="Times New Roman" w:cs="Times New Roman"/>
          <w:sz w:val="24"/>
          <w:szCs w:val="24"/>
        </w:rPr>
        <w:lastRenderedPageBreak/>
        <w:t xml:space="preserve">industrious classes.  </w:t>
      </w:r>
      <w:r w:rsidRPr="00752F02">
        <w:rPr>
          <w:rFonts w:ascii="Times New Roman" w:hAnsi="Times New Roman" w:cs="Times New Roman"/>
          <w:bCs/>
          <w:sz w:val="24"/>
          <w:szCs w:val="24"/>
        </w:rPr>
        <w:t>Melmoth’s monomania develops after he is unjustly charged with treason and his wife dies in abject poverty while he is absent fleeing capture.  It is a change Reynolds describes in the following terms: ‘the intelligence of the man was warring against the unnatural sensation of the fiend;</w:t>
      </w:r>
      <w:r w:rsidRPr="00752F02">
        <w:rPr>
          <w:rFonts w:ascii="Times New Roman" w:hAnsi="Times New Roman" w:cs="Times New Roman"/>
          <w:sz w:val="24"/>
          <w:szCs w:val="24"/>
        </w:rPr>
        <w:t>—</w:t>
      </w:r>
      <w:r w:rsidRPr="00752F02">
        <w:rPr>
          <w:rFonts w:ascii="Times New Roman" w:hAnsi="Times New Roman" w:cs="Times New Roman"/>
          <w:bCs/>
          <w:sz w:val="24"/>
          <w:szCs w:val="24"/>
        </w:rPr>
        <w:t>and the latter influence was triumphant!’</w:t>
      </w:r>
      <w:r w:rsidRPr="00752F02">
        <w:rPr>
          <w:rStyle w:val="FootnoteReference"/>
          <w:rFonts w:ascii="Times New Roman" w:hAnsi="Times New Roman"/>
          <w:sz w:val="24"/>
          <w:szCs w:val="24"/>
        </w:rPr>
        <w:footnoteReference w:id="1064"/>
      </w:r>
      <w:r w:rsidRPr="00752F02">
        <w:rPr>
          <w:rFonts w:ascii="Times New Roman" w:hAnsi="Times New Roman" w:cs="Times New Roman"/>
          <w:bCs/>
          <w:sz w:val="24"/>
          <w:szCs w:val="24"/>
        </w:rPr>
        <w:t xml:space="preserve">  </w:t>
      </w:r>
      <w:r w:rsidRPr="00752F02">
        <w:rPr>
          <w:rFonts w:ascii="Times New Roman" w:hAnsi="Times New Roman" w:cs="Times New Roman"/>
          <w:sz w:val="24"/>
          <w:szCs w:val="24"/>
        </w:rPr>
        <w:t>The class-conscious element of his outlook serves to feed his worst passions leading to aimless vengefulness</w:t>
      </w:r>
      <w:r w:rsidRPr="00752F02">
        <w:rPr>
          <w:rFonts w:ascii="Times New Roman" w:hAnsi="Times New Roman" w:cs="Times New Roman"/>
          <w:bCs/>
          <w:sz w:val="24"/>
          <w:szCs w:val="24"/>
        </w:rPr>
        <w:t>.  Despite proclaiming the enemy is a tyrannous minority, his activities are randomly dispersed: ‘</w:t>
      </w:r>
      <w:r w:rsidRPr="00752F02">
        <w:rPr>
          <w:rFonts w:asciiTheme="majorBidi" w:hAnsiTheme="majorBidi" w:cstheme="majorBidi"/>
          <w:sz w:val="24"/>
          <w:szCs w:val="24"/>
        </w:rPr>
        <w:t>There was the desecration of the graves of the dead</w:t>
      </w:r>
      <w:r w:rsidRPr="00752F02">
        <w:rPr>
          <w:rFonts w:ascii="Times New Roman" w:hAnsi="Times New Roman" w:cs="Times New Roman"/>
          <w:sz w:val="24"/>
          <w:szCs w:val="24"/>
        </w:rPr>
        <w:t>—</w:t>
      </w:r>
      <w:r w:rsidRPr="00752F02">
        <w:rPr>
          <w:rFonts w:asciiTheme="majorBidi" w:hAnsiTheme="majorBidi" w:cstheme="majorBidi"/>
          <w:sz w:val="24"/>
          <w:szCs w:val="24"/>
        </w:rPr>
        <w:t>there was incendiarism in the country</w:t>
      </w:r>
      <w:r w:rsidRPr="00752F02">
        <w:rPr>
          <w:rFonts w:ascii="Times New Roman" w:hAnsi="Times New Roman" w:cs="Times New Roman"/>
          <w:sz w:val="24"/>
          <w:szCs w:val="24"/>
        </w:rPr>
        <w:t>—</w:t>
      </w:r>
      <w:r w:rsidRPr="00752F02">
        <w:rPr>
          <w:rFonts w:asciiTheme="majorBidi" w:hAnsiTheme="majorBidi" w:cstheme="majorBidi"/>
          <w:sz w:val="24"/>
          <w:szCs w:val="24"/>
        </w:rPr>
        <w:t>there was the assassination of solitary way-farers in lonely parts</w:t>
      </w:r>
      <w:r w:rsidRPr="00752F02">
        <w:rPr>
          <w:rFonts w:ascii="Times New Roman" w:hAnsi="Times New Roman" w:cs="Times New Roman"/>
          <w:sz w:val="24"/>
          <w:szCs w:val="24"/>
        </w:rPr>
        <w:t>—</w:t>
      </w:r>
      <w:r w:rsidRPr="00752F02">
        <w:rPr>
          <w:rFonts w:asciiTheme="majorBidi" w:hAnsiTheme="majorBidi" w:cstheme="majorBidi"/>
          <w:sz w:val="24"/>
          <w:szCs w:val="24"/>
        </w:rPr>
        <w:t>there was the throwing of vitriol in the faces of passers-by</w:t>
      </w:r>
      <w:r w:rsidRPr="00752F02">
        <w:rPr>
          <w:rFonts w:ascii="Times New Roman" w:hAnsi="Times New Roman" w:cs="Times New Roman"/>
          <w:sz w:val="24"/>
          <w:szCs w:val="24"/>
        </w:rPr>
        <w:t>—</w:t>
      </w:r>
      <w:r w:rsidRPr="00752F02">
        <w:rPr>
          <w:rFonts w:asciiTheme="majorBidi" w:hAnsiTheme="majorBidi" w:cstheme="majorBidi"/>
          <w:sz w:val="24"/>
          <w:szCs w:val="24"/>
        </w:rPr>
        <w:t>there was</w:t>
      </w:r>
      <w:r w:rsidRPr="00752F02">
        <w:rPr>
          <w:rFonts w:ascii="Times New Roman" w:hAnsi="Times New Roman" w:cs="Times New Roman"/>
          <w:sz w:val="24"/>
          <w:szCs w:val="24"/>
        </w:rPr>
        <w:t>——.’</w:t>
      </w:r>
      <w:r w:rsidRPr="00752F02">
        <w:rPr>
          <w:rStyle w:val="FootnoteReference"/>
          <w:rFonts w:ascii="Times New Roman" w:hAnsi="Times New Roman"/>
          <w:sz w:val="24"/>
          <w:szCs w:val="24"/>
        </w:rPr>
        <w:footnoteReference w:id="1065"/>
      </w:r>
      <w:r w:rsidRPr="00752F02">
        <w:rPr>
          <w:rFonts w:ascii="Times New Roman" w:hAnsi="Times New Roman" w:cs="Times New Roman"/>
          <w:sz w:val="24"/>
          <w:szCs w:val="24"/>
        </w:rPr>
        <w:t xml:space="preserve">  Melmoth is prepared to target anyone.  The reference to incendiarism sees him using wider social grievances as openings to </w:t>
      </w:r>
      <w:r w:rsidRPr="00460BB7">
        <w:rPr>
          <w:rFonts w:ascii="Times New Roman" w:hAnsi="Times New Roman" w:cs="Times New Roman"/>
          <w:sz w:val="24"/>
          <w:szCs w:val="24"/>
        </w:rPr>
        <w:t>assuage his craving, resort</w:t>
      </w:r>
      <w:r w:rsidR="00D87542" w:rsidRPr="00460BB7">
        <w:rPr>
          <w:rFonts w:ascii="Times New Roman" w:hAnsi="Times New Roman" w:cs="Times New Roman"/>
          <w:sz w:val="24"/>
          <w:szCs w:val="24"/>
        </w:rPr>
        <w:t>ing</w:t>
      </w:r>
      <w:r w:rsidRPr="00460BB7">
        <w:rPr>
          <w:rFonts w:ascii="Times New Roman" w:hAnsi="Times New Roman" w:cs="Times New Roman"/>
          <w:sz w:val="24"/>
          <w:szCs w:val="24"/>
        </w:rPr>
        <w:t xml:space="preserve"> to the terror methods used by the worst elements of the dangerous classes.</w:t>
      </w:r>
    </w:p>
    <w:p w:rsidR="0005445D" w:rsidRPr="00752F02" w:rsidRDefault="0005445D" w:rsidP="0005445D">
      <w:pPr>
        <w:spacing w:after="120" w:line="360" w:lineRule="auto"/>
        <w:ind w:firstLine="720"/>
        <w:rPr>
          <w:rFonts w:asciiTheme="majorBidi" w:hAnsiTheme="majorBidi" w:cstheme="majorBidi"/>
          <w:sz w:val="24"/>
          <w:szCs w:val="24"/>
        </w:rPr>
      </w:pPr>
      <w:r w:rsidRPr="00460BB7">
        <w:rPr>
          <w:rFonts w:ascii="Times New Roman" w:hAnsi="Times New Roman" w:cs="Times New Roman"/>
          <w:sz w:val="24"/>
          <w:szCs w:val="24"/>
        </w:rPr>
        <w:t xml:space="preserve">Reynolds had previously looked </w:t>
      </w:r>
      <w:r w:rsidR="00B13D09" w:rsidRPr="00460BB7">
        <w:rPr>
          <w:rFonts w:ascii="Times New Roman" w:hAnsi="Times New Roman" w:cs="Times New Roman"/>
          <w:sz w:val="24"/>
          <w:szCs w:val="24"/>
        </w:rPr>
        <w:t>at</w:t>
      </w:r>
      <w:r w:rsidRPr="00460BB7">
        <w:rPr>
          <w:rFonts w:ascii="Times New Roman" w:hAnsi="Times New Roman" w:cs="Times New Roman"/>
          <w:sz w:val="24"/>
          <w:szCs w:val="24"/>
        </w:rPr>
        <w:t xml:space="preserve"> events in France to set out the dangers of monomania more broadly</w:t>
      </w:r>
      <w:r w:rsidR="00B13D09" w:rsidRPr="00460BB7">
        <w:rPr>
          <w:rFonts w:ascii="Times New Roman" w:hAnsi="Times New Roman" w:cs="Times New Roman"/>
          <w:sz w:val="24"/>
          <w:szCs w:val="24"/>
        </w:rPr>
        <w:t>, notably</w:t>
      </w:r>
      <w:r w:rsidRPr="00460BB7">
        <w:rPr>
          <w:rFonts w:ascii="Times New Roman" w:hAnsi="Times New Roman" w:cs="Times New Roman"/>
          <w:sz w:val="24"/>
          <w:szCs w:val="24"/>
        </w:rPr>
        <w:t xml:space="preserve"> in </w:t>
      </w:r>
      <w:r w:rsidRPr="00460BB7">
        <w:rPr>
          <w:rFonts w:ascii="Times New Roman" w:hAnsi="Times New Roman" w:cs="Times New Roman"/>
          <w:i/>
          <w:sz w:val="24"/>
          <w:szCs w:val="24"/>
        </w:rPr>
        <w:t>Robert Macaire</w:t>
      </w:r>
      <w:r w:rsidRPr="00460BB7">
        <w:rPr>
          <w:rFonts w:ascii="Times New Roman" w:hAnsi="Times New Roman" w:cs="Times New Roman"/>
          <w:sz w:val="24"/>
          <w:szCs w:val="24"/>
        </w:rPr>
        <w:t xml:space="preserve"> (1840) where it is associated with ideas of egalitarianism.  </w:t>
      </w:r>
      <w:r w:rsidRPr="00460BB7">
        <w:rPr>
          <w:rFonts w:asciiTheme="majorBidi" w:hAnsiTheme="majorBidi" w:cstheme="majorBidi"/>
          <w:sz w:val="24"/>
          <w:szCs w:val="24"/>
        </w:rPr>
        <w:t xml:space="preserve">To the </w:t>
      </w:r>
      <w:r w:rsidRPr="00460BB7">
        <w:rPr>
          <w:rFonts w:asciiTheme="majorBidi" w:hAnsiTheme="majorBidi" w:cstheme="majorBidi"/>
          <w:bCs/>
          <w:sz w:val="24"/>
          <w:szCs w:val="24"/>
        </w:rPr>
        <w:t xml:space="preserve">fraternity of escamoteurs, Macaire </w:t>
      </w:r>
      <w:r w:rsidRPr="00460BB7">
        <w:rPr>
          <w:rFonts w:asciiTheme="majorBidi" w:hAnsiTheme="majorBidi" w:cstheme="majorBidi"/>
          <w:sz w:val="24"/>
          <w:szCs w:val="24"/>
        </w:rPr>
        <w:t xml:space="preserve">bombastically claims his ‘theories’ constitute </w:t>
      </w:r>
      <w:r w:rsidRPr="00460BB7">
        <w:rPr>
          <w:rFonts w:asciiTheme="majorBidi" w:hAnsiTheme="majorBidi" w:cstheme="majorBidi"/>
          <w:bCs/>
          <w:sz w:val="24"/>
          <w:szCs w:val="24"/>
        </w:rPr>
        <w:t>a ‘</w:t>
      </w:r>
      <w:r w:rsidRPr="00460BB7">
        <w:rPr>
          <w:rFonts w:asciiTheme="majorBidi" w:hAnsiTheme="majorBidi" w:cstheme="majorBidi"/>
          <w:sz w:val="24"/>
          <w:szCs w:val="24"/>
        </w:rPr>
        <w:t>grand system of philosophy, […] based upon principles of universal equilibrium’.</w:t>
      </w:r>
      <w:r w:rsidRPr="00460BB7">
        <w:rPr>
          <w:rStyle w:val="FootnoteReference"/>
          <w:rFonts w:asciiTheme="majorBidi" w:hAnsiTheme="majorBidi" w:cstheme="majorBidi"/>
          <w:sz w:val="24"/>
          <w:szCs w:val="24"/>
        </w:rPr>
        <w:footnoteReference w:id="1066"/>
      </w:r>
      <w:r w:rsidRPr="00460BB7">
        <w:rPr>
          <w:rFonts w:asciiTheme="majorBidi" w:hAnsiTheme="majorBidi" w:cstheme="majorBidi"/>
          <w:sz w:val="24"/>
          <w:szCs w:val="24"/>
        </w:rPr>
        <w:t xml:space="preserve"> </w:t>
      </w:r>
      <w:r w:rsidRPr="00460BB7">
        <w:rPr>
          <w:rFonts w:ascii="Times New Roman" w:hAnsi="Times New Roman" w:cs="Times New Roman"/>
          <w:sz w:val="24"/>
          <w:szCs w:val="24"/>
        </w:rPr>
        <w:t xml:space="preserve"> S</w:t>
      </w:r>
      <w:r w:rsidRPr="00460BB7">
        <w:rPr>
          <w:rFonts w:asciiTheme="majorBidi" w:hAnsiTheme="majorBidi" w:cstheme="majorBidi"/>
          <w:sz w:val="24"/>
          <w:szCs w:val="24"/>
        </w:rPr>
        <w:t>uch pseudo-ideologies cynically argue that appropriating the hard-earned wealth of others is not theft but participation in a ‘commonwealth of property’, thereby inextricably associating equality with spoliation.</w:t>
      </w:r>
      <w:r w:rsidRPr="00460BB7">
        <w:rPr>
          <w:rStyle w:val="FootnoteReference"/>
          <w:rFonts w:asciiTheme="majorBidi" w:hAnsiTheme="majorBidi" w:cstheme="majorBidi"/>
          <w:sz w:val="24"/>
          <w:szCs w:val="24"/>
        </w:rPr>
        <w:footnoteReference w:id="1067"/>
      </w:r>
      <w:r w:rsidRPr="00460BB7">
        <w:rPr>
          <w:rFonts w:asciiTheme="majorBidi" w:hAnsiTheme="majorBidi" w:cstheme="majorBidi"/>
          <w:sz w:val="24"/>
          <w:szCs w:val="24"/>
        </w:rPr>
        <w:t xml:space="preserve">  As Rohan McWilliam notes, Macaire is not a monomaniac but a conman.</w:t>
      </w:r>
      <w:r w:rsidRPr="00460BB7">
        <w:rPr>
          <w:rStyle w:val="FootnoteReference"/>
          <w:rFonts w:asciiTheme="majorBidi" w:hAnsiTheme="majorBidi" w:cstheme="majorBidi"/>
          <w:sz w:val="24"/>
          <w:szCs w:val="24"/>
        </w:rPr>
        <w:footnoteReference w:id="1068"/>
      </w:r>
      <w:r w:rsidRPr="00460BB7">
        <w:rPr>
          <w:rFonts w:asciiTheme="majorBidi" w:hAnsiTheme="majorBidi" w:cstheme="majorBidi"/>
          <w:sz w:val="24"/>
          <w:szCs w:val="24"/>
        </w:rPr>
        <w:t xml:space="preserve">  However, several of his followers </w:t>
      </w:r>
      <w:r w:rsidR="00B13D09" w:rsidRPr="00460BB7">
        <w:rPr>
          <w:rFonts w:asciiTheme="majorBidi" w:hAnsiTheme="majorBidi" w:cstheme="majorBidi"/>
          <w:sz w:val="24"/>
          <w:szCs w:val="24"/>
        </w:rPr>
        <w:t>do fall into this category</w:t>
      </w:r>
      <w:r w:rsidRPr="00460BB7">
        <w:rPr>
          <w:rFonts w:asciiTheme="majorBidi" w:hAnsiTheme="majorBidi" w:cstheme="majorBidi"/>
          <w:sz w:val="24"/>
          <w:szCs w:val="24"/>
        </w:rPr>
        <w:t xml:space="preserve">.  Although their dissolute behaviour and appearance is visually similar to the gangs in </w:t>
      </w:r>
      <w:r w:rsidRPr="00460BB7">
        <w:rPr>
          <w:rFonts w:asciiTheme="majorBidi" w:hAnsiTheme="majorBidi" w:cstheme="majorBidi"/>
          <w:i/>
          <w:iCs/>
          <w:sz w:val="24"/>
          <w:szCs w:val="24"/>
        </w:rPr>
        <w:t xml:space="preserve">The </w:t>
      </w:r>
      <w:r w:rsidRPr="00460BB7">
        <w:rPr>
          <w:rFonts w:asciiTheme="majorBidi" w:hAnsiTheme="majorBidi" w:cstheme="majorBidi"/>
          <w:i/>
          <w:sz w:val="24"/>
          <w:szCs w:val="24"/>
        </w:rPr>
        <w:t>Mysteries of London</w:t>
      </w:r>
      <w:r w:rsidR="00D87542" w:rsidRPr="00460BB7">
        <w:rPr>
          <w:rFonts w:asciiTheme="majorBidi" w:hAnsiTheme="majorBidi" w:cstheme="majorBidi"/>
          <w:i/>
          <w:sz w:val="24"/>
          <w:szCs w:val="24"/>
        </w:rPr>
        <w:t xml:space="preserve"> </w:t>
      </w:r>
      <w:r w:rsidR="00D87542" w:rsidRPr="00460BB7">
        <w:rPr>
          <w:rFonts w:ascii="Times New Roman" w:hAnsi="Times New Roman" w:cs="Times New Roman"/>
          <w:sz w:val="24"/>
          <w:szCs w:val="24"/>
        </w:rPr>
        <w:t>(1844–48)</w:t>
      </w:r>
      <w:r w:rsidRPr="00460BB7">
        <w:rPr>
          <w:rFonts w:asciiTheme="majorBidi" w:hAnsiTheme="majorBidi" w:cstheme="majorBidi"/>
          <w:sz w:val="24"/>
          <w:szCs w:val="24"/>
        </w:rPr>
        <w:t>, Reynolds suggests divergence</w:t>
      </w:r>
      <w:r w:rsidRPr="00752F02">
        <w:rPr>
          <w:rFonts w:asciiTheme="majorBidi" w:hAnsiTheme="majorBidi" w:cstheme="majorBidi"/>
          <w:sz w:val="24"/>
          <w:szCs w:val="24"/>
        </w:rPr>
        <w:t xml:space="preserve"> when writing that ‘one resembled a coal-heaver, who had gone mad with republican politics; another looked like an insolvent priest; a third might have been taken for Guy Fawkes; a fourth for Cagliostro’.</w:t>
      </w:r>
      <w:r w:rsidRPr="00752F02">
        <w:rPr>
          <w:rStyle w:val="FootnoteReference"/>
          <w:rFonts w:asciiTheme="majorBidi" w:hAnsiTheme="majorBidi" w:cstheme="majorBidi"/>
          <w:sz w:val="24"/>
          <w:szCs w:val="24"/>
        </w:rPr>
        <w:footnoteReference w:id="1069"/>
      </w:r>
      <w:r w:rsidRPr="00752F02">
        <w:rPr>
          <w:rFonts w:asciiTheme="majorBidi" w:hAnsiTheme="majorBidi" w:cstheme="majorBidi"/>
          <w:sz w:val="24"/>
          <w:szCs w:val="24"/>
        </w:rPr>
        <w:t xml:space="preserve">  The description with its references to violence and the occult suggests how criminality and insanity may underpin extreme political views.  Reynolds refers to ‘republican’ politics, an acknowledgment that even perspectives with which he agrees can be grossly distorted.</w:t>
      </w:r>
      <w:r w:rsidRPr="00752F02">
        <w:rPr>
          <w:rStyle w:val="FootnoteReference"/>
          <w:rFonts w:asciiTheme="majorBidi" w:hAnsiTheme="majorBidi" w:cstheme="majorBidi"/>
          <w:sz w:val="24"/>
          <w:szCs w:val="24"/>
        </w:rPr>
        <w:footnoteReference w:id="1070"/>
      </w:r>
      <w:r w:rsidRPr="00752F02">
        <w:rPr>
          <w:rFonts w:asciiTheme="majorBidi" w:hAnsiTheme="majorBidi" w:cstheme="majorBidi"/>
          <w:sz w:val="24"/>
          <w:szCs w:val="24"/>
        </w:rPr>
        <w:t xml:space="preserve">  This </w:t>
      </w:r>
      <w:r w:rsidRPr="00752F02">
        <w:rPr>
          <w:rFonts w:asciiTheme="majorBidi" w:hAnsiTheme="majorBidi" w:cstheme="majorBidi"/>
          <w:sz w:val="24"/>
          <w:szCs w:val="24"/>
        </w:rPr>
        <w:lastRenderedPageBreak/>
        <w:t>is confirmed by the presence of notorious real-life characters, particularly Louis Alibaud and Giuseppe Marco Fieschi who see violence as integral to their aims.</w:t>
      </w:r>
      <w:r w:rsidRPr="00752F02">
        <w:rPr>
          <w:rStyle w:val="FootnoteReference"/>
          <w:rFonts w:asciiTheme="majorBidi" w:hAnsiTheme="majorBidi" w:cstheme="majorBidi"/>
          <w:sz w:val="24"/>
          <w:szCs w:val="24"/>
        </w:rPr>
        <w:footnoteReference w:id="1071"/>
      </w:r>
      <w:r w:rsidRPr="00752F02">
        <w:rPr>
          <w:rFonts w:asciiTheme="majorBidi" w:hAnsiTheme="majorBidi" w:cstheme="majorBidi"/>
          <w:sz w:val="24"/>
          <w:szCs w:val="24"/>
        </w:rPr>
        <w:t xml:space="preserve">  Alibaud’s pale cheeks, dark eyes, ‘unearthly appearance’ and constant state of reverie suggest unworldly self-absorption.</w:t>
      </w:r>
      <w:r w:rsidRPr="00752F02">
        <w:rPr>
          <w:rStyle w:val="FootnoteReference"/>
          <w:rFonts w:asciiTheme="majorBidi" w:hAnsiTheme="majorBidi" w:cstheme="majorBidi"/>
          <w:sz w:val="24"/>
          <w:szCs w:val="24"/>
        </w:rPr>
        <w:footnoteReference w:id="1072"/>
      </w:r>
      <w:r w:rsidRPr="00752F02">
        <w:rPr>
          <w:rFonts w:asciiTheme="majorBidi" w:hAnsiTheme="majorBidi" w:cstheme="majorBidi"/>
          <w:sz w:val="24"/>
          <w:szCs w:val="24"/>
        </w:rPr>
        <w:t xml:space="preserve">  His revolutionary poem, ‘Song’, argues that despots cannot keep down the people by execution and imprisonment but that the masses will arise ‘To hurl the tyrant from his throne, and crush the sway of kings.’</w:t>
      </w:r>
      <w:r w:rsidRPr="00752F02">
        <w:rPr>
          <w:rStyle w:val="FootnoteReference"/>
          <w:rFonts w:asciiTheme="majorBidi" w:hAnsiTheme="majorBidi" w:cstheme="majorBidi"/>
          <w:sz w:val="24"/>
          <w:szCs w:val="24"/>
        </w:rPr>
        <w:footnoteReference w:id="1073"/>
      </w:r>
      <w:r w:rsidRPr="00752F02">
        <w:rPr>
          <w:rFonts w:asciiTheme="majorBidi" w:hAnsiTheme="majorBidi" w:cstheme="majorBidi"/>
          <w:sz w:val="24"/>
          <w:szCs w:val="24"/>
        </w:rPr>
        <w:t xml:space="preserve">  However, in Alibaud, these anti-monarchist proclamations indicate the ravings of a fanatic.  It leads the pragmatist Macaire, while acknowledging his own republicanism, to advise caution.  The man’s monomania appears in his reply: ‘You know, Macaire, […] that my songs, as well as my thoughts, all tend towards one grand aim.’</w:t>
      </w:r>
      <w:r w:rsidRPr="00752F02">
        <w:rPr>
          <w:rStyle w:val="FootnoteReference"/>
          <w:rFonts w:asciiTheme="majorBidi" w:hAnsiTheme="majorBidi" w:cstheme="majorBidi"/>
          <w:sz w:val="24"/>
          <w:szCs w:val="24"/>
        </w:rPr>
        <w:footnoteReference w:id="1074"/>
      </w:r>
      <w:r w:rsidRPr="00752F02">
        <w:rPr>
          <w:rFonts w:asciiTheme="majorBidi" w:hAnsiTheme="majorBidi" w:cstheme="majorBidi"/>
          <w:sz w:val="24"/>
          <w:szCs w:val="24"/>
        </w:rPr>
        <w:t xml:space="preserve">  Anything not dedicated to this end is treated with contempt, the rarefied nature of his thoughts signalled by the ‘smile of unmitigated disgust’ which greets the foul language used by those around him.</w:t>
      </w:r>
      <w:r w:rsidRPr="00752F02">
        <w:rPr>
          <w:rStyle w:val="FootnoteReference"/>
          <w:rFonts w:asciiTheme="majorBidi" w:hAnsiTheme="majorBidi" w:cstheme="majorBidi"/>
          <w:sz w:val="24"/>
          <w:szCs w:val="24"/>
        </w:rPr>
        <w:footnoteReference w:id="1075"/>
      </w:r>
      <w:r w:rsidRPr="00752F02">
        <w:rPr>
          <w:rFonts w:asciiTheme="majorBidi" w:hAnsiTheme="majorBidi" w:cstheme="majorBidi"/>
          <w:sz w:val="24"/>
          <w:szCs w:val="24"/>
        </w:rPr>
        <w:t xml:space="preserve">  Fieschi’s inclination for violence has a more earthly aspect: ‘Let me have gold to ensure the furtherance of my plans</w:t>
      </w:r>
      <w:r w:rsidRPr="00752F02">
        <w:rPr>
          <w:rFonts w:ascii="Times New Roman" w:hAnsi="Times New Roman" w:cs="Times New Roman"/>
          <w:sz w:val="24"/>
          <w:szCs w:val="24"/>
        </w:rPr>
        <w:t>—</w:t>
      </w:r>
      <w:r w:rsidRPr="00752F02">
        <w:rPr>
          <w:rFonts w:asciiTheme="majorBidi" w:hAnsiTheme="majorBidi" w:cstheme="majorBidi"/>
          <w:sz w:val="24"/>
          <w:szCs w:val="24"/>
        </w:rPr>
        <w:t>and give me the means of rooting from the face of the earth the despicable tyrant who has deceived the people</w:t>
      </w:r>
      <w:r w:rsidRPr="00752F02">
        <w:rPr>
          <w:rFonts w:ascii="Times New Roman" w:hAnsi="Times New Roman" w:cs="Times New Roman"/>
          <w:sz w:val="24"/>
          <w:szCs w:val="24"/>
        </w:rPr>
        <w:t>—</w:t>
      </w:r>
      <w:r w:rsidRPr="00752F02">
        <w:rPr>
          <w:rFonts w:asciiTheme="majorBidi" w:hAnsiTheme="majorBidi" w:cstheme="majorBidi"/>
          <w:sz w:val="24"/>
          <w:szCs w:val="24"/>
        </w:rPr>
        <w:t>who has broken all his pledges’.</w:t>
      </w:r>
      <w:r w:rsidRPr="00752F02">
        <w:rPr>
          <w:rStyle w:val="FootnoteReference"/>
          <w:rFonts w:asciiTheme="majorBidi" w:hAnsiTheme="majorBidi" w:cstheme="majorBidi"/>
          <w:sz w:val="24"/>
          <w:szCs w:val="24"/>
        </w:rPr>
        <w:footnoteReference w:id="1076"/>
      </w:r>
      <w:r w:rsidRPr="00752F02">
        <w:rPr>
          <w:rFonts w:asciiTheme="majorBidi" w:hAnsiTheme="majorBidi" w:cstheme="majorBidi"/>
          <w:sz w:val="24"/>
          <w:szCs w:val="24"/>
        </w:rPr>
        <w:t xml:space="preserve">  Nevertheless, these </w:t>
      </w:r>
      <w:r w:rsidRPr="00460BB7">
        <w:rPr>
          <w:rFonts w:asciiTheme="majorBidi" w:hAnsiTheme="majorBidi" w:cstheme="majorBidi"/>
          <w:sz w:val="24"/>
          <w:szCs w:val="24"/>
        </w:rPr>
        <w:t xml:space="preserve">financial desires are subordinated to the aim of assassinating the monarch.  Neither are his words groundless, since </w:t>
      </w:r>
      <w:r w:rsidR="00B13D09" w:rsidRPr="00460BB7">
        <w:rPr>
          <w:rFonts w:ascii="Times New Roman" w:hAnsi="Times New Roman"/>
          <w:sz w:val="24"/>
          <w:szCs w:val="24"/>
        </w:rPr>
        <w:t>Louis-Philippe</w:t>
      </w:r>
      <w:r w:rsidR="00B13D09" w:rsidRPr="00460BB7">
        <w:rPr>
          <w:rFonts w:asciiTheme="majorBidi" w:hAnsiTheme="majorBidi" w:cstheme="majorBidi"/>
          <w:sz w:val="24"/>
          <w:szCs w:val="24"/>
        </w:rPr>
        <w:t xml:space="preserve"> </w:t>
      </w:r>
      <w:r w:rsidRPr="00460BB7">
        <w:rPr>
          <w:rFonts w:asciiTheme="majorBidi" w:hAnsiTheme="majorBidi" w:cstheme="majorBidi"/>
          <w:sz w:val="24"/>
          <w:szCs w:val="24"/>
        </w:rPr>
        <w:t>had adopted dictatorial methods against the radical republican movement</w:t>
      </w:r>
      <w:r w:rsidRPr="00752F02">
        <w:rPr>
          <w:rFonts w:asciiTheme="majorBidi" w:hAnsiTheme="majorBidi" w:cstheme="majorBidi"/>
          <w:sz w:val="24"/>
          <w:szCs w:val="24"/>
        </w:rPr>
        <w:t>, muzzling their pamphlets, closing their clubs and driving their newspapers into the ground.</w:t>
      </w:r>
      <w:r w:rsidRPr="00752F02">
        <w:rPr>
          <w:rStyle w:val="FootnoteReference"/>
          <w:rFonts w:asciiTheme="majorBidi" w:hAnsiTheme="majorBidi" w:cstheme="majorBidi"/>
          <w:sz w:val="24"/>
          <w:szCs w:val="24"/>
        </w:rPr>
        <w:footnoteReference w:id="1077"/>
      </w:r>
      <w:r w:rsidRPr="00752F02">
        <w:rPr>
          <w:rFonts w:asciiTheme="majorBidi" w:hAnsiTheme="majorBidi" w:cstheme="majorBidi"/>
          <w:sz w:val="24"/>
          <w:szCs w:val="24"/>
        </w:rPr>
        <w:t xml:space="preserve">  However, whatever their accuracy, Macaire has enough grasp on reality to point out the danger of these aims and their unstable psychological basis: ‘if your fanaticism do not lead you to the guillotine, it will assuredly conduct you to a madhouse’.</w:t>
      </w:r>
      <w:r w:rsidRPr="00752F02">
        <w:rPr>
          <w:rStyle w:val="FootnoteReference"/>
          <w:rFonts w:asciiTheme="majorBidi" w:hAnsiTheme="majorBidi" w:cstheme="majorBidi"/>
          <w:sz w:val="24"/>
          <w:szCs w:val="24"/>
        </w:rPr>
        <w:footnoteReference w:id="1078"/>
      </w:r>
      <w:r w:rsidRPr="00752F02">
        <w:rPr>
          <w:rFonts w:asciiTheme="majorBidi" w:hAnsiTheme="majorBidi" w:cstheme="majorBidi"/>
          <w:sz w:val="24"/>
          <w:szCs w:val="24"/>
        </w:rPr>
        <w:t xml:space="preserve">  Contemporary readers, knowing </w:t>
      </w:r>
      <w:r w:rsidRPr="00752F02">
        <w:rPr>
          <w:rFonts w:asciiTheme="majorBidi" w:hAnsiTheme="majorBidi" w:cstheme="majorBidi"/>
          <w:sz w:val="24"/>
          <w:szCs w:val="24"/>
        </w:rPr>
        <w:lastRenderedPageBreak/>
        <w:t xml:space="preserve">the fate of Alibaud and Fieschi, would have recognised in these meetings between conman and ‘true believer’ the failure of a skilled, unscrupulous pragmatist to counter extremist thought.  </w:t>
      </w:r>
    </w:p>
    <w:p w:rsidR="0005445D" w:rsidRPr="00752F02" w:rsidRDefault="0005445D" w:rsidP="0005445D">
      <w:pPr>
        <w:pStyle w:val="FootnoteText"/>
        <w:spacing w:after="120" w:line="360" w:lineRule="auto"/>
        <w:ind w:firstLine="720"/>
        <w:rPr>
          <w:rFonts w:asciiTheme="majorBidi" w:hAnsiTheme="majorBidi" w:cstheme="majorBidi"/>
          <w:sz w:val="24"/>
          <w:szCs w:val="24"/>
        </w:rPr>
      </w:pPr>
      <w:r w:rsidRPr="00752F02">
        <w:rPr>
          <w:rFonts w:asciiTheme="majorBidi" w:hAnsiTheme="majorBidi" w:cstheme="majorBidi"/>
          <w:sz w:val="24"/>
          <w:szCs w:val="24"/>
        </w:rPr>
        <w:t>The association of monomania with political extremism was reinforced by the new illustrations for the fourth edition of the novel that John Dicks began publishing in December 1848.</w:t>
      </w:r>
      <w:r w:rsidRPr="00752F02">
        <w:rPr>
          <w:rStyle w:val="FootnoteReference"/>
          <w:rFonts w:asciiTheme="majorBidi" w:hAnsiTheme="majorBidi" w:cstheme="majorBidi"/>
          <w:sz w:val="24"/>
          <w:szCs w:val="24"/>
        </w:rPr>
        <w:footnoteReference w:id="1079"/>
      </w:r>
      <w:r w:rsidRPr="00752F02">
        <w:rPr>
          <w:rFonts w:asciiTheme="majorBidi" w:hAnsiTheme="majorBidi" w:cstheme="majorBidi"/>
          <w:sz w:val="24"/>
          <w:szCs w:val="24"/>
        </w:rPr>
        <w:t xml:space="preserve">  These woodcuts by Henry Anelay, illustrator </w:t>
      </w:r>
      <w:r w:rsidRPr="00972B76">
        <w:rPr>
          <w:rFonts w:asciiTheme="majorBidi" w:hAnsiTheme="majorBidi" w:cstheme="majorBidi"/>
          <w:sz w:val="24"/>
          <w:szCs w:val="24"/>
        </w:rPr>
        <w:t>for several Reynolds titles</w:t>
      </w:r>
      <w:r w:rsidRPr="00752F02">
        <w:rPr>
          <w:rFonts w:asciiTheme="majorBidi" w:hAnsiTheme="majorBidi" w:cstheme="majorBidi"/>
          <w:sz w:val="24"/>
          <w:szCs w:val="24"/>
        </w:rPr>
        <w:t>, when scenes were not replaced by portraits of female beauties, largely reworked the original drawings in earlier editions by Hablot K. Browne (Phiz).</w:t>
      </w:r>
      <w:r w:rsidRPr="00752F02">
        <w:rPr>
          <w:rStyle w:val="FootnoteReference"/>
          <w:rFonts w:asciiTheme="majorBidi" w:hAnsiTheme="majorBidi" w:cstheme="majorBidi"/>
          <w:sz w:val="24"/>
          <w:szCs w:val="24"/>
        </w:rPr>
        <w:footnoteReference w:id="1080"/>
      </w:r>
      <w:r w:rsidRPr="00752F02">
        <w:rPr>
          <w:rFonts w:asciiTheme="majorBidi" w:hAnsiTheme="majorBidi" w:cstheme="majorBidi"/>
          <w:sz w:val="24"/>
          <w:szCs w:val="24"/>
        </w:rPr>
        <w:t xml:space="preserve">  </w:t>
      </w:r>
      <w:r w:rsidRPr="00752F02">
        <w:rPr>
          <w:rFonts w:ascii="Times New Roman" w:eastAsia="Times New Roman" w:hAnsi="Times New Roman"/>
          <w:sz w:val="24"/>
          <w:szCs w:val="24"/>
          <w:lang w:eastAsia="en-GB"/>
        </w:rPr>
        <w:t xml:space="preserve">However, the two versions of the </w:t>
      </w:r>
      <w:r w:rsidRPr="00752F02">
        <w:rPr>
          <w:rFonts w:asciiTheme="majorBidi" w:hAnsiTheme="majorBidi" w:cstheme="majorBidi"/>
          <w:sz w:val="24"/>
          <w:szCs w:val="24"/>
        </w:rPr>
        <w:t>scene with the escamoteurs differ markedly (see Appendix L).  Whereas Phiz depicts the ruffians smoking pipes in a slovenly manner around an alcohol-laden table, Anelay foregrounds their uncontrolled wildness as they greet Macaire with arms thrown aloft indicating unquestioned devotion to their leader.  The early interpretation has a light, almost airy feel, whereas the latter is darker and claustrophobic, with the heavily shaded faces lending added threat, accentuated by the long narrow window frame and crossbeam that hovers above hinting at the ghostly presence of the guillotine.  On the wall is the shadow of the outstretched arm of a man who appears more interested in this phantom image than with Macaire’s entrance.  The waving arms of those below suggest a mob acclaiming the execution of an aristocrat, invoking thoughts of the Terror in the 1790s rather than the jubilant victory of the ‘Three Days’ in July 1830.</w:t>
      </w:r>
    </w:p>
    <w:p w:rsidR="0005445D" w:rsidRPr="00752F02" w:rsidRDefault="0005445D" w:rsidP="0005445D">
      <w:pPr>
        <w:spacing w:after="120" w:line="360" w:lineRule="auto"/>
        <w:ind w:firstLine="720"/>
        <w:rPr>
          <w:rFonts w:ascii="Times New Roman" w:hAnsi="Times New Roman" w:cs="Times New Roman"/>
          <w:bCs/>
          <w:i/>
          <w:sz w:val="24"/>
          <w:szCs w:val="24"/>
        </w:rPr>
      </w:pPr>
      <w:r w:rsidRPr="00752F02">
        <w:rPr>
          <w:rFonts w:asciiTheme="majorBidi" w:hAnsiTheme="majorBidi" w:cstheme="majorBidi"/>
          <w:sz w:val="24"/>
          <w:szCs w:val="24"/>
        </w:rPr>
        <w:t>Reynolds saw monomaniacal protest leading to illusions of grandeur.</w:t>
      </w:r>
      <w:r w:rsidRPr="00752F02">
        <w:rPr>
          <w:rStyle w:val="FootnoteReference"/>
          <w:rFonts w:ascii="Times New Roman" w:hAnsi="Times New Roman"/>
          <w:sz w:val="24"/>
          <w:szCs w:val="24"/>
        </w:rPr>
        <w:footnoteReference w:id="1081"/>
      </w:r>
      <w:r w:rsidRPr="00752F02">
        <w:rPr>
          <w:rFonts w:asciiTheme="majorBidi" w:hAnsiTheme="majorBidi" w:cstheme="majorBidi"/>
          <w:sz w:val="24"/>
          <w:szCs w:val="24"/>
        </w:rPr>
        <w:t xml:space="preserve">  James Melmoth is </w:t>
      </w:r>
      <w:r w:rsidRPr="00752F02">
        <w:rPr>
          <w:rFonts w:ascii="Times New Roman" w:hAnsi="Times New Roman" w:cs="Times New Roman"/>
          <w:sz w:val="24"/>
          <w:szCs w:val="24"/>
        </w:rPr>
        <w:t xml:space="preserve">proud that his crimes earn him the soubriquet of ‘the Monster Man’, </w:t>
      </w:r>
      <w:r w:rsidRPr="00752F02">
        <w:rPr>
          <w:rFonts w:asciiTheme="majorBidi" w:hAnsiTheme="majorBidi" w:cstheme="majorBidi"/>
          <w:sz w:val="24"/>
          <w:szCs w:val="24"/>
        </w:rPr>
        <w:t>believing he has become a great figure when</w:t>
      </w:r>
      <w:r w:rsidRPr="00752F02">
        <w:rPr>
          <w:rFonts w:ascii="Times New Roman" w:hAnsi="Times New Roman" w:cs="Times New Roman"/>
          <w:sz w:val="24"/>
          <w:szCs w:val="24"/>
        </w:rPr>
        <w:t xml:space="preserve"> </w:t>
      </w:r>
      <w:r w:rsidRPr="00752F02">
        <w:rPr>
          <w:rFonts w:asciiTheme="majorBidi" w:hAnsiTheme="majorBidi" w:cstheme="majorBidi"/>
          <w:sz w:val="24"/>
          <w:szCs w:val="24"/>
        </w:rPr>
        <w:t>boasting to Meagles about ‘menacing the whole framework of society with ruin’.</w:t>
      </w:r>
      <w:r w:rsidRPr="00752F02">
        <w:rPr>
          <w:rStyle w:val="FootnoteReference"/>
          <w:rFonts w:ascii="Times New Roman" w:hAnsi="Times New Roman"/>
          <w:sz w:val="24"/>
          <w:szCs w:val="24"/>
        </w:rPr>
        <w:footnoteReference w:id="1082"/>
      </w:r>
      <w:r w:rsidRPr="00752F02">
        <w:rPr>
          <w:rFonts w:asciiTheme="majorBidi" w:hAnsiTheme="majorBidi" w:cstheme="majorBidi"/>
          <w:sz w:val="24"/>
          <w:szCs w:val="24"/>
        </w:rPr>
        <w:t xml:space="preserve">  However, rather than striking those who condemned him to misery his actions do little more than harm others who suffer under the same authoritarian rule.  Melmoth is important for suggesting the violence that marked many </w:t>
      </w:r>
      <w:r w:rsidRPr="00752F02">
        <w:rPr>
          <w:rFonts w:ascii="Times New Roman" w:eastAsia="Times New Roman" w:hAnsi="Times New Roman" w:cs="Times New Roman"/>
          <w:sz w:val="24"/>
          <w:szCs w:val="24"/>
          <w:lang w:eastAsia="en-GB"/>
        </w:rPr>
        <w:t xml:space="preserve">struggles in the early-nineteenth century and still found an echo in </w:t>
      </w:r>
      <w:r w:rsidRPr="00752F02">
        <w:rPr>
          <w:rFonts w:asciiTheme="majorBidi" w:hAnsiTheme="majorBidi" w:cstheme="majorBidi"/>
          <w:sz w:val="24"/>
          <w:szCs w:val="24"/>
        </w:rPr>
        <w:t xml:space="preserve">physical force </w:t>
      </w:r>
      <w:r w:rsidRPr="00752F02">
        <w:rPr>
          <w:rFonts w:ascii="Times New Roman" w:eastAsia="Times New Roman" w:hAnsi="Times New Roman" w:cs="Times New Roman"/>
          <w:sz w:val="24"/>
          <w:szCs w:val="24"/>
          <w:lang w:eastAsia="en-GB"/>
        </w:rPr>
        <w:t xml:space="preserve">Chartism or </w:t>
      </w:r>
      <w:r w:rsidRPr="00752F02">
        <w:rPr>
          <w:rFonts w:asciiTheme="majorBidi" w:hAnsiTheme="majorBidi" w:cstheme="majorBidi"/>
          <w:sz w:val="24"/>
          <w:szCs w:val="24"/>
        </w:rPr>
        <w:t xml:space="preserve">the Tory Radicalism </w:t>
      </w:r>
      <w:r w:rsidRPr="00752F02">
        <w:rPr>
          <w:rFonts w:asciiTheme="majorBidi" w:hAnsiTheme="majorBidi" w:cstheme="majorBidi"/>
          <w:sz w:val="24"/>
          <w:szCs w:val="24"/>
        </w:rPr>
        <w:lastRenderedPageBreak/>
        <w:t>of James Rayner Stephens and Richard Oastler.</w:t>
      </w:r>
      <w:r w:rsidRPr="00752F02">
        <w:rPr>
          <w:rStyle w:val="FootnoteReference"/>
          <w:rFonts w:asciiTheme="majorBidi" w:hAnsiTheme="majorBidi" w:cstheme="majorBidi"/>
          <w:sz w:val="24"/>
          <w:szCs w:val="24"/>
        </w:rPr>
        <w:footnoteReference w:id="1083"/>
      </w:r>
      <w:r w:rsidRPr="00752F02">
        <w:rPr>
          <w:rFonts w:ascii="Times New Roman" w:eastAsia="Times New Roman" w:hAnsi="Times New Roman" w:cs="Times New Roman"/>
          <w:sz w:val="24"/>
          <w:szCs w:val="24"/>
          <w:lang w:eastAsia="en-GB"/>
        </w:rPr>
        <w:t xml:space="preserve">  Melmoth </w:t>
      </w:r>
      <w:r w:rsidRPr="00752F02">
        <w:rPr>
          <w:rFonts w:asciiTheme="majorBidi" w:hAnsiTheme="majorBidi" w:cstheme="majorBidi"/>
          <w:sz w:val="24"/>
          <w:szCs w:val="24"/>
        </w:rPr>
        <w:t xml:space="preserve">employs their inflammatory language with the </w:t>
      </w:r>
      <w:r w:rsidRPr="00752F02">
        <w:rPr>
          <w:rFonts w:ascii="Times New Roman" w:hAnsi="Times New Roman" w:cs="Times New Roman"/>
          <w:sz w:val="24"/>
          <w:szCs w:val="24"/>
        </w:rPr>
        <w:t>‘wildness and sublimity of a prophet’, proclaiming he deserves God’s punishment if his situation is accepted tamely.</w:t>
      </w:r>
      <w:r w:rsidRPr="00752F02">
        <w:rPr>
          <w:rStyle w:val="FootnoteReference"/>
          <w:rFonts w:ascii="Times New Roman" w:hAnsi="Times New Roman"/>
          <w:sz w:val="24"/>
          <w:szCs w:val="24"/>
        </w:rPr>
        <w:footnoteReference w:id="1084"/>
      </w:r>
      <w:r w:rsidRPr="00752F02">
        <w:rPr>
          <w:rFonts w:ascii="Times New Roman" w:hAnsi="Times New Roman" w:cs="Times New Roman"/>
          <w:sz w:val="24"/>
          <w:szCs w:val="24"/>
        </w:rPr>
        <w:t xml:space="preserve">  For </w:t>
      </w:r>
      <w:r w:rsidRPr="00752F02">
        <w:rPr>
          <w:rFonts w:asciiTheme="majorBidi" w:hAnsiTheme="majorBidi" w:cstheme="majorBidi"/>
          <w:bCs/>
          <w:sz w:val="24"/>
          <w:szCs w:val="24"/>
        </w:rPr>
        <w:t xml:space="preserve">Reynolds, this psychological condition involved an extreme individualism, determined to impose its will upon the masses.  He symbolized these </w:t>
      </w:r>
      <w:r w:rsidRPr="00752F02">
        <w:rPr>
          <w:rFonts w:ascii="Times New Roman" w:hAnsi="Times New Roman" w:cs="Times New Roman"/>
          <w:sz w:val="24"/>
          <w:szCs w:val="24"/>
        </w:rPr>
        <w:t>concerns i</w:t>
      </w:r>
      <w:r w:rsidRPr="00752F02">
        <w:rPr>
          <w:rFonts w:asciiTheme="majorBidi" w:hAnsiTheme="majorBidi" w:cstheme="majorBidi"/>
          <w:sz w:val="24"/>
          <w:szCs w:val="24"/>
        </w:rPr>
        <w:t>n</w:t>
      </w:r>
      <w:r w:rsidRPr="00752F02">
        <w:rPr>
          <w:rFonts w:asciiTheme="majorBidi" w:hAnsiTheme="majorBidi" w:cstheme="majorBidi"/>
          <w:i/>
          <w:sz w:val="24"/>
          <w:szCs w:val="24"/>
        </w:rPr>
        <w:t xml:space="preserve"> The Mysteries of London</w:t>
      </w:r>
      <w:r w:rsidRPr="00752F02">
        <w:rPr>
          <w:rFonts w:ascii="Times New Roman" w:hAnsi="Times New Roman" w:cs="Times New Roman"/>
          <w:sz w:val="24"/>
          <w:szCs w:val="24"/>
        </w:rPr>
        <w:t xml:space="preserve"> by a </w:t>
      </w:r>
      <w:r w:rsidRPr="00752F02">
        <w:rPr>
          <w:rFonts w:asciiTheme="majorBidi" w:hAnsiTheme="majorBidi" w:cstheme="majorBidi"/>
          <w:sz w:val="24"/>
          <w:szCs w:val="24"/>
        </w:rPr>
        <w:t xml:space="preserve">reference to Arthur Thistlewood, a figure notorious for promoting violence </w:t>
      </w:r>
      <w:r w:rsidRPr="00752F02">
        <w:rPr>
          <w:rFonts w:ascii="Times New Roman" w:hAnsi="Times New Roman" w:cs="Times New Roman"/>
          <w:sz w:val="24"/>
          <w:szCs w:val="24"/>
        </w:rPr>
        <w:t>in the 1816 Spa Fields uprising and the Cato Street Conspiracy.</w:t>
      </w:r>
      <w:r w:rsidRPr="00752F02">
        <w:rPr>
          <w:rStyle w:val="FootnoteReference"/>
          <w:rFonts w:ascii="Times New Roman" w:hAnsi="Times New Roman"/>
          <w:sz w:val="24"/>
          <w:szCs w:val="24"/>
        </w:rPr>
        <w:footnoteReference w:id="1085"/>
      </w:r>
      <w:r w:rsidRPr="00752F02">
        <w:rPr>
          <w:rFonts w:ascii="Times New Roman" w:hAnsi="Times New Roman" w:cs="Times New Roman"/>
          <w:sz w:val="24"/>
          <w:szCs w:val="24"/>
        </w:rPr>
        <w:t xml:space="preserve">   T</w:t>
      </w:r>
      <w:r w:rsidRPr="00752F02">
        <w:rPr>
          <w:rFonts w:asciiTheme="majorBidi" w:hAnsiTheme="majorBidi" w:cstheme="majorBidi"/>
          <w:sz w:val="24"/>
          <w:szCs w:val="24"/>
        </w:rPr>
        <w:t xml:space="preserve">he connection between political </w:t>
      </w:r>
      <w:r w:rsidRPr="00752F02">
        <w:rPr>
          <w:rFonts w:ascii="Times New Roman" w:hAnsi="Times New Roman" w:cs="Times New Roman"/>
          <w:sz w:val="24"/>
          <w:szCs w:val="24"/>
        </w:rPr>
        <w:t xml:space="preserve">extremism, criminality and mental aberration is made when Dr </w:t>
      </w:r>
      <w:r w:rsidRPr="00752F02">
        <w:rPr>
          <w:rFonts w:asciiTheme="majorBidi" w:hAnsiTheme="majorBidi" w:cstheme="majorBidi"/>
          <w:sz w:val="24"/>
          <w:szCs w:val="24"/>
        </w:rPr>
        <w:t>Lascelles’s collection of head casts is shown to include one of Thistlewood alongside several well-known felons, most of whom had been recently executed.</w:t>
      </w:r>
      <w:r w:rsidRPr="00752F02">
        <w:rPr>
          <w:rStyle w:val="FootnoteReference"/>
          <w:rFonts w:ascii="Times New Roman" w:hAnsi="Times New Roman"/>
          <w:sz w:val="24"/>
          <w:szCs w:val="24"/>
        </w:rPr>
        <w:footnoteReference w:id="1086"/>
      </w:r>
      <w:r w:rsidRPr="00752F02">
        <w:rPr>
          <w:rFonts w:ascii="Times New Roman" w:hAnsi="Times New Roman" w:cs="Times New Roman"/>
          <w:sz w:val="24"/>
          <w:szCs w:val="24"/>
        </w:rPr>
        <w:t xml:space="preserve">  A similar </w:t>
      </w:r>
      <w:r w:rsidRPr="00752F02">
        <w:rPr>
          <w:rFonts w:asciiTheme="majorBidi" w:hAnsiTheme="majorBidi" w:cstheme="majorBidi"/>
          <w:sz w:val="24"/>
          <w:szCs w:val="24"/>
        </w:rPr>
        <w:t xml:space="preserve">association is </w:t>
      </w:r>
      <w:r w:rsidRPr="00752F02">
        <w:rPr>
          <w:rFonts w:ascii="Times New Roman" w:hAnsi="Times New Roman" w:cs="Times New Roman"/>
          <w:sz w:val="24"/>
          <w:szCs w:val="24"/>
        </w:rPr>
        <w:t>made in Reynolds’s warnings against theories that he saw as being excessively radical in the context of contemporary Britain, among which might be included Socialism and Communism.  The concerns regarding the escamoteurs resonated in later articles regarding property ownership:</w:t>
      </w:r>
    </w:p>
    <w:p w:rsidR="0005445D" w:rsidRPr="00752F02" w:rsidRDefault="0005445D" w:rsidP="0005445D">
      <w:pPr>
        <w:spacing w:after="240" w:line="240" w:lineRule="auto"/>
        <w:ind w:left="720"/>
        <w:rPr>
          <w:rFonts w:ascii="Times New Roman" w:hAnsi="Times New Roman" w:cs="Times New Roman"/>
          <w:sz w:val="24"/>
          <w:szCs w:val="24"/>
        </w:rPr>
      </w:pPr>
      <w:r w:rsidRPr="00752F02">
        <w:rPr>
          <w:rFonts w:ascii="Times New Roman" w:hAnsi="Times New Roman" w:cs="Times New Roman"/>
          <w:sz w:val="24"/>
          <w:szCs w:val="24"/>
        </w:rPr>
        <w:t>From the various facts that have suggested themselves to me, it is quite clear that all property originated in either injustice or robbery, and has been perpetrated in both.  But at the same time, we must consider that society has sanctioned this flagrant violation of divine law and human right, because it has permitted it to exist.  Therefore, no one would now-a-days be wicked or insane enough to denounce property-holders as robbers, and their property as a legitimate object for spoliation.</w:t>
      </w:r>
      <w:r w:rsidRPr="00752F02">
        <w:rPr>
          <w:rStyle w:val="FootnoteReference"/>
          <w:rFonts w:ascii="Times New Roman" w:hAnsi="Times New Roman"/>
          <w:sz w:val="24"/>
          <w:szCs w:val="24"/>
        </w:rPr>
        <w:footnoteReference w:id="1087"/>
      </w:r>
      <w:r w:rsidRPr="00752F02">
        <w:rPr>
          <w:rFonts w:ascii="Times New Roman" w:hAnsi="Times New Roman" w:cs="Times New Roman"/>
          <w:sz w:val="24"/>
          <w:szCs w:val="24"/>
        </w:rPr>
        <w:t xml:space="preserve"> </w:t>
      </w:r>
    </w:p>
    <w:p w:rsidR="0005445D" w:rsidRPr="00752F02" w:rsidRDefault="0005445D" w:rsidP="0005445D">
      <w:pPr>
        <w:spacing w:after="120" w:line="360" w:lineRule="auto"/>
        <w:rPr>
          <w:rFonts w:ascii="Times New Roman" w:hAnsi="Times New Roman" w:cs="Times New Roman"/>
          <w:sz w:val="24"/>
          <w:szCs w:val="24"/>
        </w:rPr>
      </w:pPr>
      <w:r w:rsidRPr="00752F02">
        <w:rPr>
          <w:rFonts w:ascii="Times New Roman" w:hAnsi="Times New Roman" w:cs="Times New Roman"/>
          <w:sz w:val="24"/>
          <w:szCs w:val="24"/>
        </w:rPr>
        <w:t xml:space="preserve">While acknowledging that the criminal nature of property flouted the laws of God, Reynolds rejected any direct application of Socialism to remove </w:t>
      </w:r>
      <w:r w:rsidRPr="00460BB7">
        <w:rPr>
          <w:rFonts w:ascii="Times New Roman" w:hAnsi="Times New Roman" w:cs="Times New Roman"/>
          <w:sz w:val="24"/>
          <w:szCs w:val="24"/>
        </w:rPr>
        <w:t>the injustice, associating such</w:t>
      </w:r>
      <w:r w:rsidRPr="00752F02">
        <w:rPr>
          <w:rFonts w:ascii="Times New Roman" w:hAnsi="Times New Roman" w:cs="Times New Roman"/>
          <w:sz w:val="24"/>
          <w:szCs w:val="24"/>
        </w:rPr>
        <w:t xml:space="preserve"> moves not only with spoliation but wickedness and insanity.  The article opposes this strategy by suggesting that changes in the law will gradually bring justice in the long term when ‘all property will be national’.</w:t>
      </w:r>
    </w:p>
    <w:p w:rsidR="0005445D" w:rsidRPr="00752F02" w:rsidRDefault="0005445D" w:rsidP="0005445D">
      <w:pPr>
        <w:spacing w:after="120" w:line="360" w:lineRule="auto"/>
        <w:ind w:firstLine="720"/>
        <w:rPr>
          <w:rFonts w:ascii="Times New Roman" w:hAnsi="Times New Roman" w:cs="Times New Roman"/>
          <w:sz w:val="24"/>
          <w:szCs w:val="24"/>
        </w:rPr>
      </w:pPr>
      <w:r w:rsidRPr="00752F02">
        <w:rPr>
          <w:rFonts w:ascii="Times New Roman" w:hAnsi="Times New Roman" w:cs="Times New Roman"/>
          <w:bCs/>
          <w:sz w:val="24"/>
          <w:szCs w:val="24"/>
        </w:rPr>
        <w:t xml:space="preserve">At the same time, Reynolds intends his portrayals to encourage the industrious classes and this optimism sees him diverge markedly from most contemporaries.  Their depictions of mass protest that challenged social structures overwhelmingly focused upon its perceived </w:t>
      </w:r>
      <w:r w:rsidRPr="00752F02">
        <w:rPr>
          <w:rFonts w:ascii="Times New Roman" w:hAnsi="Times New Roman" w:cs="Times New Roman"/>
          <w:bCs/>
          <w:sz w:val="24"/>
          <w:szCs w:val="24"/>
        </w:rPr>
        <w:lastRenderedPageBreak/>
        <w:t xml:space="preserve">shortcomings.  They </w:t>
      </w:r>
      <w:r w:rsidRPr="00752F02">
        <w:rPr>
          <w:rFonts w:ascii="Times New Roman" w:hAnsi="Times New Roman"/>
          <w:sz w:val="24"/>
          <w:szCs w:val="24"/>
        </w:rPr>
        <w:t xml:space="preserve">repeatedly show writers governed by what Josephine Guy calls the ‘conceptual set’ that dominated the early-mid Victorian era and which she highlights by referring to Elizabeth Gaskell’s confession of ignorance regarding political economy in the preface to </w:t>
      </w:r>
      <w:r w:rsidRPr="00752F02">
        <w:rPr>
          <w:rFonts w:ascii="Times New Roman" w:hAnsi="Times New Roman"/>
          <w:i/>
          <w:iCs/>
          <w:sz w:val="24"/>
          <w:szCs w:val="24"/>
        </w:rPr>
        <w:t>Mary Barton</w:t>
      </w:r>
      <w:r w:rsidRPr="00752F02">
        <w:rPr>
          <w:rFonts w:ascii="Times New Roman" w:hAnsi="Times New Roman"/>
          <w:sz w:val="24"/>
          <w:szCs w:val="24"/>
        </w:rPr>
        <w:t xml:space="preserve"> </w:t>
      </w:r>
      <w:r w:rsidRPr="00752F02">
        <w:rPr>
          <w:rFonts w:ascii="Times New Roman" w:hAnsi="Times New Roman" w:cs="Times New Roman"/>
          <w:sz w:val="24"/>
          <w:szCs w:val="24"/>
        </w:rPr>
        <w:t>(1848).</w:t>
      </w:r>
      <w:r w:rsidRPr="00752F02">
        <w:rPr>
          <w:rStyle w:val="FootnoteReference"/>
          <w:rFonts w:ascii="Times New Roman" w:hAnsi="Times New Roman"/>
          <w:sz w:val="24"/>
          <w:szCs w:val="24"/>
        </w:rPr>
        <w:footnoteReference w:id="1088"/>
      </w:r>
      <w:r w:rsidRPr="00752F02">
        <w:rPr>
          <w:rFonts w:ascii="Times New Roman" w:hAnsi="Times New Roman"/>
          <w:sz w:val="24"/>
          <w:szCs w:val="24"/>
        </w:rPr>
        <w:t xml:space="preserve">  D</w:t>
      </w:r>
      <w:r w:rsidRPr="00752F02">
        <w:rPr>
          <w:rFonts w:ascii="Times New Roman" w:hAnsi="Times New Roman" w:cs="Times New Roman"/>
          <w:sz w:val="24"/>
          <w:szCs w:val="24"/>
        </w:rPr>
        <w:t xml:space="preserve">espite Gaskell’s sympathies for the factory workers, she largely </w:t>
      </w:r>
      <w:r w:rsidRPr="00460BB7">
        <w:rPr>
          <w:rFonts w:ascii="Times New Roman" w:hAnsi="Times New Roman" w:cs="Times New Roman"/>
          <w:sz w:val="24"/>
          <w:szCs w:val="24"/>
        </w:rPr>
        <w:t xml:space="preserve">presents the perspective of the manufacturers.  In </w:t>
      </w:r>
      <w:r w:rsidRPr="00460BB7">
        <w:rPr>
          <w:rFonts w:ascii="Times New Roman" w:hAnsi="Times New Roman" w:cs="Times New Roman"/>
          <w:i/>
          <w:iCs/>
          <w:sz w:val="24"/>
          <w:szCs w:val="24"/>
        </w:rPr>
        <w:t>North and South</w:t>
      </w:r>
      <w:r w:rsidRPr="00460BB7">
        <w:rPr>
          <w:rFonts w:ascii="Times New Roman" w:hAnsi="Times New Roman" w:cs="Times New Roman"/>
          <w:sz w:val="24"/>
          <w:szCs w:val="24"/>
        </w:rPr>
        <w:t xml:space="preserve"> (1854–55), Nicholas Higgins confirms a lack of</w:t>
      </w:r>
      <w:r w:rsidRPr="00752F02">
        <w:rPr>
          <w:rFonts w:ascii="Times New Roman" w:hAnsi="Times New Roman" w:cs="Times New Roman"/>
          <w:sz w:val="24"/>
          <w:szCs w:val="24"/>
        </w:rPr>
        <w:t xml:space="preserve"> theoretical perspective when admitting having difficulty understanding economic issues to the dissenting pastor Mr Hale: ‘So I took th’ book and tugged at it; but Lord bless yo’, it went on about capital and labour, and labour and capital, till it fair sent me off to sleep.’</w:t>
      </w:r>
      <w:r w:rsidRPr="00752F02">
        <w:rPr>
          <w:rStyle w:val="FootnoteReference"/>
          <w:rFonts w:ascii="Times New Roman" w:hAnsi="Times New Roman"/>
          <w:sz w:val="24"/>
          <w:szCs w:val="24"/>
        </w:rPr>
        <w:footnoteReference w:id="1089"/>
      </w:r>
      <w:r w:rsidRPr="00752F02">
        <w:rPr>
          <w:rFonts w:ascii="Times New Roman" w:hAnsi="Times New Roman" w:cs="Times New Roman"/>
          <w:sz w:val="24"/>
          <w:szCs w:val="24"/>
        </w:rPr>
        <w:t xml:space="preserve">  He signals how even leading trade unionists lack the intellectual capacity to offer constructive arguments against the system they oppose, allowing Hale’s assertion that strikes can only depress wages to go unchallenged.</w:t>
      </w:r>
      <w:r w:rsidRPr="00752F02">
        <w:rPr>
          <w:rStyle w:val="FootnoteReference"/>
          <w:rFonts w:ascii="Times New Roman" w:hAnsi="Times New Roman"/>
          <w:sz w:val="24"/>
          <w:szCs w:val="24"/>
        </w:rPr>
        <w:footnoteReference w:id="1090"/>
      </w:r>
      <w:r w:rsidRPr="00752F02">
        <w:rPr>
          <w:rFonts w:ascii="Times New Roman" w:hAnsi="Times New Roman" w:cs="Times New Roman"/>
          <w:sz w:val="24"/>
          <w:szCs w:val="24"/>
        </w:rPr>
        <w:t xml:space="preserve">  </w:t>
      </w:r>
      <w:r w:rsidRPr="00752F02">
        <w:rPr>
          <w:rFonts w:ascii="Times New Roman" w:hAnsi="Times New Roman"/>
          <w:sz w:val="24"/>
          <w:szCs w:val="24"/>
        </w:rPr>
        <w:t xml:space="preserve">Disraeli often looked to the past for solutions to contemporary issues and </w:t>
      </w:r>
      <w:r w:rsidRPr="00752F02">
        <w:rPr>
          <w:rFonts w:ascii="Times New Roman" w:hAnsi="Times New Roman" w:cs="Times New Roman"/>
          <w:sz w:val="24"/>
          <w:szCs w:val="24"/>
        </w:rPr>
        <w:t xml:space="preserve">denies most of his working-class figures the ability to embrace visions of progress.  In times of difficulty they frequently turn to the comfort of tradition, typified </w:t>
      </w:r>
      <w:r w:rsidRPr="00752F02">
        <w:rPr>
          <w:rFonts w:ascii="Times New Roman" w:eastAsia="Times New Roman" w:hAnsi="Times New Roman" w:cs="Times New Roman"/>
          <w:sz w:val="24"/>
          <w:szCs w:val="24"/>
          <w:lang w:eastAsia="en-GB"/>
        </w:rPr>
        <w:t xml:space="preserve">in </w:t>
      </w:r>
      <w:r w:rsidRPr="00752F02">
        <w:rPr>
          <w:rFonts w:ascii="Times New Roman" w:eastAsia="Times New Roman" w:hAnsi="Times New Roman" w:cs="Times New Roman"/>
          <w:i/>
          <w:iCs/>
          <w:sz w:val="24"/>
          <w:szCs w:val="24"/>
          <w:lang w:eastAsia="en-GB"/>
        </w:rPr>
        <w:t>Sybil</w:t>
      </w:r>
      <w:r w:rsidRPr="00752F02">
        <w:rPr>
          <w:rFonts w:ascii="Times New Roman" w:hAnsi="Times New Roman" w:cs="Times New Roman"/>
          <w:sz w:val="24"/>
          <w:szCs w:val="24"/>
        </w:rPr>
        <w:t xml:space="preserve"> </w:t>
      </w:r>
      <w:r w:rsidRPr="00752F02">
        <w:rPr>
          <w:rFonts w:asciiTheme="majorBidi" w:hAnsiTheme="majorBidi" w:cstheme="majorBidi"/>
          <w:sz w:val="24"/>
          <w:szCs w:val="24"/>
        </w:rPr>
        <w:t xml:space="preserve">(1845) </w:t>
      </w:r>
      <w:r w:rsidRPr="00752F02">
        <w:rPr>
          <w:rFonts w:ascii="Times New Roman" w:hAnsi="Times New Roman" w:cs="Times New Roman"/>
          <w:sz w:val="24"/>
          <w:szCs w:val="24"/>
        </w:rPr>
        <w:t xml:space="preserve">by </w:t>
      </w:r>
      <w:r w:rsidRPr="00752F02">
        <w:rPr>
          <w:rFonts w:ascii="Times New Roman" w:eastAsia="Times New Roman" w:hAnsi="Times New Roman" w:cs="Times New Roman"/>
          <w:sz w:val="24"/>
          <w:szCs w:val="24"/>
          <w:lang w:eastAsia="en-GB"/>
        </w:rPr>
        <w:t xml:space="preserve">the weaver Philip Warner, as he rues his present poverty: </w:t>
      </w:r>
      <w:r w:rsidRPr="00752F02">
        <w:rPr>
          <w:rFonts w:ascii="Times New Roman" w:hAnsi="Times New Roman" w:cs="Times New Roman"/>
          <w:sz w:val="24"/>
          <w:szCs w:val="24"/>
        </w:rPr>
        <w:t>‘I loved my loom, and my loom loved me.  It gave me a cottage in my native village, surrounded by a garden […] it gathered my children round my hearth with plenteousness and peace.’</w:t>
      </w:r>
      <w:r w:rsidRPr="00752F02">
        <w:rPr>
          <w:rStyle w:val="FootnoteReference"/>
          <w:rFonts w:ascii="Times New Roman" w:hAnsi="Times New Roman"/>
          <w:sz w:val="24"/>
          <w:szCs w:val="24"/>
        </w:rPr>
        <w:footnoteReference w:id="1091"/>
      </w:r>
      <w:r w:rsidRPr="00752F02">
        <w:rPr>
          <w:rFonts w:ascii="Times New Roman" w:hAnsi="Times New Roman" w:cs="Times New Roman"/>
          <w:sz w:val="24"/>
          <w:szCs w:val="24"/>
        </w:rPr>
        <w:t xml:space="preserve">  </w:t>
      </w:r>
      <w:r w:rsidRPr="00752F02">
        <w:rPr>
          <w:rFonts w:asciiTheme="majorBidi" w:hAnsiTheme="majorBidi" w:cstheme="majorBidi"/>
          <w:sz w:val="24"/>
          <w:szCs w:val="24"/>
        </w:rPr>
        <w:t xml:space="preserve">In making radical ideas alien to the industrious classes it followed that leaders and representatives who proclaimed them were also distanced and denigrated.  In </w:t>
      </w:r>
      <w:r w:rsidRPr="00752F02">
        <w:rPr>
          <w:rFonts w:asciiTheme="majorBidi" w:hAnsiTheme="majorBidi" w:cstheme="majorBidi"/>
          <w:i/>
          <w:sz w:val="24"/>
          <w:szCs w:val="24"/>
        </w:rPr>
        <w:t>Sybil</w:t>
      </w:r>
      <w:r w:rsidRPr="00752F02">
        <w:rPr>
          <w:rFonts w:asciiTheme="majorBidi" w:hAnsiTheme="majorBidi" w:cstheme="majorBidi"/>
          <w:sz w:val="24"/>
          <w:szCs w:val="24"/>
        </w:rPr>
        <w:t xml:space="preserve">, the eruption of anger is manipulated by the shadowy Chartist, Field.  In </w:t>
      </w:r>
      <w:r w:rsidRPr="00752F02">
        <w:rPr>
          <w:rFonts w:asciiTheme="majorBidi" w:hAnsiTheme="majorBidi" w:cstheme="majorBidi"/>
          <w:i/>
          <w:iCs/>
          <w:sz w:val="24"/>
          <w:szCs w:val="24"/>
        </w:rPr>
        <w:t>Mary Barton</w:t>
      </w:r>
      <w:r w:rsidRPr="00752F02">
        <w:rPr>
          <w:rFonts w:asciiTheme="majorBidi" w:hAnsiTheme="majorBidi" w:cstheme="majorBidi"/>
          <w:sz w:val="24"/>
          <w:szCs w:val="24"/>
        </w:rPr>
        <w:t xml:space="preserve">, the speaker at the ‘Weaver’s Arms’ is portrayed as a siren voice ‘from London’ who befuddles the workers.  Dickens repeats this in </w:t>
      </w:r>
      <w:r w:rsidRPr="00752F02">
        <w:rPr>
          <w:rFonts w:asciiTheme="majorBidi" w:hAnsiTheme="majorBidi" w:cstheme="majorBidi"/>
          <w:i/>
          <w:iCs/>
          <w:sz w:val="24"/>
          <w:szCs w:val="24"/>
        </w:rPr>
        <w:t>Hard Times</w:t>
      </w:r>
      <w:r w:rsidRPr="00752F02">
        <w:rPr>
          <w:rFonts w:asciiTheme="majorBidi" w:hAnsiTheme="majorBidi" w:cstheme="majorBidi"/>
          <w:sz w:val="24"/>
          <w:szCs w:val="24"/>
        </w:rPr>
        <w:t xml:space="preserve"> (1854) when the orator Slackbridge, an ‘ill-made, high-shouldered man, with lowering brows, and his features crushed into an habitually sour expression’, encourages the Coketown workers to go on strike.</w:t>
      </w:r>
      <w:r w:rsidRPr="00752F02">
        <w:rPr>
          <w:rStyle w:val="FootnoteReference"/>
          <w:rFonts w:ascii="Times New Roman" w:hAnsi="Times New Roman"/>
          <w:sz w:val="24"/>
          <w:szCs w:val="24"/>
        </w:rPr>
        <w:footnoteReference w:id="1092"/>
      </w:r>
      <w:r w:rsidRPr="00752F02">
        <w:rPr>
          <w:rFonts w:ascii="Times New Roman" w:hAnsi="Times New Roman" w:cs="Times New Roman"/>
          <w:sz w:val="24"/>
          <w:szCs w:val="24"/>
        </w:rPr>
        <w:t xml:space="preserve"> </w:t>
      </w:r>
      <w:r w:rsidRPr="00752F02">
        <w:rPr>
          <w:rFonts w:asciiTheme="majorBidi" w:hAnsiTheme="majorBidi" w:cstheme="majorBidi"/>
          <w:sz w:val="24"/>
          <w:szCs w:val="24"/>
        </w:rPr>
        <w:t xml:space="preserve"> This distancing is extended to the organizations themselves, with Disraeli and Gaskell presenting trade unions as steeped in violent initiation rituals.</w:t>
      </w:r>
      <w:r w:rsidRPr="00752F02">
        <w:rPr>
          <w:rStyle w:val="FootnoteReference"/>
          <w:rFonts w:ascii="Times New Roman" w:hAnsi="Times New Roman"/>
          <w:sz w:val="24"/>
          <w:szCs w:val="24"/>
        </w:rPr>
        <w:footnoteReference w:id="1093"/>
      </w:r>
      <w:r w:rsidRPr="00752F02">
        <w:rPr>
          <w:rFonts w:asciiTheme="majorBidi" w:hAnsiTheme="majorBidi" w:cstheme="majorBidi"/>
          <w:sz w:val="24"/>
          <w:szCs w:val="24"/>
        </w:rPr>
        <w:t xml:space="preserve">  </w:t>
      </w:r>
      <w:r w:rsidRPr="00752F02">
        <w:rPr>
          <w:rFonts w:ascii="Times New Roman" w:hAnsi="Times New Roman" w:cs="Times New Roman"/>
          <w:i/>
          <w:iCs/>
          <w:sz w:val="24"/>
          <w:szCs w:val="24"/>
        </w:rPr>
        <w:t>Mary Barton</w:t>
      </w:r>
      <w:r w:rsidRPr="00752F02">
        <w:rPr>
          <w:rFonts w:ascii="Times New Roman" w:hAnsi="Times New Roman" w:cs="Times New Roman"/>
          <w:iCs/>
          <w:sz w:val="24"/>
          <w:szCs w:val="24"/>
        </w:rPr>
        <w:t xml:space="preserve"> </w:t>
      </w:r>
      <w:r w:rsidRPr="00752F02">
        <w:rPr>
          <w:rFonts w:ascii="Times New Roman" w:hAnsi="Times New Roman" w:cs="Times New Roman"/>
          <w:sz w:val="24"/>
          <w:szCs w:val="24"/>
        </w:rPr>
        <w:t xml:space="preserve">refers to acid attacks upon knob-sticks and power-loom weavers from outlying towns being waylaid </w:t>
      </w:r>
      <w:r w:rsidRPr="00752F02">
        <w:rPr>
          <w:rFonts w:ascii="Times New Roman" w:hAnsi="Times New Roman" w:cs="Times New Roman"/>
          <w:sz w:val="24"/>
          <w:szCs w:val="24"/>
        </w:rPr>
        <w:lastRenderedPageBreak/>
        <w:t>and ‘left by the road-side almost for dead’.</w:t>
      </w:r>
      <w:r w:rsidRPr="00752F02">
        <w:rPr>
          <w:rStyle w:val="FootnoteReference"/>
          <w:rFonts w:ascii="Times New Roman" w:hAnsi="Times New Roman"/>
          <w:sz w:val="24"/>
          <w:szCs w:val="24"/>
        </w:rPr>
        <w:footnoteReference w:id="1094"/>
      </w:r>
      <w:r w:rsidRPr="00752F02">
        <w:rPr>
          <w:rFonts w:ascii="Times New Roman" w:hAnsi="Times New Roman" w:cs="Times New Roman"/>
          <w:sz w:val="24"/>
          <w:szCs w:val="24"/>
        </w:rPr>
        <w:t xml:space="preserve">  Job Legh, invariably a voice of reason, sums up the coercive nature of unions to Mary: </w:t>
      </w:r>
    </w:p>
    <w:p w:rsidR="0005445D" w:rsidRPr="00752F02" w:rsidRDefault="0005445D" w:rsidP="0005445D">
      <w:pPr>
        <w:spacing w:after="240" w:line="240" w:lineRule="auto"/>
        <w:ind w:left="720"/>
        <w:rPr>
          <w:rFonts w:ascii="Times New Roman" w:hAnsi="Times New Roman" w:cs="Times New Roman"/>
          <w:sz w:val="24"/>
          <w:szCs w:val="24"/>
        </w:rPr>
      </w:pPr>
      <w:r w:rsidRPr="00752F02">
        <w:rPr>
          <w:rFonts w:ascii="Times New Roman" w:hAnsi="Times New Roman" w:cs="Times New Roman"/>
          <w:sz w:val="24"/>
          <w:szCs w:val="24"/>
        </w:rPr>
        <w:t>I were obliged to become a member for peace […] they will force me to be as wise as they are; now that’s not British liberty, I say, I’m forced to be wise according to their notions, else they parsecute me, and sarve me out.</w:t>
      </w:r>
      <w:r w:rsidRPr="00752F02">
        <w:rPr>
          <w:rStyle w:val="FootnoteReference"/>
          <w:rFonts w:ascii="Times New Roman" w:hAnsi="Times New Roman"/>
          <w:sz w:val="24"/>
          <w:szCs w:val="24"/>
        </w:rPr>
        <w:footnoteReference w:id="1095"/>
      </w:r>
    </w:p>
    <w:p w:rsidR="0005445D" w:rsidRPr="00752F02" w:rsidRDefault="0005445D" w:rsidP="0005445D">
      <w:pPr>
        <w:spacing w:after="120" w:line="360" w:lineRule="auto"/>
        <w:rPr>
          <w:rFonts w:ascii="Times New Roman" w:hAnsi="Times New Roman" w:cs="Times New Roman"/>
          <w:sz w:val="24"/>
          <w:szCs w:val="24"/>
        </w:rPr>
      </w:pPr>
      <w:r w:rsidRPr="00752F02">
        <w:rPr>
          <w:rFonts w:ascii="Times New Roman" w:hAnsi="Times New Roman" w:cs="Times New Roman"/>
          <w:sz w:val="24"/>
          <w:szCs w:val="24"/>
        </w:rPr>
        <w:t>With the reference to ‘British liberty’, Gaskell insinuates a continental brand of extremism has been brought into the lives of workers, a significant aspersion given the European uprisings earlier in the year of the novel’s publication.  For these writers, adversarial radical opinions lead the industrious classes into violence and defeat.</w:t>
      </w:r>
    </w:p>
    <w:p w:rsidR="0005445D" w:rsidRPr="00752F02" w:rsidRDefault="0005445D" w:rsidP="0005445D">
      <w:pPr>
        <w:spacing w:after="120" w:line="360" w:lineRule="auto"/>
        <w:ind w:firstLine="720"/>
        <w:rPr>
          <w:rFonts w:ascii="Times New Roman" w:hAnsi="Times New Roman" w:cs="Times New Roman"/>
          <w:sz w:val="24"/>
          <w:szCs w:val="24"/>
          <w:u w:val="single"/>
        </w:rPr>
      </w:pPr>
      <w:r w:rsidRPr="00752F02">
        <w:rPr>
          <w:rFonts w:ascii="Times New Roman" w:hAnsi="Times New Roman" w:cs="Times New Roman"/>
          <w:bCs/>
          <w:sz w:val="24"/>
          <w:szCs w:val="24"/>
        </w:rPr>
        <w:t xml:space="preserve">In contrast, Reynolds welcomes mass protest as expressing the justified desire for political advancement.  In doing so, he </w:t>
      </w:r>
      <w:r w:rsidRPr="00752F02">
        <w:rPr>
          <w:rFonts w:asciiTheme="majorBidi" w:hAnsiTheme="majorBidi" w:cstheme="majorBidi"/>
          <w:sz w:val="24"/>
          <w:szCs w:val="24"/>
        </w:rPr>
        <w:t xml:space="preserve">rejects any </w:t>
      </w:r>
      <w:r w:rsidRPr="00460BB7">
        <w:rPr>
          <w:rFonts w:asciiTheme="majorBidi" w:hAnsiTheme="majorBidi" w:cstheme="majorBidi"/>
          <w:sz w:val="24"/>
          <w:szCs w:val="24"/>
        </w:rPr>
        <w:t>distancing of the organizations that the</w:t>
      </w:r>
      <w:r w:rsidRPr="00752F02">
        <w:rPr>
          <w:rFonts w:asciiTheme="majorBidi" w:hAnsiTheme="majorBidi" w:cstheme="majorBidi"/>
          <w:sz w:val="24"/>
          <w:szCs w:val="24"/>
        </w:rPr>
        <w:t xml:space="preserve"> industrious classes choose to represent them.  The violence that Gaskell and Disraeli highlight is confined to small conspiratorial groups epitomized by the followers of </w:t>
      </w:r>
      <w:r w:rsidRPr="00752F02">
        <w:rPr>
          <w:rFonts w:asciiTheme="majorBidi" w:hAnsiTheme="majorBidi" w:cstheme="majorBidi"/>
          <w:iCs/>
          <w:sz w:val="24"/>
          <w:szCs w:val="24"/>
        </w:rPr>
        <w:t>Robert Macaire</w:t>
      </w:r>
      <w:r w:rsidRPr="00752F02">
        <w:rPr>
          <w:rFonts w:asciiTheme="majorBidi" w:hAnsiTheme="majorBidi" w:cstheme="majorBidi"/>
          <w:sz w:val="24"/>
          <w:szCs w:val="24"/>
        </w:rPr>
        <w:t>.  T</w:t>
      </w:r>
      <w:r w:rsidRPr="00752F02">
        <w:rPr>
          <w:rFonts w:ascii="Times New Roman" w:hAnsi="Times New Roman" w:cs="Times New Roman"/>
          <w:bCs/>
          <w:sz w:val="24"/>
          <w:szCs w:val="24"/>
        </w:rPr>
        <w:t xml:space="preserve">he Middleton protest in </w:t>
      </w:r>
      <w:r w:rsidRPr="00752F02">
        <w:rPr>
          <w:rFonts w:ascii="Times New Roman" w:hAnsi="Times New Roman" w:cs="Times New Roman"/>
          <w:bCs/>
          <w:i/>
          <w:iCs/>
          <w:sz w:val="24"/>
          <w:szCs w:val="24"/>
        </w:rPr>
        <w:t>The Soldier’s Wife</w:t>
      </w:r>
      <w:r w:rsidRPr="00752F02">
        <w:rPr>
          <w:rFonts w:ascii="Times New Roman" w:hAnsi="Times New Roman" w:cs="Times New Roman"/>
          <w:bCs/>
          <w:sz w:val="24"/>
          <w:szCs w:val="24"/>
        </w:rPr>
        <w:t xml:space="preserve"> (1852</w:t>
      </w:r>
      <w:r w:rsidRPr="00752F02">
        <w:rPr>
          <w:rFonts w:ascii="Times New Roman" w:hAnsi="Times New Roman" w:cs="Times New Roman"/>
          <w:sz w:val="24"/>
          <w:szCs w:val="24"/>
        </w:rPr>
        <w:t>–</w:t>
      </w:r>
      <w:r w:rsidRPr="00752F02">
        <w:rPr>
          <w:rFonts w:ascii="Times New Roman" w:hAnsi="Times New Roman" w:cs="Times New Roman"/>
          <w:bCs/>
          <w:sz w:val="24"/>
          <w:szCs w:val="24"/>
        </w:rPr>
        <w:t xml:space="preserve">53) emphasises it is the speakers’ moderate tone and devotion to social progress that creates unity with the thousands who have gathered.  Nevertheless, many characteristics of such protest point to the hesitant nature of Reynolds’s portrayals.  Above all, caution is evident in the ideological limitations placed upon them, whereby they never promote Socialism, labour theories or rigid constraints upon private enterprise.  They remain based upon perspectives that seek not social equality but a reduction in the privileges of the ‘idle rich’ while allowing individuals to become prosperous through honest endeavour or even by accident of birth, like Mary Price and Joseph Wilmot.  Further </w:t>
      </w:r>
      <w:r w:rsidRPr="00752F02">
        <w:rPr>
          <w:rFonts w:ascii="Times New Roman" w:hAnsi="Times New Roman" w:cs="Times New Roman"/>
          <w:sz w:val="24"/>
          <w:szCs w:val="24"/>
        </w:rPr>
        <w:t xml:space="preserve">caution is apparent with the demand for social change being led by liberal-minded </w:t>
      </w:r>
      <w:r w:rsidRPr="00752F02">
        <w:rPr>
          <w:rFonts w:asciiTheme="majorBidi" w:hAnsiTheme="majorBidi" w:cstheme="majorBidi"/>
          <w:sz w:val="24"/>
          <w:szCs w:val="24"/>
        </w:rPr>
        <w:t xml:space="preserve">middle-class and aristocratic figures, a strategy </w:t>
      </w:r>
      <w:r w:rsidRPr="00752F02">
        <w:rPr>
          <w:rFonts w:ascii="Times New Roman" w:hAnsi="Times New Roman" w:cs="Times New Roman"/>
          <w:sz w:val="24"/>
          <w:szCs w:val="24"/>
        </w:rPr>
        <w:t xml:space="preserve">in line with Reynolds’s </w:t>
      </w:r>
      <w:r w:rsidRPr="00752F02">
        <w:rPr>
          <w:rFonts w:asciiTheme="majorBidi" w:hAnsiTheme="majorBidi" w:cstheme="majorBidi"/>
          <w:sz w:val="24"/>
          <w:szCs w:val="24"/>
        </w:rPr>
        <w:t xml:space="preserve">collaboration with </w:t>
      </w:r>
      <w:r w:rsidRPr="00460BB7">
        <w:rPr>
          <w:rFonts w:asciiTheme="majorBidi" w:hAnsiTheme="majorBidi" w:cstheme="majorBidi"/>
          <w:sz w:val="24"/>
          <w:szCs w:val="24"/>
        </w:rPr>
        <w:t xml:space="preserve">Sir Joshua Walmsley’s </w:t>
      </w:r>
      <w:r w:rsidRPr="00460BB7">
        <w:rPr>
          <w:rFonts w:ascii="Times New Roman" w:hAnsi="Times New Roman" w:cs="Times New Roman"/>
          <w:sz w:val="24"/>
          <w:szCs w:val="24"/>
        </w:rPr>
        <w:t>National Parliamentary and Financial Reform Association</w:t>
      </w:r>
      <w:r w:rsidRPr="00460BB7">
        <w:rPr>
          <w:rFonts w:asciiTheme="majorBidi" w:hAnsiTheme="majorBidi" w:cstheme="majorBidi"/>
          <w:sz w:val="24"/>
          <w:szCs w:val="24"/>
        </w:rPr>
        <w:t>. It is understandable that colleagues might question such activity which relied upon an unlikely preparedness by the upper</w:t>
      </w:r>
      <w:r w:rsidRPr="00752F02">
        <w:rPr>
          <w:rFonts w:asciiTheme="majorBidi" w:hAnsiTheme="majorBidi" w:cstheme="majorBidi"/>
          <w:sz w:val="24"/>
          <w:szCs w:val="24"/>
        </w:rPr>
        <w:t xml:space="preserve"> classes to usher in their own demise.  At best, it limited any advances that might realistically be expected to happen, but more probably it would lead protest down a blind alley, as was the case with the overtures to Walmsley.</w:t>
      </w:r>
    </w:p>
    <w:p w:rsidR="0005445D" w:rsidRPr="00752F02" w:rsidRDefault="0005445D" w:rsidP="0005445D">
      <w:pPr>
        <w:spacing w:after="120" w:line="360" w:lineRule="auto"/>
        <w:ind w:firstLine="720"/>
        <w:rPr>
          <w:rFonts w:ascii="Times New Roman" w:eastAsia="Times New Roman" w:hAnsi="Times New Roman" w:cs="Times New Roman"/>
          <w:sz w:val="24"/>
          <w:szCs w:val="24"/>
          <w:lang w:eastAsia="en-GB"/>
        </w:rPr>
      </w:pPr>
      <w:r w:rsidRPr="00752F02">
        <w:rPr>
          <w:rFonts w:ascii="Times New Roman" w:hAnsi="Times New Roman" w:cs="Times New Roman"/>
          <w:bCs/>
          <w:sz w:val="24"/>
          <w:szCs w:val="24"/>
        </w:rPr>
        <w:t xml:space="preserve">However, more radical aspects of Reynolds’s portrayal need to be set against these limitations.  Through </w:t>
      </w:r>
      <w:r w:rsidRPr="00752F02">
        <w:rPr>
          <w:rFonts w:asciiTheme="majorBidi" w:hAnsiTheme="majorBidi" w:cstheme="majorBidi"/>
          <w:sz w:val="24"/>
          <w:szCs w:val="24"/>
        </w:rPr>
        <w:t xml:space="preserve">the path of ‘independent respectability’ </w:t>
      </w:r>
      <w:r w:rsidRPr="0083509A">
        <w:rPr>
          <w:rFonts w:asciiTheme="majorBidi" w:hAnsiTheme="majorBidi" w:cstheme="majorBidi"/>
          <w:sz w:val="24"/>
          <w:szCs w:val="24"/>
        </w:rPr>
        <w:t xml:space="preserve">he </w:t>
      </w:r>
      <w:r w:rsidRPr="0083509A">
        <w:rPr>
          <w:rFonts w:ascii="Times New Roman" w:hAnsi="Times New Roman" w:cs="Times New Roman"/>
          <w:sz w:val="24"/>
          <w:szCs w:val="24"/>
        </w:rPr>
        <w:t>explores how</w:t>
      </w:r>
      <w:r w:rsidR="00460BB7" w:rsidRPr="0083509A">
        <w:rPr>
          <w:rFonts w:ascii="Times New Roman" w:hAnsi="Times New Roman" w:cs="Times New Roman"/>
          <w:sz w:val="24"/>
          <w:szCs w:val="24"/>
        </w:rPr>
        <w:t xml:space="preserve"> change might be achieved</w:t>
      </w:r>
      <w:r w:rsidRPr="0083509A">
        <w:rPr>
          <w:rFonts w:asciiTheme="majorBidi" w:hAnsiTheme="majorBidi" w:cstheme="majorBidi"/>
          <w:sz w:val="24"/>
          <w:szCs w:val="24"/>
        </w:rPr>
        <w:t xml:space="preserve"> through the peaceful means he felt were </w:t>
      </w:r>
      <w:r w:rsidRPr="0083509A">
        <w:rPr>
          <w:rFonts w:ascii="Times New Roman" w:hAnsi="Times New Roman" w:cs="Times New Roman"/>
          <w:sz w:val="24"/>
          <w:szCs w:val="24"/>
        </w:rPr>
        <w:t>appropriate in Britain.</w:t>
      </w:r>
      <w:r w:rsidRPr="00752F02">
        <w:rPr>
          <w:rFonts w:ascii="Times New Roman" w:hAnsi="Times New Roman" w:cs="Times New Roman"/>
          <w:bCs/>
          <w:sz w:val="24"/>
          <w:szCs w:val="24"/>
        </w:rPr>
        <w:t xml:space="preserve">  With mass </w:t>
      </w:r>
      <w:r w:rsidRPr="00752F02">
        <w:rPr>
          <w:rFonts w:ascii="Times New Roman" w:hAnsi="Times New Roman" w:cs="Times New Roman"/>
          <w:bCs/>
          <w:sz w:val="24"/>
          <w:szCs w:val="24"/>
        </w:rPr>
        <w:lastRenderedPageBreak/>
        <w:t xml:space="preserve">demonstrations, he not only removes the unthinking </w:t>
      </w:r>
      <w:r w:rsidRPr="00752F02">
        <w:rPr>
          <w:rFonts w:ascii="Times New Roman" w:hAnsi="Times New Roman" w:cs="Times New Roman"/>
          <w:sz w:val="24"/>
          <w:szCs w:val="24"/>
        </w:rPr>
        <w:t xml:space="preserve">carnivalesque elements emphasised by his contemporaries but converts them into popular </w:t>
      </w:r>
      <w:r w:rsidRPr="00460BB7">
        <w:rPr>
          <w:rFonts w:ascii="Times New Roman" w:hAnsi="Times New Roman" w:cs="Times New Roman"/>
          <w:sz w:val="24"/>
          <w:szCs w:val="24"/>
        </w:rPr>
        <w:t>displays of reason and intellect</w:t>
      </w:r>
      <w:r w:rsidR="008E6219" w:rsidRPr="00460BB7">
        <w:rPr>
          <w:rFonts w:ascii="Times New Roman" w:hAnsi="Times New Roman" w:cs="Times New Roman"/>
          <w:sz w:val="24"/>
          <w:szCs w:val="24"/>
        </w:rPr>
        <w:t>ual</w:t>
      </w:r>
      <w:r w:rsidRPr="00752F02">
        <w:rPr>
          <w:rFonts w:ascii="Times New Roman" w:hAnsi="Times New Roman" w:cs="Times New Roman"/>
          <w:sz w:val="24"/>
          <w:szCs w:val="24"/>
        </w:rPr>
        <w:t xml:space="preserve"> advancement that </w:t>
      </w:r>
      <w:r w:rsidRPr="00752F02">
        <w:rPr>
          <w:rFonts w:ascii="Times New Roman" w:eastAsia="Times New Roman" w:hAnsi="Times New Roman" w:cs="Times New Roman"/>
          <w:sz w:val="24"/>
          <w:szCs w:val="24"/>
          <w:lang w:eastAsia="en-GB"/>
        </w:rPr>
        <w:t>represent a</w:t>
      </w:r>
      <w:r w:rsidRPr="00752F02">
        <w:rPr>
          <w:rFonts w:ascii="Times New Roman" w:hAnsi="Times New Roman" w:cs="Times New Roman"/>
          <w:sz w:val="24"/>
          <w:szCs w:val="24"/>
        </w:rPr>
        <w:t xml:space="preserve"> high point in the political</w:t>
      </w:r>
      <w:r w:rsidRPr="00752F02">
        <w:rPr>
          <w:rFonts w:asciiTheme="majorBidi" w:hAnsiTheme="majorBidi" w:cstheme="majorBidi"/>
          <w:sz w:val="24"/>
          <w:szCs w:val="24"/>
        </w:rPr>
        <w:t xml:space="preserve"> consciousness of the industrious classes</w:t>
      </w:r>
      <w:r w:rsidRPr="00752F02">
        <w:rPr>
          <w:rFonts w:ascii="Times New Roman" w:hAnsi="Times New Roman" w:cs="Times New Roman"/>
          <w:bCs/>
          <w:sz w:val="24"/>
          <w:szCs w:val="24"/>
        </w:rPr>
        <w:t xml:space="preserve">.  </w:t>
      </w:r>
      <w:r w:rsidRPr="00752F02">
        <w:rPr>
          <w:rFonts w:ascii="Times New Roman" w:hAnsi="Times New Roman" w:cs="Times New Roman"/>
          <w:sz w:val="24"/>
          <w:szCs w:val="24"/>
        </w:rPr>
        <w:t xml:space="preserve">In line with </w:t>
      </w:r>
      <w:r w:rsidRPr="00752F02">
        <w:rPr>
          <w:rFonts w:ascii="Times New Roman" w:eastAsia="Times New Roman" w:hAnsi="Times New Roman" w:cs="Times New Roman"/>
          <w:sz w:val="24"/>
          <w:szCs w:val="24"/>
          <w:lang w:eastAsia="en-GB"/>
        </w:rPr>
        <w:t xml:space="preserve">Reynolds’s belief that there was no </w:t>
      </w:r>
      <w:r w:rsidRPr="00752F02">
        <w:rPr>
          <w:rFonts w:ascii="Times New Roman" w:hAnsi="Times New Roman" w:cs="Times New Roman"/>
          <w:sz w:val="24"/>
          <w:szCs w:val="24"/>
        </w:rPr>
        <w:t xml:space="preserve">‘golden age’ of traditional rights and freedoms, </w:t>
      </w:r>
      <w:r w:rsidRPr="00752F02">
        <w:rPr>
          <w:rFonts w:ascii="Times New Roman" w:eastAsia="Times New Roman" w:hAnsi="Times New Roman" w:cs="Times New Roman"/>
          <w:sz w:val="24"/>
          <w:szCs w:val="24"/>
          <w:lang w:eastAsia="en-GB"/>
        </w:rPr>
        <w:t xml:space="preserve">this </w:t>
      </w:r>
      <w:r w:rsidRPr="00752F02">
        <w:rPr>
          <w:rFonts w:ascii="Times New Roman" w:hAnsi="Times New Roman" w:cs="Times New Roman"/>
          <w:bCs/>
          <w:sz w:val="24"/>
          <w:szCs w:val="24"/>
        </w:rPr>
        <w:t>political involvement</w:t>
      </w:r>
      <w:r w:rsidRPr="00752F02">
        <w:rPr>
          <w:rFonts w:ascii="Times New Roman" w:hAnsi="Times New Roman" w:cs="Times New Roman"/>
          <w:sz w:val="24"/>
          <w:szCs w:val="24"/>
        </w:rPr>
        <w:t xml:space="preserve"> </w:t>
      </w:r>
      <w:r w:rsidRPr="00752F02">
        <w:rPr>
          <w:rFonts w:ascii="Times New Roman" w:eastAsia="Times New Roman" w:hAnsi="Times New Roman" w:cs="Times New Roman"/>
          <w:sz w:val="24"/>
          <w:szCs w:val="24"/>
          <w:lang w:eastAsia="en-GB"/>
        </w:rPr>
        <w:t xml:space="preserve">is forward looking and does not result </w:t>
      </w:r>
      <w:r w:rsidRPr="00752F02">
        <w:rPr>
          <w:rFonts w:ascii="Times New Roman" w:hAnsi="Times New Roman" w:cs="Times New Roman"/>
          <w:bCs/>
          <w:sz w:val="24"/>
          <w:szCs w:val="24"/>
        </w:rPr>
        <w:t xml:space="preserve">in their returning under the charitable wing of the upper classes.  </w:t>
      </w:r>
      <w:r w:rsidRPr="00752F02">
        <w:rPr>
          <w:rFonts w:ascii="Times New Roman" w:hAnsi="Times New Roman" w:cs="Times New Roman"/>
          <w:sz w:val="24"/>
          <w:szCs w:val="24"/>
        </w:rPr>
        <w:t xml:space="preserve">Rather like Sam Weller’s imbibing of French radicalism, they have enriched their outlook with adventurous ideas.  By the later stages of </w:t>
      </w:r>
      <w:r w:rsidRPr="00752F02">
        <w:rPr>
          <w:rFonts w:ascii="Times New Roman" w:hAnsi="Times New Roman" w:cs="Times New Roman"/>
          <w:bCs/>
          <w:sz w:val="24"/>
          <w:szCs w:val="24"/>
        </w:rPr>
        <w:t xml:space="preserve">the </w:t>
      </w:r>
      <w:r w:rsidRPr="00752F02">
        <w:rPr>
          <w:rFonts w:ascii="Times New Roman" w:hAnsi="Times New Roman" w:cs="Times New Roman"/>
          <w:bCs/>
          <w:i/>
          <w:sz w:val="24"/>
          <w:szCs w:val="24"/>
        </w:rPr>
        <w:t>Mysteries of London</w:t>
      </w:r>
      <w:r w:rsidRPr="00752F02">
        <w:rPr>
          <w:rFonts w:ascii="Times New Roman" w:hAnsi="Times New Roman" w:cs="Times New Roman"/>
          <w:sz w:val="24"/>
          <w:szCs w:val="24"/>
        </w:rPr>
        <w:t xml:space="preserve"> such attitudes are not the preserve of benevolent employers like Mr West in </w:t>
      </w:r>
      <w:r w:rsidRPr="00752F02">
        <w:rPr>
          <w:rFonts w:ascii="Times New Roman" w:hAnsi="Times New Roman" w:cs="Times New Roman"/>
          <w:i/>
          <w:sz w:val="24"/>
          <w:szCs w:val="24"/>
        </w:rPr>
        <w:t>The Days of Hogarth</w:t>
      </w:r>
      <w:r w:rsidRPr="00752F02">
        <w:rPr>
          <w:rFonts w:ascii="Times New Roman" w:hAnsi="Times New Roman" w:cs="Times New Roman"/>
          <w:sz w:val="24"/>
          <w:szCs w:val="24"/>
        </w:rPr>
        <w:t xml:space="preserve"> (1847–48) but find support among the vast crowds who cheer the programme of Lord Ellingham.  They </w:t>
      </w:r>
      <w:r w:rsidRPr="00752F02">
        <w:rPr>
          <w:rFonts w:ascii="Times New Roman" w:hAnsi="Times New Roman" w:cs="Times New Roman"/>
          <w:bCs/>
          <w:sz w:val="24"/>
          <w:szCs w:val="24"/>
        </w:rPr>
        <w:t xml:space="preserve">recognize the need to curb aristocratic power and privilege, particularly through adjustments to the laws of primogeniture, and prevent the excesses of unbridled competition.  The programme </w:t>
      </w:r>
      <w:r w:rsidRPr="00752F02">
        <w:rPr>
          <w:rFonts w:ascii="Times New Roman" w:eastAsia="Times New Roman" w:hAnsi="Times New Roman" w:cs="Times New Roman"/>
          <w:sz w:val="24"/>
          <w:szCs w:val="24"/>
          <w:lang w:eastAsia="en-GB"/>
        </w:rPr>
        <w:t xml:space="preserve">also involves the implementation of regulatory measures that recognise the value of their labour and ensure well-being in times of economic depression.  </w:t>
      </w:r>
      <w:r w:rsidRPr="00752F02">
        <w:rPr>
          <w:rFonts w:ascii="Times New Roman" w:hAnsi="Times New Roman" w:cs="Times New Roman"/>
          <w:sz w:val="24"/>
          <w:szCs w:val="24"/>
        </w:rPr>
        <w:t xml:space="preserve">With </w:t>
      </w:r>
      <w:r w:rsidRPr="00752F02">
        <w:rPr>
          <w:rFonts w:ascii="Times New Roman" w:hAnsi="Times New Roman" w:cs="Times New Roman"/>
          <w:bCs/>
          <w:sz w:val="24"/>
          <w:szCs w:val="24"/>
        </w:rPr>
        <w:t>the resolution of social problems being seen in terms of government intervention,</w:t>
      </w:r>
      <w:r w:rsidRPr="00752F02">
        <w:rPr>
          <w:rFonts w:ascii="Times New Roman" w:hAnsi="Times New Roman" w:cs="Times New Roman"/>
          <w:sz w:val="24"/>
          <w:szCs w:val="24"/>
        </w:rPr>
        <w:t xml:space="preserve"> the masses are shown challenging the restrictive ‘conceptual set’ of the political economists.</w:t>
      </w:r>
    </w:p>
    <w:p w:rsidR="0005445D" w:rsidRPr="00752F02" w:rsidRDefault="0005445D" w:rsidP="0005445D">
      <w:pPr>
        <w:spacing w:after="120" w:line="360" w:lineRule="auto"/>
        <w:ind w:firstLine="720"/>
        <w:rPr>
          <w:rFonts w:ascii="Times New Roman" w:hAnsi="Times New Roman" w:cs="Times New Roman"/>
          <w:bCs/>
          <w:sz w:val="24"/>
          <w:szCs w:val="24"/>
        </w:rPr>
      </w:pPr>
      <w:r w:rsidRPr="00752F02">
        <w:rPr>
          <w:rFonts w:ascii="Times New Roman" w:hAnsi="Times New Roman" w:cs="Times New Roman"/>
          <w:bCs/>
          <w:sz w:val="24"/>
          <w:szCs w:val="24"/>
        </w:rPr>
        <w:t xml:space="preserve">By presenting this combination of moderate and radical perspectives being accepted across broad swathes of the population, Reynolds anticipates Dahrendorfian arguments by suggesting </w:t>
      </w:r>
      <w:r w:rsidRPr="00752F02">
        <w:rPr>
          <w:rFonts w:ascii="Times New Roman" w:hAnsi="Times New Roman" w:cs="Times New Roman"/>
          <w:sz w:val="24"/>
          <w:szCs w:val="24"/>
        </w:rPr>
        <w:t xml:space="preserve">that the diverse strata of authority among the industrious classes are not an </w:t>
      </w:r>
      <w:r w:rsidRPr="00752F02">
        <w:rPr>
          <w:rFonts w:ascii="Times New Roman" w:hAnsi="Times New Roman" w:cs="Times New Roman"/>
          <w:bCs/>
          <w:sz w:val="24"/>
          <w:szCs w:val="24"/>
        </w:rPr>
        <w:t>insuperable barrier to unified dissent.  In doing so, he</w:t>
      </w:r>
      <w:r w:rsidRPr="00752F02">
        <w:rPr>
          <w:rFonts w:ascii="Times New Roman" w:hAnsi="Times New Roman" w:cs="Times New Roman"/>
          <w:sz w:val="24"/>
          <w:szCs w:val="24"/>
        </w:rPr>
        <w:t xml:space="preserve"> could look to protests during the French revolutionary period of the 1780s and 1790s, which George Rudé describes as being comprised of distinct social groups ‘from the workshop masters, craftsmen, wage-earners, shopkeepers, and petty traders of the capital’ while the leaders were with few exceptions ‘drawn from the commercial bourgeoisie, the professions, or the liberal aristocracy’.</w:t>
      </w:r>
      <w:r w:rsidRPr="00752F02">
        <w:rPr>
          <w:rStyle w:val="FootnoteReference"/>
          <w:rFonts w:ascii="Times New Roman" w:hAnsi="Times New Roman"/>
          <w:sz w:val="24"/>
          <w:szCs w:val="24"/>
        </w:rPr>
        <w:footnoteReference w:id="1096"/>
      </w:r>
      <w:r w:rsidRPr="00752F02">
        <w:rPr>
          <w:rFonts w:ascii="Times New Roman" w:hAnsi="Times New Roman" w:cs="Times New Roman"/>
          <w:sz w:val="24"/>
          <w:szCs w:val="24"/>
        </w:rPr>
        <w:t xml:space="preserve">  Such </w:t>
      </w:r>
      <w:r w:rsidRPr="00752F02">
        <w:rPr>
          <w:rFonts w:ascii="Times New Roman" w:hAnsi="Times New Roman"/>
          <w:sz w:val="24"/>
          <w:szCs w:val="24"/>
        </w:rPr>
        <w:t>depictions argue that non-violent action</w:t>
      </w:r>
      <w:r w:rsidRPr="00752F02">
        <w:rPr>
          <w:rFonts w:asciiTheme="majorBidi" w:hAnsiTheme="majorBidi" w:cstheme="majorBidi"/>
          <w:sz w:val="24"/>
          <w:szCs w:val="24"/>
        </w:rPr>
        <w:t xml:space="preserve"> governed by rules of good conduct can be united with a range of progressive views.  </w:t>
      </w:r>
      <w:r w:rsidRPr="00752F02">
        <w:rPr>
          <w:rFonts w:ascii="Times New Roman" w:eastAsia="Times New Roman" w:hAnsi="Times New Roman" w:cs="Times New Roman"/>
          <w:sz w:val="24"/>
          <w:szCs w:val="24"/>
          <w:lang w:eastAsia="en-GB"/>
        </w:rPr>
        <w:t xml:space="preserve">In this respect, the use of </w:t>
      </w:r>
      <w:r w:rsidRPr="00752F02">
        <w:rPr>
          <w:rFonts w:ascii="Times New Roman" w:hAnsi="Times New Roman" w:cs="Times New Roman"/>
          <w:bCs/>
          <w:sz w:val="24"/>
          <w:szCs w:val="24"/>
        </w:rPr>
        <w:t xml:space="preserve">independent respectability to underpin the social consciousness of the masses is </w:t>
      </w:r>
      <w:r w:rsidRPr="00752F02">
        <w:rPr>
          <w:rFonts w:ascii="Times New Roman" w:eastAsia="Times New Roman" w:hAnsi="Times New Roman" w:cs="Times New Roman"/>
          <w:sz w:val="24"/>
          <w:szCs w:val="24"/>
          <w:lang w:eastAsia="en-GB"/>
        </w:rPr>
        <w:t xml:space="preserve">a </w:t>
      </w:r>
      <w:r w:rsidRPr="00752F02">
        <w:rPr>
          <w:rFonts w:asciiTheme="majorBidi" w:hAnsiTheme="majorBidi" w:cstheme="majorBidi"/>
          <w:sz w:val="24"/>
          <w:szCs w:val="24"/>
        </w:rPr>
        <w:t xml:space="preserve">riposte to the tactics of an earlier age, </w:t>
      </w:r>
      <w:r w:rsidRPr="00752F02">
        <w:rPr>
          <w:rFonts w:ascii="Times New Roman" w:eastAsia="Times New Roman" w:hAnsi="Times New Roman" w:cs="Times New Roman"/>
          <w:sz w:val="24"/>
          <w:szCs w:val="24"/>
          <w:lang w:eastAsia="en-GB"/>
        </w:rPr>
        <w:t xml:space="preserve">showing them breaking away from outmoded, violent forms of struggle and the traditionalist views they frequently espoused.  </w:t>
      </w:r>
      <w:r w:rsidRPr="00752F02">
        <w:rPr>
          <w:rFonts w:ascii="Times New Roman" w:hAnsi="Times New Roman" w:cs="Times New Roman"/>
          <w:sz w:val="24"/>
          <w:szCs w:val="24"/>
        </w:rPr>
        <w:t xml:space="preserve">The disciplined nature of this dissent opposes those who can only see the involvement of the industrious classes in the democratic process as something desirable in the distant future or not at all.  In contrast, Reynolds argues they are already prepared to exercise this right.  </w:t>
      </w:r>
    </w:p>
    <w:p w:rsidR="0005445D" w:rsidRPr="00752F02" w:rsidRDefault="0005445D" w:rsidP="0005445D">
      <w:pPr>
        <w:spacing w:after="120" w:line="360" w:lineRule="auto"/>
        <w:ind w:firstLine="720"/>
        <w:rPr>
          <w:rFonts w:ascii="Times New Roman" w:hAnsi="Times New Roman" w:cs="Times New Roman"/>
          <w:sz w:val="24"/>
          <w:szCs w:val="24"/>
        </w:rPr>
      </w:pPr>
      <w:r w:rsidRPr="00752F02">
        <w:rPr>
          <w:rFonts w:ascii="Times New Roman" w:hAnsi="Times New Roman" w:cs="Times New Roman"/>
          <w:sz w:val="24"/>
          <w:szCs w:val="24"/>
        </w:rPr>
        <w:lastRenderedPageBreak/>
        <w:t xml:space="preserve">Reynolds’s portrayals must also be seen as emphasising that the industrious classes are not only a </w:t>
      </w:r>
      <w:r w:rsidRPr="00460BB7">
        <w:rPr>
          <w:rFonts w:ascii="Times New Roman" w:hAnsi="Times New Roman" w:cs="Times New Roman"/>
          <w:sz w:val="24"/>
          <w:szCs w:val="24"/>
        </w:rPr>
        <w:t>suffering but a</w:t>
      </w:r>
      <w:r w:rsidRPr="00752F02">
        <w:rPr>
          <w:rFonts w:ascii="Times New Roman" w:hAnsi="Times New Roman" w:cs="Times New Roman"/>
          <w:sz w:val="24"/>
          <w:szCs w:val="24"/>
        </w:rPr>
        <w:t xml:space="preserve"> rebellious section of the population.  Their double-edged nature is highlighted by a front-page diptych in his </w:t>
      </w:r>
      <w:r w:rsidRPr="00752F02">
        <w:rPr>
          <w:rFonts w:ascii="Times New Roman" w:hAnsi="Times New Roman" w:cs="Times New Roman"/>
          <w:i/>
          <w:sz w:val="24"/>
          <w:szCs w:val="24"/>
        </w:rPr>
        <w:t>Political Instructor</w:t>
      </w:r>
      <w:r w:rsidRPr="00752F02">
        <w:rPr>
          <w:rFonts w:ascii="Times New Roman" w:hAnsi="Times New Roman" w:cs="Times New Roman"/>
          <w:sz w:val="24"/>
          <w:szCs w:val="24"/>
        </w:rPr>
        <w:t>.  The left side presents a poverty-stricken family, where a gaunt mother holds her children while the despairing father sits on the floor with head in hands.  The reader’s eye then moves rightwards to a scene of grandeur in which members of the nobility are gathered in their finery.  The illustration shows the labouring masses half-starved, without possessions and unable to find employment.  However, the accompanying text contains menace: ‘the storm is daily approaching nearer and nearer, that must, if not attended, shake society to its foundations, and root up the institutions of centuries’.</w:t>
      </w:r>
      <w:r w:rsidRPr="00752F02">
        <w:rPr>
          <w:rStyle w:val="FootnoteReference"/>
          <w:rFonts w:ascii="Times New Roman" w:hAnsi="Times New Roman"/>
          <w:sz w:val="24"/>
          <w:szCs w:val="24"/>
        </w:rPr>
        <w:footnoteReference w:id="1097"/>
      </w:r>
      <w:r w:rsidRPr="00752F02">
        <w:rPr>
          <w:rFonts w:ascii="Times New Roman" w:hAnsi="Times New Roman" w:cs="Times New Roman"/>
          <w:sz w:val="24"/>
          <w:szCs w:val="24"/>
        </w:rPr>
        <w:t xml:space="preserve">  These words, written in the year following revolutionary uprisings across Europe, warn the ruling classes what actions the masses may adopt and that compromises must be made.  Mary Shannon writes that for Reynolds London is too fragmented, its lack of centre limiting its potential as a revolutionary city, resulting in it becoming a failed Montoni, capital of Castelcicala.</w:t>
      </w:r>
      <w:r w:rsidRPr="00752F02">
        <w:rPr>
          <w:rStyle w:val="FootnoteReference"/>
          <w:rFonts w:ascii="Times New Roman" w:hAnsi="Times New Roman"/>
          <w:sz w:val="24"/>
          <w:szCs w:val="24"/>
        </w:rPr>
        <w:footnoteReference w:id="1098"/>
      </w:r>
      <w:r w:rsidRPr="00752F02">
        <w:rPr>
          <w:rFonts w:ascii="Times New Roman" w:hAnsi="Times New Roman" w:cs="Times New Roman"/>
          <w:sz w:val="24"/>
          <w:szCs w:val="24"/>
        </w:rPr>
        <w:t xml:space="preserve">  It is certain he wished to hasten the radical outlook that propelled the overthrow of oppressive rule in his fictional state.  However, London needs to be seen in a different light.  The article quoted in the Introduction which encouraged the working classes to espouse Kossuth, Mazzini, Ledru-Rollin, and Louis Blanc also pointed to England being unlike the European theatre: ‘the movement here is a peaceful, a legal, and a constitutional one, relying on moral means and bloodless agencies, and therefore fitted for all seasons and all occasions’.</w:t>
      </w:r>
      <w:r w:rsidRPr="00752F02">
        <w:rPr>
          <w:rStyle w:val="FootnoteReference"/>
          <w:rFonts w:ascii="Times New Roman" w:hAnsi="Times New Roman"/>
          <w:sz w:val="24"/>
          <w:szCs w:val="24"/>
        </w:rPr>
        <w:footnoteReference w:id="1099"/>
      </w:r>
      <w:r w:rsidRPr="00752F02">
        <w:rPr>
          <w:rFonts w:ascii="Times New Roman" w:hAnsi="Times New Roman" w:cs="Times New Roman"/>
          <w:sz w:val="24"/>
          <w:szCs w:val="24"/>
        </w:rPr>
        <w:t xml:space="preserve">  For Reynolds, London was not a failure.  If t</w:t>
      </w:r>
      <w:r w:rsidRPr="00752F02">
        <w:rPr>
          <w:rFonts w:asciiTheme="majorBidi" w:hAnsiTheme="majorBidi" w:cstheme="majorBidi"/>
          <w:sz w:val="24"/>
          <w:szCs w:val="24"/>
        </w:rPr>
        <w:t xml:space="preserve">he picture of events in Castelcicala has a lesson for the industrious classes in Britain it is not the need for physical force but that elements of the aristocracy are prepared to gradually cede their privileges in the face of popular opposition, </w:t>
      </w:r>
      <w:r w:rsidRPr="00752F02">
        <w:rPr>
          <w:rFonts w:ascii="Times New Roman" w:hAnsi="Times New Roman" w:cs="Times New Roman"/>
          <w:sz w:val="24"/>
          <w:szCs w:val="24"/>
        </w:rPr>
        <w:t>something he believes is possible in the political climate of England.</w:t>
      </w:r>
    </w:p>
    <w:p w:rsidR="0005445D" w:rsidRPr="00752F02" w:rsidRDefault="0005445D" w:rsidP="0005445D">
      <w:pPr>
        <w:spacing w:after="120" w:line="360" w:lineRule="auto"/>
        <w:ind w:firstLine="720"/>
        <w:rPr>
          <w:rFonts w:ascii="Times New Roman" w:hAnsi="Times New Roman" w:cs="Times New Roman"/>
          <w:sz w:val="24"/>
          <w:szCs w:val="24"/>
        </w:rPr>
      </w:pPr>
      <w:r w:rsidRPr="00752F02">
        <w:rPr>
          <w:rFonts w:ascii="Times New Roman" w:hAnsi="Times New Roman" w:cs="Times New Roman"/>
          <w:sz w:val="24"/>
          <w:szCs w:val="24"/>
        </w:rPr>
        <w:t>It would be unfair to decry Reynolds for believing such change could be achieved through the parliamentary system.  In the period under discussion even revolutionaries like Marx and Engels considered this possibility as when they write: ‘The proletariat will use its political supremacy to wrest, by degrees, all capital from the bourgeoisie’.</w:t>
      </w:r>
      <w:r w:rsidRPr="006E78D8">
        <w:rPr>
          <w:rStyle w:val="FootnoteReference"/>
          <w:rFonts w:ascii="Times New Roman" w:hAnsi="Times New Roman"/>
          <w:sz w:val="24"/>
          <w:szCs w:val="24"/>
        </w:rPr>
        <w:footnoteReference w:id="1100"/>
      </w:r>
      <w:r w:rsidRPr="006E78D8">
        <w:rPr>
          <w:rFonts w:ascii="Times New Roman" w:hAnsi="Times New Roman" w:cs="Times New Roman"/>
          <w:sz w:val="24"/>
          <w:szCs w:val="24"/>
        </w:rPr>
        <w:t xml:space="preserve"> </w:t>
      </w:r>
      <w:r w:rsidRPr="00752F02">
        <w:rPr>
          <w:rFonts w:ascii="Times New Roman" w:hAnsi="Times New Roman" w:cs="Times New Roman"/>
          <w:sz w:val="24"/>
          <w:szCs w:val="24"/>
        </w:rPr>
        <w:t xml:space="preserve"> They too speak of ‘political supremacy’, suggesting that gaining electoral advantage will allow for change to </w:t>
      </w:r>
      <w:r w:rsidRPr="00752F02">
        <w:rPr>
          <w:rFonts w:ascii="Times New Roman" w:hAnsi="Times New Roman" w:cs="Times New Roman"/>
          <w:sz w:val="24"/>
          <w:szCs w:val="24"/>
        </w:rPr>
        <w:lastRenderedPageBreak/>
        <w:t>occur ‘by degrees’.</w:t>
      </w:r>
      <w:r w:rsidRPr="00752F02">
        <w:rPr>
          <w:rStyle w:val="FootnoteReference"/>
          <w:rFonts w:ascii="Times New Roman" w:hAnsi="Times New Roman"/>
          <w:sz w:val="24"/>
          <w:szCs w:val="24"/>
        </w:rPr>
        <w:footnoteReference w:id="1101"/>
      </w:r>
      <w:r w:rsidRPr="00752F02">
        <w:rPr>
          <w:rFonts w:ascii="Times New Roman" w:hAnsi="Times New Roman" w:cs="Times New Roman"/>
          <w:sz w:val="24"/>
          <w:szCs w:val="24"/>
        </w:rPr>
        <w:t xml:space="preserve">  What differs is how they envisage change being implemented: ‘Of course, in the beginning, this cannot be effected except by means of despotic inroads on the right of property, and on the conditions of bourgeois production’.</w:t>
      </w:r>
      <w:r w:rsidRPr="00752F02">
        <w:rPr>
          <w:rStyle w:val="FootnoteReference"/>
          <w:rFonts w:ascii="Times New Roman" w:hAnsi="Times New Roman"/>
          <w:sz w:val="24"/>
          <w:szCs w:val="24"/>
        </w:rPr>
        <w:footnoteReference w:id="1102"/>
      </w:r>
      <w:r w:rsidRPr="00752F02">
        <w:rPr>
          <w:rFonts w:ascii="Times New Roman" w:hAnsi="Times New Roman" w:cs="Times New Roman"/>
          <w:sz w:val="24"/>
          <w:szCs w:val="24"/>
        </w:rPr>
        <w:t xml:space="preserve">  The grim realism in the words ‘despotic inroads’ points to the need for a new dictatorship, with the proletariat restructuring property relations at the expense of the ruling classes for the benefit of the majority.  Reynolds never really confronts what it entails to reconstruct society, placing it in terms of reasoned discussion leading to gradual change.  </w:t>
      </w:r>
      <w:r w:rsidRPr="00752F02">
        <w:rPr>
          <w:rFonts w:ascii="Times New Roman" w:hAnsi="Times New Roman" w:cs="Times New Roman"/>
          <w:bCs/>
          <w:sz w:val="24"/>
          <w:szCs w:val="24"/>
        </w:rPr>
        <w:t xml:space="preserve">While seeing the problems resulting from contemporary capitalism, he does not argue that the contradictions in the workings of the economy were irreconcilable.  This sense of possible compromise allows him to continue depicting protest within a framework of Lockean virtue and tolerance.  </w:t>
      </w:r>
      <w:r w:rsidRPr="00752F02">
        <w:rPr>
          <w:rFonts w:ascii="Times New Roman" w:hAnsi="Times New Roman" w:cs="Times New Roman"/>
          <w:sz w:val="24"/>
          <w:szCs w:val="24"/>
        </w:rPr>
        <w:t>T</w:t>
      </w:r>
      <w:r w:rsidRPr="00752F02">
        <w:rPr>
          <w:rFonts w:ascii="Times New Roman" w:hAnsi="Times New Roman" w:cs="Times New Roman"/>
          <w:bCs/>
          <w:sz w:val="24"/>
          <w:szCs w:val="24"/>
        </w:rPr>
        <w:t>hese broad principles exert more influence upon him than contemporaries of a more radical stamp such as the labour theorists Thomas Hodgskin and William Thompson or the Socialist Robert Owen.  There were reasons for opposing their schemes from a radical position.  R. S. Neale points to the Arcadian and utopian aspects of the proposed model communities of the labour theorists.</w:t>
      </w:r>
      <w:r w:rsidRPr="00F618D2">
        <w:rPr>
          <w:rStyle w:val="FootnoteReference"/>
          <w:rFonts w:ascii="Times New Roman" w:hAnsi="Times New Roman"/>
          <w:sz w:val="24"/>
          <w:szCs w:val="24"/>
        </w:rPr>
        <w:footnoteReference w:id="1103"/>
      </w:r>
      <w:r w:rsidRPr="00F618D2">
        <w:rPr>
          <w:rFonts w:ascii="Times New Roman" w:hAnsi="Times New Roman" w:cs="Times New Roman"/>
          <w:bCs/>
          <w:sz w:val="24"/>
          <w:szCs w:val="24"/>
        </w:rPr>
        <w:t xml:space="preserve"> </w:t>
      </w:r>
      <w:r w:rsidRPr="00752F02">
        <w:rPr>
          <w:rFonts w:ascii="Times New Roman" w:hAnsi="Times New Roman" w:cs="Times New Roman"/>
          <w:bCs/>
          <w:sz w:val="24"/>
          <w:szCs w:val="24"/>
        </w:rPr>
        <w:t xml:space="preserve"> Engels noted these shortcomings, but his political sympathies made him appreciate the attempts at progress and scorn those who refused to see in them an exciting experiment to bring about change: ‘For ourselves, we delight in the stupendously grand thoughts and germs of thought that everywhere break out through their phantastic covering, and to which these Philistines are blind.’</w:t>
      </w:r>
      <w:r w:rsidRPr="00F618D2">
        <w:rPr>
          <w:rStyle w:val="FootnoteReference"/>
          <w:rFonts w:ascii="Times New Roman" w:hAnsi="Times New Roman"/>
          <w:sz w:val="24"/>
          <w:szCs w:val="24"/>
        </w:rPr>
        <w:footnoteReference w:id="1104"/>
      </w:r>
      <w:r w:rsidRPr="00F618D2">
        <w:rPr>
          <w:rFonts w:ascii="Times New Roman" w:hAnsi="Times New Roman" w:cs="Times New Roman"/>
          <w:bCs/>
          <w:sz w:val="24"/>
          <w:szCs w:val="24"/>
        </w:rPr>
        <w:t xml:space="preserve"> </w:t>
      </w:r>
      <w:r w:rsidRPr="00752F02">
        <w:rPr>
          <w:rFonts w:ascii="Times New Roman" w:hAnsi="Times New Roman" w:cs="Times New Roman"/>
          <w:bCs/>
          <w:sz w:val="24"/>
          <w:szCs w:val="24"/>
        </w:rPr>
        <w:t xml:space="preserve"> Reynolds, especially in early writings, took a less generous view, regarding them as unrealistic and precipitate, and taking little account of the weaknesses in human nature.  On a more practical level, they also involved intrusive forms of supervision that he would have opposed.</w:t>
      </w:r>
      <w:r w:rsidRPr="00752F02">
        <w:rPr>
          <w:rStyle w:val="FootnoteReference"/>
          <w:rFonts w:ascii="Times New Roman" w:hAnsi="Times New Roman"/>
          <w:sz w:val="24"/>
          <w:szCs w:val="24"/>
        </w:rPr>
        <w:footnoteReference w:id="1105"/>
      </w:r>
      <w:r w:rsidRPr="00752F02">
        <w:rPr>
          <w:rFonts w:ascii="Times New Roman" w:hAnsi="Times New Roman" w:cs="Times New Roman"/>
          <w:sz w:val="24"/>
          <w:szCs w:val="24"/>
        </w:rPr>
        <w:t xml:space="preserve">  </w:t>
      </w:r>
      <w:r w:rsidRPr="00752F02">
        <w:rPr>
          <w:rFonts w:ascii="Times New Roman" w:hAnsi="Times New Roman" w:cs="Times New Roman"/>
          <w:bCs/>
          <w:sz w:val="24"/>
          <w:szCs w:val="24"/>
        </w:rPr>
        <w:t xml:space="preserve">However, the fundamental reason for his rejecting these strategies, regardless of any sympathy for their egalitarian intentions, was admiration for the dynamism of the capitalist economy, especially that of London.  </w:t>
      </w:r>
      <w:r w:rsidRPr="00752F02">
        <w:rPr>
          <w:rFonts w:ascii="Times New Roman" w:hAnsi="Times New Roman" w:cs="Times New Roman"/>
          <w:sz w:val="24"/>
          <w:szCs w:val="24"/>
        </w:rPr>
        <w:t xml:space="preserve">He does not reject </w:t>
      </w:r>
      <w:r w:rsidRPr="00752F02">
        <w:rPr>
          <w:rFonts w:ascii="Times New Roman" w:hAnsi="Times New Roman" w:cs="Times New Roman"/>
          <w:i/>
          <w:sz w:val="24"/>
          <w:szCs w:val="24"/>
        </w:rPr>
        <w:t>laissez</w:t>
      </w:r>
      <w:r w:rsidR="00FB1F8A">
        <w:rPr>
          <w:rFonts w:ascii="Times New Roman" w:hAnsi="Times New Roman" w:cs="Times New Roman"/>
          <w:i/>
          <w:sz w:val="24"/>
          <w:szCs w:val="24"/>
        </w:rPr>
        <w:t>-</w:t>
      </w:r>
      <w:r w:rsidRPr="00752F02">
        <w:rPr>
          <w:rFonts w:ascii="Times New Roman" w:hAnsi="Times New Roman" w:cs="Times New Roman"/>
          <w:i/>
          <w:sz w:val="24"/>
          <w:szCs w:val="24"/>
        </w:rPr>
        <w:t>faire</w:t>
      </w:r>
      <w:r w:rsidRPr="00752F02">
        <w:rPr>
          <w:rFonts w:ascii="Times New Roman" w:hAnsi="Times New Roman" w:cs="Times New Roman"/>
          <w:sz w:val="24"/>
          <w:szCs w:val="24"/>
        </w:rPr>
        <w:t xml:space="preserve"> principles, as shown when he proclaimed himself a friend of free trade in his </w:t>
      </w:r>
      <w:r w:rsidRPr="00752F02">
        <w:rPr>
          <w:rFonts w:ascii="Times New Roman" w:hAnsi="Times New Roman" w:cs="Times New Roman"/>
          <w:sz w:val="24"/>
          <w:szCs w:val="24"/>
        </w:rPr>
        <w:lastRenderedPageBreak/>
        <w:t xml:space="preserve">1850 manifesto to the electors of Finsbury.  Showing the influence of associates like Bronterre O’Brien he believed they were flexible and offered room for manoeuvre.  The fluid way he viewed both </w:t>
      </w:r>
      <w:r w:rsidRPr="00752F02">
        <w:rPr>
          <w:rFonts w:ascii="Times New Roman" w:hAnsi="Times New Roman" w:cs="Times New Roman"/>
          <w:bCs/>
          <w:sz w:val="24"/>
          <w:szCs w:val="24"/>
        </w:rPr>
        <w:t>the economy</w:t>
      </w:r>
      <w:r w:rsidRPr="00752F02">
        <w:rPr>
          <w:rFonts w:ascii="Times New Roman" w:hAnsi="Times New Roman" w:cs="Times New Roman"/>
          <w:sz w:val="24"/>
          <w:szCs w:val="24"/>
        </w:rPr>
        <w:t xml:space="preserve"> and the political structures of the country meant he could reject the notion that wide-ranging </w:t>
      </w:r>
      <w:r w:rsidRPr="00752F02">
        <w:rPr>
          <w:rFonts w:ascii="Times New Roman" w:eastAsia="Times New Roman" w:hAnsi="Times New Roman" w:cs="Times New Roman"/>
          <w:sz w:val="24"/>
          <w:szCs w:val="24"/>
          <w:lang w:eastAsia="en-GB"/>
        </w:rPr>
        <w:t xml:space="preserve">aspirations for the masses would be no more than a pipe dream.  There is no sense in his work that their struggle will end like that of the factory operatives in </w:t>
      </w:r>
      <w:r w:rsidRPr="00752F02">
        <w:rPr>
          <w:rFonts w:ascii="Times New Roman" w:eastAsia="Times New Roman" w:hAnsi="Times New Roman" w:cs="Times New Roman"/>
          <w:i/>
          <w:sz w:val="24"/>
          <w:szCs w:val="24"/>
          <w:lang w:eastAsia="en-GB"/>
        </w:rPr>
        <w:t>North and South</w:t>
      </w:r>
      <w:r w:rsidRPr="00752F02">
        <w:rPr>
          <w:rFonts w:ascii="Times New Roman" w:eastAsia="Times New Roman" w:hAnsi="Times New Roman" w:cs="Times New Roman"/>
          <w:sz w:val="24"/>
          <w:szCs w:val="24"/>
          <w:lang w:eastAsia="en-GB"/>
        </w:rPr>
        <w:t xml:space="preserve">, </w:t>
      </w:r>
      <w:r w:rsidRPr="00752F02">
        <w:rPr>
          <w:rFonts w:ascii="Times New Roman" w:hAnsi="Times New Roman" w:cs="Times New Roman"/>
          <w:sz w:val="24"/>
          <w:szCs w:val="24"/>
        </w:rPr>
        <w:t>a chastened workforce whose expressions of independence are reduced to organising a canteen under the supervision of an employer who has partially relaxed his former hard-line managerial attitudes.</w:t>
      </w:r>
    </w:p>
    <w:p w:rsidR="0005445D" w:rsidRPr="00017C5B" w:rsidRDefault="0005445D" w:rsidP="0005445D">
      <w:pPr>
        <w:spacing w:after="120" w:line="360" w:lineRule="auto"/>
        <w:ind w:firstLine="720"/>
        <w:rPr>
          <w:rFonts w:ascii="Times New Roman" w:hAnsi="Times New Roman" w:cs="Times New Roman"/>
          <w:sz w:val="24"/>
          <w:szCs w:val="24"/>
        </w:rPr>
      </w:pPr>
      <w:r w:rsidRPr="00752F02">
        <w:rPr>
          <w:rFonts w:asciiTheme="majorBidi" w:hAnsiTheme="majorBidi" w:cstheme="majorBidi"/>
          <w:bCs/>
          <w:sz w:val="24"/>
          <w:szCs w:val="24"/>
        </w:rPr>
        <w:t>Raymond Williams writes of a ‘long revolution’ when analysing political, economic, democratic and cultural change.  He places particular importance upon the ‘developing character of the working class’ in the 1840s and their increasingly ‘independent aims’ while noting these would be mainly realized through ‘alliance with other groups</w:t>
      </w:r>
      <w:r w:rsidR="00C724B8">
        <w:rPr>
          <w:rFonts w:asciiTheme="majorBidi" w:hAnsiTheme="majorBidi" w:cstheme="majorBidi"/>
          <w:bCs/>
          <w:sz w:val="24"/>
          <w:szCs w:val="24"/>
        </w:rPr>
        <w:t>’</w:t>
      </w:r>
      <w:r w:rsidRPr="00752F02">
        <w:rPr>
          <w:rFonts w:asciiTheme="majorBidi" w:hAnsiTheme="majorBidi" w:cstheme="majorBidi"/>
          <w:bCs/>
          <w:sz w:val="24"/>
          <w:szCs w:val="24"/>
        </w:rPr>
        <w:t>.</w:t>
      </w:r>
      <w:r w:rsidRPr="00752F02">
        <w:rPr>
          <w:rStyle w:val="FootnoteReference"/>
          <w:rFonts w:ascii="Times New Roman" w:hAnsi="Times New Roman"/>
          <w:sz w:val="24"/>
          <w:szCs w:val="24"/>
        </w:rPr>
        <w:footnoteReference w:id="1106"/>
      </w:r>
      <w:r w:rsidRPr="00752F02">
        <w:rPr>
          <w:rFonts w:ascii="Times New Roman" w:hAnsi="Times New Roman" w:cs="Times New Roman"/>
          <w:bCs/>
          <w:sz w:val="24"/>
          <w:szCs w:val="24"/>
        </w:rPr>
        <w:t xml:space="preserve"> </w:t>
      </w:r>
      <w:r w:rsidRPr="00752F02">
        <w:rPr>
          <w:rFonts w:asciiTheme="majorBidi" w:hAnsiTheme="majorBidi" w:cstheme="majorBidi"/>
          <w:bCs/>
          <w:sz w:val="24"/>
          <w:szCs w:val="24"/>
        </w:rPr>
        <w:t xml:space="preserve"> When referring to the novels of that decade, especially ‘industrial novels’, he notes a body of fiction that expresses ‘a radical human dissent’.</w:t>
      </w:r>
      <w:r w:rsidRPr="00752F02">
        <w:rPr>
          <w:rStyle w:val="FootnoteReference"/>
          <w:rFonts w:ascii="Times New Roman" w:hAnsi="Times New Roman"/>
          <w:sz w:val="24"/>
          <w:szCs w:val="24"/>
        </w:rPr>
        <w:footnoteReference w:id="1107"/>
      </w:r>
      <w:r w:rsidRPr="00752F02">
        <w:rPr>
          <w:rFonts w:ascii="Times New Roman" w:hAnsi="Times New Roman" w:cs="Times New Roman"/>
          <w:bCs/>
          <w:sz w:val="24"/>
          <w:szCs w:val="24"/>
        </w:rPr>
        <w:t xml:space="preserve"> </w:t>
      </w:r>
      <w:r w:rsidRPr="00752F02">
        <w:rPr>
          <w:rFonts w:asciiTheme="majorBidi" w:hAnsiTheme="majorBidi" w:cstheme="majorBidi"/>
          <w:bCs/>
          <w:sz w:val="24"/>
          <w:szCs w:val="24"/>
        </w:rPr>
        <w:t xml:space="preserve"> On balance, Reynolds deserves to take his place in this ‘revolution’.  Ian Haywood writes that he ‘radicalized the experience of reading popular periodical fiction’, utilizing his work for </w:t>
      </w:r>
      <w:r w:rsidRPr="0005445D">
        <w:rPr>
          <w:rFonts w:asciiTheme="majorBidi" w:hAnsiTheme="majorBidi" w:cstheme="majorBidi"/>
          <w:bCs/>
          <w:sz w:val="24"/>
          <w:szCs w:val="24"/>
        </w:rPr>
        <w:t>agitational p</w:t>
      </w:r>
      <w:r w:rsidRPr="00752F02">
        <w:rPr>
          <w:rFonts w:asciiTheme="majorBidi" w:hAnsiTheme="majorBidi" w:cstheme="majorBidi"/>
          <w:bCs/>
          <w:sz w:val="24"/>
          <w:szCs w:val="24"/>
        </w:rPr>
        <w:t>urposes and that his literary career paved the way for his metamorphosis into the role of chartist activist.</w:t>
      </w:r>
      <w:r w:rsidRPr="00752F02">
        <w:rPr>
          <w:rStyle w:val="FootnoteReference"/>
          <w:rFonts w:ascii="Times New Roman" w:hAnsi="Times New Roman"/>
          <w:sz w:val="24"/>
          <w:szCs w:val="24"/>
        </w:rPr>
        <w:footnoteReference w:id="1108"/>
      </w:r>
      <w:r w:rsidRPr="00752F02">
        <w:rPr>
          <w:rFonts w:asciiTheme="majorBidi" w:hAnsiTheme="majorBidi" w:cstheme="majorBidi"/>
          <w:bCs/>
          <w:sz w:val="24"/>
          <w:szCs w:val="24"/>
        </w:rPr>
        <w:t xml:space="preserve">  Yet this position should not be exaggerated.  </w:t>
      </w:r>
      <w:r w:rsidRPr="00752F02">
        <w:rPr>
          <w:rFonts w:ascii="Times New Roman" w:hAnsi="Times New Roman" w:cs="Times New Roman"/>
          <w:bCs/>
          <w:sz w:val="24"/>
          <w:szCs w:val="24"/>
        </w:rPr>
        <w:t xml:space="preserve">Reynolds’s industrious classes invariably express the desire to improve their position and material circumstances within the prevailing economic order.  </w:t>
      </w:r>
      <w:r w:rsidRPr="00752F02">
        <w:rPr>
          <w:rFonts w:ascii="Times New Roman" w:hAnsi="Times New Roman" w:cs="Times New Roman"/>
          <w:sz w:val="24"/>
          <w:szCs w:val="24"/>
        </w:rPr>
        <w:t>The highest expression of their protest is found in figures that embody the tenets of independent respectability, regard the middle classes as a necessary component of modern society and have no objection to joining their number.  They express the author’s social and political perspective, a cautious mixture of compromise and challenge.  In this respect, at least, it is the Tory Pickwick, with his hope for gradually increasing social collaboration, who captures this development better than the unruly Sam Weller who at his most rebellious suggests that unity between the classes is impossible.</w:t>
      </w:r>
    </w:p>
    <w:p w:rsidR="00690DF3" w:rsidRDefault="00690DF3" w:rsidP="00690DF3">
      <w:pPr>
        <w:spacing w:after="120" w:line="360" w:lineRule="auto"/>
        <w:ind w:firstLine="720"/>
        <w:rPr>
          <w:rFonts w:ascii="Times New Roman" w:hAnsi="Times New Roman" w:cs="Times New Roman"/>
          <w:sz w:val="24"/>
          <w:szCs w:val="24"/>
        </w:rPr>
        <w:sectPr w:rsidR="00690DF3">
          <w:footnotePr>
            <w:numRestart w:val="eachSect"/>
          </w:footnotePr>
          <w:pgSz w:w="11906" w:h="16838"/>
          <w:pgMar w:top="1440" w:right="1440" w:bottom="1440" w:left="1440" w:header="708" w:footer="708" w:gutter="0"/>
          <w:cols w:space="708"/>
          <w:docGrid w:linePitch="360"/>
        </w:sectPr>
      </w:pPr>
      <w:r w:rsidRPr="0099200F">
        <w:rPr>
          <w:rFonts w:ascii="Times New Roman" w:hAnsi="Times New Roman" w:cs="Times New Roman"/>
          <w:sz w:val="24"/>
          <w:szCs w:val="24"/>
        </w:rPr>
        <w:t xml:space="preserve">  </w:t>
      </w:r>
    </w:p>
    <w:p w:rsidR="00E14929" w:rsidRDefault="00E14929" w:rsidP="00E14929">
      <w:pPr>
        <w:jc w:val="center"/>
        <w:rPr>
          <w:rFonts w:ascii="Times New Roman" w:hAnsi="Times New Roman" w:cs="Times New Roman"/>
          <w:b/>
          <w:bCs/>
          <w:sz w:val="24"/>
          <w:szCs w:val="24"/>
          <w:u w:val="single"/>
        </w:rPr>
      </w:pPr>
      <w:r w:rsidRPr="00137FE3">
        <w:rPr>
          <w:rFonts w:ascii="Times New Roman" w:hAnsi="Times New Roman" w:cs="Times New Roman"/>
          <w:b/>
          <w:bCs/>
          <w:sz w:val="24"/>
          <w:szCs w:val="24"/>
          <w:u w:val="single"/>
        </w:rPr>
        <w:lastRenderedPageBreak/>
        <w:t>Appendices</w:t>
      </w:r>
    </w:p>
    <w:p w:rsidR="00E14929" w:rsidRDefault="00E14929" w:rsidP="00E14929">
      <w:pPr>
        <w:jc w:val="center"/>
        <w:rPr>
          <w:rFonts w:ascii="Times New Roman" w:hAnsi="Times New Roman" w:cs="Times New Roman"/>
          <w:b/>
          <w:bCs/>
          <w:sz w:val="24"/>
          <w:szCs w:val="24"/>
          <w:u w:val="single"/>
        </w:rPr>
      </w:pPr>
    </w:p>
    <w:p w:rsidR="00E14929" w:rsidRPr="0000600D" w:rsidRDefault="00E14929" w:rsidP="00E14929">
      <w:pPr>
        <w:rPr>
          <w:rFonts w:ascii="Times New Roman" w:hAnsi="Times New Roman" w:cs="Times New Roman"/>
          <w:sz w:val="24"/>
          <w:szCs w:val="24"/>
          <w:u w:val="single"/>
          <w:lang w:val="it-IT"/>
        </w:rPr>
      </w:pPr>
      <w:r w:rsidRPr="0086062C">
        <w:rPr>
          <w:rFonts w:ascii="Times New Roman" w:hAnsi="Times New Roman" w:cs="Times New Roman"/>
          <w:sz w:val="24"/>
          <w:szCs w:val="24"/>
          <w:u w:val="single"/>
          <w:lang w:val="it-IT"/>
        </w:rPr>
        <w:t>Appendix A</w:t>
      </w:r>
      <w:r w:rsidRPr="0086062C">
        <w:rPr>
          <w:rFonts w:ascii="Times New Roman" w:hAnsi="Times New Roman" w:cs="Times New Roman"/>
          <w:sz w:val="24"/>
          <w:szCs w:val="24"/>
          <w:u w:val="single"/>
          <w:lang w:val="it-IT"/>
        </w:rPr>
        <w:tab/>
        <w:t>Progress of Intemperance: Scene the Second.  The Initiation. Plate No. 2.</w:t>
      </w:r>
      <w:r w:rsidRPr="0086062C">
        <w:rPr>
          <w:rStyle w:val="FootnoteReference"/>
          <w:rFonts w:ascii="Times New Roman" w:hAnsi="Times New Roman" w:cs="Times New Roman"/>
          <w:sz w:val="24"/>
          <w:szCs w:val="24"/>
          <w:u w:val="single"/>
          <w:lang w:val="it-IT"/>
        </w:rPr>
        <w:footnoteReference w:id="1109"/>
      </w:r>
    </w:p>
    <w:p w:rsidR="00E14929" w:rsidRDefault="00E14929" w:rsidP="00E14929">
      <w:pPr>
        <w:jc w:val="center"/>
        <w:rPr>
          <w:rFonts w:ascii="Times New Roman" w:hAnsi="Times New Roman" w:cs="Times New Roman"/>
          <w:sz w:val="24"/>
          <w:szCs w:val="24"/>
          <w:u w:val="single"/>
        </w:rPr>
      </w:pPr>
      <w:r>
        <w:rPr>
          <w:noProof/>
          <w:lang w:eastAsia="en-GB"/>
        </w:rPr>
        <w:drawing>
          <wp:inline distT="0" distB="0" distL="0" distR="0" wp14:anchorId="426B3FE0" wp14:editId="277E4AD8">
            <wp:extent cx="4179600" cy="6386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38000" t="25479" r="39169" b="12521"/>
                    <a:stretch/>
                  </pic:blipFill>
                  <pic:spPr bwMode="auto">
                    <a:xfrm>
                      <a:off x="0" y="0"/>
                      <a:ext cx="4179600" cy="6386400"/>
                    </a:xfrm>
                    <a:prstGeom prst="rect">
                      <a:avLst/>
                    </a:prstGeom>
                    <a:ln>
                      <a:noFill/>
                    </a:ln>
                    <a:extLst>
                      <a:ext uri="{53640926-AAD7-44D8-BBD7-CCE9431645EC}">
                        <a14:shadowObscured xmlns:a14="http://schemas.microsoft.com/office/drawing/2010/main"/>
                      </a:ext>
                    </a:extLst>
                  </pic:spPr>
                </pic:pic>
              </a:graphicData>
            </a:graphic>
          </wp:inline>
        </w:drawing>
      </w:r>
    </w:p>
    <w:p w:rsidR="00E14929" w:rsidRDefault="00E14929" w:rsidP="00E14929">
      <w:pPr>
        <w:rPr>
          <w:rFonts w:ascii="Times New Roman" w:hAnsi="Times New Roman" w:cs="Times New Roman"/>
          <w:sz w:val="24"/>
          <w:szCs w:val="24"/>
          <w:u w:val="single"/>
        </w:rPr>
      </w:pPr>
      <w:r>
        <w:rPr>
          <w:rFonts w:ascii="Times New Roman" w:hAnsi="Times New Roman" w:cs="Times New Roman"/>
          <w:sz w:val="24"/>
          <w:szCs w:val="24"/>
          <w:u w:val="single"/>
        </w:rPr>
        <w:br w:type="page"/>
      </w:r>
    </w:p>
    <w:p w:rsidR="00E14929" w:rsidRDefault="00E14929" w:rsidP="00E14929">
      <w:pPr>
        <w:jc w:val="center"/>
        <w:rPr>
          <w:rFonts w:ascii="Times New Roman" w:hAnsi="Times New Roman" w:cs="Times New Roman"/>
          <w:b/>
          <w:bCs/>
          <w:sz w:val="24"/>
          <w:szCs w:val="24"/>
          <w:u w:val="single"/>
        </w:rPr>
      </w:pPr>
    </w:p>
    <w:p w:rsidR="00E14929" w:rsidRPr="0000600D" w:rsidRDefault="00E14929" w:rsidP="00E14929">
      <w:pPr>
        <w:rPr>
          <w:rFonts w:ascii="Times New Roman" w:hAnsi="Times New Roman" w:cs="Times New Roman"/>
          <w:sz w:val="24"/>
          <w:szCs w:val="24"/>
          <w:u w:val="single"/>
          <w:lang w:val="it-IT"/>
        </w:rPr>
      </w:pPr>
      <w:r>
        <w:rPr>
          <w:rFonts w:ascii="Times New Roman" w:hAnsi="Times New Roman" w:cs="Times New Roman"/>
          <w:sz w:val="24"/>
          <w:szCs w:val="24"/>
          <w:u w:val="single"/>
          <w:lang w:val="it-IT"/>
        </w:rPr>
        <w:t>Appendix B</w:t>
      </w:r>
      <w:r w:rsidRPr="0000600D">
        <w:rPr>
          <w:rFonts w:ascii="Times New Roman" w:hAnsi="Times New Roman" w:cs="Times New Roman"/>
          <w:sz w:val="24"/>
          <w:szCs w:val="24"/>
          <w:u w:val="single"/>
          <w:lang w:val="it-IT"/>
        </w:rPr>
        <w:tab/>
      </w:r>
      <w:r>
        <w:rPr>
          <w:rFonts w:ascii="Times New Roman" w:hAnsi="Times New Roman" w:cs="Times New Roman"/>
          <w:sz w:val="24"/>
          <w:szCs w:val="24"/>
          <w:u w:val="single"/>
          <w:lang w:val="it-IT"/>
        </w:rPr>
        <w:t>Progress of Temperance: Scene the Ninth.  The Recreation. Plate No. 3.</w:t>
      </w:r>
      <w:r>
        <w:rPr>
          <w:rStyle w:val="FootnoteReference"/>
          <w:rFonts w:ascii="Times New Roman" w:hAnsi="Times New Roman" w:cs="Times New Roman"/>
          <w:sz w:val="24"/>
          <w:szCs w:val="24"/>
          <w:u w:val="single"/>
          <w:lang w:val="it-IT"/>
        </w:rPr>
        <w:footnoteReference w:id="1110"/>
      </w:r>
    </w:p>
    <w:p w:rsidR="00E14929" w:rsidRDefault="00E14929" w:rsidP="00E14929">
      <w:pPr>
        <w:jc w:val="center"/>
        <w:rPr>
          <w:rFonts w:ascii="Times New Roman" w:hAnsi="Times New Roman" w:cs="Times New Roman"/>
          <w:b/>
          <w:bCs/>
          <w:i/>
          <w:iCs/>
          <w:sz w:val="24"/>
          <w:szCs w:val="24"/>
          <w:u w:val="single"/>
        </w:rPr>
      </w:pPr>
      <w:r w:rsidRPr="0000600D">
        <w:rPr>
          <w:i/>
          <w:iCs/>
          <w:noProof/>
          <w:lang w:eastAsia="en-GB"/>
        </w:rPr>
        <w:drawing>
          <wp:inline distT="0" distB="0" distL="0" distR="0" wp14:anchorId="330A0B79" wp14:editId="2366F3FB">
            <wp:extent cx="4946573" cy="6158429"/>
            <wp:effectExtent l="0" t="0" r="6985" b="0"/>
            <wp:docPr id="13" name="Picture 13" descr="\\stfdata06\home\EG\Egp13jlm\ManWin\My Documents\Teetotaler - Google Books_files\Teetotaler - Google Books_files\bo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6\home\EG\Egp13jlm\ManWin\My Documents\Teetotaler - Google Books_files\Teetotaler - Google Books_files\books.jpg"/>
                    <pic:cNvPicPr>
                      <a:picLocks noChangeAspect="1" noChangeArrowheads="1"/>
                    </pic:cNvPicPr>
                  </pic:nvPicPr>
                  <pic:blipFill rotWithShape="1">
                    <a:blip r:embed="rId9">
                      <a:extLst>
                        <a:ext uri="{28A0092B-C50C-407E-A947-70E740481C1C}">
                          <a14:useLocalDpi xmlns:a14="http://schemas.microsoft.com/office/drawing/2010/main" val="0"/>
                        </a:ext>
                      </a:extLst>
                    </a:blip>
                    <a:srcRect l="7056" t="8602" r="2420" b="16263"/>
                    <a:stretch/>
                  </pic:blipFill>
                  <pic:spPr bwMode="auto">
                    <a:xfrm>
                      <a:off x="0" y="0"/>
                      <a:ext cx="4942058" cy="6152807"/>
                    </a:xfrm>
                    <a:prstGeom prst="rect">
                      <a:avLst/>
                    </a:prstGeom>
                    <a:noFill/>
                    <a:ln>
                      <a:noFill/>
                    </a:ln>
                    <a:extLst>
                      <a:ext uri="{53640926-AAD7-44D8-BBD7-CCE9431645EC}">
                        <a14:shadowObscured xmlns:a14="http://schemas.microsoft.com/office/drawing/2010/main"/>
                      </a:ext>
                    </a:extLst>
                  </pic:spPr>
                </pic:pic>
              </a:graphicData>
            </a:graphic>
          </wp:inline>
        </w:drawing>
      </w:r>
    </w:p>
    <w:p w:rsidR="00E14929" w:rsidRDefault="00E14929" w:rsidP="00E14929">
      <w:pPr>
        <w:rPr>
          <w:rFonts w:ascii="Times New Roman" w:hAnsi="Times New Roman" w:cs="Times New Roman"/>
          <w:b/>
          <w:bCs/>
          <w:i/>
          <w:iCs/>
          <w:sz w:val="24"/>
          <w:szCs w:val="24"/>
          <w:u w:val="single"/>
        </w:rPr>
      </w:pPr>
      <w:r>
        <w:rPr>
          <w:rFonts w:ascii="Times New Roman" w:hAnsi="Times New Roman" w:cs="Times New Roman"/>
          <w:b/>
          <w:bCs/>
          <w:i/>
          <w:iCs/>
          <w:sz w:val="24"/>
          <w:szCs w:val="24"/>
          <w:u w:val="single"/>
        </w:rPr>
        <w:br w:type="page"/>
      </w:r>
    </w:p>
    <w:p w:rsidR="00E14929" w:rsidRDefault="00E14929" w:rsidP="00E14929">
      <w:pPr>
        <w:jc w:val="center"/>
        <w:rPr>
          <w:rFonts w:ascii="Times New Roman" w:hAnsi="Times New Roman" w:cs="Times New Roman"/>
          <w:b/>
          <w:bCs/>
          <w:sz w:val="24"/>
          <w:szCs w:val="24"/>
          <w:u w:val="single"/>
        </w:rPr>
      </w:pPr>
    </w:p>
    <w:p w:rsidR="00E14929" w:rsidRPr="0000600D" w:rsidRDefault="00E14929" w:rsidP="00E14929">
      <w:pPr>
        <w:rPr>
          <w:rFonts w:ascii="Times New Roman" w:hAnsi="Times New Roman" w:cs="Times New Roman"/>
          <w:sz w:val="24"/>
          <w:szCs w:val="24"/>
          <w:u w:val="single"/>
          <w:lang w:val="it-IT"/>
        </w:rPr>
      </w:pPr>
      <w:r w:rsidRPr="000C462C">
        <w:rPr>
          <w:rFonts w:ascii="Times New Roman" w:hAnsi="Times New Roman" w:cs="Times New Roman"/>
          <w:sz w:val="24"/>
          <w:szCs w:val="24"/>
          <w:u w:val="single"/>
          <w:lang w:val="it-IT"/>
        </w:rPr>
        <w:t>Appendix C</w:t>
      </w:r>
      <w:r w:rsidRPr="000C462C">
        <w:rPr>
          <w:rFonts w:ascii="Times New Roman" w:hAnsi="Times New Roman" w:cs="Times New Roman"/>
          <w:sz w:val="24"/>
          <w:szCs w:val="24"/>
          <w:u w:val="single"/>
          <w:lang w:val="it-IT"/>
        </w:rPr>
        <w:tab/>
        <w:t>Progress of Temperance: Scene the Eighth.  The Domestication. Plate No. 2.</w:t>
      </w:r>
      <w:r w:rsidRPr="000C462C">
        <w:rPr>
          <w:rStyle w:val="FootnoteReference"/>
          <w:rFonts w:ascii="Times New Roman" w:hAnsi="Times New Roman" w:cs="Times New Roman"/>
          <w:sz w:val="24"/>
          <w:szCs w:val="24"/>
          <w:u w:val="single"/>
          <w:lang w:val="it-IT"/>
        </w:rPr>
        <w:footnoteReference w:id="1111"/>
      </w:r>
    </w:p>
    <w:p w:rsidR="00E14929" w:rsidRDefault="00E14929" w:rsidP="00E14929">
      <w:pPr>
        <w:autoSpaceDE w:val="0"/>
        <w:autoSpaceDN w:val="0"/>
        <w:adjustRightInd w:val="0"/>
        <w:spacing w:after="0" w:line="240" w:lineRule="auto"/>
        <w:rPr>
          <w:rFonts w:ascii="Times New Roman" w:hAnsi="Times New Roman" w:cs="Times New Roman"/>
          <w:sz w:val="20"/>
          <w:szCs w:val="20"/>
        </w:rPr>
      </w:pPr>
    </w:p>
    <w:p w:rsidR="00E14929" w:rsidRDefault="00E14929" w:rsidP="00E14929">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CE5AD2">
        <w:rPr>
          <w:rFonts w:ascii="Times New Roman" w:hAnsi="Times New Roman" w:cs="Times New Roman"/>
          <w:noProof/>
          <w:sz w:val="20"/>
          <w:szCs w:val="20"/>
          <w:lang w:eastAsia="en-GB"/>
        </w:rPr>
        <w:drawing>
          <wp:inline distT="0" distB="0" distL="0" distR="0" wp14:anchorId="3FAAA18D" wp14:editId="10046F00">
            <wp:extent cx="2485542" cy="42828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18256" cy="433918"/>
                    </a:xfrm>
                    <a:prstGeom prst="rect">
                      <a:avLst/>
                    </a:prstGeom>
                    <a:noFill/>
                    <a:ln>
                      <a:noFill/>
                    </a:ln>
                  </pic:spPr>
                </pic:pic>
              </a:graphicData>
            </a:graphic>
          </wp:inline>
        </w:drawing>
      </w:r>
    </w:p>
    <w:p w:rsidR="00E14929" w:rsidRDefault="00E14929" w:rsidP="00E14929">
      <w:pPr>
        <w:autoSpaceDE w:val="0"/>
        <w:autoSpaceDN w:val="0"/>
        <w:adjustRightInd w:val="0"/>
        <w:spacing w:after="0" w:line="240" w:lineRule="auto"/>
        <w:rPr>
          <w:rFonts w:ascii="Times New Roman" w:hAnsi="Times New Roman" w:cs="Times New Roman"/>
          <w:sz w:val="20"/>
          <w:szCs w:val="20"/>
        </w:rPr>
      </w:pPr>
    </w:p>
    <w:p w:rsidR="00E14929" w:rsidRDefault="00E14929" w:rsidP="00E14929">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ab/>
      </w:r>
      <w:r w:rsidRPr="00CE5AD2">
        <w:rPr>
          <w:rFonts w:ascii="Times New Roman" w:hAnsi="Times New Roman" w:cs="Times New Roman"/>
          <w:noProof/>
          <w:sz w:val="20"/>
          <w:szCs w:val="20"/>
          <w:lang w:eastAsia="en-GB"/>
        </w:rPr>
        <w:drawing>
          <wp:inline distT="0" distB="0" distL="0" distR="0" wp14:anchorId="1522FF23" wp14:editId="7AA294AA">
            <wp:extent cx="4076700" cy="463115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89919" cy="4646170"/>
                    </a:xfrm>
                    <a:prstGeom prst="rect">
                      <a:avLst/>
                    </a:prstGeom>
                    <a:noFill/>
                    <a:ln>
                      <a:noFill/>
                    </a:ln>
                  </pic:spPr>
                </pic:pic>
              </a:graphicData>
            </a:graphic>
          </wp:inline>
        </w:drawing>
      </w:r>
    </w:p>
    <w:p w:rsidR="00E14929" w:rsidRDefault="00E14929" w:rsidP="00E14929">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p>
    <w:p w:rsidR="00E14929" w:rsidRDefault="00E14929" w:rsidP="00E14929">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CE5AD2">
        <w:rPr>
          <w:rFonts w:ascii="Times New Roman" w:hAnsi="Times New Roman" w:cs="Times New Roman"/>
          <w:noProof/>
          <w:sz w:val="20"/>
          <w:szCs w:val="20"/>
          <w:lang w:eastAsia="en-GB"/>
        </w:rPr>
        <w:drawing>
          <wp:inline distT="0" distB="0" distL="0" distR="0" wp14:anchorId="4A2E2B61" wp14:editId="6842F82F">
            <wp:extent cx="2399537" cy="510540"/>
            <wp:effectExtent l="0" t="0" r="127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4126" cy="526410"/>
                    </a:xfrm>
                    <a:prstGeom prst="rect">
                      <a:avLst/>
                    </a:prstGeom>
                    <a:noFill/>
                    <a:ln>
                      <a:noFill/>
                    </a:ln>
                  </pic:spPr>
                </pic:pic>
              </a:graphicData>
            </a:graphic>
          </wp:inline>
        </w:drawing>
      </w:r>
    </w:p>
    <w:p w:rsidR="00E14929" w:rsidRDefault="00E14929" w:rsidP="00E14929">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p>
    <w:p w:rsidR="00E14929" w:rsidRDefault="00E14929" w:rsidP="00E14929">
      <w:pPr>
        <w:rPr>
          <w:rFonts w:ascii="Times New Roman" w:hAnsi="Times New Roman" w:cs="Times New Roman"/>
          <w:sz w:val="20"/>
          <w:szCs w:val="20"/>
        </w:rPr>
      </w:pPr>
      <w:r>
        <w:rPr>
          <w:rFonts w:ascii="Times New Roman" w:hAnsi="Times New Roman" w:cs="Times New Roman"/>
          <w:sz w:val="20"/>
          <w:szCs w:val="20"/>
        </w:rPr>
        <w:br w:type="page"/>
      </w:r>
    </w:p>
    <w:p w:rsidR="00E14929" w:rsidRDefault="00E14929" w:rsidP="00E14929">
      <w:pPr>
        <w:rPr>
          <w:rFonts w:ascii="Times New Roman" w:hAnsi="Times New Roman" w:cs="Times New Roman"/>
          <w:sz w:val="24"/>
          <w:szCs w:val="24"/>
          <w:lang w:val="it-IT"/>
        </w:rPr>
      </w:pPr>
      <w:r w:rsidRPr="00774436">
        <w:rPr>
          <w:rFonts w:ascii="Times New Roman" w:hAnsi="Times New Roman" w:cs="Times New Roman"/>
          <w:sz w:val="24"/>
          <w:szCs w:val="24"/>
          <w:u w:val="single"/>
          <w:lang w:val="it-IT"/>
        </w:rPr>
        <w:lastRenderedPageBreak/>
        <w:t>Appendix D:</w:t>
      </w:r>
      <w:r w:rsidRPr="00774436">
        <w:rPr>
          <w:rFonts w:ascii="Times New Roman" w:hAnsi="Times New Roman" w:cs="Times New Roman"/>
          <w:sz w:val="24"/>
          <w:szCs w:val="24"/>
          <w:u w:val="single"/>
          <w:lang w:val="it-IT"/>
        </w:rPr>
        <w:tab/>
      </w:r>
      <w:r>
        <w:rPr>
          <w:rFonts w:ascii="Times New Roman" w:hAnsi="Times New Roman" w:cs="Times New Roman"/>
          <w:sz w:val="24"/>
          <w:szCs w:val="24"/>
          <w:u w:val="single"/>
          <w:lang w:val="it-IT"/>
        </w:rPr>
        <w:t>Sam Weller in th</w:t>
      </w:r>
      <w:r w:rsidRPr="00774436">
        <w:rPr>
          <w:rFonts w:ascii="Times New Roman" w:hAnsi="Times New Roman" w:cs="Times New Roman"/>
          <w:sz w:val="24"/>
          <w:szCs w:val="24"/>
          <w:u w:val="single"/>
          <w:lang w:val="it-IT"/>
        </w:rPr>
        <w:t>e Meeting at Bennis’s Library</w:t>
      </w:r>
      <w:r w:rsidRPr="00774436">
        <w:rPr>
          <w:rFonts w:ascii="Times New Roman" w:hAnsi="Times New Roman" w:cs="Times New Roman"/>
          <w:sz w:val="24"/>
          <w:szCs w:val="24"/>
          <w:lang w:val="it-IT"/>
        </w:rPr>
        <w:t>.</w:t>
      </w:r>
      <w:r w:rsidRPr="00774436">
        <w:rPr>
          <w:rStyle w:val="FootnoteReference"/>
          <w:rFonts w:ascii="Times New Roman" w:hAnsi="Times New Roman" w:cs="Times New Roman"/>
          <w:sz w:val="24"/>
          <w:szCs w:val="24"/>
          <w:lang w:val="it-IT"/>
        </w:rPr>
        <w:footnoteReference w:id="1112"/>
      </w:r>
    </w:p>
    <w:p w:rsidR="00E14929" w:rsidRDefault="00E14929" w:rsidP="00E14929"/>
    <w:p w:rsidR="00E14929" w:rsidRDefault="00E14929" w:rsidP="00E14929">
      <w:r w:rsidRPr="00302BBF">
        <w:rPr>
          <w:noProof/>
          <w:lang w:eastAsia="en-GB"/>
        </w:rPr>
        <w:drawing>
          <wp:inline distT="0" distB="0" distL="0" distR="0" wp14:anchorId="6C381C02" wp14:editId="3F975903">
            <wp:extent cx="4914900" cy="7581534"/>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19962" cy="7589342"/>
                    </a:xfrm>
                    <a:prstGeom prst="rect">
                      <a:avLst/>
                    </a:prstGeom>
                    <a:noFill/>
                    <a:ln>
                      <a:noFill/>
                    </a:ln>
                  </pic:spPr>
                </pic:pic>
              </a:graphicData>
            </a:graphic>
          </wp:inline>
        </w:drawing>
      </w:r>
    </w:p>
    <w:p w:rsidR="00E14929" w:rsidRDefault="00E14929" w:rsidP="00E14929">
      <w:pPr>
        <w:rPr>
          <w:rFonts w:ascii="Times New Roman" w:hAnsi="Times New Roman" w:cs="Times New Roman"/>
          <w:sz w:val="20"/>
          <w:szCs w:val="20"/>
        </w:rPr>
      </w:pPr>
      <w:r>
        <w:rPr>
          <w:rFonts w:ascii="Times New Roman" w:hAnsi="Times New Roman" w:cs="Times New Roman"/>
          <w:sz w:val="20"/>
          <w:szCs w:val="20"/>
        </w:rPr>
        <w:br w:type="page"/>
      </w:r>
    </w:p>
    <w:p w:rsidR="00E14929" w:rsidRPr="001D0BAE" w:rsidRDefault="00E14929" w:rsidP="00E14929">
      <w:pPr>
        <w:spacing w:after="120" w:line="360" w:lineRule="auto"/>
        <w:rPr>
          <w:rFonts w:asciiTheme="majorBidi" w:hAnsiTheme="majorBidi" w:cstheme="majorBidi"/>
          <w:sz w:val="24"/>
          <w:szCs w:val="24"/>
          <w:u w:val="single"/>
        </w:rPr>
      </w:pPr>
      <w:r w:rsidRPr="001D0BAE">
        <w:rPr>
          <w:rFonts w:asciiTheme="majorBidi" w:hAnsiTheme="majorBidi" w:cstheme="majorBidi"/>
          <w:sz w:val="24"/>
          <w:szCs w:val="24"/>
          <w:u w:val="single"/>
        </w:rPr>
        <w:lastRenderedPageBreak/>
        <w:t xml:space="preserve">Appendix </w:t>
      </w:r>
      <w:r>
        <w:rPr>
          <w:rFonts w:asciiTheme="majorBidi" w:hAnsiTheme="majorBidi" w:cstheme="majorBidi"/>
          <w:sz w:val="24"/>
          <w:szCs w:val="24"/>
          <w:u w:val="single"/>
        </w:rPr>
        <w:t>E</w:t>
      </w:r>
      <w:r w:rsidRPr="001D0BAE">
        <w:rPr>
          <w:rFonts w:asciiTheme="majorBidi" w:hAnsiTheme="majorBidi" w:cstheme="majorBidi"/>
          <w:sz w:val="24"/>
          <w:szCs w:val="24"/>
          <w:u w:val="single"/>
        </w:rPr>
        <w:t>:</w:t>
      </w:r>
      <w:r>
        <w:rPr>
          <w:rFonts w:asciiTheme="majorBidi" w:hAnsiTheme="majorBidi" w:cstheme="majorBidi"/>
          <w:sz w:val="24"/>
          <w:szCs w:val="24"/>
          <w:u w:val="single"/>
        </w:rPr>
        <w:tab/>
      </w:r>
      <w:r w:rsidRPr="001D0BAE">
        <w:rPr>
          <w:rFonts w:asciiTheme="majorBidi" w:hAnsiTheme="majorBidi" w:cstheme="majorBidi"/>
          <w:sz w:val="24"/>
          <w:szCs w:val="24"/>
          <w:u w:val="single"/>
        </w:rPr>
        <w:t>Harry Hemmings Asleep at his Workbench</w:t>
      </w:r>
      <w:r w:rsidRPr="001D0BAE">
        <w:rPr>
          <w:rFonts w:asciiTheme="majorBidi" w:hAnsiTheme="majorBidi" w:cstheme="majorBidi"/>
          <w:sz w:val="24"/>
          <w:szCs w:val="24"/>
        </w:rPr>
        <w:t>.</w:t>
      </w:r>
      <w:r>
        <w:rPr>
          <w:rStyle w:val="FootnoteReference"/>
          <w:rFonts w:asciiTheme="majorBidi" w:hAnsiTheme="majorBidi" w:cstheme="majorBidi"/>
          <w:sz w:val="24"/>
          <w:szCs w:val="24"/>
          <w:u w:val="single"/>
        </w:rPr>
        <w:footnoteReference w:id="1113"/>
      </w:r>
    </w:p>
    <w:p w:rsidR="00E14929" w:rsidRDefault="00E14929" w:rsidP="00E14929">
      <w:r w:rsidRPr="008A0606">
        <w:rPr>
          <w:noProof/>
          <w:lang w:eastAsia="en-GB"/>
        </w:rPr>
        <w:drawing>
          <wp:inline distT="0" distB="0" distL="0" distR="0" wp14:anchorId="2C3E8B4D" wp14:editId="7672E030">
            <wp:extent cx="5731510" cy="5092612"/>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5092612"/>
                    </a:xfrm>
                    <a:prstGeom prst="rect">
                      <a:avLst/>
                    </a:prstGeom>
                    <a:noFill/>
                    <a:ln>
                      <a:noFill/>
                    </a:ln>
                  </pic:spPr>
                </pic:pic>
              </a:graphicData>
            </a:graphic>
          </wp:inline>
        </w:drawing>
      </w:r>
    </w:p>
    <w:p w:rsidR="00E14929" w:rsidRDefault="00E14929" w:rsidP="00E14929">
      <w:pPr>
        <w:rPr>
          <w:rFonts w:ascii="Times New Roman" w:hAnsi="Times New Roman" w:cs="Times New Roman"/>
          <w:sz w:val="20"/>
          <w:szCs w:val="20"/>
        </w:rPr>
      </w:pPr>
      <w:r>
        <w:rPr>
          <w:rFonts w:ascii="Times New Roman" w:hAnsi="Times New Roman" w:cs="Times New Roman"/>
          <w:sz w:val="20"/>
          <w:szCs w:val="20"/>
        </w:rPr>
        <w:br w:type="page"/>
      </w:r>
    </w:p>
    <w:p w:rsidR="00E14929" w:rsidRPr="00BC47DD" w:rsidRDefault="00E14929" w:rsidP="00E14929">
      <w:pPr>
        <w:rPr>
          <w:rFonts w:ascii="Times New Roman" w:hAnsi="Times New Roman" w:cs="Times New Roman"/>
          <w:sz w:val="24"/>
          <w:szCs w:val="24"/>
        </w:rPr>
      </w:pPr>
      <w:r w:rsidRPr="00B9622D">
        <w:rPr>
          <w:rFonts w:ascii="Times New Roman" w:hAnsi="Times New Roman" w:cs="Times New Roman"/>
          <w:sz w:val="24"/>
          <w:szCs w:val="24"/>
          <w:u w:val="single"/>
        </w:rPr>
        <w:lastRenderedPageBreak/>
        <w:t xml:space="preserve">Appendix F: </w:t>
      </w:r>
      <w:r w:rsidRPr="00B9622D">
        <w:rPr>
          <w:rFonts w:ascii="Times New Roman" w:hAnsi="Times New Roman" w:cs="Times New Roman"/>
          <w:sz w:val="24"/>
          <w:szCs w:val="24"/>
          <w:u w:val="single"/>
        </w:rPr>
        <w:tab/>
        <w:t>Ellen and Kate</w:t>
      </w:r>
      <w:r w:rsidRPr="00B9622D">
        <w:rPr>
          <w:rFonts w:ascii="Times New Roman" w:hAnsi="Times New Roman" w:cs="Times New Roman"/>
          <w:sz w:val="24"/>
          <w:szCs w:val="24"/>
        </w:rPr>
        <w:t>.</w:t>
      </w:r>
      <w:r w:rsidRPr="00B9622D">
        <w:rPr>
          <w:rStyle w:val="FootnoteReference"/>
          <w:rFonts w:ascii="Times New Roman" w:hAnsi="Times New Roman"/>
          <w:sz w:val="24"/>
          <w:szCs w:val="24"/>
        </w:rPr>
        <w:footnoteReference w:id="1114"/>
      </w:r>
    </w:p>
    <w:p w:rsidR="00E14929" w:rsidRDefault="00E14929" w:rsidP="00E14929">
      <w:pPr>
        <w:rPr>
          <w:u w:val="single"/>
        </w:rPr>
      </w:pPr>
    </w:p>
    <w:p w:rsidR="00E14929" w:rsidRDefault="00E14929" w:rsidP="00E14929">
      <w:r w:rsidRPr="00CF1D59">
        <w:rPr>
          <w:noProof/>
          <w:lang w:eastAsia="en-GB"/>
        </w:rPr>
        <w:drawing>
          <wp:inline distT="0" distB="0" distL="0" distR="0" wp14:anchorId="300F7BC3" wp14:editId="5D0BB816">
            <wp:extent cx="5731510" cy="6302577"/>
            <wp:effectExtent l="0" t="0" r="254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6302577"/>
                    </a:xfrm>
                    <a:prstGeom prst="rect">
                      <a:avLst/>
                    </a:prstGeom>
                    <a:noFill/>
                    <a:ln>
                      <a:noFill/>
                    </a:ln>
                  </pic:spPr>
                </pic:pic>
              </a:graphicData>
            </a:graphic>
          </wp:inline>
        </w:drawing>
      </w:r>
    </w:p>
    <w:p w:rsidR="00E14929" w:rsidRDefault="00E14929" w:rsidP="00E14929">
      <w:pPr>
        <w:rPr>
          <w:rFonts w:ascii="Times New Roman" w:hAnsi="Times New Roman" w:cs="Times New Roman"/>
          <w:sz w:val="20"/>
          <w:szCs w:val="20"/>
        </w:rPr>
      </w:pPr>
      <w:r>
        <w:rPr>
          <w:rFonts w:ascii="Times New Roman" w:hAnsi="Times New Roman" w:cs="Times New Roman"/>
          <w:sz w:val="20"/>
          <w:szCs w:val="20"/>
        </w:rPr>
        <w:br w:type="page"/>
      </w:r>
    </w:p>
    <w:p w:rsidR="00E14929" w:rsidRPr="00BC47DD" w:rsidRDefault="00E14929" w:rsidP="00E14929">
      <w:pPr>
        <w:rPr>
          <w:rFonts w:ascii="Times New Roman" w:hAnsi="Times New Roman"/>
          <w:sz w:val="24"/>
          <w:szCs w:val="24"/>
        </w:rPr>
      </w:pPr>
      <w:r w:rsidRPr="0023203F">
        <w:rPr>
          <w:rFonts w:ascii="Times New Roman" w:hAnsi="Times New Roman"/>
          <w:sz w:val="24"/>
          <w:szCs w:val="24"/>
          <w:u w:val="single"/>
        </w:rPr>
        <w:lastRenderedPageBreak/>
        <w:t xml:space="preserve">Appendix G: </w:t>
      </w:r>
      <w:r w:rsidRPr="0023203F">
        <w:rPr>
          <w:rFonts w:ascii="Times New Roman" w:hAnsi="Times New Roman"/>
          <w:sz w:val="24"/>
          <w:szCs w:val="24"/>
          <w:u w:val="single"/>
        </w:rPr>
        <w:tab/>
      </w:r>
      <w:r w:rsidRPr="0023203F">
        <w:rPr>
          <w:rFonts w:ascii="Times New Roman" w:hAnsi="Times New Roman"/>
          <w:u w:val="single"/>
        </w:rPr>
        <w:t>Eliza Sydney in Smithfield</w:t>
      </w:r>
      <w:r w:rsidRPr="0023203F">
        <w:rPr>
          <w:rFonts w:ascii="Times New Roman" w:hAnsi="Times New Roman"/>
          <w:sz w:val="24"/>
          <w:szCs w:val="24"/>
        </w:rPr>
        <w:t>.</w:t>
      </w:r>
      <w:r w:rsidRPr="0023203F">
        <w:rPr>
          <w:rStyle w:val="FootnoteReference"/>
          <w:rFonts w:ascii="Times New Roman" w:hAnsi="Times New Roman"/>
          <w:sz w:val="24"/>
          <w:szCs w:val="24"/>
        </w:rPr>
        <w:footnoteReference w:id="1115"/>
      </w:r>
    </w:p>
    <w:p w:rsidR="00E14929" w:rsidRPr="0023203F" w:rsidRDefault="00E14929" w:rsidP="00E14929"/>
    <w:p w:rsidR="00E14929" w:rsidRDefault="00E14929" w:rsidP="00E14929">
      <w:r w:rsidRPr="00C61B2B">
        <w:rPr>
          <w:noProof/>
        </w:rPr>
        <w:drawing>
          <wp:inline distT="0" distB="0" distL="0" distR="0" wp14:anchorId="25A21270" wp14:editId="55AA227C">
            <wp:extent cx="5724525" cy="60579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24525" cy="6057900"/>
                    </a:xfrm>
                    <a:prstGeom prst="rect">
                      <a:avLst/>
                    </a:prstGeom>
                    <a:noFill/>
                    <a:ln>
                      <a:noFill/>
                    </a:ln>
                  </pic:spPr>
                </pic:pic>
              </a:graphicData>
            </a:graphic>
          </wp:inline>
        </w:drawing>
      </w:r>
    </w:p>
    <w:p w:rsidR="00E14929" w:rsidRDefault="00E14929" w:rsidP="00E14929">
      <w:pPr>
        <w:rPr>
          <w:rFonts w:ascii="Times New Roman" w:hAnsi="Times New Roman" w:cs="Times New Roman"/>
          <w:sz w:val="20"/>
          <w:szCs w:val="20"/>
        </w:rPr>
      </w:pPr>
      <w:r>
        <w:rPr>
          <w:rFonts w:ascii="Times New Roman" w:hAnsi="Times New Roman" w:cs="Times New Roman"/>
          <w:sz w:val="20"/>
          <w:szCs w:val="20"/>
        </w:rPr>
        <w:br w:type="page"/>
      </w:r>
    </w:p>
    <w:p w:rsidR="00E14929" w:rsidRPr="00D12BE5" w:rsidRDefault="00E14929" w:rsidP="00E14929">
      <w:pPr>
        <w:rPr>
          <w:rFonts w:ascii="Times New Roman" w:hAnsi="Times New Roman" w:cs="Times New Roman"/>
          <w:sz w:val="24"/>
          <w:szCs w:val="24"/>
          <w:u w:val="single"/>
        </w:rPr>
      </w:pPr>
      <w:r w:rsidRPr="002210CD">
        <w:rPr>
          <w:rFonts w:ascii="Times New Roman" w:hAnsi="Times New Roman" w:cs="Times New Roman"/>
          <w:sz w:val="24"/>
          <w:szCs w:val="24"/>
          <w:u w:val="single"/>
        </w:rPr>
        <w:lastRenderedPageBreak/>
        <w:t>Appendix H:</w:t>
      </w:r>
      <w:r w:rsidRPr="002210CD">
        <w:rPr>
          <w:rFonts w:ascii="Times New Roman" w:hAnsi="Times New Roman" w:cs="Times New Roman"/>
          <w:sz w:val="24"/>
          <w:szCs w:val="24"/>
          <w:u w:val="single"/>
        </w:rPr>
        <w:tab/>
        <w:t>The Bucklersbury Waiter.</w:t>
      </w:r>
      <w:r w:rsidRPr="002210CD">
        <w:rPr>
          <w:rStyle w:val="FootnoteReference"/>
          <w:rFonts w:ascii="Times New Roman" w:hAnsi="Times New Roman"/>
          <w:sz w:val="24"/>
          <w:szCs w:val="24"/>
        </w:rPr>
        <w:footnoteReference w:id="1116"/>
      </w:r>
    </w:p>
    <w:p w:rsidR="00E14929" w:rsidRDefault="00E14929" w:rsidP="00E14929"/>
    <w:p w:rsidR="00E14929" w:rsidRDefault="00E14929" w:rsidP="00E14929">
      <w:r w:rsidRPr="009370A1">
        <w:rPr>
          <w:noProof/>
          <w:lang w:eastAsia="en-GB"/>
        </w:rPr>
        <w:drawing>
          <wp:inline distT="0" distB="0" distL="0" distR="0" wp14:anchorId="7AF9DA0B" wp14:editId="5E2EC085">
            <wp:extent cx="5731510" cy="6070133"/>
            <wp:effectExtent l="0" t="0" r="254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6070133"/>
                    </a:xfrm>
                    <a:prstGeom prst="rect">
                      <a:avLst/>
                    </a:prstGeom>
                    <a:noFill/>
                    <a:ln>
                      <a:noFill/>
                    </a:ln>
                  </pic:spPr>
                </pic:pic>
              </a:graphicData>
            </a:graphic>
          </wp:inline>
        </w:drawing>
      </w:r>
    </w:p>
    <w:p w:rsidR="00E14929" w:rsidRDefault="00E14929" w:rsidP="00E14929">
      <w:pPr>
        <w:rPr>
          <w:rFonts w:ascii="Times New Roman" w:hAnsi="Times New Roman" w:cs="Times New Roman"/>
          <w:sz w:val="20"/>
          <w:szCs w:val="20"/>
        </w:rPr>
      </w:pPr>
      <w:r>
        <w:rPr>
          <w:rFonts w:ascii="Times New Roman" w:hAnsi="Times New Roman" w:cs="Times New Roman"/>
          <w:sz w:val="20"/>
          <w:szCs w:val="20"/>
        </w:rPr>
        <w:br w:type="page"/>
      </w:r>
    </w:p>
    <w:p w:rsidR="00E14929" w:rsidRPr="0070050C" w:rsidRDefault="00E14929" w:rsidP="00E14929">
      <w:pPr>
        <w:rPr>
          <w:rFonts w:ascii="Times New Roman" w:hAnsi="Times New Roman" w:cs="Times New Roman"/>
          <w:sz w:val="24"/>
          <w:szCs w:val="24"/>
        </w:rPr>
      </w:pPr>
      <w:r w:rsidRPr="00CD01CA">
        <w:rPr>
          <w:rFonts w:ascii="Times New Roman" w:hAnsi="Times New Roman" w:cs="Times New Roman"/>
          <w:sz w:val="24"/>
          <w:szCs w:val="24"/>
          <w:u w:val="single"/>
        </w:rPr>
        <w:lastRenderedPageBreak/>
        <w:t>Appendix I:</w:t>
      </w:r>
      <w:r w:rsidRPr="00CD01CA">
        <w:rPr>
          <w:rFonts w:ascii="Times New Roman" w:hAnsi="Times New Roman" w:cs="Times New Roman"/>
          <w:sz w:val="24"/>
          <w:szCs w:val="24"/>
          <w:u w:val="single"/>
        </w:rPr>
        <w:tab/>
        <w:t>The Divided Society</w:t>
      </w:r>
      <w:r w:rsidRPr="00CD01CA">
        <w:rPr>
          <w:rFonts w:ascii="Times New Roman" w:hAnsi="Times New Roman" w:cs="Times New Roman"/>
          <w:sz w:val="24"/>
          <w:szCs w:val="24"/>
        </w:rPr>
        <w:t>.</w:t>
      </w:r>
      <w:r w:rsidRPr="00CD01CA">
        <w:rPr>
          <w:rStyle w:val="FootnoteReference"/>
          <w:rFonts w:ascii="Times New Roman" w:hAnsi="Times New Roman" w:cs="Times New Roman"/>
          <w:sz w:val="24"/>
          <w:szCs w:val="24"/>
        </w:rPr>
        <w:footnoteReference w:id="1117"/>
      </w:r>
    </w:p>
    <w:p w:rsidR="00E14929" w:rsidRDefault="00E14929" w:rsidP="00E14929">
      <w:pPr>
        <w:rPr>
          <w:rFonts w:ascii="Times New Roman" w:hAnsi="Times New Roman" w:cs="Times New Roman"/>
          <w:b/>
          <w:bCs/>
          <w:i/>
          <w:iCs/>
          <w:sz w:val="24"/>
          <w:szCs w:val="24"/>
          <w:u w:val="single"/>
        </w:rPr>
      </w:pPr>
    </w:p>
    <w:p w:rsidR="00E14929" w:rsidRDefault="00E14929" w:rsidP="00E14929">
      <w:pPr>
        <w:rPr>
          <w:rFonts w:ascii="Times New Roman" w:hAnsi="Times New Roman" w:cs="Times New Roman"/>
          <w:b/>
          <w:bCs/>
          <w:i/>
          <w:iCs/>
          <w:sz w:val="24"/>
          <w:szCs w:val="24"/>
          <w:u w:val="single"/>
        </w:rPr>
      </w:pPr>
      <w:r>
        <w:rPr>
          <w:noProof/>
          <w:lang w:eastAsia="en-GB"/>
        </w:rPr>
        <w:drawing>
          <wp:inline distT="0" distB="0" distL="0" distR="0" wp14:anchorId="429C9724" wp14:editId="0C5F1E57">
            <wp:extent cx="5731510" cy="4256405"/>
            <wp:effectExtent l="0" t="0" r="2540" b="0"/>
            <wp:docPr id="19" name="Picture 19" descr="http://library.sc.edu/zellatest/vicwriters/images/seamstress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ibrary.sc.edu/zellatest/vicwriters/images/seamstress1b.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4256405"/>
                    </a:xfrm>
                    <a:prstGeom prst="rect">
                      <a:avLst/>
                    </a:prstGeom>
                    <a:noFill/>
                    <a:ln>
                      <a:noFill/>
                    </a:ln>
                  </pic:spPr>
                </pic:pic>
              </a:graphicData>
            </a:graphic>
          </wp:inline>
        </w:drawing>
      </w:r>
    </w:p>
    <w:p w:rsidR="00E14929" w:rsidRDefault="00E14929" w:rsidP="00E14929">
      <w:pPr>
        <w:rPr>
          <w:rFonts w:ascii="Times New Roman" w:hAnsi="Times New Roman" w:cs="Times New Roman"/>
          <w:sz w:val="24"/>
          <w:szCs w:val="24"/>
          <w:u w:val="single"/>
        </w:rPr>
      </w:pPr>
      <w:r>
        <w:rPr>
          <w:rFonts w:ascii="Times New Roman" w:hAnsi="Times New Roman" w:cs="Times New Roman"/>
          <w:sz w:val="24"/>
          <w:szCs w:val="24"/>
          <w:u w:val="single"/>
        </w:rPr>
        <w:br w:type="page"/>
      </w:r>
    </w:p>
    <w:p w:rsidR="00E14929" w:rsidRDefault="00E14929" w:rsidP="00E14929">
      <w:pPr>
        <w:spacing w:after="120" w:line="360" w:lineRule="auto"/>
        <w:rPr>
          <w:rFonts w:ascii="Times New Roman" w:hAnsi="Times New Roman" w:cs="Times New Roman"/>
          <w:sz w:val="24"/>
          <w:szCs w:val="24"/>
          <w:u w:val="single"/>
        </w:rPr>
      </w:pPr>
      <w:r w:rsidRPr="00D12BE5">
        <w:rPr>
          <w:rFonts w:ascii="Times New Roman" w:hAnsi="Times New Roman" w:cs="Times New Roman"/>
          <w:sz w:val="24"/>
          <w:szCs w:val="24"/>
          <w:u w:val="single"/>
        </w:rPr>
        <w:lastRenderedPageBreak/>
        <w:t xml:space="preserve">Appendix </w:t>
      </w:r>
      <w:r>
        <w:rPr>
          <w:rFonts w:ascii="Times New Roman" w:hAnsi="Times New Roman" w:cs="Times New Roman"/>
          <w:sz w:val="24"/>
          <w:szCs w:val="24"/>
          <w:u w:val="single"/>
        </w:rPr>
        <w:t>J</w:t>
      </w:r>
      <w:r w:rsidRPr="00D12BE5">
        <w:rPr>
          <w:rFonts w:ascii="Times New Roman" w:hAnsi="Times New Roman" w:cs="Times New Roman"/>
          <w:sz w:val="24"/>
          <w:szCs w:val="24"/>
          <w:u w:val="single"/>
        </w:rPr>
        <w:t>:</w:t>
      </w:r>
      <w:r w:rsidRPr="00D12BE5">
        <w:rPr>
          <w:rFonts w:ascii="Times New Roman" w:hAnsi="Times New Roman" w:cs="Times New Roman"/>
          <w:sz w:val="24"/>
          <w:szCs w:val="24"/>
          <w:u w:val="single"/>
        </w:rPr>
        <w:tab/>
        <w:t>The Bengal Arms.</w:t>
      </w:r>
      <w:r w:rsidRPr="00D12BE5">
        <w:rPr>
          <w:rStyle w:val="FootnoteReference"/>
          <w:rFonts w:ascii="Times New Roman" w:hAnsi="Times New Roman"/>
          <w:sz w:val="24"/>
          <w:szCs w:val="24"/>
        </w:rPr>
        <w:footnoteReference w:id="1118"/>
      </w:r>
    </w:p>
    <w:p w:rsidR="00E14929" w:rsidRDefault="00E14929" w:rsidP="00E14929">
      <w:pPr>
        <w:spacing w:after="120" w:line="360" w:lineRule="auto"/>
      </w:pPr>
      <w:r w:rsidRPr="00E7406F">
        <w:rPr>
          <w:noProof/>
          <w:lang w:eastAsia="en-GB"/>
        </w:rPr>
        <w:drawing>
          <wp:inline distT="0" distB="0" distL="0" distR="0" wp14:anchorId="381BB66A" wp14:editId="1A31CCF0">
            <wp:extent cx="5731510" cy="6335268"/>
            <wp:effectExtent l="0" t="0" r="254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6335268"/>
                    </a:xfrm>
                    <a:prstGeom prst="rect">
                      <a:avLst/>
                    </a:prstGeom>
                    <a:noFill/>
                    <a:ln>
                      <a:noFill/>
                    </a:ln>
                  </pic:spPr>
                </pic:pic>
              </a:graphicData>
            </a:graphic>
          </wp:inline>
        </w:drawing>
      </w:r>
    </w:p>
    <w:p w:rsidR="00E14929" w:rsidRDefault="00E14929" w:rsidP="00E14929">
      <w:pPr>
        <w:rPr>
          <w:rFonts w:ascii="Times New Roman" w:hAnsi="Times New Roman" w:cs="Times New Roman"/>
          <w:sz w:val="24"/>
          <w:szCs w:val="24"/>
          <w:u w:val="single"/>
        </w:rPr>
      </w:pPr>
      <w:r>
        <w:rPr>
          <w:rFonts w:ascii="Times New Roman" w:hAnsi="Times New Roman" w:cs="Times New Roman"/>
          <w:sz w:val="24"/>
          <w:szCs w:val="24"/>
          <w:u w:val="single"/>
        </w:rPr>
        <w:br w:type="page"/>
      </w:r>
    </w:p>
    <w:p w:rsidR="00E14929" w:rsidRDefault="00E14929" w:rsidP="00E14929">
      <w:r w:rsidRPr="00FF36B6">
        <w:rPr>
          <w:rFonts w:ascii="Times New Roman" w:hAnsi="Times New Roman" w:cs="Times New Roman"/>
          <w:sz w:val="24"/>
          <w:szCs w:val="24"/>
          <w:u w:val="single"/>
          <w:lang w:val="it-IT"/>
        </w:rPr>
        <w:lastRenderedPageBreak/>
        <w:t>Appendix K:</w:t>
      </w:r>
      <w:r w:rsidRPr="00FF36B6">
        <w:rPr>
          <w:rFonts w:ascii="Times New Roman" w:hAnsi="Times New Roman" w:cs="Times New Roman"/>
          <w:sz w:val="24"/>
          <w:szCs w:val="24"/>
          <w:u w:val="single"/>
          <w:lang w:val="it-IT"/>
        </w:rPr>
        <w:tab/>
        <w:t xml:space="preserve">G. W. M. Reynolds: Opening Portrait to the </w:t>
      </w:r>
      <w:r w:rsidRPr="00FF36B6">
        <w:rPr>
          <w:rFonts w:ascii="Times New Roman" w:hAnsi="Times New Roman" w:cs="Times New Roman"/>
          <w:i/>
          <w:sz w:val="24"/>
          <w:szCs w:val="24"/>
          <w:u w:val="single"/>
          <w:lang w:val="it-IT"/>
        </w:rPr>
        <w:t>Miscellany</w:t>
      </w:r>
      <w:r w:rsidRPr="00FF36B6">
        <w:rPr>
          <w:rFonts w:ascii="Times New Roman" w:hAnsi="Times New Roman" w:cs="Times New Roman"/>
          <w:sz w:val="24"/>
          <w:szCs w:val="24"/>
          <w:lang w:val="it-IT"/>
        </w:rPr>
        <w:t>.</w:t>
      </w:r>
      <w:r w:rsidRPr="00FF36B6">
        <w:rPr>
          <w:rStyle w:val="FootnoteReference"/>
          <w:rFonts w:ascii="Times New Roman" w:hAnsi="Times New Roman" w:cs="Times New Roman"/>
          <w:sz w:val="24"/>
          <w:szCs w:val="24"/>
          <w:lang w:val="it-IT"/>
        </w:rPr>
        <w:footnoteReference w:id="1119"/>
      </w:r>
    </w:p>
    <w:p w:rsidR="00E14929" w:rsidRDefault="00E14929" w:rsidP="00E14929"/>
    <w:p w:rsidR="00E14929" w:rsidRDefault="00E14929" w:rsidP="00E14929">
      <w:r>
        <w:rPr>
          <w:noProof/>
          <w:lang w:eastAsia="en-GB"/>
        </w:rPr>
        <w:drawing>
          <wp:inline distT="0" distB="0" distL="0" distR="0" wp14:anchorId="038FD128" wp14:editId="3F57A753">
            <wp:extent cx="5731510" cy="6504526"/>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6504526"/>
                    </a:xfrm>
                    <a:prstGeom prst="rect">
                      <a:avLst/>
                    </a:prstGeom>
                    <a:noFill/>
                    <a:ln>
                      <a:noFill/>
                    </a:ln>
                  </pic:spPr>
                </pic:pic>
              </a:graphicData>
            </a:graphic>
          </wp:inline>
        </w:drawing>
      </w:r>
    </w:p>
    <w:p w:rsidR="00E14929" w:rsidRDefault="00E14929" w:rsidP="00E14929"/>
    <w:p w:rsidR="00E14929" w:rsidRDefault="00E14929" w:rsidP="00E14929">
      <w:pPr>
        <w:rPr>
          <w:rFonts w:ascii="Times New Roman" w:hAnsi="Times New Roman" w:cs="Times New Roman"/>
          <w:sz w:val="24"/>
          <w:szCs w:val="24"/>
          <w:u w:val="single"/>
        </w:rPr>
      </w:pPr>
      <w:r>
        <w:rPr>
          <w:rFonts w:ascii="Times New Roman" w:hAnsi="Times New Roman" w:cs="Times New Roman"/>
          <w:sz w:val="24"/>
          <w:szCs w:val="24"/>
          <w:u w:val="single"/>
        </w:rPr>
        <w:br w:type="page"/>
      </w:r>
    </w:p>
    <w:p w:rsidR="00E14929" w:rsidRPr="0054066B" w:rsidRDefault="00E14929" w:rsidP="00E14929">
      <w:pPr>
        <w:spacing w:after="120" w:line="360" w:lineRule="auto"/>
        <w:rPr>
          <w:rFonts w:ascii="Times New Roman" w:hAnsi="Times New Roman" w:cs="Times New Roman"/>
          <w:sz w:val="24"/>
          <w:szCs w:val="24"/>
          <w:u w:val="single"/>
        </w:rPr>
      </w:pPr>
      <w:r w:rsidRPr="0054066B">
        <w:rPr>
          <w:rFonts w:ascii="Times New Roman" w:hAnsi="Times New Roman" w:cs="Times New Roman"/>
          <w:sz w:val="24"/>
          <w:szCs w:val="24"/>
          <w:u w:val="single"/>
        </w:rPr>
        <w:lastRenderedPageBreak/>
        <w:t>Appendix L</w:t>
      </w:r>
      <w:r>
        <w:rPr>
          <w:rFonts w:ascii="Times New Roman" w:hAnsi="Times New Roman" w:cs="Times New Roman"/>
          <w:sz w:val="24"/>
          <w:szCs w:val="24"/>
          <w:u w:val="single"/>
        </w:rPr>
        <w:t>(i)</w:t>
      </w:r>
      <w:r w:rsidRPr="0054066B">
        <w:rPr>
          <w:rFonts w:ascii="Times New Roman" w:hAnsi="Times New Roman" w:cs="Times New Roman"/>
          <w:sz w:val="24"/>
          <w:szCs w:val="24"/>
          <w:u w:val="single"/>
        </w:rPr>
        <w:t>:</w:t>
      </w:r>
      <w:r w:rsidRPr="0054066B">
        <w:rPr>
          <w:rFonts w:ascii="Times New Roman" w:hAnsi="Times New Roman" w:cs="Times New Roman"/>
          <w:sz w:val="24"/>
          <w:szCs w:val="24"/>
          <w:u w:val="single"/>
        </w:rPr>
        <w:tab/>
        <w:t xml:space="preserve">Macaire and the </w:t>
      </w:r>
      <w:r w:rsidRPr="0054066B">
        <w:rPr>
          <w:rFonts w:asciiTheme="majorBidi" w:hAnsiTheme="majorBidi" w:cstheme="majorBidi"/>
          <w:bCs/>
          <w:u w:val="single"/>
        </w:rPr>
        <w:t>fraternity of escamoteurs</w:t>
      </w:r>
      <w:r w:rsidRPr="0054066B">
        <w:rPr>
          <w:rFonts w:ascii="Times New Roman" w:hAnsi="Times New Roman" w:cs="Times New Roman"/>
          <w:sz w:val="24"/>
          <w:szCs w:val="24"/>
          <w:u w:val="single"/>
        </w:rPr>
        <w:t xml:space="preserve"> </w:t>
      </w:r>
      <w:r w:rsidRPr="0054066B">
        <w:rPr>
          <w:rFonts w:ascii="Times New Roman" w:hAnsi="Times New Roman" w:cs="Times New Roman"/>
          <w:sz w:val="20"/>
          <w:szCs w:val="20"/>
          <w:u w:val="single"/>
        </w:rPr>
        <w:t>–</w:t>
      </w:r>
      <w:r w:rsidRPr="0054066B">
        <w:rPr>
          <w:rFonts w:ascii="Times New Roman" w:hAnsi="Times New Roman" w:cs="Times New Roman"/>
          <w:sz w:val="24"/>
          <w:szCs w:val="24"/>
          <w:u w:val="single"/>
        </w:rPr>
        <w:t xml:space="preserve"> Version by Phiz.</w:t>
      </w:r>
    </w:p>
    <w:p w:rsidR="00E14929" w:rsidRDefault="00E14929" w:rsidP="00E14929"/>
    <w:p w:rsidR="00E14929" w:rsidRDefault="00E14929" w:rsidP="00E14929">
      <w:r>
        <w:rPr>
          <w:noProof/>
          <w:lang w:eastAsia="en-GB"/>
        </w:rPr>
        <w:drawing>
          <wp:inline distT="0" distB="0" distL="0" distR="0" wp14:anchorId="20BAF30C" wp14:editId="3F0AC94F">
            <wp:extent cx="4295775" cy="530091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50372" cy="5368287"/>
                    </a:xfrm>
                    <a:prstGeom prst="rect">
                      <a:avLst/>
                    </a:prstGeom>
                    <a:noFill/>
                    <a:ln>
                      <a:noFill/>
                    </a:ln>
                  </pic:spPr>
                </pic:pic>
              </a:graphicData>
            </a:graphic>
          </wp:inline>
        </w:drawing>
      </w:r>
    </w:p>
    <w:p w:rsidR="00E14929" w:rsidRDefault="00E14929" w:rsidP="00E14929">
      <w:r>
        <w:br w:type="page"/>
      </w:r>
    </w:p>
    <w:p w:rsidR="00E14929" w:rsidRPr="0054066B" w:rsidRDefault="00E14929" w:rsidP="00E14929">
      <w:pPr>
        <w:spacing w:after="120" w:line="360" w:lineRule="auto"/>
        <w:rPr>
          <w:rFonts w:ascii="Times New Roman" w:hAnsi="Times New Roman" w:cs="Times New Roman"/>
          <w:sz w:val="24"/>
          <w:szCs w:val="24"/>
          <w:u w:val="single"/>
        </w:rPr>
      </w:pPr>
      <w:r w:rsidRPr="0054066B">
        <w:rPr>
          <w:rFonts w:ascii="Times New Roman" w:hAnsi="Times New Roman" w:cs="Times New Roman"/>
          <w:sz w:val="24"/>
          <w:szCs w:val="24"/>
          <w:u w:val="single"/>
        </w:rPr>
        <w:lastRenderedPageBreak/>
        <w:t>Appendix L</w:t>
      </w:r>
      <w:r>
        <w:rPr>
          <w:rFonts w:ascii="Times New Roman" w:hAnsi="Times New Roman" w:cs="Times New Roman"/>
          <w:sz w:val="24"/>
          <w:szCs w:val="24"/>
          <w:u w:val="single"/>
        </w:rPr>
        <w:t>(ii)</w:t>
      </w:r>
      <w:r w:rsidRPr="0054066B">
        <w:rPr>
          <w:rFonts w:ascii="Times New Roman" w:hAnsi="Times New Roman" w:cs="Times New Roman"/>
          <w:sz w:val="24"/>
          <w:szCs w:val="24"/>
          <w:u w:val="single"/>
        </w:rPr>
        <w:t>:</w:t>
      </w:r>
      <w:r w:rsidRPr="0054066B">
        <w:rPr>
          <w:rFonts w:ascii="Times New Roman" w:hAnsi="Times New Roman" w:cs="Times New Roman"/>
          <w:sz w:val="24"/>
          <w:szCs w:val="24"/>
          <w:u w:val="single"/>
        </w:rPr>
        <w:tab/>
        <w:t xml:space="preserve">Macaire and the </w:t>
      </w:r>
      <w:r w:rsidRPr="0054066B">
        <w:rPr>
          <w:rFonts w:asciiTheme="majorBidi" w:hAnsiTheme="majorBidi" w:cstheme="majorBidi"/>
          <w:bCs/>
          <w:u w:val="single"/>
        </w:rPr>
        <w:t>fraternity of escamoteurs</w:t>
      </w:r>
      <w:r w:rsidRPr="0054066B">
        <w:rPr>
          <w:rFonts w:ascii="Times New Roman" w:hAnsi="Times New Roman" w:cs="Times New Roman"/>
          <w:sz w:val="24"/>
          <w:szCs w:val="24"/>
          <w:u w:val="single"/>
        </w:rPr>
        <w:t xml:space="preserve"> </w:t>
      </w:r>
      <w:r w:rsidRPr="0054066B">
        <w:rPr>
          <w:rFonts w:ascii="Times New Roman" w:hAnsi="Times New Roman" w:cs="Times New Roman"/>
          <w:sz w:val="20"/>
          <w:szCs w:val="20"/>
          <w:u w:val="single"/>
        </w:rPr>
        <w:t>–</w:t>
      </w:r>
      <w:r w:rsidRPr="0054066B">
        <w:rPr>
          <w:rFonts w:ascii="Times New Roman" w:hAnsi="Times New Roman" w:cs="Times New Roman"/>
          <w:sz w:val="24"/>
          <w:szCs w:val="24"/>
          <w:u w:val="single"/>
        </w:rPr>
        <w:t xml:space="preserve"> Version by </w:t>
      </w:r>
      <w:r>
        <w:rPr>
          <w:rFonts w:ascii="Times New Roman" w:hAnsi="Times New Roman" w:cs="Times New Roman"/>
          <w:sz w:val="24"/>
          <w:szCs w:val="24"/>
          <w:u w:val="single"/>
        </w:rPr>
        <w:t>Anelay</w:t>
      </w:r>
      <w:r w:rsidRPr="0054066B">
        <w:rPr>
          <w:rFonts w:ascii="Times New Roman" w:hAnsi="Times New Roman" w:cs="Times New Roman"/>
          <w:sz w:val="24"/>
          <w:szCs w:val="24"/>
          <w:u w:val="single"/>
        </w:rPr>
        <w:t>.</w:t>
      </w:r>
    </w:p>
    <w:p w:rsidR="00E14929" w:rsidRDefault="00E14929" w:rsidP="00E14929"/>
    <w:p w:rsidR="00E14929" w:rsidRDefault="00E14929" w:rsidP="00E14929">
      <w:r w:rsidRPr="00CC03FC">
        <w:rPr>
          <w:noProof/>
          <w:lang w:eastAsia="en-GB"/>
        </w:rPr>
        <w:drawing>
          <wp:inline distT="0" distB="0" distL="0" distR="0" wp14:anchorId="1BD9AD26" wp14:editId="08D44F4B">
            <wp:extent cx="4676313" cy="5410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78393" cy="5412607"/>
                    </a:xfrm>
                    <a:prstGeom prst="rect">
                      <a:avLst/>
                    </a:prstGeom>
                    <a:noFill/>
                    <a:ln>
                      <a:noFill/>
                    </a:ln>
                  </pic:spPr>
                </pic:pic>
              </a:graphicData>
            </a:graphic>
          </wp:inline>
        </w:drawing>
      </w:r>
    </w:p>
    <w:p w:rsidR="00E14929" w:rsidRDefault="00E14929" w:rsidP="00E14929"/>
    <w:p w:rsidR="00E14929" w:rsidRDefault="00E14929" w:rsidP="00E14929">
      <w:pPr>
        <w:rPr>
          <w:rFonts w:ascii="Times New Roman" w:hAnsi="Times New Roman" w:cs="Times New Roman"/>
          <w:sz w:val="24"/>
          <w:szCs w:val="24"/>
          <w:u w:val="single"/>
        </w:rPr>
      </w:pPr>
    </w:p>
    <w:p w:rsidR="00690DF3" w:rsidRDefault="00690DF3" w:rsidP="00690DF3">
      <w:pPr>
        <w:rPr>
          <w:rFonts w:asciiTheme="majorBidi" w:hAnsiTheme="majorBidi" w:cstheme="majorBidi"/>
          <w:b/>
          <w:bCs/>
          <w:i/>
          <w:iCs/>
          <w:sz w:val="24"/>
          <w:szCs w:val="24"/>
          <w:u w:val="single"/>
          <w:lang w:val="fr-FR"/>
        </w:rPr>
      </w:pPr>
      <w:r>
        <w:rPr>
          <w:rFonts w:asciiTheme="majorBidi" w:hAnsiTheme="majorBidi" w:cstheme="majorBidi"/>
          <w:b/>
          <w:bCs/>
          <w:i/>
          <w:iCs/>
          <w:sz w:val="24"/>
          <w:szCs w:val="24"/>
          <w:u w:val="single"/>
          <w:lang w:val="fr-FR"/>
        </w:rPr>
        <w:br w:type="page"/>
      </w:r>
    </w:p>
    <w:p w:rsidR="00690DF3" w:rsidRPr="00F3476E" w:rsidRDefault="00690DF3" w:rsidP="00690DF3">
      <w:pPr>
        <w:rPr>
          <w:rFonts w:ascii="Times New Roman" w:hAnsi="Times New Roman" w:cs="Times New Roman"/>
          <w:b/>
          <w:bCs/>
          <w:sz w:val="24"/>
          <w:szCs w:val="24"/>
          <w:u w:val="single"/>
          <w:lang w:val="fr-FR"/>
        </w:rPr>
      </w:pPr>
    </w:p>
    <w:p w:rsidR="00690DF3" w:rsidRPr="00F3476E" w:rsidRDefault="00690DF3" w:rsidP="00690DF3">
      <w:pPr>
        <w:rPr>
          <w:rFonts w:ascii="Times New Roman" w:hAnsi="Times New Roman" w:cs="Times New Roman"/>
          <w:b/>
          <w:bCs/>
          <w:sz w:val="24"/>
          <w:szCs w:val="24"/>
          <w:u w:val="single"/>
          <w:lang w:val="fr-FR"/>
        </w:rPr>
        <w:sectPr w:rsidR="00690DF3" w:rsidRPr="00F3476E">
          <w:footnotePr>
            <w:numRestart w:val="eachSect"/>
          </w:footnotePr>
          <w:pgSz w:w="11906" w:h="16838"/>
          <w:pgMar w:top="1440" w:right="1440" w:bottom="1440" w:left="1440" w:header="708" w:footer="708" w:gutter="0"/>
          <w:cols w:space="708"/>
          <w:docGrid w:linePitch="360"/>
        </w:sectPr>
      </w:pPr>
    </w:p>
    <w:p w:rsidR="00690DF3" w:rsidRDefault="00690DF3" w:rsidP="00690DF3">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Bibliography</w:t>
      </w:r>
    </w:p>
    <w:p w:rsidR="00967FD1" w:rsidRDefault="00967FD1" w:rsidP="00967FD1">
      <w:pPr>
        <w:spacing w:after="120" w:line="360" w:lineRule="auto"/>
        <w:rPr>
          <w:rFonts w:ascii="Times New Roman" w:hAnsi="Times New Roman" w:cs="Times New Roman"/>
          <w:sz w:val="24"/>
          <w:szCs w:val="24"/>
          <w:u w:val="single"/>
        </w:rPr>
      </w:pPr>
      <w:r>
        <w:rPr>
          <w:rFonts w:ascii="Times New Roman" w:hAnsi="Times New Roman" w:cs="Times New Roman"/>
          <w:sz w:val="24"/>
          <w:szCs w:val="24"/>
          <w:u w:val="single"/>
        </w:rPr>
        <w:t>Primary Sources</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Acton, William John, </w:t>
      </w:r>
      <w:r>
        <w:rPr>
          <w:rFonts w:ascii="Times New Roman" w:hAnsi="Times New Roman" w:cs="Times New Roman"/>
          <w:i/>
          <w:sz w:val="24"/>
          <w:szCs w:val="24"/>
        </w:rPr>
        <w:t>Prostitution</w:t>
      </w:r>
      <w:r>
        <w:rPr>
          <w:rFonts w:ascii="Times New Roman" w:hAnsi="Times New Roman" w:cs="Times New Roman"/>
          <w:sz w:val="24"/>
          <w:szCs w:val="24"/>
        </w:rPr>
        <w:t>, ed. Peter Fryer (London: Macgibbon &amp; Kee, 1968)</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Adams, W. E., </w:t>
      </w:r>
      <w:r>
        <w:rPr>
          <w:rFonts w:ascii="Times New Roman" w:hAnsi="Times New Roman" w:cs="Times New Roman"/>
          <w:i/>
          <w:sz w:val="24"/>
          <w:szCs w:val="24"/>
        </w:rPr>
        <w:t>Memoirs of a Social Atom</w:t>
      </w:r>
      <w:r>
        <w:rPr>
          <w:rFonts w:ascii="Times New Roman" w:hAnsi="Times New Roman" w:cs="Times New Roman"/>
          <w:sz w:val="24"/>
          <w:szCs w:val="24"/>
        </w:rPr>
        <w:t xml:space="preserve"> (London: Hutcheson, 1903; repr. New York: Kelley, 1968)</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Ainsworth, William Harrison, </w:t>
      </w:r>
      <w:r>
        <w:rPr>
          <w:rFonts w:ascii="Times New Roman" w:hAnsi="Times New Roman" w:cs="Times New Roman"/>
          <w:i/>
          <w:sz w:val="24"/>
          <w:szCs w:val="24"/>
        </w:rPr>
        <w:t>Jack Sheppard</w:t>
      </w:r>
      <w:r>
        <w:rPr>
          <w:rFonts w:ascii="Times New Roman" w:hAnsi="Times New Roman" w:cs="Times New Roman"/>
          <w:sz w:val="24"/>
          <w:szCs w:val="24"/>
        </w:rPr>
        <w:t xml:space="preserve"> (London: Routledge, [n.d.])</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rPr>
        <w:t xml:space="preserve">Anonymous, ‘The Character of the Jews’, </w:t>
      </w:r>
      <w:r>
        <w:rPr>
          <w:rFonts w:ascii="Times New Roman" w:hAnsi="Times New Roman"/>
          <w:i/>
          <w:iCs/>
          <w:sz w:val="24"/>
          <w:szCs w:val="24"/>
        </w:rPr>
        <w:t>Reynolds’s Miscellany</w:t>
      </w:r>
      <w:r>
        <w:rPr>
          <w:rFonts w:ascii="Times New Roman" w:hAnsi="Times New Roman"/>
          <w:sz w:val="24"/>
          <w:szCs w:val="24"/>
        </w:rPr>
        <w:t>, 21 August 1847, pp. 226–27</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‘The Council of the National Parliamentary and Financial Reform Association.  Scandalous Attempt to Betray the Chartist Cause’, </w:t>
      </w:r>
      <w:r>
        <w:rPr>
          <w:rFonts w:ascii="Times New Roman" w:hAnsi="Times New Roman" w:cs="Times New Roman"/>
          <w:i/>
          <w:iCs/>
          <w:sz w:val="24"/>
          <w:szCs w:val="24"/>
        </w:rPr>
        <w:t>Reynolds’s Weekly Newspaper</w:t>
      </w:r>
      <w:r>
        <w:rPr>
          <w:rFonts w:ascii="Times New Roman" w:hAnsi="Times New Roman" w:cs="Times New Roman"/>
          <w:sz w:val="24"/>
          <w:szCs w:val="24"/>
        </w:rPr>
        <w:t>, 2 June 1850, p. 1</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‘The Four Leading Conservatives’, </w:t>
      </w:r>
      <w:r>
        <w:rPr>
          <w:rFonts w:ascii="Times New Roman" w:hAnsi="Times New Roman" w:cs="Times New Roman"/>
          <w:i/>
          <w:iCs/>
          <w:sz w:val="24"/>
          <w:szCs w:val="24"/>
        </w:rPr>
        <w:t>Reynolds’s Miscellany</w:t>
      </w:r>
      <w:r>
        <w:rPr>
          <w:rFonts w:ascii="Times New Roman" w:hAnsi="Times New Roman" w:cs="Times New Roman"/>
          <w:sz w:val="24"/>
          <w:szCs w:val="24"/>
        </w:rPr>
        <w:t>, 6 February 1947, p. 217</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‘The Grand Excursion to Captain Trotter’s Park’, </w:t>
      </w:r>
      <w:r>
        <w:rPr>
          <w:rFonts w:ascii="Times New Roman" w:hAnsi="Times New Roman" w:cs="Times New Roman"/>
          <w:i/>
          <w:sz w:val="24"/>
          <w:szCs w:val="24"/>
        </w:rPr>
        <w:t>Teetotaler,</w:t>
      </w:r>
      <w:r>
        <w:rPr>
          <w:rFonts w:ascii="Times New Roman" w:hAnsi="Times New Roman" w:cs="Times New Roman"/>
          <w:sz w:val="24"/>
          <w:szCs w:val="24"/>
        </w:rPr>
        <w:t xml:space="preserve"> 15 August 1840, p. 62</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‘Grand Tee-Total Gala, Held in Dyrham Park, the Seat of Captain Trotter, August 10, 1840’, </w:t>
      </w:r>
      <w:r>
        <w:rPr>
          <w:rFonts w:ascii="Times New Roman" w:hAnsi="Times New Roman" w:cs="Times New Roman"/>
          <w:i/>
          <w:sz w:val="24"/>
          <w:szCs w:val="24"/>
        </w:rPr>
        <w:t>London Tee-Total Magazine</w:t>
      </w:r>
      <w:r>
        <w:rPr>
          <w:rFonts w:ascii="Times New Roman" w:hAnsi="Times New Roman" w:cs="Times New Roman"/>
          <w:sz w:val="24"/>
          <w:szCs w:val="24"/>
        </w:rPr>
        <w:t xml:space="preserve">, </w:t>
      </w:r>
      <w:r>
        <w:rPr>
          <w:rFonts w:ascii="Times New Roman" w:hAnsi="Times New Roman" w:cs="Times New Roman"/>
          <w:i/>
          <w:sz w:val="24"/>
          <w:szCs w:val="24"/>
        </w:rPr>
        <w:t>and Literary Miscellany</w:t>
      </w:r>
      <w:r>
        <w:rPr>
          <w:rFonts w:ascii="Times New Roman" w:hAnsi="Times New Roman" w:cs="Times New Roman"/>
          <w:sz w:val="24"/>
          <w:szCs w:val="24"/>
        </w:rPr>
        <w:t>, September 1840, pp. 283–90</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‘Great Meeting in Favour of the Coal-Whippers’, </w:t>
      </w:r>
      <w:r>
        <w:rPr>
          <w:rFonts w:ascii="Times New Roman" w:hAnsi="Times New Roman" w:cs="Times New Roman"/>
          <w:i/>
          <w:sz w:val="24"/>
          <w:szCs w:val="24"/>
        </w:rPr>
        <w:t>Teetotaler,</w:t>
      </w:r>
      <w:r>
        <w:rPr>
          <w:rFonts w:ascii="Times New Roman" w:hAnsi="Times New Roman" w:cs="Times New Roman"/>
          <w:sz w:val="24"/>
          <w:szCs w:val="24"/>
        </w:rPr>
        <w:t xml:space="preserve"> 8 August 1840, pp. 55–56</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‘Great Public Meeting on Clerkenwell-Green in Favour of the People’s Charter’, </w:t>
      </w:r>
      <w:r>
        <w:rPr>
          <w:rStyle w:val="mini"/>
          <w:rFonts w:ascii="Times New Roman" w:hAnsi="Times New Roman" w:cs="Times New Roman"/>
          <w:i/>
          <w:iCs/>
          <w:sz w:val="24"/>
          <w:szCs w:val="24"/>
        </w:rPr>
        <w:t>Northern Star and National Trades' Journal</w:t>
      </w:r>
      <w:r>
        <w:rPr>
          <w:rFonts w:ascii="Times New Roman" w:hAnsi="Times New Roman" w:cs="Times New Roman"/>
          <w:sz w:val="24"/>
          <w:szCs w:val="24"/>
        </w:rPr>
        <w:t>, 11 March 1848, p.1</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rPr>
        <w:t xml:space="preserve">Anonymous, </w:t>
      </w:r>
      <w:r>
        <w:rPr>
          <w:rStyle w:val="mini"/>
          <w:rFonts w:ascii="Times New Roman" w:hAnsi="Times New Roman"/>
          <w:sz w:val="24"/>
          <w:szCs w:val="24"/>
        </w:rPr>
        <w:t>‘Hungarian Independence’,</w:t>
      </w:r>
      <w:r>
        <w:rPr>
          <w:rStyle w:val="mini"/>
          <w:rFonts w:ascii="Times New Roman" w:hAnsi="Times New Roman"/>
          <w:i/>
          <w:iCs/>
          <w:sz w:val="24"/>
          <w:szCs w:val="24"/>
        </w:rPr>
        <w:t xml:space="preserve"> Northern Star and National Trades' Journal</w:t>
      </w:r>
      <w:r>
        <w:rPr>
          <w:rFonts w:ascii="Times New Roman" w:hAnsi="Times New Roman"/>
          <w:sz w:val="24"/>
          <w:szCs w:val="24"/>
        </w:rPr>
        <w:t xml:space="preserve">, 28 </w:t>
      </w:r>
      <w:r>
        <w:rPr>
          <w:rStyle w:val="mini"/>
          <w:rFonts w:ascii="Times New Roman" w:hAnsi="Times New Roman"/>
          <w:sz w:val="24"/>
          <w:szCs w:val="24"/>
        </w:rPr>
        <w:t>July 1849, p. 8</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(signed Gracchus), ‘Letters to the Working Classes. No. I’, </w:t>
      </w:r>
      <w:r>
        <w:rPr>
          <w:rFonts w:ascii="Times New Roman" w:hAnsi="Times New Roman" w:cs="Times New Roman"/>
          <w:i/>
          <w:sz w:val="24"/>
          <w:szCs w:val="24"/>
        </w:rPr>
        <w:t>Teetotaler,</w:t>
      </w:r>
      <w:r>
        <w:rPr>
          <w:rFonts w:ascii="Times New Roman" w:hAnsi="Times New Roman" w:cs="Times New Roman"/>
          <w:sz w:val="24"/>
          <w:szCs w:val="24"/>
        </w:rPr>
        <w:t xml:space="preserve"> 24 October 1840, p. 141</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(signed Gracchus), ‘Letters to the Working Classes. No. II’, </w:t>
      </w:r>
      <w:r>
        <w:rPr>
          <w:rFonts w:ascii="Times New Roman" w:hAnsi="Times New Roman" w:cs="Times New Roman"/>
          <w:i/>
          <w:sz w:val="24"/>
          <w:szCs w:val="24"/>
        </w:rPr>
        <w:t>Teetotaler,</w:t>
      </w:r>
      <w:r>
        <w:rPr>
          <w:rFonts w:ascii="Times New Roman" w:hAnsi="Times New Roman" w:cs="Times New Roman"/>
          <w:sz w:val="24"/>
          <w:szCs w:val="24"/>
        </w:rPr>
        <w:t xml:space="preserve"> 31 October 1840, pp. 150–51</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Anonymous (signed Gracchus), ‘Letters to the Working Classes. No. 3’, </w:t>
      </w:r>
      <w:r>
        <w:rPr>
          <w:rFonts w:ascii="Times New Roman" w:hAnsi="Times New Roman" w:cs="Times New Roman"/>
          <w:i/>
          <w:sz w:val="24"/>
          <w:szCs w:val="24"/>
        </w:rPr>
        <w:t>Teetotaler,</w:t>
      </w:r>
      <w:r>
        <w:rPr>
          <w:rFonts w:ascii="Times New Roman" w:hAnsi="Times New Roman" w:cs="Times New Roman"/>
          <w:sz w:val="24"/>
          <w:szCs w:val="24"/>
        </w:rPr>
        <w:t xml:space="preserve"> 7 November 1840, pp. 158–59</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‘Literature’, </w:t>
      </w:r>
      <w:r>
        <w:rPr>
          <w:rFonts w:ascii="Times New Roman" w:hAnsi="Times New Roman" w:cs="Times New Roman"/>
          <w:i/>
          <w:iCs/>
          <w:sz w:val="24"/>
          <w:szCs w:val="24"/>
        </w:rPr>
        <w:t>Morning Post</w:t>
      </w:r>
      <w:r>
        <w:rPr>
          <w:rFonts w:ascii="Times New Roman" w:hAnsi="Times New Roman" w:cs="Times New Roman"/>
          <w:sz w:val="24"/>
          <w:szCs w:val="24"/>
        </w:rPr>
        <w:t>, 19 December 1840, p. 3</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‘Literature’, </w:t>
      </w:r>
      <w:r>
        <w:rPr>
          <w:rFonts w:ascii="Times New Roman" w:hAnsi="Times New Roman" w:cs="Times New Roman"/>
          <w:i/>
          <w:sz w:val="24"/>
          <w:szCs w:val="24"/>
        </w:rPr>
        <w:t>Newcastle Courant</w:t>
      </w:r>
      <w:r>
        <w:rPr>
          <w:rFonts w:ascii="Times New Roman" w:hAnsi="Times New Roman" w:cs="Times New Roman"/>
          <w:sz w:val="24"/>
          <w:szCs w:val="24"/>
        </w:rPr>
        <w:t>, 30 March 1838, p 2</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‘Lord Stanley, Mr. Disraeli, and Lord George Bentinck’, </w:t>
      </w:r>
      <w:r>
        <w:rPr>
          <w:rFonts w:ascii="Times New Roman" w:hAnsi="Times New Roman" w:cs="Times New Roman"/>
          <w:i/>
          <w:iCs/>
          <w:sz w:val="24"/>
          <w:szCs w:val="24"/>
        </w:rPr>
        <w:t>Reynolds’s Miscellany</w:t>
      </w:r>
      <w:r>
        <w:rPr>
          <w:rFonts w:ascii="Times New Roman" w:hAnsi="Times New Roman" w:cs="Times New Roman"/>
          <w:sz w:val="24"/>
          <w:szCs w:val="24"/>
        </w:rPr>
        <w:t>, 24 July 1947, pp. 161–62</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rPr>
        <w:t>Anonymous, ‘Metropolitan Labourers’ Suburban Dwelling Society’,</w:t>
      </w:r>
      <w:r>
        <w:rPr>
          <w:rFonts w:ascii="Times New Roman" w:hAnsi="Times New Roman"/>
          <w:i/>
          <w:iCs/>
          <w:sz w:val="24"/>
          <w:szCs w:val="24"/>
        </w:rPr>
        <w:t xml:space="preserve"> </w:t>
      </w:r>
      <w:r>
        <w:rPr>
          <w:rFonts w:ascii="Times New Roman" w:hAnsi="Times New Roman"/>
          <w:i/>
          <w:sz w:val="24"/>
          <w:szCs w:val="24"/>
        </w:rPr>
        <w:t>Reynolds’s Miscellany</w:t>
      </w:r>
      <w:r>
        <w:rPr>
          <w:rFonts w:ascii="Times New Roman" w:hAnsi="Times New Roman"/>
          <w:sz w:val="24"/>
          <w:szCs w:val="24"/>
        </w:rPr>
        <w:t>, 9 January 1847, p. 151</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rPr>
        <w:t>Anonymous, ‘</w:t>
      </w:r>
      <w:r>
        <w:rPr>
          <w:rFonts w:ascii="Times New Roman" w:hAnsi="Times New Roman"/>
          <w:iCs/>
          <w:sz w:val="24"/>
          <w:szCs w:val="24"/>
        </w:rPr>
        <w:t xml:space="preserve">Memorial to the Queen’, </w:t>
      </w:r>
      <w:r>
        <w:rPr>
          <w:rStyle w:val="mini"/>
          <w:rFonts w:ascii="Times New Roman" w:hAnsi="Times New Roman"/>
          <w:i/>
          <w:iCs/>
          <w:sz w:val="24"/>
          <w:szCs w:val="24"/>
        </w:rPr>
        <w:t>Northern Star and National Trades’ Journal</w:t>
      </w:r>
      <w:r>
        <w:rPr>
          <w:rFonts w:ascii="Times New Roman" w:hAnsi="Times New Roman"/>
          <w:sz w:val="24"/>
          <w:szCs w:val="24"/>
        </w:rPr>
        <w:t>, 3 June 1848, p. 1</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rPr>
        <w:t>Anonymous, ‘</w:t>
      </w:r>
      <w:r>
        <w:rPr>
          <w:rFonts w:ascii="Times New Roman" w:hAnsi="Times New Roman"/>
          <w:i/>
          <w:sz w:val="24"/>
          <w:szCs w:val="24"/>
        </w:rPr>
        <w:t>Mr. Robert Owen</w:t>
      </w:r>
      <w:r>
        <w:rPr>
          <w:rFonts w:ascii="Times New Roman" w:hAnsi="Times New Roman"/>
          <w:sz w:val="24"/>
          <w:szCs w:val="24"/>
        </w:rPr>
        <w:t xml:space="preserve">’, </w:t>
      </w:r>
      <w:r>
        <w:rPr>
          <w:rFonts w:ascii="Times New Roman" w:hAnsi="Times New Roman"/>
          <w:i/>
          <w:sz w:val="24"/>
          <w:szCs w:val="24"/>
        </w:rPr>
        <w:t>Reynolds’s Political Instructor</w:t>
      </w:r>
      <w:r>
        <w:rPr>
          <w:rFonts w:ascii="Times New Roman" w:hAnsi="Times New Roman"/>
          <w:sz w:val="24"/>
          <w:szCs w:val="24"/>
        </w:rPr>
        <w:t>, 9 March 1850, pp. 137–38</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rPr>
        <w:t xml:space="preserve"> Anonymous, ‘The National Land Company’, </w:t>
      </w:r>
      <w:r>
        <w:rPr>
          <w:rFonts w:ascii="Times New Roman" w:hAnsi="Times New Roman"/>
          <w:i/>
          <w:iCs/>
          <w:sz w:val="24"/>
          <w:szCs w:val="24"/>
        </w:rPr>
        <w:t>Reynolds’s Miscellany</w:t>
      </w:r>
      <w:r>
        <w:rPr>
          <w:rFonts w:ascii="Times New Roman" w:hAnsi="Times New Roman"/>
          <w:sz w:val="24"/>
          <w:szCs w:val="24"/>
        </w:rPr>
        <w:t>, 25 September 1847, p. 306</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‘National Reform Association. Public Conference’, </w:t>
      </w:r>
      <w:r>
        <w:rPr>
          <w:rStyle w:val="mini"/>
          <w:rFonts w:ascii="Times New Roman" w:hAnsi="Times New Roman" w:cs="Times New Roman"/>
          <w:i/>
          <w:iCs/>
          <w:sz w:val="24"/>
          <w:szCs w:val="24"/>
        </w:rPr>
        <w:t>Northern Star and National Trades' Journal</w:t>
      </w:r>
      <w:r>
        <w:rPr>
          <w:rStyle w:val="mini"/>
          <w:rFonts w:ascii="Times New Roman" w:hAnsi="Times New Roman" w:cs="Times New Roman"/>
          <w:sz w:val="24"/>
          <w:szCs w:val="24"/>
        </w:rPr>
        <w:t xml:space="preserve">, 27 April 1850, </w:t>
      </w:r>
      <w:r>
        <w:rPr>
          <w:rFonts w:ascii="Times New Roman" w:hAnsi="Times New Roman" w:cs="Times New Roman"/>
          <w:sz w:val="24"/>
          <w:szCs w:val="24"/>
        </w:rPr>
        <w:t>pp. 7-8</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‘Notices to Correspondents’, </w:t>
      </w:r>
      <w:r>
        <w:rPr>
          <w:rFonts w:ascii="Times New Roman" w:hAnsi="Times New Roman" w:cs="Times New Roman"/>
          <w:i/>
          <w:sz w:val="24"/>
          <w:szCs w:val="24"/>
        </w:rPr>
        <w:t>Reynolds’s Miscellany</w:t>
      </w:r>
      <w:r>
        <w:rPr>
          <w:rFonts w:ascii="Times New Roman" w:hAnsi="Times New Roman" w:cs="Times New Roman"/>
          <w:sz w:val="24"/>
          <w:szCs w:val="24"/>
        </w:rPr>
        <w:t>, 1 November 1851, p. 239</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‘Notices to Correspondents’, </w:t>
      </w:r>
      <w:r>
        <w:rPr>
          <w:rFonts w:ascii="Times New Roman" w:hAnsi="Times New Roman" w:cs="Times New Roman"/>
          <w:i/>
          <w:sz w:val="24"/>
          <w:szCs w:val="24"/>
        </w:rPr>
        <w:t>Reynolds’s Miscellany</w:t>
      </w:r>
      <w:r>
        <w:rPr>
          <w:rFonts w:ascii="Times New Roman" w:hAnsi="Times New Roman" w:cs="Times New Roman"/>
          <w:sz w:val="24"/>
          <w:szCs w:val="24"/>
        </w:rPr>
        <w:t>, 3 October 1851, p. 335</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rPr>
        <w:t xml:space="preserve">Anonymous, ‘Notices to Correspondents’, Reynolds’s </w:t>
      </w:r>
      <w:r>
        <w:rPr>
          <w:rFonts w:ascii="Times New Roman" w:hAnsi="Times New Roman"/>
          <w:i/>
          <w:sz w:val="24"/>
          <w:szCs w:val="24"/>
        </w:rPr>
        <w:t>Miscellany</w:t>
      </w:r>
      <w:r>
        <w:rPr>
          <w:rFonts w:ascii="Times New Roman" w:hAnsi="Times New Roman"/>
          <w:sz w:val="24"/>
          <w:szCs w:val="24"/>
        </w:rPr>
        <w:t>, 9 October 1852, p. 175</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rPr>
        <w:t xml:space="preserve">Anonymous, ‘Old England!’, </w:t>
      </w:r>
      <w:r>
        <w:rPr>
          <w:rFonts w:ascii="Times New Roman" w:hAnsi="Times New Roman"/>
          <w:i/>
          <w:sz w:val="24"/>
          <w:szCs w:val="24"/>
        </w:rPr>
        <w:t>Teetotaler,</w:t>
      </w:r>
      <w:r>
        <w:rPr>
          <w:rFonts w:ascii="Times New Roman" w:hAnsi="Times New Roman"/>
          <w:sz w:val="24"/>
          <w:szCs w:val="24"/>
        </w:rPr>
        <w:t xml:space="preserve"> 1 May 1841, p. 15</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‘Phrenology’, </w:t>
      </w:r>
      <w:r>
        <w:rPr>
          <w:rFonts w:ascii="Times New Roman" w:hAnsi="Times New Roman" w:cs="Times New Roman"/>
          <w:i/>
          <w:sz w:val="24"/>
          <w:szCs w:val="24"/>
        </w:rPr>
        <w:t>Teetotaler</w:t>
      </w:r>
      <w:r>
        <w:rPr>
          <w:rFonts w:ascii="Times New Roman" w:hAnsi="Times New Roman" w:cs="Times New Roman"/>
          <w:sz w:val="24"/>
          <w:szCs w:val="24"/>
        </w:rPr>
        <w:t>, 6 February 1841, pp. 259–60</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‘Presentation of the National Petition — Great Chartist Demonstration’, </w:t>
      </w:r>
      <w:r>
        <w:rPr>
          <w:rStyle w:val="mini"/>
          <w:rFonts w:ascii="Times New Roman" w:hAnsi="Times New Roman" w:cs="Times New Roman"/>
          <w:i/>
          <w:iCs/>
          <w:sz w:val="24"/>
          <w:szCs w:val="24"/>
        </w:rPr>
        <w:t>Northern Star and National Trades' Journal</w:t>
      </w:r>
      <w:r>
        <w:rPr>
          <w:rFonts w:ascii="Times New Roman" w:hAnsi="Times New Roman" w:cs="Times New Roman"/>
          <w:sz w:val="24"/>
          <w:szCs w:val="24"/>
        </w:rPr>
        <w:t xml:space="preserve">, 15 April 1848, pp. 6-7 </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‘The Progress of Intemperance’, </w:t>
      </w:r>
      <w:r>
        <w:rPr>
          <w:rFonts w:ascii="Times New Roman" w:hAnsi="Times New Roman" w:cs="Times New Roman"/>
          <w:i/>
          <w:sz w:val="24"/>
          <w:szCs w:val="24"/>
        </w:rPr>
        <w:t>Teetotaler,</w:t>
      </w:r>
      <w:r>
        <w:rPr>
          <w:rFonts w:ascii="Times New Roman" w:hAnsi="Times New Roman" w:cs="Times New Roman"/>
          <w:sz w:val="24"/>
          <w:szCs w:val="24"/>
        </w:rPr>
        <w:t xml:space="preserve"> 26 December 1840, pp. 209–10</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‘The Progress of Temperance’, </w:t>
      </w:r>
      <w:r>
        <w:rPr>
          <w:rFonts w:ascii="Times New Roman" w:hAnsi="Times New Roman" w:cs="Times New Roman"/>
          <w:i/>
          <w:sz w:val="24"/>
          <w:szCs w:val="24"/>
        </w:rPr>
        <w:t>Teetotaler,</w:t>
      </w:r>
      <w:r>
        <w:rPr>
          <w:rFonts w:ascii="Times New Roman" w:hAnsi="Times New Roman" w:cs="Times New Roman"/>
          <w:sz w:val="24"/>
          <w:szCs w:val="24"/>
        </w:rPr>
        <w:t xml:space="preserve"> 9 January 1841, pp. 225–26</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‘The Progress of Temperance’, </w:t>
      </w:r>
      <w:r>
        <w:rPr>
          <w:rFonts w:ascii="Times New Roman" w:hAnsi="Times New Roman" w:cs="Times New Roman"/>
          <w:i/>
          <w:sz w:val="24"/>
          <w:szCs w:val="24"/>
        </w:rPr>
        <w:t>Teetotaler,</w:t>
      </w:r>
      <w:r>
        <w:rPr>
          <w:rFonts w:ascii="Times New Roman" w:hAnsi="Times New Roman" w:cs="Times New Roman"/>
          <w:sz w:val="24"/>
          <w:szCs w:val="24"/>
        </w:rPr>
        <w:t xml:space="preserve"> 16 January 1841, p. 233</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rPr>
        <w:t xml:space="preserve">Anonymous, ‘Public Meeting.  Parliamentary and Financial Reform’, </w:t>
      </w:r>
      <w:r>
        <w:rPr>
          <w:rStyle w:val="mini"/>
          <w:rFonts w:ascii="Times New Roman" w:hAnsi="Times New Roman"/>
          <w:i/>
          <w:iCs/>
          <w:sz w:val="24"/>
          <w:szCs w:val="24"/>
        </w:rPr>
        <w:t>Northern Star and National Trades' Journal</w:t>
      </w:r>
      <w:r>
        <w:rPr>
          <w:rStyle w:val="mini"/>
          <w:rFonts w:ascii="Times New Roman" w:hAnsi="Times New Roman"/>
          <w:sz w:val="24"/>
          <w:szCs w:val="24"/>
        </w:rPr>
        <w:t xml:space="preserve">, 26 May 1849, </w:t>
      </w:r>
      <w:r>
        <w:rPr>
          <w:rFonts w:ascii="Times New Roman" w:hAnsi="Times New Roman"/>
          <w:sz w:val="24"/>
          <w:szCs w:val="24"/>
        </w:rPr>
        <w:t>p. 5</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Anonymous, ‘The Queen, Prince Albert, and their Children’, </w:t>
      </w:r>
      <w:r>
        <w:rPr>
          <w:rFonts w:ascii="Times New Roman" w:hAnsi="Times New Roman" w:cs="Times New Roman"/>
          <w:i/>
          <w:sz w:val="24"/>
          <w:szCs w:val="24"/>
        </w:rPr>
        <w:t>Reynolds’s Miscellany</w:t>
      </w:r>
      <w:r>
        <w:rPr>
          <w:rFonts w:ascii="Times New Roman" w:hAnsi="Times New Roman" w:cs="Times New Roman"/>
          <w:sz w:val="24"/>
          <w:szCs w:val="24"/>
        </w:rPr>
        <w:t>, 5 December 1946, pp. 73–74</w:t>
      </w:r>
    </w:p>
    <w:p w:rsidR="00967FD1" w:rsidRDefault="00967FD1" w:rsidP="00967FD1">
      <w:pPr>
        <w:pStyle w:val="FootnoteText"/>
        <w:spacing w:after="120" w:line="360" w:lineRule="auto"/>
        <w:rPr>
          <w:rStyle w:val="mini"/>
        </w:rPr>
      </w:pPr>
      <w:r>
        <w:rPr>
          <w:rFonts w:ascii="Times New Roman" w:hAnsi="Times New Roman"/>
          <w:sz w:val="24"/>
          <w:szCs w:val="24"/>
        </w:rPr>
        <w:t xml:space="preserve">Anonymous, </w:t>
      </w:r>
      <w:r>
        <w:rPr>
          <w:rStyle w:val="mini"/>
          <w:rFonts w:ascii="Times New Roman" w:hAnsi="Times New Roman"/>
          <w:sz w:val="24"/>
          <w:szCs w:val="24"/>
        </w:rPr>
        <w:t xml:space="preserve">‘Rome and Hungary’, </w:t>
      </w:r>
      <w:r>
        <w:rPr>
          <w:rStyle w:val="mini"/>
          <w:rFonts w:ascii="Times New Roman" w:hAnsi="Times New Roman"/>
          <w:i/>
          <w:iCs/>
          <w:sz w:val="24"/>
          <w:szCs w:val="24"/>
        </w:rPr>
        <w:t>Northern Star and National Trades' Journal</w:t>
      </w:r>
      <w:r>
        <w:rPr>
          <w:rFonts w:ascii="Times New Roman" w:hAnsi="Times New Roman"/>
          <w:sz w:val="24"/>
          <w:szCs w:val="24"/>
        </w:rPr>
        <w:t xml:space="preserve">, 28 </w:t>
      </w:r>
      <w:r>
        <w:rPr>
          <w:rStyle w:val="mini"/>
          <w:rFonts w:ascii="Times New Roman" w:hAnsi="Times New Roman"/>
          <w:sz w:val="24"/>
          <w:szCs w:val="24"/>
        </w:rPr>
        <w:t>July 1849, p. 5</w:t>
      </w:r>
    </w:p>
    <w:p w:rsidR="00967FD1" w:rsidRDefault="00967FD1" w:rsidP="00967FD1">
      <w:pPr>
        <w:pStyle w:val="FootnoteText"/>
        <w:spacing w:after="120" w:line="360" w:lineRule="auto"/>
      </w:pPr>
      <w:r>
        <w:rPr>
          <w:rFonts w:ascii="Times New Roman" w:hAnsi="Times New Roman"/>
          <w:sz w:val="24"/>
          <w:szCs w:val="24"/>
        </w:rPr>
        <w:t xml:space="preserve">Anonymous, ‘The Royal Family of Spain’, </w:t>
      </w:r>
      <w:r>
        <w:rPr>
          <w:rFonts w:ascii="Times New Roman" w:hAnsi="Times New Roman"/>
          <w:i/>
          <w:iCs/>
          <w:sz w:val="24"/>
          <w:szCs w:val="24"/>
        </w:rPr>
        <w:t>Reynolds’s Miscellany</w:t>
      </w:r>
      <w:r>
        <w:rPr>
          <w:rFonts w:ascii="Times New Roman" w:hAnsi="Times New Roman"/>
          <w:sz w:val="24"/>
          <w:szCs w:val="24"/>
        </w:rPr>
        <w:t>, 19 December 1846, pp. 105–06</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‘Socialism, or Mr. Owen’s New Moral World’, </w:t>
      </w:r>
      <w:r>
        <w:rPr>
          <w:rFonts w:ascii="Times New Roman" w:hAnsi="Times New Roman" w:cs="Times New Roman"/>
          <w:i/>
          <w:sz w:val="24"/>
          <w:szCs w:val="24"/>
        </w:rPr>
        <w:t>Teetotaler</w:t>
      </w:r>
      <w:r>
        <w:rPr>
          <w:rFonts w:ascii="Times New Roman" w:hAnsi="Times New Roman" w:cs="Times New Roman"/>
          <w:sz w:val="24"/>
          <w:szCs w:val="24"/>
        </w:rPr>
        <w:t xml:space="preserve">, 20 February 1841, pp.275-76 </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Anonymous, ‘The Open-Air Meeting in Trafalgar Square’, </w:t>
      </w:r>
      <w:r>
        <w:rPr>
          <w:rFonts w:ascii="Times New Roman" w:hAnsi="Times New Roman" w:cs="Times New Roman"/>
          <w:i/>
          <w:sz w:val="24"/>
          <w:szCs w:val="24"/>
        </w:rPr>
        <w:t>The Times</w:t>
      </w:r>
      <w:r>
        <w:rPr>
          <w:rFonts w:ascii="Times New Roman" w:hAnsi="Times New Roman" w:cs="Times New Roman"/>
          <w:sz w:val="24"/>
          <w:szCs w:val="24"/>
        </w:rPr>
        <w:t>, 7 March, 1848, p. 8</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Beames, Thomas, </w:t>
      </w:r>
      <w:r>
        <w:rPr>
          <w:rFonts w:ascii="Times New Roman" w:hAnsi="Times New Roman" w:cs="Times New Roman"/>
          <w:i/>
          <w:iCs/>
          <w:sz w:val="24"/>
          <w:szCs w:val="24"/>
        </w:rPr>
        <w:t>The Rookeries of London</w:t>
      </w:r>
      <w:r>
        <w:rPr>
          <w:rFonts w:ascii="Times New Roman" w:hAnsi="Times New Roman" w:cs="Times New Roman"/>
          <w:sz w:val="24"/>
          <w:szCs w:val="24"/>
        </w:rPr>
        <w:t>, 2</w:t>
      </w:r>
      <w:r>
        <w:rPr>
          <w:rFonts w:ascii="Times New Roman" w:hAnsi="Times New Roman" w:cs="Times New Roman"/>
          <w:sz w:val="24"/>
          <w:szCs w:val="24"/>
          <w:vertAlign w:val="superscript"/>
        </w:rPr>
        <w:t>nd</w:t>
      </w:r>
      <w:r>
        <w:rPr>
          <w:rFonts w:ascii="Times New Roman" w:hAnsi="Times New Roman" w:cs="Times New Roman"/>
          <w:sz w:val="24"/>
          <w:szCs w:val="24"/>
        </w:rPr>
        <w:t xml:space="preserve"> edn (London: Thomas Bosworth, 1852; repr. London: Cass, 1970)</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Bulwer Lytton, Edward, </w:t>
      </w:r>
      <w:r>
        <w:rPr>
          <w:rFonts w:ascii="Times New Roman" w:hAnsi="Times New Roman" w:cs="Times New Roman"/>
          <w:i/>
          <w:iCs/>
          <w:sz w:val="24"/>
          <w:szCs w:val="24"/>
        </w:rPr>
        <w:t>Paul Clifford</w:t>
      </w:r>
      <w:r>
        <w:rPr>
          <w:rFonts w:ascii="Times New Roman" w:hAnsi="Times New Roman" w:cs="Times New Roman"/>
          <w:sz w:val="24"/>
          <w:szCs w:val="24"/>
        </w:rPr>
        <w:t xml:space="preserve"> (London: Routledge and Sons, [n.d.])</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Carlyle, Thomas, ‘Chartism’, in </w:t>
      </w:r>
      <w:r>
        <w:rPr>
          <w:rFonts w:ascii="Times New Roman" w:hAnsi="Times New Roman" w:cs="Times New Roman"/>
          <w:i/>
          <w:sz w:val="24"/>
          <w:szCs w:val="24"/>
        </w:rPr>
        <w:t>English and other Critical Essays</w:t>
      </w:r>
      <w:r>
        <w:rPr>
          <w:rFonts w:ascii="Times New Roman" w:hAnsi="Times New Roman" w:cs="Times New Roman"/>
          <w:sz w:val="24"/>
          <w:szCs w:val="24"/>
        </w:rPr>
        <w:t xml:space="preserve"> (London: Dent &amp; Sons, 1964), pp. 165</w:t>
      </w:r>
      <w:r>
        <w:rPr>
          <w:rStyle w:val="mini"/>
          <w:rFonts w:ascii="Times New Roman" w:hAnsi="Times New Roman" w:cs="Times New Roman"/>
          <w:sz w:val="24"/>
          <w:szCs w:val="24"/>
        </w:rPr>
        <w:t>–</w:t>
      </w:r>
      <w:r>
        <w:rPr>
          <w:rFonts w:ascii="Times New Roman" w:hAnsi="Times New Roman" w:cs="Times New Roman"/>
          <w:sz w:val="24"/>
          <w:szCs w:val="24"/>
        </w:rPr>
        <w:t>238</w:t>
      </w:r>
    </w:p>
    <w:p w:rsidR="00967FD1" w:rsidRDefault="00967FD1" w:rsidP="00967FD1">
      <w:pPr>
        <w:spacing w:after="120" w:line="360" w:lineRule="auto"/>
        <w:rPr>
          <w:rStyle w:val="mini"/>
        </w:rPr>
      </w:pPr>
      <w:r>
        <w:rPr>
          <w:rFonts w:ascii="Times New Roman" w:hAnsi="Times New Roman" w:cs="Times New Roman"/>
          <w:sz w:val="24"/>
          <w:szCs w:val="24"/>
        </w:rPr>
        <w:t>Cobbett, William, ‘</w:t>
      </w:r>
      <w:r>
        <w:rPr>
          <w:rStyle w:val="mini"/>
          <w:rFonts w:ascii="Times New Roman" w:hAnsi="Times New Roman" w:cs="Times New Roman"/>
          <w:sz w:val="24"/>
          <w:szCs w:val="24"/>
        </w:rPr>
        <w:t>Labourers’ War.</w:t>
      </w:r>
      <w:r>
        <w:rPr>
          <w:rFonts w:ascii="Times New Roman" w:hAnsi="Times New Roman" w:cs="Times New Roman"/>
          <w:sz w:val="24"/>
          <w:szCs w:val="24"/>
        </w:rPr>
        <w:t>—</w:t>
      </w:r>
      <w:r>
        <w:rPr>
          <w:rStyle w:val="mini"/>
          <w:rFonts w:ascii="Times New Roman" w:hAnsi="Times New Roman" w:cs="Times New Roman"/>
          <w:sz w:val="24"/>
          <w:szCs w:val="24"/>
        </w:rPr>
        <w:t>Kent</w:t>
      </w:r>
      <w:r>
        <w:rPr>
          <w:rFonts w:ascii="Times New Roman" w:hAnsi="Times New Roman" w:cs="Times New Roman"/>
          <w:sz w:val="24"/>
          <w:szCs w:val="24"/>
        </w:rPr>
        <w:t xml:space="preserve">’, </w:t>
      </w:r>
      <w:r>
        <w:rPr>
          <w:rStyle w:val="mini"/>
          <w:rFonts w:ascii="Times New Roman" w:hAnsi="Times New Roman" w:cs="Times New Roman"/>
          <w:bCs/>
          <w:i/>
          <w:iCs/>
          <w:sz w:val="24"/>
          <w:szCs w:val="24"/>
        </w:rPr>
        <w:t>Cobbett's Weekly Political Register</w:t>
      </w:r>
      <w:r>
        <w:rPr>
          <w:rStyle w:val="mini"/>
          <w:rFonts w:ascii="Times New Roman" w:hAnsi="Times New Roman" w:cs="Times New Roman"/>
          <w:sz w:val="24"/>
          <w:szCs w:val="24"/>
        </w:rPr>
        <w:t>, 20 November 1830, column 788</w:t>
      </w:r>
    </w:p>
    <w:p w:rsidR="00967FD1" w:rsidRDefault="00967FD1" w:rsidP="00967FD1">
      <w:pPr>
        <w:spacing w:after="120" w:line="360" w:lineRule="auto"/>
      </w:pPr>
      <w:r>
        <w:rPr>
          <w:rFonts w:ascii="Times New Roman" w:hAnsi="Times New Roman" w:cs="Times New Roman"/>
          <w:sz w:val="24"/>
          <w:szCs w:val="24"/>
        </w:rPr>
        <w:t>Croker, John Wilson, ‘ART. V.—Memorial de l'Hotel de Ville de Paris, 1830</w:t>
      </w:r>
      <w:r>
        <w:rPr>
          <w:rFonts w:ascii="Times New Roman" w:hAnsi="Times New Roman" w:cs="Times New Roman"/>
          <w:bCs/>
          <w:iCs/>
          <w:sz w:val="24"/>
          <w:szCs w:val="24"/>
        </w:rPr>
        <w:t>’</w:t>
      </w:r>
      <w:r>
        <w:rPr>
          <w:rFonts w:ascii="Times New Roman" w:hAnsi="Times New Roman" w:cs="Times New Roman"/>
          <w:sz w:val="24"/>
          <w:szCs w:val="24"/>
        </w:rPr>
        <w:t>,</w:t>
      </w:r>
      <w:r>
        <w:rPr>
          <w:rFonts w:ascii="Times New Roman" w:hAnsi="Times New Roman" w:cs="Times New Roman"/>
          <w:b/>
          <w:bCs/>
          <w:i/>
          <w:iCs/>
          <w:sz w:val="24"/>
          <w:szCs w:val="24"/>
        </w:rPr>
        <w:t xml:space="preserve"> </w:t>
      </w:r>
      <w:r>
        <w:rPr>
          <w:rFonts w:ascii="Times New Roman" w:hAnsi="Times New Roman" w:cs="Times New Roman"/>
          <w:i/>
          <w:iCs/>
          <w:sz w:val="24"/>
          <w:szCs w:val="24"/>
        </w:rPr>
        <w:t>Quarterly Review</w:t>
      </w:r>
      <w:r>
        <w:rPr>
          <w:rFonts w:ascii="Times New Roman" w:hAnsi="Times New Roman" w:cs="Times New Roman"/>
          <w:sz w:val="24"/>
          <w:szCs w:val="24"/>
        </w:rPr>
        <w:t>, February 1836, pp. 416–33</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sz w:val="24"/>
          <w:szCs w:val="24"/>
        </w:rPr>
        <w:t xml:space="preserve">‘Revolutionary Literature’, </w:t>
      </w:r>
      <w:r>
        <w:rPr>
          <w:rFonts w:ascii="Times New Roman" w:hAnsi="Times New Roman" w:cs="Times New Roman"/>
          <w:i/>
          <w:sz w:val="24"/>
          <w:szCs w:val="24"/>
        </w:rPr>
        <w:t>Quarterly Review</w:t>
      </w:r>
      <w:r>
        <w:rPr>
          <w:rFonts w:ascii="Times New Roman" w:hAnsi="Times New Roman" w:cs="Times New Roman"/>
          <w:sz w:val="24"/>
          <w:szCs w:val="24"/>
        </w:rPr>
        <w:t>, September 1851, pp. 491–543</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Dickens, Charles, </w:t>
      </w:r>
      <w:r>
        <w:rPr>
          <w:rFonts w:ascii="Times New Roman" w:hAnsi="Times New Roman" w:cs="Times New Roman"/>
          <w:i/>
          <w:sz w:val="24"/>
          <w:szCs w:val="24"/>
        </w:rPr>
        <w:t>Hard Times</w:t>
      </w:r>
      <w:r>
        <w:rPr>
          <w:rFonts w:ascii="Times New Roman" w:hAnsi="Times New Roman" w:cs="Times New Roman"/>
          <w:sz w:val="24"/>
          <w:szCs w:val="24"/>
        </w:rPr>
        <w:t>, ed. by Paul Schlicke (Oxford: Oxford University Press, 1989)</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Style w:val="Emphasis"/>
          <w:rFonts w:ascii="Times New Roman" w:hAnsi="Times New Roman" w:cs="Times New Roman"/>
          <w:sz w:val="24"/>
          <w:szCs w:val="24"/>
        </w:rPr>
        <w:t xml:space="preserve">The Life &amp; Adventures of </w:t>
      </w:r>
      <w:r>
        <w:rPr>
          <w:rFonts w:ascii="Times New Roman" w:hAnsi="Times New Roman" w:cs="Times New Roman"/>
          <w:i/>
          <w:iCs/>
          <w:sz w:val="24"/>
          <w:szCs w:val="24"/>
        </w:rPr>
        <w:t>Nicholas Nickleby</w:t>
      </w:r>
      <w:r>
        <w:rPr>
          <w:rFonts w:ascii="Times New Roman" w:hAnsi="Times New Roman" w:cs="Times New Roman"/>
          <w:sz w:val="24"/>
          <w:szCs w:val="24"/>
        </w:rPr>
        <w:t>, (Oxford: Oxford University Press, 1971)</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bCs/>
          <w:i/>
          <w:sz w:val="24"/>
          <w:szCs w:val="24"/>
        </w:rPr>
        <w:t>The Posthumous Papers of the Pickwick Club</w:t>
      </w:r>
      <w:r>
        <w:rPr>
          <w:rFonts w:ascii="Times New Roman" w:hAnsi="Times New Roman" w:cs="Times New Roman"/>
          <w:sz w:val="24"/>
          <w:szCs w:val="24"/>
        </w:rPr>
        <w:t>, ed. by James Kinsley (Oxford: Clarendon Press, 1986)</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sz w:val="24"/>
          <w:szCs w:val="24"/>
        </w:rPr>
        <w:t xml:space="preserve">‘The Three Kingdoms’, </w:t>
      </w:r>
      <w:r>
        <w:rPr>
          <w:rFonts w:ascii="Times New Roman" w:hAnsi="Times New Roman" w:cs="Times New Roman"/>
          <w:i/>
          <w:sz w:val="24"/>
          <w:szCs w:val="24"/>
        </w:rPr>
        <w:t>Household Narrative of Current Events</w:t>
      </w:r>
      <w:r>
        <w:rPr>
          <w:rFonts w:ascii="Times New Roman" w:hAnsi="Times New Roman" w:cs="Times New Roman"/>
          <w:sz w:val="24"/>
          <w:szCs w:val="24"/>
        </w:rPr>
        <w:t>, 27 March–26 April 1851, II, pp. 73–75</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Disraeli, Benjamin, </w:t>
      </w:r>
      <w:r>
        <w:rPr>
          <w:rFonts w:ascii="Times New Roman" w:hAnsi="Times New Roman" w:cs="Times New Roman"/>
          <w:i/>
          <w:sz w:val="24"/>
          <w:szCs w:val="24"/>
        </w:rPr>
        <w:t>Coningsby: or the New Generation</w:t>
      </w:r>
      <w:r>
        <w:rPr>
          <w:rFonts w:ascii="Times New Roman" w:hAnsi="Times New Roman" w:cs="Times New Roman"/>
          <w:sz w:val="24"/>
          <w:szCs w:val="24"/>
        </w:rPr>
        <w:t>, ed. by Sheila M. Smith (Oxford: Oxford University Press, 1982)</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vertAlign w:val="superscript"/>
        </w:rPr>
        <w:lastRenderedPageBreak/>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i/>
          <w:sz w:val="24"/>
          <w:szCs w:val="24"/>
        </w:rPr>
        <w:t>Sybil: or the Two Nations</w:t>
      </w:r>
      <w:r>
        <w:rPr>
          <w:rFonts w:ascii="Times New Roman" w:hAnsi="Times New Roman" w:cs="Times New Roman"/>
          <w:sz w:val="24"/>
          <w:szCs w:val="24"/>
        </w:rPr>
        <w:t>, ed. by Sheila M. Smith (Oxford: Oxford University Press, 1981)</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Dodd, George, </w:t>
      </w:r>
      <w:r>
        <w:rPr>
          <w:rFonts w:ascii="Times New Roman" w:hAnsi="Times New Roman" w:cs="Times New Roman"/>
          <w:i/>
          <w:sz w:val="24"/>
          <w:szCs w:val="24"/>
        </w:rPr>
        <w:t>Days at the Factories; or, the Manufacturing Industry of Great Britain Described: Series I. – London</w:t>
      </w:r>
      <w:r>
        <w:rPr>
          <w:rFonts w:ascii="Times New Roman" w:hAnsi="Times New Roman" w:cs="Times New Roman"/>
          <w:sz w:val="24"/>
          <w:szCs w:val="24"/>
        </w:rPr>
        <w:t xml:space="preserve"> (London: Knight, 1843; repr. New York: Kelley, 1967)</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Eden, Frederick Morton, </w:t>
      </w:r>
      <w:r>
        <w:rPr>
          <w:rFonts w:ascii="Times New Roman" w:hAnsi="Times New Roman" w:cs="Times New Roman"/>
          <w:i/>
          <w:iCs/>
          <w:sz w:val="24"/>
          <w:szCs w:val="24"/>
        </w:rPr>
        <w:t>The State of the Poor; or, an History of the Labouring Classes in England</w:t>
      </w:r>
      <w:r>
        <w:rPr>
          <w:rFonts w:ascii="Times New Roman" w:hAnsi="Times New Roman" w:cs="Times New Roman"/>
          <w:sz w:val="24"/>
          <w:szCs w:val="24"/>
        </w:rPr>
        <w:t xml:space="preserve">, 3 vols (London: B. &amp; J. White, 1797; repr. London: Cass, 1966) </w:t>
      </w:r>
    </w:p>
    <w:p w:rsidR="00967FD1" w:rsidRDefault="00967FD1" w:rsidP="00967FD1">
      <w:pPr>
        <w:spacing w:after="120" w:line="360" w:lineRule="auto"/>
        <w:rPr>
          <w:rFonts w:ascii="Times New Roman" w:hAnsi="Times New Roman" w:cs="Times New Roman"/>
          <w:bCs/>
          <w:sz w:val="24"/>
          <w:szCs w:val="24"/>
        </w:rPr>
      </w:pPr>
      <w:r>
        <w:rPr>
          <w:rFonts w:ascii="Times New Roman" w:hAnsi="Times New Roman" w:cs="Times New Roman"/>
          <w:sz w:val="24"/>
          <w:szCs w:val="24"/>
        </w:rPr>
        <w:t xml:space="preserve">Engels, Friedrich, </w:t>
      </w:r>
      <w:r>
        <w:rPr>
          <w:rFonts w:ascii="Times New Roman" w:hAnsi="Times New Roman" w:cs="Times New Roman"/>
          <w:i/>
          <w:sz w:val="24"/>
          <w:szCs w:val="24"/>
        </w:rPr>
        <w:t>The Condition of the Working-Class in England From Personal Observation and Authentic Sources</w:t>
      </w:r>
      <w:r>
        <w:rPr>
          <w:rFonts w:ascii="Times New Roman" w:hAnsi="Times New Roman" w:cs="Times New Roman"/>
          <w:sz w:val="24"/>
          <w:szCs w:val="24"/>
        </w:rPr>
        <w:t xml:space="preserve"> (Moscow: Progress Publishers, 1973)</w:t>
      </w:r>
    </w:p>
    <w:p w:rsidR="00967FD1" w:rsidRDefault="00967FD1" w:rsidP="00967FD1">
      <w:pPr>
        <w:spacing w:after="120" w:line="360" w:lineRule="auto"/>
        <w:rPr>
          <w:rFonts w:ascii="Times New Roman" w:hAnsi="Times New Roman" w:cs="Times New Roman"/>
          <w:bCs/>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bCs/>
          <w:sz w:val="24"/>
          <w:szCs w:val="24"/>
        </w:rPr>
        <w:t xml:space="preserve">’Socialism: Utopian and Scientific’, in </w:t>
      </w:r>
      <w:r>
        <w:rPr>
          <w:rFonts w:ascii="Times New Roman" w:hAnsi="Times New Roman" w:cs="Times New Roman"/>
          <w:bCs/>
          <w:i/>
          <w:sz w:val="24"/>
          <w:szCs w:val="24"/>
        </w:rPr>
        <w:t>Karl Marx and Frederick Engels: Selected Works in One Volume</w:t>
      </w:r>
      <w:r>
        <w:rPr>
          <w:rFonts w:ascii="Times New Roman" w:hAnsi="Times New Roman" w:cs="Times New Roman"/>
          <w:bCs/>
          <w:sz w:val="24"/>
          <w:szCs w:val="24"/>
        </w:rPr>
        <w:t>, pp. 375</w:t>
      </w:r>
      <w:r>
        <w:rPr>
          <w:rFonts w:ascii="Times New Roman" w:hAnsi="Times New Roman" w:cs="Times New Roman"/>
          <w:color w:val="000000"/>
          <w:sz w:val="24"/>
          <w:szCs w:val="24"/>
        </w:rPr>
        <w:t>–</w:t>
      </w:r>
      <w:r>
        <w:rPr>
          <w:rFonts w:ascii="Times New Roman" w:hAnsi="Times New Roman" w:cs="Times New Roman"/>
          <w:bCs/>
          <w:sz w:val="24"/>
          <w:szCs w:val="24"/>
        </w:rPr>
        <w:t>428</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Gaskell, Elizabeth, </w:t>
      </w:r>
      <w:r>
        <w:rPr>
          <w:rFonts w:ascii="Times New Roman" w:hAnsi="Times New Roman" w:cs="Times New Roman"/>
          <w:i/>
          <w:sz w:val="24"/>
          <w:szCs w:val="24"/>
        </w:rPr>
        <w:t>Mary Barton</w:t>
      </w:r>
      <w:r>
        <w:rPr>
          <w:rFonts w:ascii="Times New Roman" w:hAnsi="Times New Roman" w:cs="Times New Roman"/>
          <w:sz w:val="24"/>
          <w:szCs w:val="24"/>
        </w:rPr>
        <w:t>, ed. by Shirley Foster (Oxford: Oxford University Press, 2006)</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i/>
          <w:sz w:val="24"/>
          <w:szCs w:val="24"/>
        </w:rPr>
        <w:t>North and South</w:t>
      </w:r>
      <w:r>
        <w:rPr>
          <w:rFonts w:ascii="Times New Roman" w:hAnsi="Times New Roman" w:cs="Times New Roman"/>
          <w:sz w:val="24"/>
          <w:szCs w:val="24"/>
        </w:rPr>
        <w:t>, ed. by Angus Easson (Oxford: Oxford University Press, 1998)</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iCs/>
          <w:sz w:val="24"/>
          <w:szCs w:val="24"/>
        </w:rPr>
        <w:t xml:space="preserve">Grant, James, </w:t>
      </w:r>
      <w:r>
        <w:rPr>
          <w:rFonts w:ascii="Times New Roman" w:hAnsi="Times New Roman" w:cs="Times New Roman"/>
          <w:i/>
          <w:sz w:val="24"/>
          <w:szCs w:val="24"/>
        </w:rPr>
        <w:t>The Great Metropolis</w:t>
      </w:r>
      <w:r>
        <w:rPr>
          <w:rFonts w:ascii="Times New Roman" w:hAnsi="Times New Roman" w:cs="Times New Roman"/>
          <w:sz w:val="24"/>
          <w:szCs w:val="24"/>
        </w:rPr>
        <w:t xml:space="preserve"> (London: Saunders and Otley, 1837)</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i/>
          <w:sz w:val="24"/>
          <w:szCs w:val="24"/>
        </w:rPr>
        <w:t>Sketches in London</w:t>
      </w:r>
      <w:r>
        <w:rPr>
          <w:rFonts w:ascii="Times New Roman" w:hAnsi="Times New Roman" w:cs="Times New Roman"/>
          <w:sz w:val="24"/>
          <w:szCs w:val="24"/>
        </w:rPr>
        <w:t xml:space="preserve"> (London: Orr, 1838)</w:t>
      </w:r>
    </w:p>
    <w:p w:rsidR="00967FD1" w:rsidRDefault="00967FD1" w:rsidP="00967FD1">
      <w:pPr>
        <w:spacing w:after="120" w:line="360" w:lineRule="auto"/>
        <w:rPr>
          <w:rFonts w:ascii="Times New Roman" w:hAnsi="Times New Roman" w:cs="Times New Roman"/>
          <w:color w:val="000000"/>
          <w:sz w:val="24"/>
          <w:szCs w:val="24"/>
        </w:rPr>
      </w:pPr>
      <w:r>
        <w:rPr>
          <w:rFonts w:ascii="Times New Roman" w:hAnsi="Times New Roman" w:cs="Times New Roman"/>
          <w:sz w:val="24"/>
          <w:szCs w:val="24"/>
        </w:rPr>
        <w:t xml:space="preserve">Harney, George Julian, ‘The Great Exhibition’, </w:t>
      </w:r>
      <w:r>
        <w:rPr>
          <w:rFonts w:ascii="Times New Roman" w:hAnsi="Times New Roman" w:cs="Times New Roman"/>
          <w:i/>
          <w:sz w:val="24"/>
          <w:szCs w:val="24"/>
        </w:rPr>
        <w:t>Friend of the People</w:t>
      </w:r>
      <w:r>
        <w:rPr>
          <w:rFonts w:ascii="Times New Roman" w:hAnsi="Times New Roman" w:cs="Times New Roman"/>
          <w:sz w:val="24"/>
          <w:szCs w:val="24"/>
        </w:rPr>
        <w:t>, 10 May 1851, pp. 189</w:t>
      </w:r>
      <w:r>
        <w:rPr>
          <w:rFonts w:ascii="Times New Roman" w:hAnsi="Times New Roman" w:cs="Times New Roman"/>
          <w:color w:val="000000"/>
          <w:sz w:val="24"/>
          <w:szCs w:val="24"/>
        </w:rPr>
        <w:t>–</w:t>
      </w:r>
      <w:r>
        <w:rPr>
          <w:rFonts w:ascii="Times New Roman" w:hAnsi="Times New Roman" w:cs="Times New Roman"/>
          <w:sz w:val="24"/>
          <w:szCs w:val="24"/>
        </w:rPr>
        <w:t>90</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Hodgskin, Thomas, </w:t>
      </w:r>
      <w:r>
        <w:rPr>
          <w:rFonts w:ascii="Times New Roman" w:hAnsi="Times New Roman" w:cs="Times New Roman"/>
          <w:i/>
          <w:sz w:val="24"/>
          <w:szCs w:val="24"/>
        </w:rPr>
        <w:t>Labour Defended against the Claims of Capital</w:t>
      </w:r>
      <w:r>
        <w:rPr>
          <w:rFonts w:ascii="Times New Roman" w:hAnsi="Times New Roman" w:cs="Times New Roman"/>
          <w:sz w:val="24"/>
          <w:szCs w:val="24"/>
        </w:rPr>
        <w:t>, revised reprint of 1922 3</w:t>
      </w:r>
      <w:r>
        <w:rPr>
          <w:rFonts w:ascii="Times New Roman" w:hAnsi="Times New Roman" w:cs="Times New Roman"/>
          <w:sz w:val="24"/>
          <w:szCs w:val="24"/>
          <w:vertAlign w:val="superscript"/>
        </w:rPr>
        <w:t>rd</w:t>
      </w:r>
      <w:r>
        <w:rPr>
          <w:rFonts w:ascii="Times New Roman" w:hAnsi="Times New Roman" w:cs="Times New Roman"/>
          <w:sz w:val="24"/>
          <w:szCs w:val="24"/>
        </w:rPr>
        <w:t xml:space="preserve"> edn (London: Hammersmith Bookshop, 1964)</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rPr>
        <w:t xml:space="preserve">Johnson, James, ‘The Anatomy and Physiology of Ourselves Popularly Considered’, </w:t>
      </w:r>
      <w:r>
        <w:rPr>
          <w:rFonts w:ascii="Times New Roman" w:hAnsi="Times New Roman"/>
          <w:i/>
          <w:iCs/>
          <w:sz w:val="24"/>
          <w:szCs w:val="24"/>
        </w:rPr>
        <w:t>Reynolds’s Miscellany</w:t>
      </w:r>
      <w:r>
        <w:rPr>
          <w:rFonts w:ascii="Times New Roman" w:hAnsi="Times New Roman"/>
          <w:sz w:val="24"/>
          <w:szCs w:val="24"/>
        </w:rPr>
        <w:t>, 16 January 1847, pp. 166–168</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Kingsley, Charles, </w:t>
      </w:r>
      <w:r>
        <w:rPr>
          <w:rFonts w:ascii="Times New Roman" w:hAnsi="Times New Roman" w:cs="Times New Roman"/>
          <w:i/>
          <w:sz w:val="24"/>
          <w:szCs w:val="24"/>
        </w:rPr>
        <w:t>Alton Locke, Tailor and Poet: An Autobiography</w:t>
      </w:r>
      <w:r>
        <w:rPr>
          <w:rFonts w:ascii="Times New Roman" w:hAnsi="Times New Roman" w:cs="Times New Roman"/>
          <w:sz w:val="24"/>
          <w:szCs w:val="24"/>
        </w:rPr>
        <w:t>, 2 vols (London: Chapman and Hall, 1851)</w:t>
      </w:r>
    </w:p>
    <w:p w:rsidR="00967FD1" w:rsidRDefault="00967FD1" w:rsidP="00967FD1">
      <w:pPr>
        <w:pStyle w:val="Default"/>
        <w:spacing w:after="120" w:line="360" w:lineRule="auto"/>
        <w:rPr>
          <w:rFonts w:ascii="Times New Roman" w:hAnsi="Times New Roman" w:cs="Times New Roman"/>
        </w:rPr>
      </w:pPr>
      <w:r>
        <w:rPr>
          <w:rFonts w:ascii="Times New Roman" w:hAnsi="Times New Roman" w:cs="Times New Roman"/>
        </w:rPr>
        <w:t xml:space="preserve">Linton, William J., </w:t>
      </w:r>
      <w:r>
        <w:rPr>
          <w:rFonts w:ascii="Times New Roman" w:hAnsi="Times New Roman" w:cs="Times New Roman"/>
          <w:i/>
          <w:color w:val="auto"/>
        </w:rPr>
        <w:t xml:space="preserve">James Watson: </w:t>
      </w:r>
      <w:r>
        <w:rPr>
          <w:rFonts w:ascii="Times New Roman" w:hAnsi="Times New Roman" w:cs="Times New Roman"/>
          <w:i/>
        </w:rPr>
        <w:t xml:space="preserve">A Memoir of the Days of the Fight for a Free Press in </w:t>
      </w:r>
      <w:r>
        <w:rPr>
          <w:rFonts w:ascii="Times New Roman" w:hAnsi="Times New Roman" w:cs="Times New Roman"/>
          <w:i/>
          <w:color w:val="auto"/>
        </w:rPr>
        <w:t>England and of the Agitation for the People’s Charter</w:t>
      </w:r>
      <w:r>
        <w:rPr>
          <w:rFonts w:ascii="Times New Roman" w:hAnsi="Times New Roman" w:cs="Times New Roman"/>
          <w:color w:val="auto"/>
        </w:rPr>
        <w:t xml:space="preserve"> </w:t>
      </w:r>
      <w:r>
        <w:rPr>
          <w:rFonts w:ascii="Times New Roman" w:hAnsi="Times New Roman" w:cs="Times New Roman"/>
        </w:rPr>
        <w:t>(Manchester: Heywood &amp; Son, 1880; repr. New York: Kelley, 1971)</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Locke, John, </w:t>
      </w:r>
      <w:r>
        <w:rPr>
          <w:rFonts w:ascii="Times New Roman" w:hAnsi="Times New Roman" w:cs="Times New Roman"/>
          <w:i/>
          <w:sz w:val="24"/>
          <w:szCs w:val="24"/>
        </w:rPr>
        <w:t>A Letter Concerning Toleration in Focus</w:t>
      </w:r>
      <w:r>
        <w:rPr>
          <w:rFonts w:ascii="Times New Roman" w:hAnsi="Times New Roman" w:cs="Times New Roman"/>
          <w:sz w:val="24"/>
          <w:szCs w:val="24"/>
        </w:rPr>
        <w:t>, ed.by John Horton and Susan Mendus (London: Routledge, 1991)</w:t>
      </w:r>
    </w:p>
    <w:p w:rsidR="00967FD1" w:rsidRDefault="00967FD1" w:rsidP="00967FD1">
      <w:pPr>
        <w:spacing w:after="120" w:line="360" w:lineRule="auto"/>
        <w:ind w:left="1440" w:hanging="1440"/>
        <w:rPr>
          <w:rFonts w:ascii="Times New Roman" w:hAnsi="Times New Roman" w:cs="Times New Roman"/>
          <w:sz w:val="24"/>
          <w:szCs w:val="24"/>
        </w:rPr>
      </w:pPr>
      <w:r>
        <w:rPr>
          <w:rFonts w:ascii="Times New Roman" w:hAnsi="Times New Roman" w:cs="Times New Roman"/>
          <w:sz w:val="24"/>
          <w:szCs w:val="24"/>
          <w:vertAlign w:val="superscript"/>
        </w:rPr>
        <w:lastRenderedPageBreak/>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i/>
          <w:sz w:val="24"/>
          <w:szCs w:val="24"/>
        </w:rPr>
        <w:t>The Second Treaties of Government (An Essay Concerning the True Original, Extent and End of Civil Government)</w:t>
      </w:r>
      <w:r>
        <w:rPr>
          <w:rFonts w:ascii="Times New Roman" w:hAnsi="Times New Roman" w:cs="Times New Roman"/>
          <w:sz w:val="24"/>
          <w:szCs w:val="24"/>
        </w:rPr>
        <w:t xml:space="preserve"> and</w:t>
      </w:r>
      <w:r>
        <w:rPr>
          <w:rFonts w:ascii="Times New Roman" w:hAnsi="Times New Roman" w:cs="Times New Roman"/>
          <w:i/>
          <w:sz w:val="24"/>
          <w:szCs w:val="24"/>
        </w:rPr>
        <w:t xml:space="preserve"> A Letter Concerning Toleration</w:t>
      </w:r>
      <w:r>
        <w:rPr>
          <w:rFonts w:ascii="Times New Roman" w:hAnsi="Times New Roman" w:cs="Times New Roman"/>
          <w:sz w:val="24"/>
          <w:szCs w:val="24"/>
        </w:rPr>
        <w:t>, ed. by J. W. Gough (Oxford: Blackwell, 1966)</w:t>
      </w:r>
    </w:p>
    <w:p w:rsidR="00967FD1" w:rsidRDefault="00967FD1" w:rsidP="00967FD1">
      <w:pPr>
        <w:spacing w:after="120" w:line="360" w:lineRule="auto"/>
        <w:ind w:left="1440" w:hanging="1440"/>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i/>
          <w:sz w:val="24"/>
          <w:szCs w:val="24"/>
        </w:rPr>
        <w:t xml:space="preserve">Some Thoughts Concerning Education </w:t>
      </w:r>
      <w:r>
        <w:rPr>
          <w:rFonts w:ascii="Times New Roman" w:hAnsi="Times New Roman" w:cs="Times New Roman"/>
          <w:sz w:val="24"/>
          <w:szCs w:val="24"/>
        </w:rPr>
        <w:t>and</w:t>
      </w:r>
      <w:r>
        <w:rPr>
          <w:rFonts w:ascii="Times New Roman" w:hAnsi="Times New Roman" w:cs="Times New Roman"/>
          <w:i/>
          <w:sz w:val="24"/>
          <w:szCs w:val="24"/>
        </w:rPr>
        <w:t xml:space="preserve"> Of the Conduct of the Understanding</w:t>
      </w:r>
      <w:r>
        <w:rPr>
          <w:rFonts w:ascii="Times New Roman" w:hAnsi="Times New Roman" w:cs="Times New Roman"/>
          <w:sz w:val="24"/>
          <w:szCs w:val="24"/>
        </w:rPr>
        <w:t>, ed. by Ruth W. Grant and Nathan Tarcov (Indianapolis: Hackett Publishing, 1996)</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shd w:val="clear" w:color="auto" w:fill="FFFFFF"/>
        </w:rPr>
        <w:t xml:space="preserve">Marx, Karl, ‘The Civil War in France’. in </w:t>
      </w:r>
      <w:r>
        <w:rPr>
          <w:rFonts w:ascii="Times New Roman" w:hAnsi="Times New Roman" w:cs="Times New Roman"/>
          <w:i/>
          <w:sz w:val="24"/>
          <w:szCs w:val="24"/>
        </w:rPr>
        <w:t>Karl Marx and Frederick Engels Selected Works</w:t>
      </w:r>
      <w:r>
        <w:rPr>
          <w:rFonts w:ascii="Times New Roman" w:hAnsi="Times New Roman" w:cs="Times New Roman"/>
          <w:sz w:val="24"/>
          <w:szCs w:val="24"/>
          <w:shd w:val="clear" w:color="auto" w:fill="FFFFFF"/>
        </w:rPr>
        <w:t>, pp. 248</w:t>
      </w:r>
      <w:r>
        <w:rPr>
          <w:rFonts w:ascii="Times New Roman" w:hAnsi="Times New Roman" w:cs="Times New Roman"/>
          <w:sz w:val="24"/>
          <w:szCs w:val="24"/>
        </w:rPr>
        <w:t>–</w:t>
      </w:r>
      <w:r>
        <w:rPr>
          <w:rFonts w:ascii="Times New Roman" w:hAnsi="Times New Roman" w:cs="Times New Roman"/>
          <w:sz w:val="24"/>
          <w:szCs w:val="24"/>
          <w:shd w:val="clear" w:color="auto" w:fill="FFFFFF"/>
        </w:rPr>
        <w:t>309</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Marx, Karl and Frederick Engels, ‘Manifesto of the Communist Party’, in </w:t>
      </w:r>
      <w:r>
        <w:rPr>
          <w:rFonts w:ascii="Times New Roman" w:hAnsi="Times New Roman" w:cs="Times New Roman"/>
          <w:i/>
          <w:sz w:val="24"/>
          <w:szCs w:val="24"/>
        </w:rPr>
        <w:t>Karl Marx and Frederick Engels Selected Works</w:t>
      </w:r>
      <w:r>
        <w:rPr>
          <w:rFonts w:ascii="Times New Roman" w:hAnsi="Times New Roman" w:cs="Times New Roman"/>
          <w:sz w:val="24"/>
          <w:szCs w:val="24"/>
        </w:rPr>
        <w:t xml:space="preserve"> (London: Lawrence and Wishart, 1968), pp. 31–63</w:t>
      </w:r>
    </w:p>
    <w:p w:rsidR="00967FD1" w:rsidRPr="00967FD1" w:rsidRDefault="00967FD1" w:rsidP="00967FD1">
      <w:pPr>
        <w:spacing w:after="120" w:line="360" w:lineRule="auto"/>
        <w:rPr>
          <w:rFonts w:ascii="Times New Roman" w:hAnsi="Times New Roman" w:cs="Times New Roman"/>
          <w:sz w:val="24"/>
          <w:szCs w:val="24"/>
        </w:rPr>
      </w:pPr>
      <w:r w:rsidRPr="00967FD1">
        <w:rPr>
          <w:rFonts w:ascii="Times New Roman" w:hAnsi="Times New Roman" w:cs="Times New Roman"/>
          <w:sz w:val="24"/>
          <w:szCs w:val="24"/>
        </w:rPr>
        <w:t xml:space="preserve">Mayhew, Henry, </w:t>
      </w:r>
      <w:r w:rsidRPr="00967FD1">
        <w:rPr>
          <w:rFonts w:ascii="Times New Roman" w:hAnsi="Times New Roman" w:cs="Times New Roman"/>
          <w:i/>
          <w:sz w:val="24"/>
          <w:szCs w:val="24"/>
        </w:rPr>
        <w:t>London Labour and the London Poor</w:t>
      </w:r>
      <w:r w:rsidRPr="00967FD1">
        <w:rPr>
          <w:rFonts w:ascii="Times New Roman" w:hAnsi="Times New Roman" w:cs="Times New Roman"/>
          <w:sz w:val="24"/>
          <w:szCs w:val="24"/>
        </w:rPr>
        <w:t>, 4 vols (London: Cass, 1967), I (1967)</w:t>
      </w:r>
    </w:p>
    <w:p w:rsidR="00967FD1" w:rsidRDefault="00967FD1" w:rsidP="00967FD1">
      <w:pPr>
        <w:spacing w:after="120" w:line="360" w:lineRule="auto"/>
        <w:rPr>
          <w:rFonts w:ascii="Times New Roman" w:hAnsi="Times New Roman" w:cs="Times New Roman"/>
          <w:sz w:val="24"/>
          <w:szCs w:val="24"/>
        </w:rPr>
      </w:pPr>
      <w:r w:rsidRPr="00967FD1">
        <w:rPr>
          <w:rFonts w:ascii="Times New Roman" w:hAnsi="Times New Roman" w:cs="Times New Roman"/>
          <w:sz w:val="24"/>
          <w:szCs w:val="24"/>
          <w:vertAlign w:val="superscript"/>
        </w:rPr>
        <w:t>______________</w:t>
      </w:r>
      <w:r w:rsidRPr="00967FD1">
        <w:rPr>
          <w:rFonts w:ascii="Times New Roman" w:hAnsi="Times New Roman" w:cs="Times New Roman"/>
          <w:sz w:val="24"/>
          <w:szCs w:val="24"/>
        </w:rPr>
        <w:t>,</w:t>
      </w:r>
      <w:r w:rsidRPr="00967FD1">
        <w:rPr>
          <w:rFonts w:ascii="Times New Roman" w:hAnsi="Times New Roman" w:cs="Times New Roman"/>
          <w:sz w:val="24"/>
          <w:szCs w:val="24"/>
          <w:vertAlign w:val="superscript"/>
        </w:rPr>
        <w:tab/>
      </w:r>
      <w:r w:rsidRPr="00967FD1">
        <w:rPr>
          <w:rFonts w:ascii="Times New Roman" w:hAnsi="Times New Roman" w:cs="Times New Roman"/>
          <w:i/>
          <w:sz w:val="24"/>
          <w:szCs w:val="24"/>
        </w:rPr>
        <w:t>London Labour and the London Poor</w:t>
      </w:r>
      <w:r w:rsidRPr="00967FD1">
        <w:rPr>
          <w:rFonts w:ascii="Times New Roman" w:hAnsi="Times New Roman" w:cs="Times New Roman"/>
          <w:sz w:val="24"/>
          <w:szCs w:val="24"/>
        </w:rPr>
        <w:t>, 4 vols (London: Cass, 1967), IV (1967)</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i/>
          <w:sz w:val="24"/>
          <w:szCs w:val="24"/>
        </w:rPr>
        <w:t>The Morning Chronicle Survey of Labour and the Poor: The Metropolitan Districts</w:t>
      </w:r>
      <w:r>
        <w:rPr>
          <w:rFonts w:ascii="Times New Roman" w:hAnsi="Times New Roman" w:cs="Times New Roman"/>
          <w:sz w:val="24"/>
          <w:szCs w:val="24"/>
        </w:rPr>
        <w:t>, 6 vols (Firle: Caliban Books, 1980–82), I (1980)</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i/>
          <w:sz w:val="24"/>
          <w:szCs w:val="24"/>
        </w:rPr>
        <w:t>The Morning Chronicle Survey of Labour and the Poor: The Metropolitan Districts</w:t>
      </w:r>
      <w:r>
        <w:rPr>
          <w:rFonts w:ascii="Times New Roman" w:hAnsi="Times New Roman" w:cs="Times New Roman"/>
          <w:sz w:val="24"/>
          <w:szCs w:val="24"/>
        </w:rPr>
        <w:t>, 6 vols (Horsham: Caliban Books, 1980–82), II (1981)</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Miller, Thomas, </w:t>
      </w:r>
      <w:r>
        <w:rPr>
          <w:rFonts w:ascii="Times New Roman" w:hAnsi="Times New Roman" w:cs="Times New Roman"/>
          <w:i/>
          <w:sz w:val="24"/>
          <w:szCs w:val="24"/>
        </w:rPr>
        <w:t>Gideon Giles the Roper</w:t>
      </w:r>
      <w:r>
        <w:rPr>
          <w:rFonts w:ascii="Times New Roman" w:hAnsi="Times New Roman" w:cs="Times New Roman"/>
          <w:sz w:val="24"/>
          <w:szCs w:val="24"/>
        </w:rPr>
        <w:t xml:space="preserve"> (London: Hayward, 1841)</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Owen, Robert, </w:t>
      </w:r>
      <w:r>
        <w:rPr>
          <w:rFonts w:ascii="Times New Roman" w:hAnsi="Times New Roman" w:cs="Times New Roman"/>
          <w:i/>
          <w:sz w:val="24"/>
          <w:szCs w:val="24"/>
        </w:rPr>
        <w:t>The Book of the New Moral World</w:t>
      </w:r>
      <w:r>
        <w:rPr>
          <w:rFonts w:ascii="Times New Roman" w:hAnsi="Times New Roman" w:cs="Times New Roman"/>
          <w:sz w:val="24"/>
          <w:szCs w:val="24"/>
        </w:rPr>
        <w:t>, 7 parts (Pall Mall: Home Colonization Society, 1842; repr. New York: Kelley, 1970)</w:t>
      </w:r>
    </w:p>
    <w:p w:rsidR="00967FD1" w:rsidRDefault="00967FD1" w:rsidP="00967FD1">
      <w:pPr>
        <w:spacing w:after="120" w:line="360" w:lineRule="auto"/>
        <w:ind w:left="1440" w:hanging="1440"/>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sz w:val="24"/>
          <w:szCs w:val="24"/>
        </w:rPr>
        <w:t xml:space="preserve">‘A New View of Society; or, Essays on the Principle of the Formation of the Human Character’, in </w:t>
      </w:r>
      <w:r>
        <w:rPr>
          <w:rFonts w:ascii="Times New Roman" w:hAnsi="Times New Roman" w:cs="Times New Roman"/>
          <w:i/>
          <w:iCs/>
          <w:sz w:val="24"/>
          <w:szCs w:val="24"/>
        </w:rPr>
        <w:t>A New View of Society and Other Writings</w:t>
      </w:r>
      <w:r>
        <w:rPr>
          <w:rFonts w:ascii="Times New Roman" w:hAnsi="Times New Roman" w:cs="Times New Roman"/>
          <w:sz w:val="24"/>
          <w:szCs w:val="24"/>
        </w:rPr>
        <w:t xml:space="preserve"> (London: Dent &amp; Sons, 1966), pp. 3–90</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Pelham, Camden, </w:t>
      </w:r>
      <w:r>
        <w:rPr>
          <w:rFonts w:ascii="Times New Roman" w:hAnsi="Times New Roman" w:cs="Times New Roman"/>
          <w:i/>
          <w:sz w:val="24"/>
          <w:szCs w:val="24"/>
        </w:rPr>
        <w:t>The Chronicles of Crime: or, the New Newgate Calenda</w:t>
      </w:r>
      <w:r>
        <w:rPr>
          <w:rFonts w:ascii="Times New Roman" w:hAnsi="Times New Roman" w:cs="Times New Roman"/>
          <w:sz w:val="24"/>
          <w:szCs w:val="24"/>
        </w:rPr>
        <w:t>r, 2 vols (London: Miles, 1887)</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Prichard, James Cowles, </w:t>
      </w:r>
      <w:r>
        <w:rPr>
          <w:rFonts w:ascii="Times New Roman" w:hAnsi="Times New Roman" w:cs="Times New Roman"/>
          <w:i/>
          <w:sz w:val="24"/>
          <w:szCs w:val="24"/>
        </w:rPr>
        <w:t>A Treatise on Insanity, and other Disorders Affecting the Mind</w:t>
      </w:r>
      <w:r>
        <w:rPr>
          <w:rFonts w:ascii="Times New Roman" w:hAnsi="Times New Roman" w:cs="Times New Roman"/>
          <w:sz w:val="24"/>
          <w:szCs w:val="24"/>
        </w:rPr>
        <w:t xml:space="preserve"> (London: Sherwood, Gilbert, and Piper, 1835) </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Reynolds, Edward</w:t>
      </w:r>
      <w:r>
        <w:rPr>
          <w:rFonts w:ascii="Times New Roman" w:hAnsi="Times New Roman" w:cs="Times New Roman"/>
          <w:color w:val="7030A0"/>
          <w:sz w:val="24"/>
          <w:szCs w:val="24"/>
        </w:rPr>
        <w:t xml:space="preserve">, </w:t>
      </w:r>
      <w:r>
        <w:rPr>
          <w:rFonts w:ascii="Times New Roman" w:hAnsi="Times New Roman" w:cs="Times New Roman"/>
          <w:sz w:val="24"/>
          <w:szCs w:val="24"/>
        </w:rPr>
        <w:t>‘Military Terrorism in England’,</w:t>
      </w:r>
      <w:r>
        <w:rPr>
          <w:rFonts w:ascii="Times New Roman" w:hAnsi="Times New Roman" w:cs="Times New Roman"/>
          <w:i/>
          <w:sz w:val="24"/>
          <w:szCs w:val="24"/>
        </w:rPr>
        <w:t xml:space="preserve"> Reynolds’s Newspaper,</w:t>
      </w:r>
      <w:r>
        <w:rPr>
          <w:rFonts w:ascii="Times New Roman" w:hAnsi="Times New Roman" w:cs="Times New Roman"/>
          <w:sz w:val="24"/>
          <w:szCs w:val="24"/>
        </w:rPr>
        <w:t xml:space="preserve"> 30 January 1853, p. 7</w:t>
      </w:r>
    </w:p>
    <w:p w:rsidR="00967FD1" w:rsidRDefault="00967FD1" w:rsidP="00967FD1">
      <w:pPr>
        <w:spacing w:after="120" w:line="360" w:lineRule="auto"/>
        <w:rPr>
          <w:rFonts w:ascii="Times New Roman" w:hAnsi="Times New Roman" w:cs="Times New Roman"/>
          <w:bCs/>
          <w:sz w:val="24"/>
          <w:szCs w:val="24"/>
        </w:rPr>
      </w:pPr>
      <w:r>
        <w:rPr>
          <w:rFonts w:ascii="Times New Roman" w:hAnsi="Times New Roman" w:cs="Times New Roman"/>
          <w:sz w:val="24"/>
          <w:szCs w:val="24"/>
        </w:rPr>
        <w:lastRenderedPageBreak/>
        <w:t xml:space="preserve">Reynolds, </w:t>
      </w:r>
      <w:r>
        <w:rPr>
          <w:rFonts w:ascii="Times New Roman" w:hAnsi="Times New Roman" w:cs="Times New Roman"/>
          <w:bCs/>
          <w:sz w:val="24"/>
          <w:szCs w:val="24"/>
        </w:rPr>
        <w:t xml:space="preserve">George W. M., </w:t>
      </w:r>
      <w:r>
        <w:rPr>
          <w:rFonts w:ascii="Times New Roman" w:hAnsi="Times New Roman" w:cs="Times New Roman"/>
          <w:bCs/>
          <w:i/>
          <w:sz w:val="24"/>
          <w:szCs w:val="24"/>
        </w:rPr>
        <w:t>Alfred; or the Adventures of a French Gentleman</w:t>
      </w:r>
      <w:r>
        <w:rPr>
          <w:rFonts w:ascii="Times New Roman" w:hAnsi="Times New Roman" w:cs="Times New Roman"/>
          <w:bCs/>
          <w:sz w:val="24"/>
          <w:szCs w:val="24"/>
        </w:rPr>
        <w:t>, (London: Willoughby, 1844)</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‘American Republicanism’, </w:t>
      </w:r>
      <w:r>
        <w:rPr>
          <w:rFonts w:ascii="Times New Roman" w:hAnsi="Times New Roman"/>
          <w:i/>
          <w:sz w:val="24"/>
          <w:szCs w:val="24"/>
        </w:rPr>
        <w:t>Reynolds’s Newspaper</w:t>
      </w:r>
      <w:r>
        <w:rPr>
          <w:rFonts w:ascii="Times New Roman" w:hAnsi="Times New Roman"/>
          <w:sz w:val="24"/>
          <w:szCs w:val="24"/>
        </w:rPr>
        <w:t>, 30 March 1851, p. 1</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‘Analysis of the Discussion: Between J. H. Donaldson and G. W. M. Reynolds’, </w:t>
      </w:r>
      <w:r>
        <w:rPr>
          <w:rFonts w:ascii="Times New Roman" w:hAnsi="Times New Roman"/>
          <w:i/>
          <w:sz w:val="24"/>
          <w:szCs w:val="24"/>
        </w:rPr>
        <w:t>Teetotaler</w:t>
      </w:r>
      <w:r>
        <w:rPr>
          <w:rFonts w:ascii="Times New Roman" w:hAnsi="Times New Roman"/>
          <w:sz w:val="24"/>
          <w:szCs w:val="24"/>
        </w:rPr>
        <w:t>, 27 June 1840, pp. 5–6</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‘The Approaching Commercial Crisis and the Great Exhibition of 1851’,</w:t>
      </w:r>
      <w:r>
        <w:rPr>
          <w:rFonts w:ascii="Times New Roman" w:hAnsi="Times New Roman"/>
          <w:iCs/>
          <w:sz w:val="24"/>
          <w:szCs w:val="24"/>
        </w:rPr>
        <w:t xml:space="preserve"> </w:t>
      </w:r>
      <w:r>
        <w:rPr>
          <w:rFonts w:ascii="Times New Roman" w:hAnsi="Times New Roman"/>
          <w:i/>
          <w:iCs/>
          <w:sz w:val="24"/>
          <w:szCs w:val="24"/>
        </w:rPr>
        <w:t>Reynolds’s Weekly Newspaper</w:t>
      </w:r>
      <w:r>
        <w:rPr>
          <w:rFonts w:ascii="Times New Roman" w:hAnsi="Times New Roman"/>
          <w:sz w:val="24"/>
          <w:szCs w:val="24"/>
        </w:rPr>
        <w:t>, 27 November 1850, p. 1</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‘The Approaching Ruin of the Small Traders’,</w:t>
      </w:r>
      <w:r>
        <w:rPr>
          <w:rFonts w:ascii="Times New Roman" w:hAnsi="Times New Roman"/>
          <w:iCs/>
          <w:sz w:val="24"/>
          <w:szCs w:val="24"/>
        </w:rPr>
        <w:t xml:space="preserve"> </w:t>
      </w:r>
      <w:r>
        <w:rPr>
          <w:rFonts w:ascii="Times New Roman" w:hAnsi="Times New Roman"/>
          <w:i/>
          <w:iCs/>
          <w:sz w:val="24"/>
          <w:szCs w:val="24"/>
        </w:rPr>
        <w:t>Reynolds’s Weekly Newspaper</w:t>
      </w:r>
      <w:r>
        <w:rPr>
          <w:rFonts w:ascii="Times New Roman" w:hAnsi="Times New Roman"/>
          <w:sz w:val="24"/>
          <w:szCs w:val="24"/>
        </w:rPr>
        <w:t>, 20 October 1850, p. 1</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‘The Approaching Session’, </w:t>
      </w:r>
      <w:r>
        <w:rPr>
          <w:rFonts w:ascii="Times New Roman" w:hAnsi="Times New Roman"/>
          <w:i/>
          <w:iCs/>
          <w:sz w:val="24"/>
          <w:szCs w:val="24"/>
        </w:rPr>
        <w:t>Reynolds’s Newspaper</w:t>
      </w:r>
      <w:r>
        <w:rPr>
          <w:rFonts w:ascii="Times New Roman" w:hAnsi="Times New Roman"/>
          <w:sz w:val="24"/>
          <w:szCs w:val="24"/>
        </w:rPr>
        <w:t>, 18 January 1852, p. 1</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‘The Army and the Lash’, </w:t>
      </w:r>
      <w:r>
        <w:rPr>
          <w:rFonts w:ascii="Times New Roman" w:hAnsi="Times New Roman"/>
          <w:i/>
          <w:iCs/>
          <w:sz w:val="24"/>
          <w:szCs w:val="24"/>
        </w:rPr>
        <w:t>Reynolds’s Newspaper</w:t>
      </w:r>
      <w:r>
        <w:rPr>
          <w:rFonts w:ascii="Times New Roman" w:hAnsi="Times New Roman"/>
          <w:sz w:val="24"/>
          <w:szCs w:val="24"/>
        </w:rPr>
        <w:t>, 13 February 1853, p. 1</w:t>
      </w:r>
    </w:p>
    <w:p w:rsidR="00967FD1" w:rsidRDefault="00967FD1" w:rsidP="00967FD1">
      <w:pPr>
        <w:spacing w:after="120" w:line="360" w:lineRule="auto"/>
        <w:ind w:left="1440" w:hanging="1440"/>
        <w:rPr>
          <w:rFonts w:ascii="Times New Roman" w:hAnsi="Times New Roman" w:cs="Times New Roman"/>
          <w:iCs/>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sz w:val="24"/>
          <w:szCs w:val="24"/>
        </w:rPr>
        <w:t xml:space="preserve">‘Capital, Labour, and the Land’, </w:t>
      </w:r>
      <w:r>
        <w:rPr>
          <w:rFonts w:ascii="Times New Roman" w:hAnsi="Times New Roman" w:cs="Times New Roman"/>
          <w:i/>
          <w:iCs/>
          <w:sz w:val="24"/>
          <w:szCs w:val="24"/>
        </w:rPr>
        <w:t>Reynolds’s Weekly Newspaper</w:t>
      </w:r>
      <w:r>
        <w:rPr>
          <w:rFonts w:ascii="Times New Roman" w:hAnsi="Times New Roman" w:cs="Times New Roman"/>
          <w:sz w:val="24"/>
          <w:szCs w:val="24"/>
        </w:rPr>
        <w:t>, 18 August 1850, p. 1</w:t>
      </w:r>
    </w:p>
    <w:p w:rsidR="00967FD1" w:rsidRDefault="00967FD1" w:rsidP="00967FD1">
      <w:pPr>
        <w:spacing w:after="120" w:line="360" w:lineRule="auto"/>
        <w:ind w:left="1440" w:hanging="1440"/>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sz w:val="24"/>
          <w:szCs w:val="24"/>
        </w:rPr>
        <w:t xml:space="preserve">‘The Crime and Profligacy of London’, </w:t>
      </w:r>
      <w:r>
        <w:rPr>
          <w:rFonts w:ascii="Times New Roman" w:hAnsi="Times New Roman" w:cs="Times New Roman"/>
          <w:i/>
          <w:iCs/>
          <w:sz w:val="24"/>
          <w:szCs w:val="24"/>
        </w:rPr>
        <w:t>Reynolds’s Newspaper</w:t>
      </w:r>
      <w:r>
        <w:rPr>
          <w:rFonts w:ascii="Times New Roman" w:hAnsi="Times New Roman" w:cs="Times New Roman"/>
          <w:sz w:val="24"/>
          <w:szCs w:val="24"/>
        </w:rPr>
        <w:t>, 25 May 1851, p. 1</w:t>
      </w:r>
    </w:p>
    <w:p w:rsidR="00967FD1" w:rsidRDefault="00967FD1" w:rsidP="00967FD1">
      <w:pPr>
        <w:spacing w:after="120" w:line="360" w:lineRule="auto"/>
        <w:rPr>
          <w:rFonts w:ascii="Times New Roman" w:hAnsi="Times New Roman" w:cs="Times New Roman"/>
          <w:bCs/>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i/>
          <w:sz w:val="24"/>
          <w:szCs w:val="24"/>
        </w:rPr>
        <w:t>The Days of Hogarth, or, the Mysteries of Old London</w:t>
      </w:r>
      <w:r>
        <w:rPr>
          <w:rFonts w:ascii="Times New Roman" w:hAnsi="Times New Roman" w:cs="Times New Roman"/>
          <w:sz w:val="24"/>
          <w:szCs w:val="24"/>
        </w:rPr>
        <w:t xml:space="preserve"> (London: Dicks, [n.d.])</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‘Disraeli’s First Financial Speech’, </w:t>
      </w:r>
      <w:r>
        <w:rPr>
          <w:rFonts w:ascii="Times New Roman" w:hAnsi="Times New Roman"/>
          <w:i/>
          <w:iCs/>
          <w:sz w:val="24"/>
          <w:szCs w:val="24"/>
        </w:rPr>
        <w:t>Reynolds’s Newspaper</w:t>
      </w:r>
      <w:r>
        <w:rPr>
          <w:rFonts w:ascii="Times New Roman" w:hAnsi="Times New Roman"/>
          <w:sz w:val="24"/>
          <w:szCs w:val="24"/>
        </w:rPr>
        <w:t>, 9 May 1852, p. 1</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‘Etiquette for the Millions: I. – Introductory Remarks’, </w:t>
      </w:r>
      <w:r>
        <w:rPr>
          <w:rFonts w:ascii="Times New Roman" w:hAnsi="Times New Roman"/>
          <w:i/>
          <w:iCs/>
          <w:sz w:val="24"/>
          <w:szCs w:val="24"/>
        </w:rPr>
        <w:t>London Journal</w:t>
      </w:r>
      <w:r>
        <w:rPr>
          <w:rFonts w:ascii="Times New Roman" w:hAnsi="Times New Roman"/>
          <w:sz w:val="24"/>
          <w:szCs w:val="24"/>
        </w:rPr>
        <w:t xml:space="preserve">, 12 April 1845, p. 104 </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‘Etiquette for the Millions: No. III.–Dinners’, </w:t>
      </w:r>
      <w:r>
        <w:rPr>
          <w:rFonts w:ascii="Times New Roman" w:hAnsi="Times New Roman"/>
          <w:i/>
          <w:iCs/>
          <w:sz w:val="24"/>
          <w:szCs w:val="24"/>
        </w:rPr>
        <w:t>London Journal</w:t>
      </w:r>
      <w:r>
        <w:rPr>
          <w:rFonts w:ascii="Times New Roman" w:hAnsi="Times New Roman"/>
          <w:sz w:val="24"/>
          <w:szCs w:val="24"/>
        </w:rPr>
        <w:t>, 26 April 1845, pp. 141–42</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‘Etiquette for the Millions: No. V.–Conversation’, </w:t>
      </w:r>
      <w:r>
        <w:rPr>
          <w:rFonts w:ascii="Times New Roman" w:hAnsi="Times New Roman"/>
          <w:i/>
          <w:iCs/>
          <w:sz w:val="24"/>
          <w:szCs w:val="24"/>
        </w:rPr>
        <w:t>London Journal</w:t>
      </w:r>
      <w:r>
        <w:rPr>
          <w:rFonts w:ascii="Times New Roman" w:hAnsi="Times New Roman"/>
          <w:sz w:val="24"/>
          <w:szCs w:val="24"/>
        </w:rPr>
        <w:t>, 15 May 1845, p. 164</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‘Etiquette for the Millions: No. VIII.–Behaviour out of Doors’, </w:t>
      </w:r>
      <w:r>
        <w:rPr>
          <w:rFonts w:ascii="Times New Roman" w:hAnsi="Times New Roman"/>
          <w:i/>
          <w:iCs/>
          <w:sz w:val="24"/>
          <w:szCs w:val="24"/>
        </w:rPr>
        <w:t>London Journal</w:t>
      </w:r>
      <w:r>
        <w:rPr>
          <w:rFonts w:ascii="Times New Roman" w:hAnsi="Times New Roman"/>
          <w:sz w:val="24"/>
          <w:szCs w:val="24"/>
        </w:rPr>
        <w:t>, 14 June 1845, p. 251</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‘Etiquette for the Millions: No. XII.–Habits and Customs’, </w:t>
      </w:r>
      <w:r>
        <w:rPr>
          <w:rFonts w:ascii="Times New Roman" w:hAnsi="Times New Roman"/>
          <w:i/>
          <w:iCs/>
          <w:sz w:val="24"/>
          <w:szCs w:val="24"/>
        </w:rPr>
        <w:t>London Journal</w:t>
      </w:r>
      <w:r>
        <w:rPr>
          <w:rFonts w:ascii="Times New Roman" w:hAnsi="Times New Roman"/>
          <w:sz w:val="24"/>
          <w:szCs w:val="24"/>
        </w:rPr>
        <w:t>, 5 July 1845, pp. 298–99</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‘Etiquette for the Millions: No. XIV.–Morals’, </w:t>
      </w:r>
      <w:r>
        <w:rPr>
          <w:rFonts w:ascii="Times New Roman" w:hAnsi="Times New Roman"/>
          <w:i/>
          <w:iCs/>
          <w:sz w:val="24"/>
          <w:szCs w:val="24"/>
        </w:rPr>
        <w:t>London Journal</w:t>
      </w:r>
      <w:r>
        <w:rPr>
          <w:rFonts w:ascii="Times New Roman" w:hAnsi="Times New Roman"/>
          <w:sz w:val="24"/>
          <w:szCs w:val="24"/>
        </w:rPr>
        <w:t>, 26 July 1845, pp. 338–39</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lastRenderedPageBreak/>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‘The Exit of the Whigs and the Advent of the Tories’, </w:t>
      </w:r>
      <w:r>
        <w:rPr>
          <w:rFonts w:ascii="Times New Roman" w:hAnsi="Times New Roman"/>
          <w:i/>
          <w:iCs/>
          <w:sz w:val="24"/>
          <w:szCs w:val="24"/>
        </w:rPr>
        <w:t>Reynolds’s Newspaper</w:t>
      </w:r>
      <w:r>
        <w:rPr>
          <w:rFonts w:ascii="Times New Roman" w:hAnsi="Times New Roman"/>
          <w:sz w:val="24"/>
          <w:szCs w:val="24"/>
        </w:rPr>
        <w:t>, 29 February 1852, p. 1</w:t>
      </w:r>
    </w:p>
    <w:p w:rsidR="00967FD1" w:rsidRDefault="00967FD1" w:rsidP="00967FD1">
      <w:pPr>
        <w:spacing w:after="120" w:line="360" w:lineRule="auto"/>
        <w:ind w:left="1440" w:hanging="1440"/>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sz w:val="24"/>
          <w:szCs w:val="24"/>
        </w:rPr>
        <w:t xml:space="preserve">‘Farewell to the Public’, </w:t>
      </w:r>
      <w:r>
        <w:rPr>
          <w:rFonts w:ascii="Times New Roman" w:hAnsi="Times New Roman" w:cs="Times New Roman"/>
          <w:i/>
          <w:sz w:val="24"/>
          <w:szCs w:val="24"/>
        </w:rPr>
        <w:t>Teetotaler</w:t>
      </w:r>
      <w:r>
        <w:rPr>
          <w:rFonts w:ascii="Times New Roman" w:hAnsi="Times New Roman" w:cs="Times New Roman"/>
          <w:sz w:val="24"/>
          <w:szCs w:val="24"/>
        </w:rPr>
        <w:t>, 25 September, 1841, p. 177</w:t>
      </w:r>
    </w:p>
    <w:p w:rsidR="00967FD1" w:rsidRDefault="00967FD1" w:rsidP="00967FD1">
      <w:pPr>
        <w:spacing w:after="120" w:line="360" w:lineRule="auto"/>
        <w:ind w:left="1440" w:hanging="1440"/>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sz w:val="24"/>
          <w:szCs w:val="24"/>
        </w:rPr>
        <w:t xml:space="preserve">‘A Federal Union of Democrats’, </w:t>
      </w:r>
      <w:r>
        <w:rPr>
          <w:rFonts w:ascii="Times New Roman" w:hAnsi="Times New Roman" w:cs="Times New Roman"/>
          <w:i/>
          <w:iCs/>
          <w:sz w:val="24"/>
          <w:szCs w:val="24"/>
        </w:rPr>
        <w:t>Reynolds’s Weekly Newspaper</w:t>
      </w:r>
      <w:r>
        <w:rPr>
          <w:rFonts w:ascii="Times New Roman" w:hAnsi="Times New Roman" w:cs="Times New Roman"/>
          <w:sz w:val="24"/>
          <w:szCs w:val="24"/>
        </w:rPr>
        <w:t>, 11 August 1850, p. 1</w:t>
      </w:r>
    </w:p>
    <w:p w:rsidR="00967FD1" w:rsidRDefault="00967FD1" w:rsidP="00967FD1">
      <w:pPr>
        <w:pStyle w:val="FootnoteText"/>
        <w:spacing w:after="120" w:line="360" w:lineRule="auto"/>
        <w:ind w:left="1380" w:hanging="138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w:t>
      </w:r>
      <w:r>
        <w:rPr>
          <w:rFonts w:ascii="Times New Roman" w:hAnsi="Times New Roman"/>
          <w:i/>
          <w:sz w:val="24"/>
          <w:szCs w:val="24"/>
        </w:rPr>
        <w:t>A Few More Words of Warning to the Needlewomen and Slopworkers</w:t>
      </w:r>
      <w:r>
        <w:rPr>
          <w:rFonts w:ascii="Times New Roman" w:hAnsi="Times New Roman"/>
          <w:sz w:val="24"/>
          <w:szCs w:val="24"/>
        </w:rPr>
        <w:t xml:space="preserve">’, </w:t>
      </w:r>
      <w:r>
        <w:rPr>
          <w:rFonts w:ascii="Times New Roman" w:hAnsi="Times New Roman"/>
          <w:i/>
          <w:sz w:val="24"/>
          <w:szCs w:val="24"/>
        </w:rPr>
        <w:t>Reynolds’s Political Instructor</w:t>
      </w:r>
      <w:r>
        <w:rPr>
          <w:rFonts w:ascii="Times New Roman" w:hAnsi="Times New Roman"/>
          <w:sz w:val="24"/>
          <w:szCs w:val="24"/>
        </w:rPr>
        <w:t>, 12 January 1850, p. 74</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‘Freedom’s Boast and Slavery’s Reality’, </w:t>
      </w:r>
      <w:r>
        <w:rPr>
          <w:rFonts w:ascii="Times New Roman" w:hAnsi="Times New Roman"/>
          <w:i/>
          <w:iCs/>
          <w:sz w:val="24"/>
          <w:szCs w:val="24"/>
        </w:rPr>
        <w:t>Reynolds’s Newspaper</w:t>
      </w:r>
      <w:r>
        <w:rPr>
          <w:rFonts w:ascii="Times New Roman" w:hAnsi="Times New Roman"/>
          <w:sz w:val="24"/>
          <w:szCs w:val="24"/>
        </w:rPr>
        <w:t>, 21 September 1851, p. 1</w:t>
      </w:r>
    </w:p>
    <w:p w:rsidR="00967FD1" w:rsidRDefault="00967FD1" w:rsidP="00967FD1">
      <w:pPr>
        <w:spacing w:after="120" w:line="360" w:lineRule="auto"/>
        <w:ind w:left="1440" w:hanging="1440"/>
        <w:rPr>
          <w:rFonts w:ascii="Times New Roman" w:hAnsi="Times New Roman" w:cs="Times New Roman"/>
          <w:bCs/>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bCs/>
          <w:i/>
          <w:iCs/>
          <w:sz w:val="24"/>
          <w:szCs w:val="24"/>
        </w:rPr>
        <w:t>Grace Darling; or, the Heroine of the Fern Islands</w:t>
      </w:r>
      <w:r>
        <w:rPr>
          <w:rFonts w:ascii="Times New Roman" w:hAnsi="Times New Roman" w:cs="Times New Roman"/>
          <w:bCs/>
          <w:iCs/>
          <w:sz w:val="24"/>
          <w:szCs w:val="24"/>
        </w:rPr>
        <w:t xml:space="preserve"> </w:t>
      </w:r>
      <w:r>
        <w:rPr>
          <w:rFonts w:ascii="Times New Roman" w:hAnsi="Times New Roman" w:cs="Times New Roman"/>
          <w:bCs/>
          <w:sz w:val="24"/>
          <w:szCs w:val="24"/>
        </w:rPr>
        <w:t>(London: Henderson, 1839)</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‘How Labour Can Best Protect Itself’, </w:t>
      </w:r>
      <w:r>
        <w:rPr>
          <w:rFonts w:ascii="Times New Roman" w:hAnsi="Times New Roman"/>
          <w:i/>
          <w:iCs/>
          <w:sz w:val="24"/>
          <w:szCs w:val="24"/>
        </w:rPr>
        <w:t>Reynolds’s Newspaper</w:t>
      </w:r>
      <w:r>
        <w:rPr>
          <w:rFonts w:ascii="Times New Roman" w:hAnsi="Times New Roman"/>
          <w:sz w:val="24"/>
          <w:szCs w:val="24"/>
        </w:rPr>
        <w:t>, 7 March 1852, p. 1</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‘How the Social System Works’, </w:t>
      </w:r>
      <w:r>
        <w:rPr>
          <w:rFonts w:ascii="Times New Roman" w:hAnsi="Times New Roman"/>
          <w:i/>
          <w:iCs/>
          <w:sz w:val="24"/>
          <w:szCs w:val="24"/>
        </w:rPr>
        <w:t>Reynolds’s Newspaper</w:t>
      </w:r>
      <w:r>
        <w:rPr>
          <w:rFonts w:ascii="Times New Roman" w:hAnsi="Times New Roman"/>
          <w:sz w:val="24"/>
          <w:szCs w:val="24"/>
        </w:rPr>
        <w:t>, 15 June 1851, p. 1</w:t>
      </w:r>
    </w:p>
    <w:p w:rsidR="00967FD1" w:rsidRDefault="00967FD1" w:rsidP="00967FD1">
      <w:pPr>
        <w:spacing w:after="120" w:line="360" w:lineRule="auto"/>
        <w:ind w:left="1440" w:hanging="1440"/>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bCs/>
          <w:i/>
          <w:iCs/>
          <w:sz w:val="24"/>
          <w:szCs w:val="24"/>
        </w:rPr>
        <w:t>Joseph Wilmot, or, the Memoirs of a Man-Servant,</w:t>
      </w:r>
      <w:r>
        <w:rPr>
          <w:rFonts w:ascii="Times New Roman" w:hAnsi="Times New Roman" w:cs="Times New Roman"/>
          <w:bCs/>
          <w:iCs/>
          <w:sz w:val="24"/>
          <w:szCs w:val="24"/>
        </w:rPr>
        <w:t xml:space="preserve"> 2 vols (</w:t>
      </w:r>
      <w:r>
        <w:rPr>
          <w:rFonts w:ascii="Times New Roman" w:hAnsi="Times New Roman" w:cs="Times New Roman"/>
          <w:bCs/>
          <w:sz w:val="24"/>
          <w:szCs w:val="24"/>
        </w:rPr>
        <w:t>London: Dicks, 1853</w:t>
      </w:r>
      <w:r>
        <w:rPr>
          <w:rFonts w:ascii="Times New Roman" w:hAnsi="Times New Roman" w:cs="Times New Roman"/>
          <w:color w:val="000000"/>
          <w:sz w:val="24"/>
          <w:szCs w:val="24"/>
        </w:rPr>
        <w:t>–</w:t>
      </w:r>
      <w:r>
        <w:rPr>
          <w:rFonts w:ascii="Times New Roman" w:hAnsi="Times New Roman" w:cs="Times New Roman"/>
          <w:bCs/>
          <w:sz w:val="24"/>
          <w:szCs w:val="24"/>
        </w:rPr>
        <w:t>1855)</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‘Lead Article’, </w:t>
      </w:r>
      <w:r>
        <w:rPr>
          <w:rFonts w:ascii="Times New Roman" w:hAnsi="Times New Roman"/>
          <w:i/>
          <w:sz w:val="24"/>
          <w:szCs w:val="24"/>
        </w:rPr>
        <w:t>Teetotaler,</w:t>
      </w:r>
      <w:r>
        <w:rPr>
          <w:rFonts w:ascii="Times New Roman" w:hAnsi="Times New Roman"/>
          <w:sz w:val="24"/>
          <w:szCs w:val="24"/>
        </w:rPr>
        <w:t xml:space="preserve"> 18 July 1840, p. 28</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‘Lead Article’, </w:t>
      </w:r>
      <w:r>
        <w:rPr>
          <w:rFonts w:ascii="Times New Roman" w:hAnsi="Times New Roman"/>
          <w:i/>
          <w:sz w:val="24"/>
          <w:szCs w:val="24"/>
        </w:rPr>
        <w:t>Teetotaler,</w:t>
      </w:r>
      <w:r>
        <w:rPr>
          <w:rFonts w:ascii="Times New Roman" w:hAnsi="Times New Roman"/>
          <w:sz w:val="24"/>
          <w:szCs w:val="24"/>
        </w:rPr>
        <w:t xml:space="preserve"> 8 August 1840, pp. 52–53</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‘Lead Article’, </w:t>
      </w:r>
      <w:r>
        <w:rPr>
          <w:rFonts w:ascii="Times New Roman" w:hAnsi="Times New Roman"/>
          <w:i/>
          <w:sz w:val="24"/>
          <w:szCs w:val="24"/>
        </w:rPr>
        <w:t>Teetotaler,</w:t>
      </w:r>
      <w:r>
        <w:rPr>
          <w:rFonts w:ascii="Times New Roman" w:hAnsi="Times New Roman"/>
          <w:sz w:val="24"/>
          <w:szCs w:val="24"/>
        </w:rPr>
        <w:t xml:space="preserve"> 15 August 1840, pp. 60–61</w:t>
      </w:r>
    </w:p>
    <w:p w:rsidR="00967FD1" w:rsidRDefault="00967FD1" w:rsidP="00967FD1">
      <w:pPr>
        <w:pStyle w:val="FootnoteText"/>
        <w:spacing w:after="120" w:line="360" w:lineRule="auto"/>
        <w:ind w:left="1440" w:hanging="1440"/>
        <w:rPr>
          <w:rFonts w:ascii="Times New Roman" w:hAnsi="Times New Roman"/>
          <w:sz w:val="24"/>
          <w:szCs w:val="24"/>
          <w:vertAlign w:val="superscript"/>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‘Lead Article’, </w:t>
      </w:r>
      <w:r>
        <w:rPr>
          <w:rFonts w:ascii="Times New Roman" w:hAnsi="Times New Roman"/>
          <w:i/>
          <w:sz w:val="24"/>
          <w:szCs w:val="24"/>
        </w:rPr>
        <w:t>Teetotaler,</w:t>
      </w:r>
      <w:r>
        <w:rPr>
          <w:rFonts w:ascii="Times New Roman" w:hAnsi="Times New Roman"/>
          <w:sz w:val="24"/>
          <w:szCs w:val="24"/>
        </w:rPr>
        <w:t xml:space="preserve"> 12 September 1840, pp. 92–93</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‘Lead Article’, </w:t>
      </w:r>
      <w:r>
        <w:rPr>
          <w:rFonts w:ascii="Times New Roman" w:hAnsi="Times New Roman"/>
          <w:i/>
          <w:sz w:val="24"/>
          <w:szCs w:val="24"/>
        </w:rPr>
        <w:t>Teetotaler,</w:t>
      </w:r>
      <w:r>
        <w:rPr>
          <w:rFonts w:ascii="Times New Roman" w:hAnsi="Times New Roman"/>
          <w:sz w:val="24"/>
          <w:szCs w:val="24"/>
        </w:rPr>
        <w:t xml:space="preserve"> 19 September 1840, p. 100</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‘Lead Article’, </w:t>
      </w:r>
      <w:r>
        <w:rPr>
          <w:rFonts w:ascii="Times New Roman" w:hAnsi="Times New Roman"/>
          <w:i/>
          <w:sz w:val="24"/>
          <w:szCs w:val="24"/>
        </w:rPr>
        <w:t>Teetotaler,</w:t>
      </w:r>
      <w:r>
        <w:rPr>
          <w:rFonts w:ascii="Times New Roman" w:hAnsi="Times New Roman"/>
          <w:sz w:val="24"/>
          <w:szCs w:val="24"/>
        </w:rPr>
        <w:t xml:space="preserve"> 3 October 1840, p. 116</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‘Lead Article’, </w:t>
      </w:r>
      <w:r>
        <w:rPr>
          <w:rFonts w:ascii="Times New Roman" w:hAnsi="Times New Roman"/>
          <w:i/>
          <w:sz w:val="24"/>
          <w:szCs w:val="24"/>
        </w:rPr>
        <w:t>Teetotaler,</w:t>
      </w:r>
      <w:r>
        <w:rPr>
          <w:rFonts w:ascii="Times New Roman" w:hAnsi="Times New Roman"/>
          <w:sz w:val="24"/>
          <w:szCs w:val="24"/>
        </w:rPr>
        <w:t xml:space="preserve"> 7 November 1840, p. 156</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‘Lead Article’, </w:t>
      </w:r>
      <w:r>
        <w:rPr>
          <w:rFonts w:ascii="Times New Roman" w:hAnsi="Times New Roman"/>
          <w:i/>
          <w:sz w:val="24"/>
          <w:szCs w:val="24"/>
        </w:rPr>
        <w:t>Teetotaler,</w:t>
      </w:r>
      <w:r>
        <w:rPr>
          <w:rFonts w:ascii="Times New Roman" w:hAnsi="Times New Roman"/>
          <w:sz w:val="24"/>
          <w:szCs w:val="24"/>
        </w:rPr>
        <w:t xml:space="preserve"> 21 November 1840, p. 172</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‘Lead Article’, </w:t>
      </w:r>
      <w:r>
        <w:rPr>
          <w:rFonts w:ascii="Times New Roman" w:hAnsi="Times New Roman"/>
          <w:i/>
          <w:sz w:val="24"/>
          <w:szCs w:val="24"/>
        </w:rPr>
        <w:t>Teetotaler</w:t>
      </w:r>
      <w:r>
        <w:rPr>
          <w:rFonts w:ascii="Times New Roman" w:hAnsi="Times New Roman"/>
          <w:iCs/>
          <w:sz w:val="24"/>
          <w:szCs w:val="24"/>
        </w:rPr>
        <w:t>,</w:t>
      </w:r>
      <w:r>
        <w:rPr>
          <w:rFonts w:ascii="Times New Roman" w:hAnsi="Times New Roman"/>
          <w:sz w:val="24"/>
          <w:szCs w:val="24"/>
        </w:rPr>
        <w:t xml:space="preserve"> 6 February 1841, pp. 260–61</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‘Lead Article’, </w:t>
      </w:r>
      <w:r>
        <w:rPr>
          <w:rFonts w:ascii="Times New Roman" w:hAnsi="Times New Roman"/>
          <w:i/>
          <w:sz w:val="24"/>
          <w:szCs w:val="24"/>
        </w:rPr>
        <w:t xml:space="preserve">Teetotaler, </w:t>
      </w:r>
      <w:r>
        <w:rPr>
          <w:rFonts w:ascii="Times New Roman" w:hAnsi="Times New Roman"/>
          <w:sz w:val="24"/>
          <w:szCs w:val="24"/>
        </w:rPr>
        <w:t>15 May1841, p.28</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‘Lead Article’, </w:t>
      </w:r>
      <w:r>
        <w:rPr>
          <w:rFonts w:ascii="Times New Roman" w:hAnsi="Times New Roman"/>
          <w:i/>
          <w:sz w:val="24"/>
          <w:szCs w:val="24"/>
        </w:rPr>
        <w:t>Teetotaler,</w:t>
      </w:r>
      <w:r>
        <w:rPr>
          <w:rFonts w:ascii="Times New Roman" w:hAnsi="Times New Roman"/>
          <w:sz w:val="24"/>
          <w:szCs w:val="24"/>
        </w:rPr>
        <w:t xml:space="preserve"> 10 July 1841, pp. 92–93</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‘Letters to Teetotallers: No. 1.</w:t>
      </w:r>
      <w:r>
        <w:rPr>
          <w:rFonts w:ascii="Times New Roman" w:hAnsi="Times New Roman"/>
          <w:sz w:val="24"/>
          <w:szCs w:val="24"/>
          <w:vertAlign w:val="superscript"/>
        </w:rPr>
        <w:t>__</w:t>
      </w:r>
      <w:r>
        <w:rPr>
          <w:rFonts w:ascii="Times New Roman" w:hAnsi="Times New Roman"/>
          <w:sz w:val="24"/>
          <w:szCs w:val="24"/>
        </w:rPr>
        <w:t xml:space="preserve">To Mr. John Hocking’, </w:t>
      </w:r>
      <w:r>
        <w:rPr>
          <w:rFonts w:ascii="Times New Roman" w:hAnsi="Times New Roman"/>
          <w:i/>
          <w:sz w:val="24"/>
          <w:szCs w:val="24"/>
        </w:rPr>
        <w:t>Teetotaler,</w:t>
      </w:r>
      <w:r>
        <w:rPr>
          <w:rFonts w:ascii="Times New Roman" w:hAnsi="Times New Roman"/>
          <w:sz w:val="24"/>
          <w:szCs w:val="24"/>
        </w:rPr>
        <w:t xml:space="preserve"> 24 April 1841, pp. 5–6</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lastRenderedPageBreak/>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bCs/>
          <w:sz w:val="24"/>
          <w:szCs w:val="24"/>
        </w:rPr>
        <w:t xml:space="preserve">‘Letters to the Industrious Classes: Letter I.–General Address’, </w:t>
      </w:r>
      <w:r>
        <w:rPr>
          <w:rFonts w:ascii="Times New Roman" w:hAnsi="Times New Roman"/>
          <w:i/>
          <w:sz w:val="24"/>
          <w:szCs w:val="24"/>
        </w:rPr>
        <w:t>Reynolds’s Miscellany</w:t>
      </w:r>
      <w:r>
        <w:rPr>
          <w:rFonts w:ascii="Times New Roman" w:hAnsi="Times New Roman"/>
          <w:sz w:val="24"/>
          <w:szCs w:val="24"/>
        </w:rPr>
        <w:t>, 30 January, 1847, pp. 199–200</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‘Lord Londonderry’s Ukase to his Vassals’, </w:t>
      </w:r>
      <w:r>
        <w:rPr>
          <w:rFonts w:ascii="Times New Roman" w:hAnsi="Times New Roman"/>
          <w:i/>
          <w:iCs/>
          <w:sz w:val="24"/>
          <w:szCs w:val="24"/>
        </w:rPr>
        <w:t>Reynolds’s Newspaper</w:t>
      </w:r>
      <w:r>
        <w:rPr>
          <w:rFonts w:ascii="Times New Roman" w:hAnsi="Times New Roman"/>
          <w:sz w:val="24"/>
          <w:szCs w:val="24"/>
        </w:rPr>
        <w:t>, 26 October 1851, p. 1</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‘Machinery, Manufactures, and Pauperism’, </w:t>
      </w:r>
      <w:r>
        <w:rPr>
          <w:rFonts w:ascii="Times New Roman" w:hAnsi="Times New Roman"/>
          <w:i/>
          <w:sz w:val="24"/>
          <w:szCs w:val="24"/>
        </w:rPr>
        <w:t>Reynolds’s Newspaper</w:t>
      </w:r>
      <w:r>
        <w:rPr>
          <w:rFonts w:ascii="Times New Roman" w:hAnsi="Times New Roman"/>
          <w:sz w:val="24"/>
          <w:szCs w:val="24"/>
        </w:rPr>
        <w:t>, 23 March 1851, p. 1</w:t>
      </w:r>
    </w:p>
    <w:p w:rsidR="00967FD1" w:rsidRDefault="00967FD1" w:rsidP="00967FD1">
      <w:pPr>
        <w:spacing w:after="120" w:line="360" w:lineRule="auto"/>
        <w:ind w:left="1440" w:hanging="1440"/>
        <w:rPr>
          <w:rFonts w:ascii="Times New Roman" w:hAnsi="Times New Roman" w:cs="Times New Roman"/>
          <w:bCs/>
          <w:iCs/>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bCs/>
          <w:i/>
          <w:iCs/>
          <w:sz w:val="24"/>
          <w:szCs w:val="24"/>
        </w:rPr>
        <w:t>Mary Price; or, the Memoirs of a Servant-Maid,</w:t>
      </w:r>
      <w:r>
        <w:rPr>
          <w:rFonts w:ascii="Times New Roman" w:hAnsi="Times New Roman" w:cs="Times New Roman"/>
          <w:bCs/>
          <w:iCs/>
          <w:sz w:val="24"/>
          <w:szCs w:val="24"/>
        </w:rPr>
        <w:t xml:space="preserve"> 2 vols (</w:t>
      </w:r>
      <w:r>
        <w:rPr>
          <w:rFonts w:ascii="Times New Roman" w:hAnsi="Times New Roman" w:cs="Times New Roman"/>
          <w:bCs/>
          <w:sz w:val="24"/>
          <w:szCs w:val="24"/>
        </w:rPr>
        <w:t>London: Dicks, 1851</w:t>
      </w:r>
      <w:r>
        <w:rPr>
          <w:rFonts w:ascii="Times New Roman" w:hAnsi="Times New Roman" w:cs="Times New Roman"/>
          <w:color w:val="000000"/>
          <w:sz w:val="24"/>
          <w:szCs w:val="24"/>
        </w:rPr>
        <w:t>–</w:t>
      </w:r>
      <w:r>
        <w:rPr>
          <w:rFonts w:ascii="Times New Roman" w:hAnsi="Times New Roman" w:cs="Times New Roman"/>
          <w:bCs/>
          <w:sz w:val="24"/>
          <w:szCs w:val="24"/>
        </w:rPr>
        <w:t>1853)</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bCs/>
          <w:i/>
          <w:iCs/>
          <w:sz w:val="24"/>
          <w:szCs w:val="24"/>
        </w:rPr>
        <w:t xml:space="preserve">The </w:t>
      </w:r>
      <w:r>
        <w:rPr>
          <w:rFonts w:ascii="Times New Roman" w:hAnsi="Times New Roman" w:cs="Times New Roman"/>
          <w:i/>
          <w:iCs/>
          <w:sz w:val="24"/>
          <w:szCs w:val="24"/>
        </w:rPr>
        <w:t>M</w:t>
      </w:r>
      <w:r>
        <w:rPr>
          <w:rFonts w:ascii="Times New Roman" w:hAnsi="Times New Roman" w:cs="Times New Roman"/>
          <w:i/>
          <w:sz w:val="24"/>
          <w:szCs w:val="24"/>
        </w:rPr>
        <w:t>ysteries of London</w:t>
      </w:r>
      <w:r>
        <w:rPr>
          <w:rFonts w:ascii="Times New Roman" w:hAnsi="Times New Roman" w:cs="Times New Roman"/>
          <w:sz w:val="24"/>
          <w:szCs w:val="24"/>
        </w:rPr>
        <w:t>, Volume I (London: Vickers, 1845)</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bCs/>
          <w:i/>
          <w:iCs/>
          <w:sz w:val="24"/>
          <w:szCs w:val="24"/>
        </w:rPr>
        <w:t xml:space="preserve">The </w:t>
      </w:r>
      <w:r>
        <w:rPr>
          <w:rFonts w:ascii="Times New Roman" w:hAnsi="Times New Roman" w:cs="Times New Roman"/>
          <w:i/>
          <w:iCs/>
          <w:sz w:val="24"/>
          <w:szCs w:val="24"/>
        </w:rPr>
        <w:t>M</w:t>
      </w:r>
      <w:r>
        <w:rPr>
          <w:rFonts w:ascii="Times New Roman" w:hAnsi="Times New Roman" w:cs="Times New Roman"/>
          <w:i/>
          <w:sz w:val="24"/>
          <w:szCs w:val="24"/>
        </w:rPr>
        <w:t>ysteries of London</w:t>
      </w:r>
      <w:r>
        <w:rPr>
          <w:rFonts w:ascii="Times New Roman" w:hAnsi="Times New Roman" w:cs="Times New Roman"/>
          <w:sz w:val="24"/>
          <w:szCs w:val="24"/>
        </w:rPr>
        <w:t>, Volume II (London: Vickers, 1846)</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bCs/>
          <w:i/>
          <w:iCs/>
          <w:sz w:val="24"/>
          <w:szCs w:val="24"/>
        </w:rPr>
        <w:t xml:space="preserve">The </w:t>
      </w:r>
      <w:r>
        <w:rPr>
          <w:rFonts w:ascii="Times New Roman" w:hAnsi="Times New Roman" w:cs="Times New Roman"/>
          <w:i/>
          <w:iCs/>
          <w:sz w:val="24"/>
          <w:szCs w:val="24"/>
        </w:rPr>
        <w:t>M</w:t>
      </w:r>
      <w:r>
        <w:rPr>
          <w:rFonts w:ascii="Times New Roman" w:hAnsi="Times New Roman" w:cs="Times New Roman"/>
          <w:i/>
          <w:sz w:val="24"/>
          <w:szCs w:val="24"/>
        </w:rPr>
        <w:t>ysteries of London</w:t>
      </w:r>
      <w:r>
        <w:rPr>
          <w:rFonts w:ascii="Times New Roman" w:hAnsi="Times New Roman" w:cs="Times New Roman"/>
          <w:sz w:val="24"/>
          <w:szCs w:val="24"/>
        </w:rPr>
        <w:t>, Volume III (London: Vickers, 1847)</w:t>
      </w:r>
    </w:p>
    <w:p w:rsidR="00967FD1" w:rsidRPr="00C330E8"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bCs/>
          <w:i/>
          <w:iCs/>
          <w:sz w:val="24"/>
          <w:szCs w:val="24"/>
        </w:rPr>
        <w:t xml:space="preserve">The </w:t>
      </w:r>
      <w:r w:rsidRPr="00C330E8">
        <w:rPr>
          <w:rFonts w:ascii="Times New Roman" w:hAnsi="Times New Roman" w:cs="Times New Roman"/>
          <w:i/>
          <w:iCs/>
          <w:sz w:val="24"/>
          <w:szCs w:val="24"/>
        </w:rPr>
        <w:t>M</w:t>
      </w:r>
      <w:r w:rsidRPr="00C330E8">
        <w:rPr>
          <w:rFonts w:ascii="Times New Roman" w:hAnsi="Times New Roman" w:cs="Times New Roman"/>
          <w:i/>
          <w:sz w:val="24"/>
          <w:szCs w:val="24"/>
        </w:rPr>
        <w:t>ysteries of London</w:t>
      </w:r>
      <w:r w:rsidRPr="00C330E8">
        <w:rPr>
          <w:rFonts w:ascii="Times New Roman" w:hAnsi="Times New Roman" w:cs="Times New Roman"/>
          <w:sz w:val="24"/>
          <w:szCs w:val="24"/>
        </w:rPr>
        <w:t>, Volume IV (London: Vickers, 1848)</w:t>
      </w:r>
    </w:p>
    <w:p w:rsidR="00967FD1" w:rsidRPr="00C330E8" w:rsidRDefault="00967FD1" w:rsidP="00967FD1">
      <w:pPr>
        <w:spacing w:after="120" w:line="360" w:lineRule="auto"/>
        <w:rPr>
          <w:rFonts w:ascii="Times New Roman" w:hAnsi="Times New Roman" w:cs="Times New Roman"/>
          <w:sz w:val="24"/>
          <w:szCs w:val="24"/>
        </w:rPr>
      </w:pPr>
      <w:r w:rsidRPr="00C330E8">
        <w:rPr>
          <w:rFonts w:ascii="Times New Roman" w:hAnsi="Times New Roman" w:cs="Times New Roman"/>
          <w:sz w:val="24"/>
          <w:szCs w:val="24"/>
          <w:vertAlign w:val="superscript"/>
        </w:rPr>
        <w:t>______________</w:t>
      </w:r>
      <w:r w:rsidRPr="00C330E8">
        <w:rPr>
          <w:rFonts w:ascii="Times New Roman" w:hAnsi="Times New Roman" w:cs="Times New Roman"/>
          <w:sz w:val="24"/>
          <w:szCs w:val="24"/>
        </w:rPr>
        <w:t>,</w:t>
      </w:r>
      <w:r w:rsidRPr="00C330E8">
        <w:rPr>
          <w:rFonts w:ascii="Times New Roman" w:hAnsi="Times New Roman" w:cs="Times New Roman"/>
          <w:sz w:val="24"/>
          <w:szCs w:val="24"/>
          <w:vertAlign w:val="superscript"/>
        </w:rPr>
        <w:tab/>
      </w:r>
      <w:r w:rsidRPr="00C330E8">
        <w:rPr>
          <w:rFonts w:ascii="Times New Roman" w:hAnsi="Times New Roman" w:cs="Times New Roman"/>
          <w:bCs/>
          <w:i/>
          <w:iCs/>
          <w:sz w:val="24"/>
          <w:szCs w:val="24"/>
        </w:rPr>
        <w:t xml:space="preserve">The </w:t>
      </w:r>
      <w:r w:rsidRPr="00C330E8">
        <w:rPr>
          <w:rFonts w:ascii="Times New Roman" w:hAnsi="Times New Roman" w:cs="Times New Roman"/>
          <w:i/>
          <w:iCs/>
          <w:sz w:val="24"/>
          <w:szCs w:val="24"/>
        </w:rPr>
        <w:t>M</w:t>
      </w:r>
      <w:r w:rsidRPr="00C330E8">
        <w:rPr>
          <w:rFonts w:ascii="Times New Roman" w:hAnsi="Times New Roman" w:cs="Times New Roman"/>
          <w:i/>
          <w:sz w:val="24"/>
          <w:szCs w:val="24"/>
        </w:rPr>
        <w:t>ysteries of the Court of London</w:t>
      </w:r>
      <w:r w:rsidRPr="00C330E8">
        <w:rPr>
          <w:rFonts w:ascii="Times New Roman" w:hAnsi="Times New Roman" w:cs="Times New Roman"/>
          <w:sz w:val="24"/>
          <w:szCs w:val="24"/>
        </w:rPr>
        <w:t>, Volume I (London: Dicks, 1859)</w:t>
      </w:r>
    </w:p>
    <w:p w:rsidR="00967FD1" w:rsidRPr="00C330E8" w:rsidRDefault="00967FD1" w:rsidP="00967FD1">
      <w:pPr>
        <w:spacing w:after="120" w:line="360" w:lineRule="auto"/>
        <w:rPr>
          <w:rFonts w:ascii="Times New Roman" w:hAnsi="Times New Roman" w:cs="Times New Roman"/>
          <w:sz w:val="24"/>
          <w:szCs w:val="24"/>
        </w:rPr>
      </w:pPr>
      <w:r w:rsidRPr="00C330E8">
        <w:rPr>
          <w:rFonts w:ascii="Times New Roman" w:hAnsi="Times New Roman" w:cs="Times New Roman"/>
          <w:sz w:val="24"/>
          <w:szCs w:val="24"/>
          <w:vertAlign w:val="superscript"/>
        </w:rPr>
        <w:t>______________</w:t>
      </w:r>
      <w:r w:rsidRPr="00C330E8">
        <w:rPr>
          <w:rFonts w:ascii="Times New Roman" w:hAnsi="Times New Roman" w:cs="Times New Roman"/>
          <w:sz w:val="24"/>
          <w:szCs w:val="24"/>
        </w:rPr>
        <w:t>,</w:t>
      </w:r>
      <w:r w:rsidRPr="00C330E8">
        <w:rPr>
          <w:rFonts w:ascii="Times New Roman" w:hAnsi="Times New Roman" w:cs="Times New Roman"/>
          <w:sz w:val="24"/>
          <w:szCs w:val="24"/>
          <w:vertAlign w:val="superscript"/>
        </w:rPr>
        <w:tab/>
      </w:r>
      <w:r w:rsidRPr="00C330E8">
        <w:rPr>
          <w:rFonts w:ascii="Times New Roman" w:hAnsi="Times New Roman" w:cs="Times New Roman"/>
          <w:bCs/>
          <w:i/>
          <w:iCs/>
          <w:sz w:val="24"/>
          <w:szCs w:val="24"/>
        </w:rPr>
        <w:t xml:space="preserve">The </w:t>
      </w:r>
      <w:r w:rsidRPr="00C330E8">
        <w:rPr>
          <w:rFonts w:ascii="Times New Roman" w:hAnsi="Times New Roman" w:cs="Times New Roman"/>
          <w:i/>
          <w:iCs/>
          <w:sz w:val="24"/>
          <w:szCs w:val="24"/>
        </w:rPr>
        <w:t>M</w:t>
      </w:r>
      <w:r w:rsidRPr="00C330E8">
        <w:rPr>
          <w:rFonts w:ascii="Times New Roman" w:hAnsi="Times New Roman" w:cs="Times New Roman"/>
          <w:i/>
          <w:sz w:val="24"/>
          <w:szCs w:val="24"/>
        </w:rPr>
        <w:t>ysteries of the Court of London</w:t>
      </w:r>
      <w:r w:rsidRPr="00C330E8">
        <w:rPr>
          <w:rFonts w:ascii="Times New Roman" w:hAnsi="Times New Roman" w:cs="Times New Roman"/>
          <w:sz w:val="24"/>
          <w:szCs w:val="24"/>
        </w:rPr>
        <w:t>, Volume II (London: Dicks, 1864)</w:t>
      </w:r>
    </w:p>
    <w:p w:rsidR="00967FD1" w:rsidRPr="00C330E8" w:rsidRDefault="00967FD1" w:rsidP="00967FD1">
      <w:pPr>
        <w:spacing w:after="120" w:line="360" w:lineRule="auto"/>
        <w:rPr>
          <w:rFonts w:ascii="Times New Roman" w:hAnsi="Times New Roman" w:cs="Times New Roman"/>
          <w:sz w:val="24"/>
          <w:szCs w:val="24"/>
        </w:rPr>
      </w:pPr>
      <w:r w:rsidRPr="00C330E8">
        <w:rPr>
          <w:rFonts w:ascii="Times New Roman" w:hAnsi="Times New Roman" w:cs="Times New Roman"/>
          <w:sz w:val="24"/>
          <w:szCs w:val="24"/>
          <w:vertAlign w:val="superscript"/>
        </w:rPr>
        <w:t>______________</w:t>
      </w:r>
      <w:r w:rsidRPr="00C330E8">
        <w:rPr>
          <w:rFonts w:ascii="Times New Roman" w:hAnsi="Times New Roman" w:cs="Times New Roman"/>
          <w:sz w:val="24"/>
          <w:szCs w:val="24"/>
        </w:rPr>
        <w:t>,</w:t>
      </w:r>
      <w:r w:rsidRPr="00C330E8">
        <w:rPr>
          <w:rFonts w:ascii="Times New Roman" w:hAnsi="Times New Roman" w:cs="Times New Roman"/>
          <w:sz w:val="24"/>
          <w:szCs w:val="24"/>
          <w:vertAlign w:val="superscript"/>
        </w:rPr>
        <w:tab/>
      </w:r>
      <w:r w:rsidRPr="00C330E8">
        <w:rPr>
          <w:rFonts w:ascii="Times New Roman" w:hAnsi="Times New Roman" w:cs="Times New Roman"/>
          <w:bCs/>
          <w:i/>
          <w:iCs/>
          <w:sz w:val="24"/>
          <w:szCs w:val="24"/>
        </w:rPr>
        <w:t xml:space="preserve">The </w:t>
      </w:r>
      <w:r w:rsidRPr="00C330E8">
        <w:rPr>
          <w:rFonts w:ascii="Times New Roman" w:hAnsi="Times New Roman" w:cs="Times New Roman"/>
          <w:i/>
          <w:iCs/>
          <w:sz w:val="24"/>
          <w:szCs w:val="24"/>
        </w:rPr>
        <w:t>M</w:t>
      </w:r>
      <w:r w:rsidRPr="00C330E8">
        <w:rPr>
          <w:rFonts w:ascii="Times New Roman" w:hAnsi="Times New Roman" w:cs="Times New Roman"/>
          <w:i/>
          <w:sz w:val="24"/>
          <w:szCs w:val="24"/>
        </w:rPr>
        <w:t>ysteries of the Court of London</w:t>
      </w:r>
      <w:r w:rsidRPr="00C330E8">
        <w:rPr>
          <w:rFonts w:ascii="Times New Roman" w:hAnsi="Times New Roman" w:cs="Times New Roman"/>
          <w:sz w:val="24"/>
          <w:szCs w:val="24"/>
        </w:rPr>
        <w:t>, Volume III (London: Dicks, 1863)</w:t>
      </w:r>
    </w:p>
    <w:p w:rsidR="00967FD1" w:rsidRDefault="00967FD1" w:rsidP="00967FD1">
      <w:pPr>
        <w:spacing w:after="120" w:line="360" w:lineRule="auto"/>
        <w:rPr>
          <w:rFonts w:ascii="Times New Roman" w:hAnsi="Times New Roman" w:cs="Times New Roman"/>
          <w:sz w:val="24"/>
          <w:szCs w:val="24"/>
        </w:rPr>
      </w:pPr>
      <w:r w:rsidRPr="00C330E8">
        <w:rPr>
          <w:rFonts w:ascii="Times New Roman" w:hAnsi="Times New Roman" w:cs="Times New Roman"/>
          <w:sz w:val="24"/>
          <w:szCs w:val="24"/>
          <w:vertAlign w:val="superscript"/>
        </w:rPr>
        <w:t>______________</w:t>
      </w:r>
      <w:r w:rsidRPr="00C330E8">
        <w:rPr>
          <w:rFonts w:ascii="Times New Roman" w:hAnsi="Times New Roman" w:cs="Times New Roman"/>
          <w:sz w:val="24"/>
          <w:szCs w:val="24"/>
        </w:rPr>
        <w:t>,</w:t>
      </w:r>
      <w:r w:rsidRPr="00C330E8">
        <w:rPr>
          <w:rFonts w:ascii="Times New Roman" w:hAnsi="Times New Roman" w:cs="Times New Roman"/>
          <w:sz w:val="24"/>
          <w:szCs w:val="24"/>
          <w:vertAlign w:val="superscript"/>
        </w:rPr>
        <w:tab/>
      </w:r>
      <w:r w:rsidRPr="00C330E8">
        <w:rPr>
          <w:rFonts w:ascii="Times New Roman" w:hAnsi="Times New Roman" w:cs="Times New Roman"/>
          <w:bCs/>
          <w:i/>
          <w:iCs/>
          <w:sz w:val="24"/>
          <w:szCs w:val="24"/>
        </w:rPr>
        <w:t xml:space="preserve">The </w:t>
      </w:r>
      <w:r w:rsidRPr="00C330E8">
        <w:rPr>
          <w:rFonts w:ascii="Times New Roman" w:hAnsi="Times New Roman" w:cs="Times New Roman"/>
          <w:i/>
          <w:iCs/>
          <w:sz w:val="24"/>
          <w:szCs w:val="24"/>
        </w:rPr>
        <w:t>M</w:t>
      </w:r>
      <w:r w:rsidRPr="00C330E8">
        <w:rPr>
          <w:rFonts w:ascii="Times New Roman" w:hAnsi="Times New Roman" w:cs="Times New Roman"/>
          <w:i/>
          <w:sz w:val="24"/>
          <w:szCs w:val="24"/>
        </w:rPr>
        <w:t>ysteries of the Court of London</w:t>
      </w:r>
      <w:r w:rsidRPr="00C330E8">
        <w:rPr>
          <w:rFonts w:ascii="Times New Roman" w:hAnsi="Times New Roman" w:cs="Times New Roman"/>
          <w:sz w:val="24"/>
          <w:szCs w:val="24"/>
        </w:rPr>
        <w:t>, Volume IV (London: Dicks, 1852)</w:t>
      </w:r>
    </w:p>
    <w:p w:rsidR="00967FD1" w:rsidRDefault="00967FD1" w:rsidP="00967FD1">
      <w:pPr>
        <w:spacing w:after="120" w:line="360" w:lineRule="auto"/>
        <w:ind w:left="1440" w:hanging="1440"/>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sz w:val="24"/>
          <w:szCs w:val="24"/>
        </w:rPr>
        <w:t xml:space="preserve">‘Our Hereditary Peerage Considered as a National Institution’, </w:t>
      </w:r>
      <w:r>
        <w:rPr>
          <w:rFonts w:ascii="Times New Roman" w:hAnsi="Times New Roman" w:cs="Times New Roman"/>
          <w:i/>
          <w:iCs/>
          <w:sz w:val="24"/>
          <w:szCs w:val="24"/>
        </w:rPr>
        <w:t>Reynolds’s Newspaper</w:t>
      </w:r>
      <w:r>
        <w:rPr>
          <w:rFonts w:ascii="Times New Roman" w:hAnsi="Times New Roman" w:cs="Times New Roman"/>
          <w:sz w:val="24"/>
          <w:szCs w:val="24"/>
        </w:rPr>
        <w:t>, 9 March 1851, p. 1</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‘The Peerage and its Privileges’, </w:t>
      </w:r>
      <w:r>
        <w:rPr>
          <w:rFonts w:ascii="Times New Roman" w:hAnsi="Times New Roman"/>
          <w:i/>
          <w:iCs/>
          <w:sz w:val="24"/>
          <w:szCs w:val="24"/>
        </w:rPr>
        <w:t>Reynolds’s Newspaper</w:t>
      </w:r>
      <w:r>
        <w:rPr>
          <w:rFonts w:ascii="Times New Roman" w:hAnsi="Times New Roman"/>
          <w:sz w:val="24"/>
          <w:szCs w:val="24"/>
        </w:rPr>
        <w:t>, 27 April 1851, p. 1</w:t>
      </w:r>
    </w:p>
    <w:p w:rsidR="00967FD1" w:rsidRDefault="00967FD1" w:rsidP="00967FD1">
      <w:pPr>
        <w:spacing w:after="120" w:line="360" w:lineRule="auto"/>
        <w:ind w:left="1440" w:hanging="1440"/>
        <w:rPr>
          <w:rFonts w:ascii="Times New Roman" w:hAnsi="Times New Roman" w:cs="Times New Roman"/>
          <w:bCs/>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bCs/>
          <w:i/>
          <w:iCs/>
          <w:sz w:val="24"/>
          <w:szCs w:val="24"/>
        </w:rPr>
        <w:t>Pickwick Abroad; or, the Tour in France</w:t>
      </w:r>
      <w:r>
        <w:rPr>
          <w:rFonts w:ascii="Times New Roman" w:hAnsi="Times New Roman" w:cs="Times New Roman"/>
          <w:bCs/>
          <w:sz w:val="24"/>
          <w:szCs w:val="24"/>
        </w:rPr>
        <w:t xml:space="preserve"> (London:, Sherwood, Gilbert and Piper, 1839)</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‘The Policy of the Upper Classes’, </w:t>
      </w:r>
      <w:r>
        <w:rPr>
          <w:rFonts w:ascii="Times New Roman" w:hAnsi="Times New Roman"/>
          <w:i/>
          <w:iCs/>
          <w:sz w:val="24"/>
          <w:szCs w:val="24"/>
        </w:rPr>
        <w:t>Reynolds’s Weekly Newspaper</w:t>
      </w:r>
      <w:r>
        <w:rPr>
          <w:rFonts w:ascii="Times New Roman" w:hAnsi="Times New Roman"/>
          <w:sz w:val="24"/>
          <w:szCs w:val="24"/>
        </w:rPr>
        <w:t>, 30 June 1850, p. 1</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‘The Prospects of the Democratic Cause’, </w:t>
      </w:r>
      <w:r>
        <w:rPr>
          <w:rFonts w:ascii="Times New Roman" w:hAnsi="Times New Roman"/>
          <w:i/>
          <w:iCs/>
          <w:sz w:val="24"/>
          <w:szCs w:val="24"/>
        </w:rPr>
        <w:t>Reynolds’s Weekly Newspaper</w:t>
      </w:r>
      <w:r>
        <w:rPr>
          <w:rFonts w:ascii="Times New Roman" w:hAnsi="Times New Roman"/>
          <w:sz w:val="24"/>
          <w:szCs w:val="24"/>
        </w:rPr>
        <w:t>, 5 May 1850, p. 1</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‘The Revival of a Working-Class Agitation’, </w:t>
      </w:r>
      <w:r>
        <w:rPr>
          <w:rFonts w:ascii="Times New Roman" w:hAnsi="Times New Roman"/>
          <w:i/>
          <w:sz w:val="24"/>
          <w:szCs w:val="24"/>
        </w:rPr>
        <w:t>Reynolds’s Political Instructor</w:t>
      </w:r>
      <w:r>
        <w:rPr>
          <w:rFonts w:ascii="Times New Roman" w:hAnsi="Times New Roman"/>
          <w:sz w:val="24"/>
          <w:szCs w:val="24"/>
        </w:rPr>
        <w:t>, 10 November 1849, pp. 1–2</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lastRenderedPageBreak/>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‘Revolutions: their Causes and their Motives’, </w:t>
      </w:r>
      <w:r>
        <w:rPr>
          <w:rFonts w:ascii="Times New Roman" w:hAnsi="Times New Roman"/>
          <w:i/>
          <w:iCs/>
          <w:sz w:val="24"/>
          <w:szCs w:val="24"/>
        </w:rPr>
        <w:t>Reynolds’s Newspaper</w:t>
      </w:r>
      <w:r>
        <w:rPr>
          <w:rFonts w:ascii="Times New Roman" w:hAnsi="Times New Roman"/>
          <w:sz w:val="24"/>
          <w:szCs w:val="24"/>
        </w:rPr>
        <w:t>, 19 October 1851, p. 1</w:t>
      </w:r>
    </w:p>
    <w:p w:rsidR="00967FD1" w:rsidRDefault="00967FD1" w:rsidP="00967FD1">
      <w:pPr>
        <w:spacing w:after="120" w:line="360" w:lineRule="auto"/>
        <w:rPr>
          <w:rFonts w:ascii="Times New Roman" w:hAnsi="Times New Roman" w:cs="Times New Roman"/>
          <w:bCs/>
          <w:i/>
          <w:iCs/>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bCs/>
          <w:i/>
          <w:iCs/>
          <w:sz w:val="24"/>
          <w:szCs w:val="24"/>
        </w:rPr>
        <w:t>Robert Macaire in England</w:t>
      </w:r>
      <w:r>
        <w:rPr>
          <w:rFonts w:ascii="Times New Roman" w:hAnsi="Times New Roman" w:cs="Times New Roman"/>
          <w:bCs/>
          <w:iCs/>
          <w:sz w:val="24"/>
          <w:szCs w:val="24"/>
        </w:rPr>
        <w:t xml:space="preserve">, </w:t>
      </w:r>
      <w:r>
        <w:rPr>
          <w:rFonts w:ascii="Times New Roman" w:hAnsi="Times New Roman" w:cs="Times New Roman"/>
          <w:iCs/>
          <w:sz w:val="24"/>
          <w:szCs w:val="24"/>
        </w:rPr>
        <w:t>2</w:t>
      </w:r>
      <w:r>
        <w:rPr>
          <w:rFonts w:ascii="Times New Roman" w:hAnsi="Times New Roman" w:cs="Times New Roman"/>
          <w:iCs/>
          <w:sz w:val="24"/>
          <w:szCs w:val="24"/>
          <w:vertAlign w:val="superscript"/>
        </w:rPr>
        <w:t>nd</w:t>
      </w:r>
      <w:r>
        <w:rPr>
          <w:rFonts w:ascii="Times New Roman" w:hAnsi="Times New Roman" w:cs="Times New Roman"/>
          <w:iCs/>
          <w:sz w:val="24"/>
          <w:szCs w:val="24"/>
        </w:rPr>
        <w:t xml:space="preserve"> edn (London: Tegg, 1845)</w:t>
      </w:r>
    </w:p>
    <w:p w:rsidR="00967FD1" w:rsidRDefault="00967FD1" w:rsidP="00967FD1">
      <w:pPr>
        <w:spacing w:after="120" w:line="360" w:lineRule="auto"/>
        <w:rPr>
          <w:rFonts w:ascii="Times New Roman" w:hAnsi="Times New Roman" w:cs="Times New Roman"/>
          <w:bCs/>
          <w:i/>
          <w:iCs/>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bCs/>
          <w:i/>
          <w:iCs/>
          <w:sz w:val="24"/>
          <w:szCs w:val="24"/>
        </w:rPr>
        <w:t>Robert Macaire in England</w:t>
      </w:r>
      <w:r>
        <w:rPr>
          <w:rFonts w:ascii="Times New Roman" w:hAnsi="Times New Roman" w:cs="Times New Roman"/>
          <w:iCs/>
          <w:sz w:val="24"/>
          <w:szCs w:val="24"/>
        </w:rPr>
        <w:t>, 5</w:t>
      </w:r>
      <w:r>
        <w:rPr>
          <w:rFonts w:ascii="Times New Roman" w:hAnsi="Times New Roman" w:cs="Times New Roman"/>
          <w:iCs/>
          <w:sz w:val="24"/>
          <w:szCs w:val="24"/>
          <w:vertAlign w:val="superscript"/>
        </w:rPr>
        <w:t>th</w:t>
      </w:r>
      <w:r>
        <w:rPr>
          <w:rFonts w:ascii="Times New Roman" w:hAnsi="Times New Roman" w:cs="Times New Roman"/>
          <w:iCs/>
          <w:sz w:val="24"/>
          <w:szCs w:val="24"/>
        </w:rPr>
        <w:t xml:space="preserve"> edn (London: Willoughby, </w:t>
      </w:r>
      <w:r w:rsidR="00AC702C">
        <w:rPr>
          <w:rFonts w:ascii="Times New Roman" w:hAnsi="Times New Roman" w:cs="Times New Roman"/>
          <w:iCs/>
          <w:sz w:val="24"/>
          <w:szCs w:val="24"/>
        </w:rPr>
        <w:t>[</w:t>
      </w:r>
      <w:r>
        <w:rPr>
          <w:rFonts w:ascii="Times New Roman" w:hAnsi="Times New Roman" w:cs="Times New Roman"/>
          <w:iCs/>
          <w:sz w:val="24"/>
          <w:szCs w:val="24"/>
        </w:rPr>
        <w:t>n</w:t>
      </w:r>
      <w:r w:rsidR="00AC702C">
        <w:rPr>
          <w:rFonts w:ascii="Times New Roman" w:hAnsi="Times New Roman" w:cs="Times New Roman"/>
          <w:iCs/>
          <w:sz w:val="24"/>
          <w:szCs w:val="24"/>
        </w:rPr>
        <w:t>.</w:t>
      </w:r>
      <w:r>
        <w:rPr>
          <w:rFonts w:ascii="Times New Roman" w:hAnsi="Times New Roman" w:cs="Times New Roman"/>
          <w:iCs/>
          <w:sz w:val="24"/>
          <w:szCs w:val="24"/>
        </w:rPr>
        <w:t>d</w:t>
      </w:r>
      <w:r w:rsidR="00FF0582">
        <w:rPr>
          <w:rFonts w:ascii="Times New Roman" w:hAnsi="Times New Roman" w:cs="Times New Roman"/>
          <w:iCs/>
          <w:sz w:val="24"/>
          <w:szCs w:val="24"/>
        </w:rPr>
        <w:t>.]</w:t>
      </w:r>
      <w:r>
        <w:rPr>
          <w:rFonts w:ascii="Times New Roman" w:hAnsi="Times New Roman" w:cs="Times New Roman"/>
          <w:iCs/>
          <w:sz w:val="24"/>
          <w:szCs w:val="24"/>
        </w:rPr>
        <w:t>)</w:t>
      </w:r>
    </w:p>
    <w:p w:rsidR="00967FD1" w:rsidRDefault="00967FD1" w:rsidP="00967FD1">
      <w:pPr>
        <w:spacing w:after="120" w:line="360" w:lineRule="auto"/>
        <w:rPr>
          <w:rFonts w:ascii="Times New Roman" w:hAnsi="Times New Roman" w:cs="Times New Roman"/>
          <w:bCs/>
          <w:i/>
          <w:iCs/>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bCs/>
          <w:i/>
          <w:iCs/>
          <w:sz w:val="24"/>
          <w:szCs w:val="24"/>
        </w:rPr>
        <w:t xml:space="preserve">Robert Macaire; or, the French Bandit in England </w:t>
      </w:r>
      <w:r>
        <w:rPr>
          <w:rFonts w:ascii="Times New Roman" w:hAnsi="Times New Roman" w:cs="Times New Roman"/>
          <w:iCs/>
          <w:sz w:val="24"/>
          <w:szCs w:val="24"/>
        </w:rPr>
        <w:t>(London: Dicks, 1871)</w:t>
      </w:r>
    </w:p>
    <w:p w:rsidR="00967FD1" w:rsidRDefault="00967FD1" w:rsidP="00967FD1">
      <w:pPr>
        <w:spacing w:after="120" w:line="360" w:lineRule="auto"/>
        <w:rPr>
          <w:rFonts w:ascii="Times New Roman" w:hAnsi="Times New Roman" w:cs="Times New Roman"/>
          <w:bCs/>
          <w:i/>
          <w:iCs/>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i/>
          <w:iCs/>
          <w:sz w:val="24"/>
          <w:szCs w:val="24"/>
        </w:rPr>
        <w:t>The Seamstress; or, the White Slave of England</w:t>
      </w:r>
      <w:r>
        <w:rPr>
          <w:rFonts w:ascii="Times New Roman" w:hAnsi="Times New Roman" w:cs="Times New Roman"/>
          <w:iCs/>
          <w:sz w:val="24"/>
          <w:szCs w:val="24"/>
        </w:rPr>
        <w:t xml:space="preserve"> (London: Dicks, 1853)</w:t>
      </w:r>
    </w:p>
    <w:p w:rsidR="00967FD1" w:rsidRDefault="00967FD1" w:rsidP="00967FD1">
      <w:pPr>
        <w:spacing w:after="120" w:line="360" w:lineRule="auto"/>
        <w:rPr>
          <w:rFonts w:ascii="Times New Roman" w:hAnsi="Times New Roman" w:cs="Times New Roman"/>
          <w:i/>
          <w:iCs/>
          <w:sz w:val="24"/>
          <w:szCs w:val="24"/>
          <w:lang w:val="it-IT"/>
        </w:rPr>
      </w:pPr>
      <w:r>
        <w:rPr>
          <w:rFonts w:ascii="Times New Roman" w:hAnsi="Times New Roman" w:cs="Times New Roman"/>
          <w:sz w:val="24"/>
          <w:szCs w:val="24"/>
          <w:vertAlign w:val="superscript"/>
          <w:lang w:val="it-IT"/>
        </w:rPr>
        <w:t>______________</w:t>
      </w:r>
      <w:r>
        <w:rPr>
          <w:rFonts w:ascii="Times New Roman" w:hAnsi="Times New Roman" w:cs="Times New Roman"/>
          <w:sz w:val="24"/>
          <w:szCs w:val="24"/>
          <w:lang w:val="it-IT"/>
        </w:rPr>
        <w:t>,</w:t>
      </w:r>
      <w:r>
        <w:rPr>
          <w:rFonts w:ascii="Times New Roman" w:hAnsi="Times New Roman" w:cs="Times New Roman"/>
          <w:sz w:val="24"/>
          <w:szCs w:val="24"/>
          <w:vertAlign w:val="superscript"/>
          <w:lang w:val="it-IT"/>
        </w:rPr>
        <w:tab/>
      </w:r>
      <w:r>
        <w:rPr>
          <w:rFonts w:ascii="Times New Roman" w:hAnsi="Times New Roman" w:cs="Times New Roman"/>
          <w:sz w:val="24"/>
          <w:szCs w:val="24"/>
          <w:lang w:val="it-IT"/>
        </w:rPr>
        <w:t xml:space="preserve">A </w:t>
      </w:r>
      <w:r>
        <w:rPr>
          <w:rFonts w:ascii="Times New Roman" w:hAnsi="Times New Roman" w:cs="Times New Roman"/>
          <w:i/>
          <w:iCs/>
          <w:sz w:val="24"/>
          <w:szCs w:val="24"/>
          <w:lang w:val="it-IT"/>
        </w:rPr>
        <w:t>Sequel to Don Juan</w:t>
      </w:r>
      <w:r>
        <w:rPr>
          <w:rFonts w:ascii="Times New Roman" w:hAnsi="Times New Roman" w:cs="Times New Roman"/>
          <w:iCs/>
          <w:sz w:val="24"/>
          <w:szCs w:val="24"/>
          <w:lang w:val="it-IT"/>
        </w:rPr>
        <w:t xml:space="preserve"> (London: Paget, 1843)</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‘Society and Public Opinion’, </w:t>
      </w:r>
      <w:r>
        <w:rPr>
          <w:rFonts w:ascii="Times New Roman" w:hAnsi="Times New Roman"/>
          <w:i/>
          <w:iCs/>
          <w:sz w:val="24"/>
          <w:szCs w:val="24"/>
        </w:rPr>
        <w:t>Reynolds’s Weekly Newspaper</w:t>
      </w:r>
      <w:r>
        <w:rPr>
          <w:rFonts w:ascii="Times New Roman" w:hAnsi="Times New Roman"/>
          <w:sz w:val="24"/>
          <w:szCs w:val="24"/>
        </w:rPr>
        <w:t>, 2 June 1850, p. 1</w:t>
      </w:r>
    </w:p>
    <w:p w:rsidR="00967FD1" w:rsidRDefault="00967FD1" w:rsidP="00967FD1">
      <w:pPr>
        <w:spacing w:after="120" w:line="360" w:lineRule="auto"/>
        <w:rPr>
          <w:rFonts w:ascii="Times New Roman" w:hAnsi="Times New Roman" w:cs="Times New Roman"/>
          <w:i/>
          <w:iCs/>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i/>
          <w:iCs/>
          <w:sz w:val="24"/>
          <w:szCs w:val="24"/>
        </w:rPr>
        <w:t>The Soldier’s Wife</w:t>
      </w:r>
      <w:r>
        <w:rPr>
          <w:rFonts w:ascii="Times New Roman" w:hAnsi="Times New Roman" w:cs="Times New Roman"/>
          <w:iCs/>
          <w:sz w:val="24"/>
          <w:szCs w:val="24"/>
        </w:rPr>
        <w:t xml:space="preserve"> (London: Dicks, 1853)</w:t>
      </w:r>
    </w:p>
    <w:p w:rsidR="00967FD1" w:rsidRDefault="00967FD1" w:rsidP="00967FD1">
      <w:pPr>
        <w:spacing w:after="120" w:line="360" w:lineRule="auto"/>
        <w:ind w:left="1440" w:hanging="1440"/>
        <w:rPr>
          <w:rFonts w:ascii="Times New Roman" w:hAnsi="Times New Roman" w:cs="Times New Roman"/>
          <w:bCs/>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bCs/>
          <w:i/>
          <w:iCs/>
          <w:sz w:val="24"/>
          <w:szCs w:val="24"/>
        </w:rPr>
        <w:t>The Steam Packet: A Tale of the River and the Ocean</w:t>
      </w:r>
      <w:r>
        <w:rPr>
          <w:rFonts w:ascii="Times New Roman" w:hAnsi="Times New Roman" w:cs="Times New Roman"/>
          <w:bCs/>
          <w:sz w:val="24"/>
          <w:szCs w:val="24"/>
        </w:rPr>
        <w:t xml:space="preserve"> (London: Willoughby, [n.d.])</w:t>
      </w:r>
    </w:p>
    <w:p w:rsidR="00967FD1" w:rsidRDefault="00967FD1" w:rsidP="00967FD1">
      <w:pPr>
        <w:pStyle w:val="FootnoteText"/>
        <w:spacing w:after="120" w:line="360" w:lineRule="auto"/>
        <w:ind w:left="1440" w:hanging="144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‘To the Electors of the Borough of Finsbury’, </w:t>
      </w:r>
      <w:r>
        <w:rPr>
          <w:rFonts w:ascii="Times New Roman" w:hAnsi="Times New Roman"/>
          <w:i/>
          <w:iCs/>
          <w:sz w:val="24"/>
          <w:szCs w:val="24"/>
        </w:rPr>
        <w:t>Reynolds’s Weekly Newspaper</w:t>
      </w:r>
      <w:r>
        <w:rPr>
          <w:rFonts w:ascii="Times New Roman" w:hAnsi="Times New Roman"/>
          <w:sz w:val="24"/>
          <w:szCs w:val="24"/>
        </w:rPr>
        <w:t>, 26 May 1850, p. 1</w:t>
      </w:r>
    </w:p>
    <w:p w:rsidR="00967FD1" w:rsidRDefault="00967FD1" w:rsidP="00967FD1">
      <w:pPr>
        <w:spacing w:after="120" w:line="360" w:lineRule="auto"/>
        <w:ind w:left="1380" w:hanging="1380"/>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sz w:val="24"/>
          <w:szCs w:val="24"/>
        </w:rPr>
        <w:t xml:space="preserve">‘The Triumphs of Teetotalism’, </w:t>
      </w:r>
      <w:r>
        <w:rPr>
          <w:rFonts w:ascii="Times New Roman" w:hAnsi="Times New Roman" w:cs="Times New Roman"/>
          <w:i/>
          <w:sz w:val="24"/>
          <w:szCs w:val="24"/>
        </w:rPr>
        <w:t>Teetotaler,</w:t>
      </w:r>
      <w:r>
        <w:rPr>
          <w:rFonts w:ascii="Times New Roman" w:hAnsi="Times New Roman" w:cs="Times New Roman"/>
          <w:sz w:val="24"/>
          <w:szCs w:val="24"/>
        </w:rPr>
        <w:t xml:space="preserve"> 1 August 1840, p. 44</w:t>
      </w:r>
    </w:p>
    <w:p w:rsidR="00967FD1" w:rsidRDefault="00967FD1" w:rsidP="00967FD1">
      <w:pPr>
        <w:pStyle w:val="FootnoteText"/>
        <w:spacing w:after="120" w:line="360" w:lineRule="auto"/>
        <w:ind w:left="1380" w:hanging="138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w:t>
      </w:r>
      <w:r>
        <w:rPr>
          <w:rFonts w:ascii="Times New Roman" w:hAnsi="Times New Roman"/>
          <w:i/>
          <w:sz w:val="24"/>
          <w:szCs w:val="24"/>
        </w:rPr>
        <w:t>A Warning to the Needlewomen and Slopworkers</w:t>
      </w:r>
      <w:r>
        <w:rPr>
          <w:rFonts w:ascii="Times New Roman" w:hAnsi="Times New Roman"/>
          <w:sz w:val="24"/>
          <w:szCs w:val="24"/>
        </w:rPr>
        <w:t xml:space="preserve">’, </w:t>
      </w:r>
      <w:r>
        <w:rPr>
          <w:rFonts w:ascii="Times New Roman" w:hAnsi="Times New Roman"/>
          <w:i/>
          <w:sz w:val="24"/>
          <w:szCs w:val="24"/>
        </w:rPr>
        <w:t>Reynolds’s Political Instructor</w:t>
      </w:r>
      <w:r>
        <w:rPr>
          <w:rFonts w:ascii="Times New Roman" w:hAnsi="Times New Roman"/>
          <w:sz w:val="24"/>
          <w:szCs w:val="24"/>
        </w:rPr>
        <w:t>, 5 January 1850, pp. 66–67</w:t>
      </w:r>
    </w:p>
    <w:p w:rsidR="00967FD1" w:rsidRDefault="00967FD1" w:rsidP="00967FD1">
      <w:pPr>
        <w:pStyle w:val="FootnoteText"/>
        <w:spacing w:after="120" w:line="360" w:lineRule="auto"/>
        <w:ind w:left="1380" w:hanging="1380"/>
        <w:rPr>
          <w:rFonts w:ascii="Times New Roman" w:hAnsi="Times New Roman"/>
          <w:sz w:val="24"/>
          <w:szCs w:val="24"/>
        </w:rPr>
      </w:pPr>
      <w:r>
        <w:rPr>
          <w:rFonts w:ascii="Times New Roman" w:hAnsi="Times New Roman"/>
          <w:sz w:val="24"/>
          <w:szCs w:val="24"/>
          <w:vertAlign w:val="superscript"/>
        </w:rPr>
        <w:t>______________</w:t>
      </w:r>
      <w:r>
        <w:rPr>
          <w:rFonts w:ascii="Times New Roman" w:hAnsi="Times New Roman"/>
          <w:sz w:val="24"/>
          <w:szCs w:val="24"/>
        </w:rPr>
        <w:t>,</w:t>
      </w:r>
      <w:r>
        <w:rPr>
          <w:rFonts w:ascii="Times New Roman" w:hAnsi="Times New Roman"/>
          <w:sz w:val="24"/>
          <w:szCs w:val="24"/>
          <w:vertAlign w:val="superscript"/>
        </w:rPr>
        <w:tab/>
      </w:r>
      <w:r>
        <w:rPr>
          <w:rFonts w:ascii="Times New Roman" w:hAnsi="Times New Roman"/>
          <w:sz w:val="24"/>
          <w:szCs w:val="24"/>
        </w:rPr>
        <w:t xml:space="preserve">‘What are we to expect from the Whigs?’, </w:t>
      </w:r>
      <w:r>
        <w:rPr>
          <w:rFonts w:ascii="Times New Roman" w:hAnsi="Times New Roman"/>
          <w:i/>
          <w:iCs/>
          <w:sz w:val="24"/>
          <w:szCs w:val="24"/>
        </w:rPr>
        <w:t>Reynolds’s Newspaper</w:t>
      </w:r>
      <w:r>
        <w:rPr>
          <w:rFonts w:ascii="Times New Roman" w:hAnsi="Times New Roman"/>
          <w:sz w:val="24"/>
          <w:szCs w:val="24"/>
        </w:rPr>
        <w:t>, 4 January 1852, p. 1</w:t>
      </w:r>
    </w:p>
    <w:p w:rsidR="00967FD1" w:rsidRDefault="00967FD1" w:rsidP="00967FD1">
      <w:pPr>
        <w:spacing w:after="120" w:line="360" w:lineRule="auto"/>
        <w:ind w:left="1380" w:hanging="1380"/>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sz w:val="24"/>
          <w:szCs w:val="24"/>
        </w:rPr>
        <w:t xml:space="preserve">‘What Ireland Is, and What She Might Be’, </w:t>
      </w:r>
      <w:r>
        <w:rPr>
          <w:rFonts w:ascii="Times New Roman" w:hAnsi="Times New Roman" w:cs="Times New Roman"/>
          <w:i/>
          <w:sz w:val="24"/>
          <w:szCs w:val="24"/>
        </w:rPr>
        <w:t xml:space="preserve">Reynolds’s </w:t>
      </w:r>
      <w:r>
        <w:rPr>
          <w:rFonts w:ascii="Times New Roman" w:hAnsi="Times New Roman" w:cs="Times New Roman"/>
          <w:i/>
          <w:iCs/>
          <w:sz w:val="24"/>
          <w:szCs w:val="24"/>
        </w:rPr>
        <w:t xml:space="preserve">Weekly </w:t>
      </w:r>
      <w:r>
        <w:rPr>
          <w:rFonts w:ascii="Times New Roman" w:hAnsi="Times New Roman" w:cs="Times New Roman"/>
          <w:i/>
          <w:sz w:val="24"/>
          <w:szCs w:val="24"/>
        </w:rPr>
        <w:t>Newspaper</w:t>
      </w:r>
      <w:r>
        <w:rPr>
          <w:rFonts w:ascii="Times New Roman" w:hAnsi="Times New Roman" w:cs="Times New Roman"/>
          <w:sz w:val="24"/>
          <w:szCs w:val="24"/>
        </w:rPr>
        <w:t>, 23 February 1851, p. 8</w:t>
      </w:r>
    </w:p>
    <w:p w:rsidR="00967FD1" w:rsidRDefault="00967FD1" w:rsidP="00967FD1">
      <w:pPr>
        <w:spacing w:after="120" w:line="360" w:lineRule="auto"/>
        <w:ind w:left="1380" w:hanging="1380"/>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sz w:val="24"/>
          <w:szCs w:val="24"/>
        </w:rPr>
        <w:t xml:space="preserve">‘Why England has not but ought to have a Constitution’, </w:t>
      </w:r>
      <w:r>
        <w:rPr>
          <w:rFonts w:ascii="Times New Roman" w:hAnsi="Times New Roman" w:cs="Times New Roman"/>
          <w:i/>
          <w:iCs/>
          <w:sz w:val="24"/>
          <w:szCs w:val="24"/>
        </w:rPr>
        <w:t>Reynolds’s Newspaper</w:t>
      </w:r>
      <w:r>
        <w:rPr>
          <w:rFonts w:ascii="Times New Roman" w:hAnsi="Times New Roman" w:cs="Times New Roman"/>
          <w:sz w:val="24"/>
          <w:szCs w:val="24"/>
        </w:rPr>
        <w:t>, 28 March 1852, p. 1</w:t>
      </w:r>
    </w:p>
    <w:p w:rsidR="00967FD1" w:rsidRDefault="00967FD1" w:rsidP="00967FD1">
      <w:pPr>
        <w:spacing w:after="120" w:line="360" w:lineRule="auto"/>
        <w:ind w:left="1380" w:hanging="1380"/>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rPr>
        <w:tab/>
        <w:t xml:space="preserve">‘A Word on Behalf of Private Soldiers’, </w:t>
      </w:r>
      <w:r>
        <w:rPr>
          <w:rFonts w:ascii="Times New Roman" w:hAnsi="Times New Roman" w:cs="Times New Roman"/>
          <w:i/>
          <w:sz w:val="24"/>
          <w:szCs w:val="24"/>
        </w:rPr>
        <w:t>Reynolds’s Newspaper</w:t>
      </w:r>
      <w:r>
        <w:rPr>
          <w:rFonts w:ascii="Times New Roman" w:hAnsi="Times New Roman" w:cs="Times New Roman"/>
          <w:sz w:val="24"/>
          <w:szCs w:val="24"/>
        </w:rPr>
        <w:t>, 11 May 1851, p. 8</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Reynolds, Susannah Frances, ‘The Working Man’,</w:t>
      </w:r>
      <w:r>
        <w:rPr>
          <w:rFonts w:ascii="Times New Roman" w:hAnsi="Times New Roman" w:cs="Times New Roman"/>
          <w:i/>
          <w:sz w:val="24"/>
          <w:szCs w:val="24"/>
        </w:rPr>
        <w:t xml:space="preserve"> Teetotaler,</w:t>
      </w:r>
      <w:r>
        <w:rPr>
          <w:rFonts w:ascii="Times New Roman" w:hAnsi="Times New Roman" w:cs="Times New Roman"/>
          <w:sz w:val="24"/>
          <w:szCs w:val="24"/>
        </w:rPr>
        <w:t xml:space="preserve"> 24 April 1841, p. 4</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Ross, John Wilson, ‘The Influence of Cheap Literature’, </w:t>
      </w:r>
      <w:r>
        <w:rPr>
          <w:rFonts w:ascii="Times New Roman" w:hAnsi="Times New Roman" w:cs="Times New Roman"/>
          <w:i/>
          <w:iCs/>
          <w:sz w:val="24"/>
          <w:szCs w:val="24"/>
        </w:rPr>
        <w:t>London Journal</w:t>
      </w:r>
      <w:r>
        <w:rPr>
          <w:rFonts w:ascii="Times New Roman" w:hAnsi="Times New Roman" w:cs="Times New Roman"/>
          <w:sz w:val="24"/>
          <w:szCs w:val="24"/>
        </w:rPr>
        <w:t>, 19 April 1845, p. 115</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Sargant, William Lucas, </w:t>
      </w:r>
      <w:r>
        <w:rPr>
          <w:rFonts w:ascii="Times New Roman" w:hAnsi="Times New Roman" w:cs="Times New Roman"/>
          <w:i/>
          <w:sz w:val="24"/>
          <w:szCs w:val="24"/>
        </w:rPr>
        <w:t>Economy of the Labouring Classes</w:t>
      </w:r>
      <w:r>
        <w:rPr>
          <w:rFonts w:ascii="Times New Roman" w:hAnsi="Times New Roman" w:cs="Times New Roman"/>
          <w:sz w:val="24"/>
          <w:szCs w:val="24"/>
        </w:rPr>
        <w:t xml:space="preserve"> (London: Simpkin, Marshall, 1857; repr. London: Kelley, 1968)</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Somerville, Alexander, </w:t>
      </w:r>
      <w:r>
        <w:rPr>
          <w:rFonts w:ascii="Times New Roman" w:hAnsi="Times New Roman" w:cs="Times New Roman"/>
          <w:i/>
          <w:iCs/>
          <w:sz w:val="24"/>
          <w:szCs w:val="24"/>
        </w:rPr>
        <w:t>The Autobiography of a Working Man</w:t>
      </w:r>
      <w:r>
        <w:rPr>
          <w:rFonts w:ascii="Times New Roman" w:hAnsi="Times New Roman" w:cs="Times New Roman"/>
          <w:sz w:val="24"/>
          <w:szCs w:val="24"/>
        </w:rPr>
        <w:t>, ed. by John Carswell (London: Turnstile Press, 1951)</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lang w:val="en"/>
        </w:rPr>
        <w:t>Stephens, Joseph Rayner, ‘</w:t>
      </w:r>
      <w:r>
        <w:rPr>
          <w:rFonts w:ascii="Times New Roman" w:hAnsi="Times New Roman" w:cs="Times New Roman"/>
          <w:sz w:val="24"/>
          <w:szCs w:val="24"/>
        </w:rPr>
        <w:t>The Political Pulpit, Numbers 1</w:t>
      </w:r>
      <w:r>
        <w:rPr>
          <w:rFonts w:ascii="Times New Roman" w:hAnsi="Times New Roman" w:cs="Times New Roman"/>
          <w:color w:val="000000"/>
          <w:sz w:val="24"/>
          <w:szCs w:val="24"/>
        </w:rPr>
        <w:t>–</w:t>
      </w:r>
      <w:r>
        <w:rPr>
          <w:rFonts w:ascii="Times New Roman" w:hAnsi="Times New Roman" w:cs="Times New Roman"/>
          <w:sz w:val="24"/>
          <w:szCs w:val="24"/>
        </w:rPr>
        <w:t xml:space="preserve">13 (1839)’, in </w:t>
      </w:r>
      <w:r>
        <w:rPr>
          <w:rFonts w:ascii="Times New Roman" w:hAnsi="Times New Roman" w:cs="Times New Roman"/>
          <w:i/>
          <w:iCs/>
          <w:sz w:val="24"/>
          <w:szCs w:val="24"/>
        </w:rPr>
        <w:t>The Chartist Movement in Britain 1838</w:t>
      </w:r>
      <w:r>
        <w:rPr>
          <w:rFonts w:ascii="Times New Roman" w:hAnsi="Times New Roman" w:cs="Times New Roman"/>
          <w:color w:val="000000"/>
          <w:sz w:val="24"/>
          <w:szCs w:val="24"/>
        </w:rPr>
        <w:t>–</w:t>
      </w:r>
      <w:r>
        <w:rPr>
          <w:rFonts w:ascii="Times New Roman" w:hAnsi="Times New Roman" w:cs="Times New Roman"/>
          <w:i/>
          <w:iCs/>
          <w:sz w:val="24"/>
          <w:szCs w:val="24"/>
        </w:rPr>
        <w:t>1850</w:t>
      </w:r>
      <w:r>
        <w:rPr>
          <w:rFonts w:ascii="Times New Roman" w:hAnsi="Times New Roman" w:cs="Times New Roman"/>
          <w:sz w:val="24"/>
          <w:szCs w:val="24"/>
        </w:rPr>
        <w:t>, ed. by Gregory Claeys, 6 vols (London: Pickering and Chatto, 2001), I, pp. 197–356</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Storey, Graham and K. J. Fielding eds, </w:t>
      </w:r>
      <w:r>
        <w:rPr>
          <w:rFonts w:ascii="Times New Roman" w:hAnsi="Times New Roman" w:cs="Times New Roman"/>
          <w:i/>
          <w:sz w:val="24"/>
          <w:szCs w:val="24"/>
        </w:rPr>
        <w:t>T</w:t>
      </w:r>
      <w:r>
        <w:rPr>
          <w:rFonts w:ascii="Times New Roman" w:hAnsi="Times New Roman" w:cs="Times New Roman"/>
          <w:i/>
          <w:iCs/>
          <w:sz w:val="24"/>
          <w:szCs w:val="24"/>
        </w:rPr>
        <w:t>he Letters of Charles Dickens:</w:t>
      </w:r>
      <w:r>
        <w:rPr>
          <w:rFonts w:ascii="Times New Roman" w:hAnsi="Times New Roman" w:cs="Times New Roman"/>
          <w:i/>
          <w:sz w:val="24"/>
          <w:szCs w:val="24"/>
        </w:rPr>
        <w:t xml:space="preserve"> Volume Five 1847</w:t>
      </w:r>
      <w:r>
        <w:rPr>
          <w:rFonts w:ascii="Times New Roman" w:hAnsi="Times New Roman" w:cs="Times New Roman"/>
          <w:sz w:val="24"/>
          <w:szCs w:val="24"/>
        </w:rPr>
        <w:t>–</w:t>
      </w:r>
      <w:r>
        <w:rPr>
          <w:rFonts w:ascii="Times New Roman" w:hAnsi="Times New Roman" w:cs="Times New Roman"/>
          <w:i/>
          <w:sz w:val="24"/>
          <w:szCs w:val="24"/>
        </w:rPr>
        <w:t>1849</w:t>
      </w:r>
      <w:r>
        <w:rPr>
          <w:rFonts w:ascii="Times New Roman" w:hAnsi="Times New Roman" w:cs="Times New Roman"/>
          <w:sz w:val="24"/>
          <w:szCs w:val="24"/>
        </w:rPr>
        <w:t xml:space="preserve"> (Oxford: Clarendon Press, 1981)</w:t>
      </w:r>
    </w:p>
    <w:p w:rsidR="00967FD1" w:rsidRPr="00F426DF"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Thackeray, William Makepeace, ‘Charity and Humour’, in </w:t>
      </w:r>
      <w:r>
        <w:rPr>
          <w:rFonts w:ascii="Times New Roman" w:hAnsi="Times New Roman" w:cs="Times New Roman"/>
          <w:i/>
          <w:sz w:val="24"/>
          <w:szCs w:val="24"/>
        </w:rPr>
        <w:t>The Works of William Makepeace Thackeray</w:t>
      </w:r>
      <w:r>
        <w:rPr>
          <w:rFonts w:ascii="Times New Roman" w:hAnsi="Times New Roman" w:cs="Times New Roman"/>
          <w:sz w:val="24"/>
          <w:szCs w:val="24"/>
        </w:rPr>
        <w:t xml:space="preserve">, 26 </w:t>
      </w:r>
      <w:r w:rsidRPr="00F426DF">
        <w:rPr>
          <w:rFonts w:ascii="Times New Roman" w:hAnsi="Times New Roman" w:cs="Times New Roman"/>
          <w:sz w:val="24"/>
          <w:szCs w:val="24"/>
        </w:rPr>
        <w:t>vols (London: Smith, Elder, &amp; Co., 1911), XI, 347-364</w:t>
      </w:r>
    </w:p>
    <w:p w:rsidR="00967FD1" w:rsidRPr="00F426DF" w:rsidRDefault="00967FD1" w:rsidP="00967FD1">
      <w:pPr>
        <w:spacing w:after="120" w:line="360" w:lineRule="auto"/>
        <w:rPr>
          <w:rFonts w:ascii="Times New Roman" w:hAnsi="Times New Roman" w:cs="Times New Roman"/>
          <w:sz w:val="24"/>
          <w:szCs w:val="24"/>
        </w:rPr>
      </w:pPr>
      <w:r w:rsidRPr="00F426DF">
        <w:rPr>
          <w:rFonts w:ascii="Times New Roman" w:hAnsi="Times New Roman" w:cs="Times New Roman"/>
          <w:sz w:val="24"/>
          <w:szCs w:val="24"/>
          <w:vertAlign w:val="superscript"/>
        </w:rPr>
        <w:t>______________</w:t>
      </w:r>
      <w:r w:rsidRPr="00F426DF">
        <w:rPr>
          <w:rFonts w:ascii="Times New Roman" w:hAnsi="Times New Roman" w:cs="Times New Roman"/>
          <w:sz w:val="24"/>
          <w:szCs w:val="24"/>
        </w:rPr>
        <w:t>,</w:t>
      </w:r>
      <w:r w:rsidRPr="00F426DF">
        <w:rPr>
          <w:rFonts w:ascii="Times New Roman" w:hAnsi="Times New Roman" w:cs="Times New Roman"/>
          <w:sz w:val="24"/>
          <w:szCs w:val="24"/>
          <w:vertAlign w:val="superscript"/>
        </w:rPr>
        <w:tab/>
      </w:r>
      <w:r w:rsidRPr="00F426DF">
        <w:rPr>
          <w:rFonts w:ascii="Times New Roman" w:hAnsi="Times New Roman" w:cs="Times New Roman"/>
          <w:i/>
          <w:sz w:val="24"/>
          <w:szCs w:val="24"/>
        </w:rPr>
        <w:t>Vanity Fair: A Novel Without A Hero</w:t>
      </w:r>
      <w:r w:rsidRPr="00F426DF">
        <w:rPr>
          <w:rFonts w:ascii="Times New Roman" w:hAnsi="Times New Roman" w:cs="Times New Roman"/>
          <w:sz w:val="24"/>
          <w:szCs w:val="24"/>
        </w:rPr>
        <w:t xml:space="preserve"> (Oxford: Oxford University Press, 1983)</w:t>
      </w:r>
    </w:p>
    <w:p w:rsidR="00967FD1" w:rsidRPr="00F426DF" w:rsidRDefault="00967FD1" w:rsidP="00967FD1">
      <w:pPr>
        <w:spacing w:after="120" w:line="360" w:lineRule="auto"/>
        <w:rPr>
          <w:rFonts w:ascii="Times New Roman" w:hAnsi="Times New Roman" w:cs="Times New Roman"/>
          <w:sz w:val="24"/>
          <w:szCs w:val="24"/>
          <w:u w:val="single"/>
        </w:rPr>
      </w:pPr>
      <w:r w:rsidRPr="00F426DF">
        <w:rPr>
          <w:rFonts w:ascii="Times New Roman" w:hAnsi="Times New Roman" w:cs="Times New Roman"/>
          <w:sz w:val="24"/>
          <w:szCs w:val="24"/>
        </w:rPr>
        <w:t xml:space="preserve">Trollope, Frances, </w:t>
      </w:r>
      <w:r w:rsidRPr="00F426DF">
        <w:rPr>
          <w:rFonts w:ascii="Times New Roman" w:hAnsi="Times New Roman" w:cs="Times New Roman"/>
          <w:i/>
          <w:sz w:val="24"/>
          <w:szCs w:val="24"/>
        </w:rPr>
        <w:t>The Life and Adventures of Michael Armstrong The Factory Boy</w:t>
      </w:r>
      <w:r w:rsidRPr="00F426DF">
        <w:rPr>
          <w:rFonts w:ascii="Times New Roman" w:hAnsi="Times New Roman" w:cs="Times New Roman"/>
          <w:sz w:val="24"/>
          <w:szCs w:val="24"/>
        </w:rPr>
        <w:t xml:space="preserve"> (London: Cass, 1968)</w:t>
      </w:r>
    </w:p>
    <w:p w:rsidR="00967FD1" w:rsidRPr="00F426DF" w:rsidRDefault="00967FD1" w:rsidP="00967FD1">
      <w:pPr>
        <w:spacing w:after="120" w:line="360" w:lineRule="auto"/>
        <w:rPr>
          <w:rFonts w:ascii="Times New Roman" w:hAnsi="Times New Roman" w:cs="Times New Roman"/>
          <w:sz w:val="24"/>
          <w:szCs w:val="24"/>
        </w:rPr>
      </w:pPr>
      <w:r w:rsidRPr="00F426DF">
        <w:rPr>
          <w:rFonts w:ascii="Times New Roman" w:hAnsi="Times New Roman" w:cs="Times New Roman"/>
          <w:sz w:val="24"/>
          <w:szCs w:val="24"/>
        </w:rPr>
        <w:t xml:space="preserve">Wade, John, </w:t>
      </w:r>
      <w:r w:rsidRPr="00F426DF">
        <w:rPr>
          <w:rFonts w:ascii="Times New Roman" w:hAnsi="Times New Roman" w:cs="Times New Roman"/>
          <w:i/>
          <w:sz w:val="24"/>
          <w:szCs w:val="24"/>
        </w:rPr>
        <w:t>The Extraordinary Black Book: An Exposition of Abuses in Church and State</w:t>
      </w:r>
      <w:r w:rsidRPr="00F426DF">
        <w:rPr>
          <w:rFonts w:ascii="Times New Roman" w:hAnsi="Times New Roman" w:cs="Times New Roman"/>
          <w:sz w:val="24"/>
          <w:szCs w:val="24"/>
        </w:rPr>
        <w:t>, new edition (London: Effingham Wilson, 1832; repr. New York, Kelley, 1970)</w:t>
      </w:r>
    </w:p>
    <w:p w:rsidR="00967FD1" w:rsidRPr="00F426DF" w:rsidRDefault="00967FD1" w:rsidP="00967FD1">
      <w:pPr>
        <w:spacing w:after="120" w:line="360" w:lineRule="auto"/>
        <w:rPr>
          <w:rFonts w:ascii="Times New Roman" w:hAnsi="Times New Roman" w:cs="Times New Roman"/>
          <w:sz w:val="24"/>
          <w:szCs w:val="24"/>
        </w:rPr>
      </w:pPr>
      <w:r w:rsidRPr="00F426DF">
        <w:rPr>
          <w:rFonts w:ascii="Times New Roman" w:hAnsi="Times New Roman" w:cs="Times New Roman"/>
          <w:sz w:val="24"/>
          <w:szCs w:val="24"/>
          <w:vertAlign w:val="superscript"/>
        </w:rPr>
        <w:t>______________</w:t>
      </w:r>
      <w:r w:rsidRPr="00F426DF">
        <w:rPr>
          <w:rFonts w:ascii="Times New Roman" w:hAnsi="Times New Roman" w:cs="Times New Roman"/>
          <w:sz w:val="24"/>
          <w:szCs w:val="24"/>
        </w:rPr>
        <w:t>,</w:t>
      </w:r>
      <w:r w:rsidRPr="00F426DF">
        <w:rPr>
          <w:rFonts w:ascii="Times New Roman" w:hAnsi="Times New Roman" w:cs="Times New Roman"/>
          <w:sz w:val="24"/>
          <w:szCs w:val="24"/>
          <w:vertAlign w:val="superscript"/>
        </w:rPr>
        <w:tab/>
      </w:r>
      <w:r w:rsidRPr="00F426DF">
        <w:rPr>
          <w:rFonts w:ascii="Times New Roman" w:hAnsi="Times New Roman" w:cs="Times New Roman"/>
          <w:i/>
          <w:sz w:val="24"/>
          <w:szCs w:val="24"/>
        </w:rPr>
        <w:t>History of the Middle and Working Classes</w:t>
      </w:r>
      <w:r w:rsidRPr="00F426DF">
        <w:rPr>
          <w:rFonts w:ascii="Times New Roman" w:hAnsi="Times New Roman" w:cs="Times New Roman"/>
          <w:sz w:val="24"/>
          <w:szCs w:val="24"/>
        </w:rPr>
        <w:t xml:space="preserve"> (London: Effingham Wilson, 1833; repr. New York,</w:t>
      </w:r>
      <w:r w:rsidRPr="00F426DF">
        <w:rPr>
          <w:rFonts w:ascii="Times New Roman" w:hAnsi="Times New Roman" w:cs="Times New Roman"/>
          <w:color w:val="FF0000"/>
          <w:sz w:val="24"/>
          <w:szCs w:val="24"/>
        </w:rPr>
        <w:t xml:space="preserve"> </w:t>
      </w:r>
      <w:r w:rsidRPr="00F426DF">
        <w:rPr>
          <w:rFonts w:ascii="Times New Roman" w:hAnsi="Times New Roman" w:cs="Times New Roman"/>
          <w:sz w:val="24"/>
          <w:szCs w:val="24"/>
        </w:rPr>
        <w:t>Kelley, 1966)</w:t>
      </w:r>
    </w:p>
    <w:p w:rsidR="00967FD1" w:rsidRPr="00F426DF" w:rsidRDefault="00967FD1" w:rsidP="00967FD1">
      <w:pPr>
        <w:pStyle w:val="FootnoteText"/>
        <w:spacing w:after="120" w:line="360" w:lineRule="auto"/>
        <w:rPr>
          <w:rFonts w:ascii="Times New Roman" w:hAnsi="Times New Roman"/>
          <w:sz w:val="24"/>
          <w:szCs w:val="24"/>
        </w:rPr>
      </w:pPr>
      <w:r w:rsidRPr="00F426DF">
        <w:rPr>
          <w:rFonts w:ascii="Times New Roman" w:hAnsi="Times New Roman"/>
          <w:sz w:val="24"/>
          <w:szCs w:val="24"/>
        </w:rPr>
        <w:t xml:space="preserve">Wall, Charles Horace, ‘The Schoolmaster’s Experience in Newgate’, </w:t>
      </w:r>
      <w:r w:rsidRPr="00F426DF">
        <w:rPr>
          <w:rFonts w:ascii="Times New Roman" w:hAnsi="Times New Roman"/>
          <w:i/>
          <w:iCs/>
          <w:sz w:val="24"/>
          <w:szCs w:val="24"/>
        </w:rPr>
        <w:t>Fraser’s Magazine for Town and Country</w:t>
      </w:r>
      <w:r w:rsidRPr="00F426DF">
        <w:rPr>
          <w:rFonts w:ascii="Times New Roman" w:hAnsi="Times New Roman"/>
          <w:sz w:val="24"/>
          <w:szCs w:val="24"/>
        </w:rPr>
        <w:t>, June, 1832, pp. 521</w:t>
      </w:r>
      <w:r w:rsidRPr="00F426DF">
        <w:rPr>
          <w:rFonts w:ascii="Times New Roman" w:hAnsi="Times New Roman"/>
          <w:color w:val="000000"/>
          <w:sz w:val="24"/>
          <w:szCs w:val="24"/>
        </w:rPr>
        <w:t>–</w:t>
      </w:r>
      <w:r w:rsidRPr="00F426DF">
        <w:rPr>
          <w:rFonts w:ascii="Times New Roman" w:hAnsi="Times New Roman"/>
          <w:sz w:val="24"/>
          <w:szCs w:val="24"/>
        </w:rPr>
        <w:t>533, &lt;</w:t>
      </w:r>
      <w:hyperlink r:id="rId23" w:history="1">
        <w:r w:rsidRPr="00F426DF">
          <w:rPr>
            <w:rStyle w:val="Hyperlink"/>
            <w:rFonts w:ascii="Times New Roman" w:hAnsi="Times New Roman"/>
            <w:sz w:val="24"/>
            <w:szCs w:val="24"/>
          </w:rPr>
          <w:t>http://search.proquest.com/results/10B9BB8957F74250PQ?accountid=11528</w:t>
        </w:r>
      </w:hyperlink>
      <w:r w:rsidRPr="00F426DF">
        <w:rPr>
          <w:rStyle w:val="Hyperlink"/>
          <w:rFonts w:ascii="Times New Roman" w:hAnsi="Times New Roman"/>
          <w:color w:val="auto"/>
          <w:sz w:val="24"/>
          <w:szCs w:val="24"/>
          <w:u w:val="none"/>
        </w:rPr>
        <w:t>&gt;</w:t>
      </w:r>
    </w:p>
    <w:p w:rsidR="00967FD1" w:rsidRPr="00F426DF" w:rsidRDefault="00967FD1" w:rsidP="00967FD1">
      <w:pPr>
        <w:spacing w:after="120" w:line="360" w:lineRule="auto"/>
        <w:rPr>
          <w:rFonts w:ascii="Times New Roman" w:hAnsi="Times New Roman" w:cs="Times New Roman"/>
          <w:sz w:val="24"/>
          <w:szCs w:val="24"/>
        </w:rPr>
      </w:pPr>
      <w:r w:rsidRPr="00F426DF">
        <w:rPr>
          <w:rFonts w:ascii="Times New Roman" w:hAnsi="Times New Roman" w:cs="Times New Roman"/>
          <w:sz w:val="24"/>
          <w:szCs w:val="24"/>
        </w:rPr>
        <w:t xml:space="preserve">Thomas Wright, </w:t>
      </w:r>
      <w:r w:rsidRPr="00F426DF">
        <w:rPr>
          <w:rFonts w:ascii="Times New Roman" w:hAnsi="Times New Roman" w:cs="Times New Roman"/>
          <w:i/>
          <w:sz w:val="24"/>
          <w:szCs w:val="24"/>
        </w:rPr>
        <w:t>Some Habits and Customs of the Working Classes by a Journeyman Engineer</w:t>
      </w:r>
      <w:r w:rsidRPr="00F426DF">
        <w:rPr>
          <w:rFonts w:ascii="Times New Roman" w:hAnsi="Times New Roman" w:cs="Times New Roman"/>
          <w:sz w:val="24"/>
          <w:szCs w:val="24"/>
        </w:rPr>
        <w:t xml:space="preserve"> (London: Tinsley Brothers, 1867; repr. New York: Kelley, 1967)</w:t>
      </w:r>
    </w:p>
    <w:p w:rsidR="00967FD1" w:rsidRDefault="00967FD1" w:rsidP="00967FD1">
      <w:pPr>
        <w:spacing w:after="120" w:line="360" w:lineRule="auto"/>
        <w:rPr>
          <w:rFonts w:ascii="Times New Roman" w:hAnsi="Times New Roman" w:cs="Times New Roman"/>
          <w:sz w:val="24"/>
          <w:szCs w:val="24"/>
          <w:u w:val="single"/>
        </w:rPr>
      </w:pPr>
      <w:r>
        <w:rPr>
          <w:rFonts w:ascii="Times New Roman" w:hAnsi="Times New Roman" w:cs="Times New Roman"/>
          <w:sz w:val="24"/>
          <w:szCs w:val="24"/>
          <w:u w:val="single"/>
        </w:rPr>
        <w:br w:type="page"/>
      </w:r>
    </w:p>
    <w:p w:rsidR="00967FD1" w:rsidRDefault="00967FD1" w:rsidP="00967FD1">
      <w:pPr>
        <w:spacing w:after="120" w:line="360" w:lineRule="auto"/>
        <w:rPr>
          <w:rFonts w:ascii="Times New Roman" w:hAnsi="Times New Roman" w:cs="Times New Roman"/>
          <w:b/>
          <w:sz w:val="24"/>
          <w:szCs w:val="24"/>
          <w:u w:val="single"/>
        </w:rPr>
      </w:pPr>
      <w:r>
        <w:rPr>
          <w:rFonts w:ascii="Times New Roman" w:hAnsi="Times New Roman" w:cs="Times New Roman"/>
          <w:b/>
          <w:sz w:val="24"/>
          <w:szCs w:val="24"/>
          <w:u w:val="single"/>
        </w:rPr>
        <w:lastRenderedPageBreak/>
        <w:t>Secondary Sources</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Abrams, Philip, ‘The Origins of British Sociology’, in </w:t>
      </w:r>
      <w:r>
        <w:rPr>
          <w:rFonts w:ascii="Times New Roman" w:hAnsi="Times New Roman" w:cs="Times New Roman"/>
          <w:i/>
          <w:sz w:val="24"/>
          <w:szCs w:val="24"/>
        </w:rPr>
        <w:t>The Origins of British Sociology: 1834</w:t>
      </w:r>
      <w:r>
        <w:rPr>
          <w:rFonts w:ascii="Times New Roman" w:hAnsi="Times New Roman" w:cs="Times New Roman"/>
          <w:sz w:val="24"/>
          <w:szCs w:val="24"/>
        </w:rPr>
        <w:t>–</w:t>
      </w:r>
      <w:r>
        <w:rPr>
          <w:rFonts w:ascii="Times New Roman" w:hAnsi="Times New Roman" w:cs="Times New Roman"/>
          <w:i/>
          <w:sz w:val="24"/>
          <w:szCs w:val="24"/>
        </w:rPr>
        <w:t>1914</w:t>
      </w:r>
      <w:r>
        <w:rPr>
          <w:rFonts w:ascii="Times New Roman" w:hAnsi="Times New Roman" w:cs="Times New Roman"/>
          <w:sz w:val="24"/>
          <w:szCs w:val="24"/>
        </w:rPr>
        <w:t xml:space="preserve"> (Chicago: The University of Chicago Press, 1968), pp. 3–153</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Armstrong, Nancy, </w:t>
      </w:r>
      <w:r w:rsidRPr="00C13660">
        <w:rPr>
          <w:rFonts w:ascii="Times New Roman" w:hAnsi="Times New Roman" w:cs="Times New Roman"/>
          <w:i/>
          <w:sz w:val="24"/>
          <w:szCs w:val="24"/>
        </w:rPr>
        <w:t>Desire and Domestic Fiction: A Political History of the Novel</w:t>
      </w:r>
      <w:r w:rsidRPr="00C13660">
        <w:rPr>
          <w:rFonts w:ascii="Times New Roman" w:hAnsi="Times New Roman" w:cs="Times New Roman"/>
          <w:sz w:val="24"/>
          <w:szCs w:val="24"/>
        </w:rPr>
        <w:t xml:space="preserve"> (New York: Oxford University Press, 1987)</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Auerbach, Nina, </w:t>
      </w:r>
      <w:r w:rsidRPr="00C13660">
        <w:rPr>
          <w:rFonts w:ascii="Times New Roman" w:hAnsi="Times New Roman" w:cs="Times New Roman"/>
          <w:i/>
          <w:sz w:val="24"/>
          <w:szCs w:val="24"/>
        </w:rPr>
        <w:t xml:space="preserve">Woman and the Demon: The Life of a Victorian Myth </w:t>
      </w:r>
      <w:r w:rsidRPr="00C13660">
        <w:rPr>
          <w:rFonts w:ascii="Times New Roman" w:hAnsi="Times New Roman" w:cs="Times New Roman"/>
          <w:sz w:val="24"/>
          <w:szCs w:val="24"/>
        </w:rPr>
        <w:t xml:space="preserve">(Cambridge: Harvard University Press, 1982) </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Bakhtin, Mikhail, </w:t>
      </w:r>
      <w:r w:rsidRPr="00C13660">
        <w:rPr>
          <w:rFonts w:ascii="Times New Roman" w:hAnsi="Times New Roman" w:cs="Times New Roman"/>
          <w:i/>
          <w:iCs/>
          <w:sz w:val="24"/>
          <w:szCs w:val="24"/>
        </w:rPr>
        <w:t>Rabelais and his World</w:t>
      </w:r>
      <w:r w:rsidRPr="00C13660">
        <w:rPr>
          <w:rFonts w:ascii="Times New Roman" w:hAnsi="Times New Roman" w:cs="Times New Roman"/>
          <w:sz w:val="24"/>
          <w:szCs w:val="24"/>
        </w:rPr>
        <w:t>, trans. by Helene Iswolsky (Bloomington: Indiana University Press, 1984)</w:t>
      </w:r>
    </w:p>
    <w:p w:rsidR="00967FD1" w:rsidRPr="00C13660" w:rsidRDefault="00967FD1" w:rsidP="00967FD1">
      <w:pPr>
        <w:autoSpaceDE w:val="0"/>
        <w:autoSpaceDN w:val="0"/>
        <w:adjustRightInd w:val="0"/>
        <w:spacing w:after="120" w:line="360" w:lineRule="auto"/>
        <w:rPr>
          <w:rFonts w:ascii="Times New Roman" w:eastAsia="Times New Roman" w:hAnsi="Times New Roman" w:cs="Times New Roman"/>
          <w:sz w:val="24"/>
          <w:szCs w:val="24"/>
        </w:rPr>
      </w:pPr>
      <w:r w:rsidRPr="00C13660">
        <w:rPr>
          <w:rFonts w:ascii="Times New Roman" w:hAnsi="Times New Roman" w:cs="Times New Roman"/>
          <w:sz w:val="24"/>
          <w:szCs w:val="24"/>
        </w:rPr>
        <w:t xml:space="preserve">Berridge, Virginia, ‘Popular Journalism and Working-Class Attitudes, 1854–1886: A Study of </w:t>
      </w:r>
      <w:r w:rsidRPr="00C13660">
        <w:rPr>
          <w:rFonts w:ascii="Times New Roman" w:hAnsi="Times New Roman" w:cs="Times New Roman"/>
          <w:i/>
          <w:sz w:val="24"/>
          <w:szCs w:val="24"/>
        </w:rPr>
        <w:t>Reynolds’s Newspaper, Lloyd’s Weekly Newspaper and the Weekly Times</w:t>
      </w:r>
      <w:r w:rsidRPr="00C13660">
        <w:rPr>
          <w:rFonts w:ascii="Times New Roman" w:hAnsi="Times New Roman" w:cs="Times New Roman"/>
          <w:sz w:val="24"/>
          <w:szCs w:val="24"/>
        </w:rPr>
        <w:t>’, 2 vols (</w:t>
      </w:r>
      <w:r w:rsidRPr="00C13660">
        <w:rPr>
          <w:rFonts w:ascii="Times New Roman" w:eastAsiaTheme="minorHAnsi" w:hAnsi="Times New Roman" w:cs="Times New Roman"/>
          <w:sz w:val="24"/>
          <w:szCs w:val="24"/>
        </w:rPr>
        <w:t>unpublished doctoral thesis</w:t>
      </w:r>
      <w:r w:rsidRPr="00C13660">
        <w:rPr>
          <w:rFonts w:ascii="Times New Roman" w:hAnsi="Times New Roman" w:cs="Times New Roman"/>
          <w:sz w:val="24"/>
          <w:szCs w:val="24"/>
        </w:rPr>
        <w:t>, University of London, 1976) &lt;</w:t>
      </w:r>
      <w:hyperlink r:id="rId24" w:history="1">
        <w:r w:rsidRPr="00C13660">
          <w:rPr>
            <w:rStyle w:val="Hyperlink"/>
            <w:rFonts w:ascii="Times New Roman" w:hAnsi="Times New Roman" w:cs="Times New Roman"/>
            <w:sz w:val="24"/>
            <w:szCs w:val="24"/>
          </w:rPr>
          <w:t>http://ethos.bl.uk/OrderDetails.do?uin=uk.bl.ethos.449650</w:t>
        </w:r>
      </w:hyperlink>
      <w:r w:rsidRPr="00F426DF">
        <w:rPr>
          <w:rStyle w:val="Hyperlink"/>
          <w:rFonts w:ascii="Times New Roman" w:hAnsi="Times New Roman" w:cs="Times New Roman"/>
          <w:color w:val="auto"/>
          <w:sz w:val="24"/>
          <w:szCs w:val="24"/>
          <w:u w:val="none"/>
        </w:rPr>
        <w:t>&gt;</w:t>
      </w:r>
    </w:p>
    <w:p w:rsidR="00967FD1" w:rsidRPr="00C13660" w:rsidRDefault="00967FD1" w:rsidP="00967FD1">
      <w:pPr>
        <w:spacing w:after="120" w:line="360" w:lineRule="auto"/>
        <w:rPr>
          <w:rFonts w:ascii="Times New Roman" w:hAnsi="Times New Roman" w:cs="Times New Roman"/>
          <w:bCs/>
          <w:sz w:val="24"/>
          <w:szCs w:val="24"/>
        </w:rPr>
      </w:pPr>
      <w:r w:rsidRPr="00C13660">
        <w:rPr>
          <w:rFonts w:ascii="Times New Roman" w:hAnsi="Times New Roman" w:cs="Times New Roman"/>
          <w:bCs/>
          <w:sz w:val="24"/>
          <w:szCs w:val="24"/>
        </w:rPr>
        <w:t xml:space="preserve">Betjeman, John, ‘Samuel Weller’ in </w:t>
      </w:r>
      <w:r w:rsidRPr="00C13660">
        <w:rPr>
          <w:rFonts w:ascii="Times New Roman" w:hAnsi="Times New Roman" w:cs="Times New Roman"/>
          <w:bCs/>
          <w:i/>
          <w:iCs/>
          <w:sz w:val="24"/>
          <w:szCs w:val="24"/>
        </w:rPr>
        <w:t>A Pickwick Portrait Gallery from the Pens of Divers Admirers of the Illustrious Members of the Pickwick Club Their Friends and Enemies</w:t>
      </w:r>
      <w:r w:rsidRPr="00C13660">
        <w:rPr>
          <w:rFonts w:ascii="Times New Roman" w:hAnsi="Times New Roman" w:cs="Times New Roman"/>
          <w:bCs/>
          <w:sz w:val="24"/>
          <w:szCs w:val="24"/>
        </w:rPr>
        <w:t>, ed. by Alfred Noyes (London: Chapman &amp; Hall, 1936), pp. 69</w:t>
      </w:r>
      <w:r w:rsidRPr="00C13660">
        <w:rPr>
          <w:rFonts w:ascii="Times New Roman" w:hAnsi="Times New Roman" w:cs="Times New Roman"/>
          <w:sz w:val="24"/>
          <w:szCs w:val="24"/>
        </w:rPr>
        <w:t>–</w:t>
      </w:r>
      <w:r w:rsidRPr="00C13660">
        <w:rPr>
          <w:rFonts w:ascii="Times New Roman" w:hAnsi="Times New Roman" w:cs="Times New Roman"/>
          <w:bCs/>
          <w:sz w:val="24"/>
          <w:szCs w:val="24"/>
        </w:rPr>
        <w:t>81</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Bottomore, T. B., </w:t>
      </w:r>
      <w:r w:rsidRPr="00C13660">
        <w:rPr>
          <w:rFonts w:ascii="Times New Roman" w:hAnsi="Times New Roman" w:cs="Times New Roman"/>
          <w:i/>
          <w:sz w:val="24"/>
          <w:szCs w:val="24"/>
        </w:rPr>
        <w:t>Classes in Modern Society</w:t>
      </w:r>
      <w:r w:rsidRPr="00C13660">
        <w:rPr>
          <w:rFonts w:ascii="Times New Roman" w:hAnsi="Times New Roman" w:cs="Times New Roman"/>
          <w:sz w:val="24"/>
          <w:szCs w:val="24"/>
        </w:rPr>
        <w:t xml:space="preserve"> (London: George Allen &amp; Unwin Ltd., 1965) </w:t>
      </w:r>
    </w:p>
    <w:p w:rsidR="00967FD1" w:rsidRPr="00C13660" w:rsidRDefault="00967FD1" w:rsidP="00967FD1">
      <w:pPr>
        <w:spacing w:after="120" w:line="360" w:lineRule="auto"/>
        <w:rPr>
          <w:rFonts w:ascii="Times New Roman" w:hAnsi="Times New Roman" w:cs="Times New Roman"/>
          <w:sz w:val="24"/>
          <w:szCs w:val="24"/>
          <w:u w:val="single"/>
        </w:rPr>
      </w:pPr>
      <w:r w:rsidRPr="00C13660">
        <w:rPr>
          <w:rFonts w:ascii="Times New Roman" w:hAnsi="Times New Roman" w:cs="Times New Roman"/>
          <w:sz w:val="24"/>
          <w:szCs w:val="24"/>
        </w:rPr>
        <w:t xml:space="preserve">Brantlinger, Patrick, ‘The Case against Trade Unions in Early Victorian Fiction’, </w:t>
      </w:r>
      <w:r w:rsidRPr="00C13660">
        <w:rPr>
          <w:rFonts w:ascii="Times New Roman" w:hAnsi="Times New Roman" w:cs="Times New Roman"/>
          <w:i/>
          <w:sz w:val="24"/>
          <w:szCs w:val="24"/>
        </w:rPr>
        <w:t>Victorian Studies</w:t>
      </w:r>
      <w:r w:rsidRPr="00C13660">
        <w:rPr>
          <w:rFonts w:ascii="Times New Roman" w:hAnsi="Times New Roman" w:cs="Times New Roman"/>
          <w:sz w:val="24"/>
          <w:szCs w:val="24"/>
        </w:rPr>
        <w:t>, 13.1 (September 1969), 37–52 &lt;</w:t>
      </w:r>
      <w:hyperlink r:id="rId25" w:history="1">
        <w:r w:rsidRPr="00C13660">
          <w:rPr>
            <w:rStyle w:val="Hyperlink"/>
            <w:rFonts w:ascii="Times New Roman" w:hAnsi="Times New Roman" w:cs="Times New Roman"/>
            <w:sz w:val="24"/>
            <w:szCs w:val="24"/>
          </w:rPr>
          <w:t>http://www.jstor.org/stable/3825993</w:t>
        </w:r>
      </w:hyperlink>
      <w:r w:rsidRPr="00C13660">
        <w:rPr>
          <w:rFonts w:ascii="Times New Roman" w:hAnsi="Times New Roman" w:cs="Times New Roman"/>
          <w:sz w:val="24"/>
          <w:szCs w:val="24"/>
        </w:rPr>
        <w:t>&gt; [accessed 15 March 2013]</w:t>
      </w:r>
    </w:p>
    <w:p w:rsidR="00967FD1" w:rsidRPr="00C13660" w:rsidRDefault="00967FD1" w:rsidP="00967FD1">
      <w:pPr>
        <w:spacing w:after="120" w:line="360" w:lineRule="auto"/>
        <w:rPr>
          <w:rFonts w:ascii="Times New Roman" w:hAnsi="Times New Roman" w:cs="Times New Roman"/>
          <w:bCs/>
          <w:sz w:val="24"/>
          <w:szCs w:val="24"/>
        </w:rPr>
      </w:pPr>
      <w:r w:rsidRPr="00C13660">
        <w:rPr>
          <w:rFonts w:ascii="Times New Roman" w:hAnsi="Times New Roman" w:cs="Times New Roman"/>
          <w:bCs/>
          <w:sz w:val="24"/>
          <w:szCs w:val="24"/>
        </w:rPr>
        <w:t xml:space="preserve">Brook, G. L., </w:t>
      </w:r>
      <w:r w:rsidRPr="00C13660">
        <w:rPr>
          <w:rFonts w:ascii="Times New Roman" w:hAnsi="Times New Roman" w:cs="Times New Roman"/>
          <w:bCs/>
          <w:i/>
          <w:iCs/>
          <w:sz w:val="24"/>
          <w:szCs w:val="24"/>
        </w:rPr>
        <w:t>The Language of Dickens</w:t>
      </w:r>
      <w:r w:rsidRPr="00C13660">
        <w:rPr>
          <w:rFonts w:ascii="Times New Roman" w:hAnsi="Times New Roman" w:cs="Times New Roman"/>
          <w:bCs/>
          <w:sz w:val="24"/>
          <w:szCs w:val="24"/>
        </w:rPr>
        <w:t xml:space="preserve"> (London: Deutsch, 1970)</w:t>
      </w:r>
    </w:p>
    <w:p w:rsidR="00967FD1" w:rsidRPr="00C13660" w:rsidRDefault="00967FD1" w:rsidP="00967FD1">
      <w:pPr>
        <w:spacing w:after="120" w:line="360" w:lineRule="auto"/>
        <w:rPr>
          <w:rFonts w:ascii="Times New Roman" w:hAnsi="Times New Roman" w:cs="Times New Roman"/>
          <w:bCs/>
          <w:sz w:val="24"/>
          <w:szCs w:val="24"/>
        </w:rPr>
      </w:pPr>
      <w:r w:rsidRPr="00C13660">
        <w:rPr>
          <w:rFonts w:ascii="Times New Roman" w:hAnsi="Times New Roman" w:cs="Times New Roman"/>
          <w:bCs/>
          <w:sz w:val="24"/>
          <w:szCs w:val="24"/>
        </w:rPr>
        <w:t xml:space="preserve">Bush, M. L., </w:t>
      </w:r>
      <w:r w:rsidRPr="00C13660">
        <w:rPr>
          <w:rFonts w:ascii="Times New Roman" w:hAnsi="Times New Roman" w:cs="Times New Roman"/>
          <w:bCs/>
          <w:i/>
          <w:sz w:val="24"/>
          <w:szCs w:val="24"/>
        </w:rPr>
        <w:t>The Casualties of Peterloo</w:t>
      </w:r>
      <w:r w:rsidRPr="00C13660">
        <w:rPr>
          <w:rFonts w:ascii="Times New Roman" w:hAnsi="Times New Roman" w:cs="Times New Roman"/>
          <w:bCs/>
          <w:sz w:val="24"/>
          <w:szCs w:val="24"/>
        </w:rPr>
        <w:t xml:space="preserve"> (Lancaster: Carnegie Publishing Ltd., 2005)</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Chapman, Raymond, </w:t>
      </w:r>
      <w:r w:rsidRPr="00C13660">
        <w:rPr>
          <w:rFonts w:ascii="Times New Roman" w:hAnsi="Times New Roman" w:cs="Times New Roman"/>
          <w:i/>
          <w:iCs/>
          <w:sz w:val="24"/>
          <w:szCs w:val="24"/>
        </w:rPr>
        <w:t>Forms of Speech in Victorian Fiction</w:t>
      </w:r>
      <w:r w:rsidRPr="00C13660">
        <w:rPr>
          <w:rFonts w:ascii="Times New Roman" w:hAnsi="Times New Roman" w:cs="Times New Roman"/>
          <w:sz w:val="24"/>
          <w:szCs w:val="24"/>
        </w:rPr>
        <w:t xml:space="preserve"> (Harlow: Longman Group UK Limited, 1994)</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Chase, Malcolm, </w:t>
      </w:r>
      <w:r w:rsidRPr="00C13660">
        <w:rPr>
          <w:rFonts w:ascii="Times New Roman" w:hAnsi="Times New Roman" w:cs="Times New Roman"/>
          <w:i/>
          <w:sz w:val="24"/>
          <w:szCs w:val="24"/>
        </w:rPr>
        <w:t>Chartism a New History</w:t>
      </w:r>
      <w:r w:rsidRPr="00C13660">
        <w:rPr>
          <w:rFonts w:ascii="Times New Roman" w:hAnsi="Times New Roman" w:cs="Times New Roman"/>
          <w:sz w:val="24"/>
          <w:szCs w:val="24"/>
        </w:rPr>
        <w:t xml:space="preserve"> (Manchester: Manchester University Press, 2007)</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Chesney, Kellow, </w:t>
      </w:r>
      <w:r w:rsidRPr="00C13660">
        <w:rPr>
          <w:rFonts w:ascii="Times New Roman" w:hAnsi="Times New Roman" w:cs="Times New Roman"/>
          <w:i/>
          <w:sz w:val="24"/>
          <w:szCs w:val="24"/>
        </w:rPr>
        <w:t>The Victorian Underworld</w:t>
      </w:r>
      <w:r w:rsidRPr="00C13660">
        <w:rPr>
          <w:rFonts w:ascii="Times New Roman" w:hAnsi="Times New Roman" w:cs="Times New Roman"/>
          <w:sz w:val="24"/>
          <w:szCs w:val="24"/>
        </w:rPr>
        <w:t xml:space="preserve"> (London: Temple Smith, 1970)</w:t>
      </w:r>
    </w:p>
    <w:p w:rsidR="00967FD1" w:rsidRPr="00C13660" w:rsidRDefault="00967FD1" w:rsidP="00967FD1">
      <w:pPr>
        <w:spacing w:after="120" w:line="360" w:lineRule="auto"/>
        <w:rPr>
          <w:rFonts w:ascii="Times New Roman" w:eastAsia="Times New Roman" w:hAnsi="Times New Roman" w:cs="Times New Roman"/>
          <w:sz w:val="24"/>
          <w:szCs w:val="24"/>
          <w:lang w:eastAsia="en-GB"/>
        </w:rPr>
      </w:pPr>
      <w:r w:rsidRPr="00C13660">
        <w:rPr>
          <w:rFonts w:ascii="Times New Roman" w:eastAsia="Times New Roman" w:hAnsi="Times New Roman" w:cs="Times New Roman"/>
          <w:sz w:val="24"/>
          <w:szCs w:val="24"/>
          <w:lang w:eastAsia="en-GB"/>
        </w:rPr>
        <w:t xml:space="preserve">Chevalier, Louis. </w:t>
      </w:r>
      <w:r w:rsidRPr="00C13660">
        <w:rPr>
          <w:rFonts w:ascii="Times New Roman" w:eastAsia="Times New Roman" w:hAnsi="Times New Roman" w:cs="Times New Roman"/>
          <w:i/>
          <w:sz w:val="24"/>
          <w:szCs w:val="24"/>
          <w:lang w:eastAsia="en-GB"/>
        </w:rPr>
        <w:t>Labouring Classes and Dangerous Classes In Paris During the First Half of the Nineteenth Century</w:t>
      </w:r>
      <w:r w:rsidRPr="00C13660">
        <w:rPr>
          <w:rFonts w:ascii="Times New Roman" w:eastAsia="Times New Roman" w:hAnsi="Times New Roman" w:cs="Times New Roman"/>
          <w:sz w:val="24"/>
          <w:szCs w:val="24"/>
          <w:lang w:eastAsia="en-GB"/>
        </w:rPr>
        <w:t>, trans. by Frank Jellin</w:t>
      </w:r>
      <w:r w:rsidR="00613033" w:rsidRPr="00C13660">
        <w:rPr>
          <w:rFonts w:ascii="Times New Roman" w:eastAsia="Times New Roman" w:hAnsi="Times New Roman" w:cs="Times New Roman"/>
          <w:sz w:val="24"/>
          <w:szCs w:val="24"/>
          <w:lang w:eastAsia="en-GB"/>
        </w:rPr>
        <w:t>e</w:t>
      </w:r>
      <w:r w:rsidRPr="00C13660">
        <w:rPr>
          <w:rFonts w:ascii="Times New Roman" w:eastAsia="Times New Roman" w:hAnsi="Times New Roman" w:cs="Times New Roman"/>
          <w:sz w:val="24"/>
          <w:szCs w:val="24"/>
          <w:lang w:eastAsia="en-GB"/>
        </w:rPr>
        <w:t>k (London: Routledge and Kegan Paul, 1973)</w:t>
      </w:r>
    </w:p>
    <w:p w:rsidR="00967FD1" w:rsidRPr="00C13660" w:rsidRDefault="00967FD1" w:rsidP="00967FD1">
      <w:pPr>
        <w:spacing w:after="120" w:line="360" w:lineRule="auto"/>
        <w:rPr>
          <w:rFonts w:ascii="Times New Roman" w:eastAsia="Times New Roman" w:hAnsi="Times New Roman" w:cs="Times New Roman"/>
          <w:sz w:val="24"/>
          <w:szCs w:val="24"/>
          <w:lang w:eastAsia="en-GB"/>
        </w:rPr>
      </w:pPr>
      <w:r w:rsidRPr="00C13660">
        <w:rPr>
          <w:rFonts w:ascii="Times New Roman" w:eastAsia="Times New Roman" w:hAnsi="Times New Roman" w:cs="Times New Roman"/>
          <w:sz w:val="24"/>
          <w:szCs w:val="24"/>
          <w:lang w:eastAsia="en-GB"/>
        </w:rPr>
        <w:lastRenderedPageBreak/>
        <w:t xml:space="preserve">Clark, </w:t>
      </w:r>
      <w:r w:rsidRPr="00C13660">
        <w:rPr>
          <w:rFonts w:ascii="Times New Roman" w:hAnsi="Times New Roman" w:cs="Times New Roman"/>
          <w:sz w:val="24"/>
          <w:szCs w:val="24"/>
        </w:rPr>
        <w:t xml:space="preserve">Anna, </w:t>
      </w:r>
      <w:r w:rsidRPr="00C13660">
        <w:rPr>
          <w:rFonts w:ascii="Times New Roman" w:hAnsi="Times New Roman" w:cs="Times New Roman"/>
          <w:i/>
          <w:sz w:val="24"/>
          <w:szCs w:val="24"/>
        </w:rPr>
        <w:t>The Struggle for the Breeches: Gender and the Making of the British Working Class</w:t>
      </w:r>
      <w:r w:rsidRPr="00C13660">
        <w:rPr>
          <w:rFonts w:ascii="Times New Roman" w:hAnsi="Times New Roman" w:cs="Times New Roman"/>
          <w:sz w:val="24"/>
          <w:szCs w:val="24"/>
        </w:rPr>
        <w:t xml:space="preserve"> (London: Rivers Oram Press, 1995)</w:t>
      </w:r>
    </w:p>
    <w:p w:rsidR="00967FD1" w:rsidRPr="00C13660" w:rsidRDefault="00967FD1" w:rsidP="00967FD1">
      <w:pPr>
        <w:spacing w:after="120" w:line="360" w:lineRule="auto"/>
        <w:rPr>
          <w:rFonts w:ascii="Times New Roman" w:hAnsi="Times New Roman" w:cs="Times New Roman"/>
          <w:sz w:val="24"/>
          <w:szCs w:val="24"/>
          <w:lang w:val="fr-FR"/>
        </w:rPr>
      </w:pPr>
      <w:r w:rsidRPr="00C13660">
        <w:rPr>
          <w:rFonts w:ascii="Times New Roman" w:hAnsi="Times New Roman" w:cs="Times New Roman"/>
          <w:sz w:val="24"/>
          <w:szCs w:val="24"/>
          <w:lang w:val="fr-FR"/>
        </w:rPr>
        <w:t xml:space="preserve">Cole, G. D. H., </w:t>
      </w:r>
      <w:r w:rsidRPr="00C13660">
        <w:rPr>
          <w:rFonts w:ascii="Times New Roman" w:hAnsi="Times New Roman" w:cs="Times New Roman"/>
          <w:i/>
          <w:sz w:val="24"/>
          <w:szCs w:val="24"/>
          <w:lang w:val="fr-FR"/>
        </w:rPr>
        <w:t>Chartist Portraits</w:t>
      </w:r>
      <w:r w:rsidRPr="00C13660">
        <w:rPr>
          <w:rFonts w:ascii="Times New Roman" w:hAnsi="Times New Roman" w:cs="Times New Roman"/>
          <w:sz w:val="24"/>
          <w:szCs w:val="24"/>
          <w:lang w:val="fr-FR"/>
        </w:rPr>
        <w:t xml:space="preserve"> (London: Macmillan, 1941)</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Cole, G. D. H. and A. W. Filson</w:t>
      </w:r>
      <w:r w:rsidRPr="00C13660">
        <w:rPr>
          <w:rFonts w:ascii="Times New Roman" w:hAnsi="Times New Roman" w:cs="Times New Roman"/>
          <w:i/>
          <w:iCs/>
          <w:sz w:val="24"/>
          <w:szCs w:val="24"/>
        </w:rPr>
        <w:t>, British Working Class Movements: Select Documents 1789</w:t>
      </w:r>
      <w:r w:rsidRPr="00C13660">
        <w:rPr>
          <w:rFonts w:ascii="Times New Roman" w:hAnsi="Times New Roman" w:cs="Times New Roman"/>
          <w:sz w:val="24"/>
          <w:szCs w:val="24"/>
        </w:rPr>
        <w:t>–</w:t>
      </w:r>
      <w:r w:rsidRPr="00C13660">
        <w:rPr>
          <w:rFonts w:ascii="Times New Roman" w:hAnsi="Times New Roman" w:cs="Times New Roman"/>
          <w:i/>
          <w:iCs/>
          <w:sz w:val="24"/>
          <w:szCs w:val="24"/>
        </w:rPr>
        <w:t>1875</w:t>
      </w:r>
      <w:r w:rsidRPr="00C13660">
        <w:rPr>
          <w:rFonts w:ascii="Times New Roman" w:hAnsi="Times New Roman" w:cs="Times New Roman"/>
          <w:sz w:val="24"/>
          <w:szCs w:val="24"/>
        </w:rPr>
        <w:t>, eds. G. D. H. Cole and A. W. Filson (London: Macmillan, 1951)</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Crone, Rosalind, </w:t>
      </w:r>
      <w:r w:rsidRPr="00C13660">
        <w:rPr>
          <w:rFonts w:ascii="Times New Roman" w:hAnsi="Times New Roman" w:cs="Times New Roman"/>
          <w:i/>
          <w:iCs/>
          <w:sz w:val="24"/>
          <w:szCs w:val="24"/>
        </w:rPr>
        <w:t>Violent Victorian Popular entertainment in nineteenth-century</w:t>
      </w:r>
      <w:r w:rsidRPr="00C13660">
        <w:rPr>
          <w:rFonts w:ascii="Times New Roman" w:hAnsi="Times New Roman" w:cs="Times New Roman"/>
          <w:sz w:val="24"/>
          <w:szCs w:val="24"/>
        </w:rPr>
        <w:t xml:space="preserve"> </w:t>
      </w:r>
      <w:r w:rsidRPr="00C13660">
        <w:rPr>
          <w:rFonts w:ascii="Times New Roman" w:hAnsi="Times New Roman" w:cs="Times New Roman"/>
          <w:i/>
          <w:iCs/>
          <w:sz w:val="24"/>
          <w:szCs w:val="24"/>
        </w:rPr>
        <w:t>London</w:t>
      </w:r>
      <w:r w:rsidRPr="00C13660">
        <w:rPr>
          <w:rFonts w:ascii="Times New Roman" w:hAnsi="Times New Roman" w:cs="Times New Roman"/>
          <w:sz w:val="24"/>
          <w:szCs w:val="24"/>
        </w:rPr>
        <w:t xml:space="preserve"> (Manchester: Manchester University Press, 2012)</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Crossick, Geoffrey, ‘The Labour Aristocracy and Its Values: A Study of Mid-Victorian Kentish London’, </w:t>
      </w:r>
      <w:r w:rsidRPr="00C13660">
        <w:rPr>
          <w:rFonts w:ascii="Times New Roman" w:hAnsi="Times New Roman" w:cs="Times New Roman"/>
          <w:i/>
          <w:iCs/>
          <w:sz w:val="24"/>
          <w:szCs w:val="24"/>
        </w:rPr>
        <w:t>Victorian Studies</w:t>
      </w:r>
      <w:r w:rsidRPr="00C13660">
        <w:rPr>
          <w:rFonts w:ascii="Times New Roman" w:hAnsi="Times New Roman" w:cs="Times New Roman"/>
          <w:sz w:val="24"/>
          <w:szCs w:val="24"/>
        </w:rPr>
        <w:t>, 19.3 (March 1976), 301–28 &lt;</w:t>
      </w:r>
      <w:hyperlink r:id="rId26" w:history="1">
        <w:r w:rsidRPr="00C13660">
          <w:rPr>
            <w:rStyle w:val="Hyperlink"/>
            <w:rFonts w:ascii="Times New Roman" w:hAnsi="Times New Roman" w:cs="Times New Roman"/>
            <w:sz w:val="24"/>
            <w:szCs w:val="24"/>
          </w:rPr>
          <w:t>http://www.jstor.org/stable/3826130</w:t>
        </w:r>
      </w:hyperlink>
      <w:r w:rsidRPr="00C13660">
        <w:rPr>
          <w:rFonts w:ascii="Times New Roman" w:hAnsi="Times New Roman" w:cs="Times New Roman"/>
          <w:sz w:val="24"/>
          <w:szCs w:val="24"/>
        </w:rPr>
        <w:t>&gt; [accessed 7 October 2015]</w:t>
      </w:r>
    </w:p>
    <w:p w:rsidR="00967FD1" w:rsidRDefault="00967FD1" w:rsidP="00967FD1">
      <w:pPr>
        <w:autoSpaceDE w:val="0"/>
        <w:autoSpaceDN w:val="0"/>
        <w:adjustRightInd w:val="0"/>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Cruickshank, Dan, </w:t>
      </w:r>
      <w:r>
        <w:rPr>
          <w:rFonts w:ascii="Times New Roman" w:hAnsi="Times New Roman" w:cs="Times New Roman"/>
          <w:i/>
          <w:sz w:val="24"/>
          <w:szCs w:val="24"/>
        </w:rPr>
        <w:t>Spitalfields: The History of a Nation in A Handful of Streets</w:t>
      </w:r>
      <w:r>
        <w:rPr>
          <w:rFonts w:ascii="Times New Roman" w:hAnsi="Times New Roman" w:cs="Times New Roman"/>
          <w:sz w:val="24"/>
          <w:szCs w:val="24"/>
        </w:rPr>
        <w:t xml:space="preserve"> (London: Random House Books, 2016)</w:t>
      </w:r>
    </w:p>
    <w:p w:rsidR="00967FD1" w:rsidRDefault="00967FD1" w:rsidP="00967FD1">
      <w:pPr>
        <w:spacing w:after="120" w:line="360" w:lineRule="auto"/>
        <w:rPr>
          <w:rFonts w:ascii="Times New Roman" w:hAnsi="Times New Roman" w:cs="Times New Roman"/>
          <w:bCs/>
          <w:sz w:val="24"/>
          <w:szCs w:val="24"/>
        </w:rPr>
      </w:pPr>
      <w:r>
        <w:rPr>
          <w:rFonts w:ascii="Times New Roman" w:hAnsi="Times New Roman" w:cs="Times New Roman"/>
          <w:bCs/>
          <w:sz w:val="24"/>
          <w:szCs w:val="24"/>
        </w:rPr>
        <w:t xml:space="preserve">Dahrendorf, Ralf, </w:t>
      </w:r>
      <w:r>
        <w:rPr>
          <w:rFonts w:ascii="Times New Roman" w:hAnsi="Times New Roman" w:cs="Times New Roman"/>
          <w:bCs/>
          <w:i/>
          <w:sz w:val="24"/>
          <w:szCs w:val="24"/>
        </w:rPr>
        <w:t>Conflict after class: New Perspectives on the theory of social and political conflict</w:t>
      </w:r>
      <w:r>
        <w:rPr>
          <w:rFonts w:ascii="Times New Roman" w:hAnsi="Times New Roman" w:cs="Times New Roman"/>
          <w:bCs/>
          <w:sz w:val="24"/>
          <w:szCs w:val="24"/>
        </w:rPr>
        <w:t xml:space="preserve"> (London: Longmans, Green, 1967)</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bCs/>
          <w:sz w:val="24"/>
          <w:szCs w:val="24"/>
        </w:rPr>
        <w:t xml:space="preserve">Dalziel, Margaret, </w:t>
      </w:r>
      <w:r>
        <w:rPr>
          <w:rFonts w:ascii="Times New Roman" w:hAnsi="Times New Roman" w:cs="Times New Roman"/>
          <w:i/>
          <w:sz w:val="24"/>
          <w:szCs w:val="24"/>
        </w:rPr>
        <w:t>Popular Fiction 100 Years Ago: An Unexplored Tract of Literary History</w:t>
      </w:r>
      <w:r>
        <w:rPr>
          <w:rFonts w:ascii="Times New Roman" w:hAnsi="Times New Roman" w:cs="Times New Roman"/>
          <w:sz w:val="24"/>
          <w:szCs w:val="24"/>
        </w:rPr>
        <w:t xml:space="preserve"> (London: Cohen &amp; West, 1957)</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Driver, Cecil, </w:t>
      </w:r>
      <w:r>
        <w:rPr>
          <w:rFonts w:ascii="Times New Roman" w:hAnsi="Times New Roman" w:cs="Times New Roman"/>
          <w:i/>
          <w:sz w:val="24"/>
          <w:szCs w:val="24"/>
        </w:rPr>
        <w:t>Tory Radical: The Life of Richard Oastler</w:t>
      </w:r>
      <w:r>
        <w:rPr>
          <w:rFonts w:ascii="Times New Roman" w:hAnsi="Times New Roman" w:cs="Times New Roman"/>
          <w:sz w:val="24"/>
          <w:szCs w:val="24"/>
        </w:rPr>
        <w:t xml:space="preserve"> (New York: Oxford University Press, 1946)</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Dutton, H. I., and J. E. King, </w:t>
      </w:r>
      <w:r>
        <w:rPr>
          <w:rFonts w:ascii="Times New Roman" w:hAnsi="Times New Roman" w:cs="Times New Roman"/>
          <w:i/>
          <w:sz w:val="24"/>
          <w:szCs w:val="24"/>
        </w:rPr>
        <w:t>‘Ten Per Cent and No Surrender’: The Preston Strike, 1853</w:t>
      </w:r>
      <w:r>
        <w:rPr>
          <w:rFonts w:ascii="Times New Roman" w:hAnsi="Times New Roman" w:cs="Times New Roman"/>
          <w:sz w:val="24"/>
          <w:szCs w:val="24"/>
        </w:rPr>
        <w:t>–</w:t>
      </w:r>
      <w:r>
        <w:rPr>
          <w:rFonts w:ascii="Times New Roman" w:hAnsi="Times New Roman" w:cs="Times New Roman"/>
          <w:i/>
          <w:sz w:val="24"/>
          <w:szCs w:val="24"/>
        </w:rPr>
        <w:t>1854</w:t>
      </w:r>
      <w:r>
        <w:rPr>
          <w:rFonts w:ascii="Times New Roman" w:hAnsi="Times New Roman" w:cs="Times New Roman"/>
          <w:sz w:val="24"/>
          <w:szCs w:val="24"/>
        </w:rPr>
        <w:t xml:space="preserve"> (Cambridge: Cambridge University Press, 1981)</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Dutton, H. I., and J. E. King, </w:t>
      </w:r>
      <w:r>
        <w:rPr>
          <w:rFonts w:ascii="Times New Roman" w:hAnsi="Times New Roman" w:cs="Times New Roman"/>
          <w:i/>
          <w:sz w:val="24"/>
          <w:szCs w:val="24"/>
        </w:rPr>
        <w:t>Tory Radical: The Life of Richard Oastler</w:t>
      </w:r>
      <w:r>
        <w:rPr>
          <w:rFonts w:ascii="Times New Roman" w:hAnsi="Times New Roman" w:cs="Times New Roman"/>
          <w:sz w:val="24"/>
          <w:szCs w:val="24"/>
        </w:rPr>
        <w:t xml:space="preserve"> (New York: Oxford University Press, 1946)</w:t>
      </w:r>
    </w:p>
    <w:p w:rsidR="00967FD1" w:rsidRPr="00C13660" w:rsidRDefault="00967FD1" w:rsidP="00967FD1">
      <w:pPr>
        <w:spacing w:after="120" w:line="360" w:lineRule="auto"/>
        <w:rPr>
          <w:rFonts w:ascii="Times New Roman" w:hAnsi="Times New Roman" w:cs="Times New Roman"/>
          <w:bCs/>
          <w:sz w:val="24"/>
          <w:szCs w:val="24"/>
        </w:rPr>
      </w:pPr>
      <w:r w:rsidRPr="00C13660">
        <w:rPr>
          <w:rFonts w:ascii="Times New Roman" w:hAnsi="Times New Roman" w:cs="Times New Roman"/>
          <w:bCs/>
          <w:sz w:val="24"/>
          <w:szCs w:val="24"/>
        </w:rPr>
        <w:t xml:space="preserve">Eagleton, Terry, </w:t>
      </w:r>
      <w:r w:rsidRPr="00C13660">
        <w:rPr>
          <w:rFonts w:ascii="Times New Roman" w:hAnsi="Times New Roman" w:cs="Times New Roman"/>
          <w:bCs/>
          <w:i/>
          <w:sz w:val="24"/>
          <w:szCs w:val="24"/>
        </w:rPr>
        <w:t>Ideology: An Introduction</w:t>
      </w:r>
      <w:r w:rsidRPr="00C13660">
        <w:rPr>
          <w:rFonts w:ascii="Times New Roman" w:hAnsi="Times New Roman" w:cs="Times New Roman"/>
          <w:bCs/>
          <w:sz w:val="24"/>
          <w:szCs w:val="24"/>
        </w:rPr>
        <w:t xml:space="preserve"> (London: Verso, 1991)</w:t>
      </w:r>
    </w:p>
    <w:p w:rsidR="00967FD1" w:rsidRPr="00C13660" w:rsidRDefault="00967FD1" w:rsidP="00967FD1">
      <w:pPr>
        <w:pStyle w:val="FootnoteText"/>
        <w:spacing w:after="120" w:line="360" w:lineRule="auto"/>
        <w:rPr>
          <w:rFonts w:ascii="Times New Roman" w:hAnsi="Times New Roman"/>
          <w:sz w:val="24"/>
          <w:szCs w:val="24"/>
        </w:rPr>
      </w:pPr>
      <w:r w:rsidRPr="00C13660">
        <w:rPr>
          <w:rFonts w:ascii="Times New Roman" w:hAnsi="Times New Roman"/>
          <w:sz w:val="24"/>
          <w:szCs w:val="24"/>
        </w:rPr>
        <w:t xml:space="preserve">Edelstein, T. J., ‘They Sang "The Song of the Shirt": The Visual Iconology of the Seamstress’, </w:t>
      </w:r>
      <w:r w:rsidRPr="00C13660">
        <w:rPr>
          <w:rFonts w:ascii="Times New Roman" w:hAnsi="Times New Roman"/>
          <w:i/>
          <w:sz w:val="24"/>
          <w:szCs w:val="24"/>
        </w:rPr>
        <w:t>Victorian Studies</w:t>
      </w:r>
      <w:r w:rsidRPr="00C13660">
        <w:rPr>
          <w:rFonts w:ascii="Times New Roman" w:hAnsi="Times New Roman"/>
          <w:sz w:val="24"/>
          <w:szCs w:val="24"/>
        </w:rPr>
        <w:t>, 23.2 (Winter 1980), 183–210 &lt;</w:t>
      </w:r>
      <w:hyperlink r:id="rId27" w:history="1">
        <w:r w:rsidRPr="00C13660">
          <w:rPr>
            <w:rStyle w:val="Hyperlink"/>
            <w:rFonts w:ascii="Times New Roman" w:hAnsi="Times New Roman"/>
            <w:sz w:val="24"/>
            <w:szCs w:val="24"/>
          </w:rPr>
          <w:t>http://www.jstor.org/stable/3827085</w:t>
        </w:r>
      </w:hyperlink>
      <w:r w:rsidRPr="00C13660">
        <w:rPr>
          <w:rFonts w:ascii="Times New Roman" w:hAnsi="Times New Roman"/>
          <w:sz w:val="24"/>
          <w:szCs w:val="24"/>
        </w:rPr>
        <w:t>&gt; [accessed 15 May 2015]</w:t>
      </w:r>
    </w:p>
    <w:p w:rsidR="00967FD1" w:rsidRPr="00C13660" w:rsidRDefault="00967FD1" w:rsidP="00967FD1">
      <w:pPr>
        <w:spacing w:after="120" w:line="360" w:lineRule="auto"/>
        <w:rPr>
          <w:rFonts w:ascii="Times New Roman" w:hAnsi="Times New Roman" w:cs="Times New Roman"/>
          <w:bCs/>
          <w:sz w:val="24"/>
          <w:szCs w:val="24"/>
        </w:rPr>
      </w:pPr>
      <w:r w:rsidRPr="00C13660">
        <w:rPr>
          <w:rFonts w:ascii="Times New Roman" w:hAnsi="Times New Roman" w:cs="Times New Roman"/>
          <w:bCs/>
          <w:sz w:val="24"/>
          <w:szCs w:val="24"/>
        </w:rPr>
        <w:t xml:space="preserve">Entrikin, J. Nicholas, </w:t>
      </w:r>
      <w:r w:rsidRPr="00C13660">
        <w:rPr>
          <w:rFonts w:ascii="Times New Roman" w:hAnsi="Times New Roman" w:cs="Times New Roman"/>
          <w:bCs/>
          <w:i/>
          <w:sz w:val="24"/>
          <w:szCs w:val="24"/>
        </w:rPr>
        <w:t>The Betweenness of Place: Towards a Geography of Modernity</w:t>
      </w:r>
      <w:r w:rsidRPr="00C13660">
        <w:rPr>
          <w:rFonts w:ascii="Times New Roman" w:hAnsi="Times New Roman" w:cs="Times New Roman"/>
          <w:bCs/>
          <w:sz w:val="24"/>
          <w:szCs w:val="24"/>
        </w:rPr>
        <w:t xml:space="preserve"> (Houndmills: Macmillan, 1991)</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Faber, Richard, </w:t>
      </w:r>
      <w:r w:rsidRPr="00C13660">
        <w:rPr>
          <w:rFonts w:ascii="Times New Roman" w:hAnsi="Times New Roman" w:cs="Times New Roman"/>
          <w:i/>
          <w:iCs/>
          <w:sz w:val="24"/>
          <w:szCs w:val="24"/>
        </w:rPr>
        <w:t>Young England</w:t>
      </w:r>
      <w:r w:rsidRPr="00C13660">
        <w:rPr>
          <w:rFonts w:ascii="Times New Roman" w:hAnsi="Times New Roman" w:cs="Times New Roman"/>
          <w:sz w:val="24"/>
          <w:szCs w:val="24"/>
        </w:rPr>
        <w:t xml:space="preserve"> (London: Faber and Faber, 1987)</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lastRenderedPageBreak/>
        <w:t xml:space="preserve">Fay, C. R., </w:t>
      </w:r>
      <w:r w:rsidRPr="00C13660">
        <w:rPr>
          <w:rFonts w:ascii="Times New Roman" w:hAnsi="Times New Roman" w:cs="Times New Roman"/>
          <w:i/>
          <w:sz w:val="24"/>
          <w:szCs w:val="24"/>
        </w:rPr>
        <w:t>Life and Labour in the Nineteenth Century</w:t>
      </w:r>
      <w:r w:rsidRPr="00C13660">
        <w:rPr>
          <w:rFonts w:ascii="Times New Roman" w:hAnsi="Times New Roman" w:cs="Times New Roman"/>
          <w:sz w:val="24"/>
          <w:szCs w:val="24"/>
        </w:rPr>
        <w:t xml:space="preserve"> (Stroud: Nonesuch, 2006)</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Fernandez, Jean, </w:t>
      </w:r>
      <w:r>
        <w:rPr>
          <w:rFonts w:ascii="Times New Roman" w:hAnsi="Times New Roman" w:cs="Times New Roman"/>
          <w:i/>
          <w:sz w:val="24"/>
          <w:szCs w:val="24"/>
        </w:rPr>
        <w:t>Victorian Servants, Class, and the Politics of Literacy</w:t>
      </w:r>
      <w:r>
        <w:rPr>
          <w:rFonts w:ascii="Times New Roman" w:hAnsi="Times New Roman" w:cs="Times New Roman"/>
          <w:sz w:val="24"/>
          <w:szCs w:val="24"/>
        </w:rPr>
        <w:t xml:space="preserve"> (Abingdon: Routledge, 2010)</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Finn, Margot C., </w:t>
      </w:r>
      <w:r>
        <w:rPr>
          <w:rFonts w:ascii="Times New Roman" w:hAnsi="Times New Roman" w:cs="Times New Roman"/>
          <w:i/>
          <w:sz w:val="24"/>
          <w:szCs w:val="24"/>
        </w:rPr>
        <w:t>After Chartism: Class and Nation in English Radical Politics, 1848</w:t>
      </w:r>
      <w:r>
        <w:rPr>
          <w:rFonts w:ascii="Times New Roman" w:hAnsi="Times New Roman" w:cs="Times New Roman"/>
          <w:sz w:val="24"/>
          <w:szCs w:val="24"/>
        </w:rPr>
        <w:t>–</w:t>
      </w:r>
      <w:r>
        <w:rPr>
          <w:rFonts w:ascii="Times New Roman" w:hAnsi="Times New Roman" w:cs="Times New Roman"/>
          <w:i/>
          <w:sz w:val="24"/>
          <w:szCs w:val="24"/>
        </w:rPr>
        <w:t>1874</w:t>
      </w:r>
      <w:r>
        <w:rPr>
          <w:rFonts w:ascii="Times New Roman" w:hAnsi="Times New Roman" w:cs="Times New Roman"/>
          <w:sz w:val="24"/>
          <w:szCs w:val="24"/>
        </w:rPr>
        <w:t xml:space="preserve"> (Cambridge: Cambridge University Press, 1993)</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Gadian, David, ‘Class formation and class action in north-west industrial towns, 1830–50’, in </w:t>
      </w:r>
      <w:r>
        <w:rPr>
          <w:rFonts w:ascii="Times New Roman" w:hAnsi="Times New Roman" w:cs="Times New Roman"/>
          <w:i/>
          <w:iCs/>
          <w:sz w:val="24"/>
          <w:szCs w:val="24"/>
        </w:rPr>
        <w:t>Class, power and social structure in British nineteenth-century towns</w:t>
      </w:r>
      <w:r>
        <w:rPr>
          <w:rFonts w:ascii="Times New Roman" w:hAnsi="Times New Roman" w:cs="Times New Roman"/>
          <w:sz w:val="24"/>
          <w:szCs w:val="24"/>
        </w:rPr>
        <w:t>, ed.by R. J. Morris (Leicester: Leicester University Press)</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Gallagher, Catherine, </w:t>
      </w:r>
      <w:r>
        <w:rPr>
          <w:rFonts w:ascii="Times New Roman" w:hAnsi="Times New Roman" w:cs="Times New Roman"/>
          <w:i/>
          <w:sz w:val="24"/>
          <w:szCs w:val="24"/>
        </w:rPr>
        <w:t>The Industrial Reformation of English Fiction: Social Discourse and Narrative Form 1832</w:t>
      </w:r>
      <w:r>
        <w:rPr>
          <w:rFonts w:ascii="Times New Roman" w:hAnsi="Times New Roman" w:cs="Times New Roman"/>
          <w:sz w:val="24"/>
          <w:szCs w:val="24"/>
        </w:rPr>
        <w:t>–</w:t>
      </w:r>
      <w:r>
        <w:rPr>
          <w:rFonts w:ascii="Times New Roman" w:hAnsi="Times New Roman" w:cs="Times New Roman"/>
          <w:i/>
          <w:sz w:val="24"/>
          <w:szCs w:val="24"/>
        </w:rPr>
        <w:t>1867</w:t>
      </w:r>
      <w:r>
        <w:rPr>
          <w:rFonts w:ascii="Times New Roman" w:hAnsi="Times New Roman" w:cs="Times New Roman"/>
          <w:sz w:val="24"/>
          <w:szCs w:val="24"/>
        </w:rPr>
        <w:t xml:space="preserve"> (Chicago: Chicago of University Press, 1985)</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Genette, Gerard, </w:t>
      </w:r>
      <w:r>
        <w:rPr>
          <w:rFonts w:ascii="Times New Roman" w:hAnsi="Times New Roman" w:cs="Times New Roman"/>
          <w:i/>
          <w:sz w:val="24"/>
          <w:szCs w:val="24"/>
        </w:rPr>
        <w:t>Parataxis Thresholds of Interpretation</w:t>
      </w:r>
      <w:r>
        <w:rPr>
          <w:rFonts w:ascii="Times New Roman" w:hAnsi="Times New Roman" w:cs="Times New Roman"/>
          <w:sz w:val="24"/>
          <w:szCs w:val="24"/>
        </w:rPr>
        <w:t>, trans. by Jane E. Lewin (Cambridge: Cambridge University Press, 1997)</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Gilbert, Sandra M., and Susan Gubar, </w:t>
      </w:r>
      <w:r>
        <w:rPr>
          <w:rFonts w:ascii="Times New Roman" w:hAnsi="Times New Roman" w:cs="Times New Roman"/>
          <w:i/>
          <w:sz w:val="24"/>
          <w:szCs w:val="24"/>
        </w:rPr>
        <w:t>The Madwoman in the Attic. The Woman Writer and the Nineteenth-Century Literary Imagination</w:t>
      </w:r>
      <w:r>
        <w:rPr>
          <w:rFonts w:ascii="Times New Roman" w:hAnsi="Times New Roman" w:cs="Times New Roman"/>
          <w:sz w:val="24"/>
          <w:szCs w:val="24"/>
        </w:rPr>
        <w:t>, 2</w:t>
      </w:r>
      <w:r>
        <w:rPr>
          <w:rFonts w:ascii="Times New Roman" w:hAnsi="Times New Roman" w:cs="Times New Roman"/>
          <w:sz w:val="24"/>
          <w:szCs w:val="24"/>
          <w:vertAlign w:val="superscript"/>
        </w:rPr>
        <w:t>nd</w:t>
      </w:r>
      <w:r>
        <w:rPr>
          <w:rFonts w:ascii="Times New Roman" w:hAnsi="Times New Roman" w:cs="Times New Roman"/>
          <w:sz w:val="24"/>
          <w:szCs w:val="24"/>
        </w:rPr>
        <w:t xml:space="preserve"> edn (New Haven: Yale University Press, 2000)</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Gough, Harold, ‘G. W. M. Reynolds at Herne Bay’, </w:t>
      </w:r>
      <w:r w:rsidRPr="00C13660">
        <w:rPr>
          <w:rFonts w:ascii="Times New Roman" w:hAnsi="Times New Roman" w:cs="Times New Roman"/>
          <w:i/>
          <w:sz w:val="24"/>
          <w:szCs w:val="24"/>
        </w:rPr>
        <w:t>Bygone Kent</w:t>
      </w:r>
      <w:r w:rsidRPr="00C13660">
        <w:rPr>
          <w:rFonts w:ascii="Times New Roman" w:hAnsi="Times New Roman" w:cs="Times New Roman"/>
          <w:sz w:val="24"/>
          <w:szCs w:val="24"/>
        </w:rPr>
        <w:t>, 6.5 (1985), pp. 275–83</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Gramsci, Antonio, </w:t>
      </w:r>
      <w:r w:rsidRPr="00C13660">
        <w:rPr>
          <w:rFonts w:ascii="Times New Roman" w:hAnsi="Times New Roman" w:cs="Times New Roman"/>
          <w:i/>
          <w:iCs/>
          <w:sz w:val="24"/>
          <w:szCs w:val="24"/>
        </w:rPr>
        <w:t>Selections from the Prison Notebooks of Antonio Gramsci</w:t>
      </w:r>
      <w:r w:rsidRPr="00C13660">
        <w:rPr>
          <w:rFonts w:ascii="Times New Roman" w:hAnsi="Times New Roman" w:cs="Times New Roman"/>
          <w:sz w:val="24"/>
          <w:szCs w:val="24"/>
        </w:rPr>
        <w:t>, ed. and trans. by Quintin Hoare and Geoffrey Nowell Smith (London: Lawrence and Wishart, 1971)</w:t>
      </w:r>
    </w:p>
    <w:p w:rsidR="00967FD1" w:rsidRPr="00C13660" w:rsidRDefault="00967FD1" w:rsidP="00967FD1">
      <w:pPr>
        <w:pStyle w:val="FootnoteText"/>
        <w:spacing w:after="120" w:line="360" w:lineRule="auto"/>
        <w:rPr>
          <w:rFonts w:ascii="Times New Roman" w:hAnsi="Times New Roman"/>
          <w:sz w:val="24"/>
          <w:szCs w:val="24"/>
        </w:rPr>
      </w:pPr>
      <w:r w:rsidRPr="00C13660">
        <w:rPr>
          <w:rFonts w:ascii="Times New Roman" w:hAnsi="Times New Roman"/>
          <w:bCs/>
          <w:sz w:val="24"/>
          <w:szCs w:val="24"/>
        </w:rPr>
        <w:t xml:space="preserve">Gray, Peter, ‘National Humiliation and the Great Hunger: Fast and Famine in 1847’, </w:t>
      </w:r>
      <w:r w:rsidRPr="00C13660">
        <w:rPr>
          <w:rStyle w:val="HTMLCite"/>
          <w:rFonts w:ascii="Times New Roman" w:hAnsi="Times New Roman"/>
          <w:sz w:val="24"/>
          <w:szCs w:val="24"/>
        </w:rPr>
        <w:t>Irish Historical Studies</w:t>
      </w:r>
      <w:r w:rsidRPr="00C13660">
        <w:rPr>
          <w:rFonts w:ascii="Times New Roman" w:hAnsi="Times New Roman"/>
          <w:sz w:val="24"/>
          <w:szCs w:val="24"/>
        </w:rPr>
        <w:t>, 32.126 (November 2000), 193–216 &lt;</w:t>
      </w:r>
      <w:hyperlink r:id="rId28" w:history="1">
        <w:r w:rsidRPr="00C13660">
          <w:rPr>
            <w:rStyle w:val="Hyperlink"/>
            <w:rFonts w:ascii="Times New Roman" w:hAnsi="Times New Roman"/>
            <w:sz w:val="24"/>
            <w:szCs w:val="24"/>
          </w:rPr>
          <w:t>http://www.jstor.org/stable/30006996</w:t>
        </w:r>
      </w:hyperlink>
      <w:r w:rsidRPr="00F426DF">
        <w:rPr>
          <w:rStyle w:val="Hyperlink"/>
          <w:rFonts w:ascii="Times New Roman" w:hAnsi="Times New Roman"/>
          <w:color w:val="auto"/>
          <w:sz w:val="24"/>
          <w:szCs w:val="24"/>
          <w:u w:val="none"/>
        </w:rPr>
        <w:t xml:space="preserve">&gt; </w:t>
      </w:r>
      <w:r w:rsidRPr="00C13660">
        <w:rPr>
          <w:rFonts w:ascii="Times New Roman" w:hAnsi="Times New Roman"/>
          <w:sz w:val="24"/>
          <w:szCs w:val="24"/>
        </w:rPr>
        <w:t>[accessed 23 November 2016]</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Green, David, R., </w:t>
      </w:r>
      <w:r w:rsidRPr="00C13660">
        <w:rPr>
          <w:rFonts w:ascii="Times New Roman" w:hAnsi="Times New Roman" w:cs="Times New Roman"/>
          <w:i/>
          <w:sz w:val="24"/>
          <w:szCs w:val="24"/>
        </w:rPr>
        <w:t>People of the Rookery: A Pauper Community in Victorian London</w:t>
      </w:r>
      <w:r w:rsidRPr="00C13660">
        <w:rPr>
          <w:rFonts w:ascii="Times New Roman" w:hAnsi="Times New Roman" w:cs="Times New Roman"/>
          <w:sz w:val="24"/>
          <w:szCs w:val="24"/>
        </w:rPr>
        <w:t xml:space="preserve"> (London: University of London King’s College, 1986)</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Guy, Josephine M., </w:t>
      </w:r>
      <w:r w:rsidRPr="00C13660">
        <w:rPr>
          <w:rFonts w:ascii="Times New Roman" w:hAnsi="Times New Roman" w:cs="Times New Roman"/>
          <w:i/>
          <w:sz w:val="24"/>
          <w:szCs w:val="24"/>
        </w:rPr>
        <w:t>The Victorian Social-Problem Novel: The Market, the Individual and Communal Life</w:t>
      </w:r>
      <w:r w:rsidRPr="00C13660">
        <w:rPr>
          <w:rFonts w:ascii="Times New Roman" w:hAnsi="Times New Roman" w:cs="Times New Roman"/>
          <w:sz w:val="24"/>
          <w:szCs w:val="24"/>
        </w:rPr>
        <w:t xml:space="preserve"> (London: Macmillan, 1996)</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Hackenberg, Sara, ‘Vampires and Resurrection Men: The Perils and Pleasures of the Embodied Past in 1840s Sensational Fiction’, </w:t>
      </w:r>
      <w:r w:rsidRPr="00C13660">
        <w:rPr>
          <w:rFonts w:ascii="Times New Roman" w:hAnsi="Times New Roman" w:cs="Times New Roman"/>
          <w:i/>
          <w:iCs/>
          <w:sz w:val="24"/>
          <w:szCs w:val="24"/>
        </w:rPr>
        <w:t>Victorian Studies</w:t>
      </w:r>
      <w:r w:rsidRPr="00C13660">
        <w:rPr>
          <w:rFonts w:ascii="Times New Roman" w:hAnsi="Times New Roman" w:cs="Times New Roman"/>
          <w:sz w:val="24"/>
          <w:szCs w:val="24"/>
        </w:rPr>
        <w:t>, 52.1, Special Issue (Autumn 2009), 63–75 &lt;</w:t>
      </w:r>
      <w:hyperlink r:id="rId29" w:history="1">
        <w:r w:rsidRPr="00C13660">
          <w:rPr>
            <w:rStyle w:val="Hyperlink"/>
            <w:rFonts w:ascii="Times New Roman" w:hAnsi="Times New Roman" w:cs="Times New Roman"/>
            <w:sz w:val="24"/>
            <w:szCs w:val="24"/>
          </w:rPr>
          <w:t>http://www.jstor.org/stable/10.2979/VIC.2009.52.1.63</w:t>
        </w:r>
      </w:hyperlink>
      <w:r w:rsidRPr="00C13660">
        <w:rPr>
          <w:rFonts w:ascii="Times New Roman" w:hAnsi="Times New Roman" w:cs="Times New Roman"/>
          <w:sz w:val="24"/>
          <w:szCs w:val="24"/>
        </w:rPr>
        <w:t>&gt; [accessed 4 October 2013]</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lastRenderedPageBreak/>
        <w:t xml:space="preserve">Harrison, Brian, ‘The Sunday Trading Riots of 1855’, </w:t>
      </w:r>
      <w:r w:rsidRPr="00C13660">
        <w:rPr>
          <w:rFonts w:ascii="Times New Roman" w:hAnsi="Times New Roman" w:cs="Times New Roman"/>
          <w:i/>
          <w:sz w:val="24"/>
          <w:szCs w:val="24"/>
        </w:rPr>
        <w:t>The Historical Journal</w:t>
      </w:r>
      <w:r w:rsidRPr="00C13660">
        <w:rPr>
          <w:rFonts w:ascii="Times New Roman" w:hAnsi="Times New Roman" w:cs="Times New Roman"/>
          <w:sz w:val="24"/>
          <w:szCs w:val="24"/>
        </w:rPr>
        <w:t>, 8.2 (1965), pp. 219–45 &lt;</w:t>
      </w:r>
      <w:hyperlink r:id="rId30" w:history="1">
        <w:r w:rsidRPr="00C13660">
          <w:rPr>
            <w:rStyle w:val="Hyperlink"/>
            <w:rFonts w:ascii="Times New Roman" w:hAnsi="Times New Roman" w:cs="Times New Roman"/>
            <w:sz w:val="24"/>
            <w:szCs w:val="24"/>
          </w:rPr>
          <w:t>http://www.jstor.org/stable/3020459</w:t>
        </w:r>
      </w:hyperlink>
      <w:r w:rsidRPr="00F426DF">
        <w:rPr>
          <w:rStyle w:val="Hyperlink"/>
          <w:rFonts w:ascii="Times New Roman" w:hAnsi="Times New Roman" w:cs="Times New Roman"/>
          <w:color w:val="auto"/>
          <w:sz w:val="24"/>
          <w:szCs w:val="24"/>
          <w:u w:val="none"/>
        </w:rPr>
        <w:t>&gt;</w:t>
      </w:r>
      <w:r w:rsidRPr="00C13660">
        <w:rPr>
          <w:rFonts w:ascii="Times New Roman" w:hAnsi="Times New Roman" w:cs="Times New Roman"/>
          <w:sz w:val="24"/>
          <w:szCs w:val="24"/>
        </w:rPr>
        <w:t xml:space="preserve"> [accessed 29 November 2016]</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vertAlign w:val="superscript"/>
        </w:rPr>
        <w:t>______________</w:t>
      </w:r>
      <w:r w:rsidRPr="00C13660">
        <w:rPr>
          <w:rFonts w:ascii="Times New Roman" w:hAnsi="Times New Roman" w:cs="Times New Roman"/>
          <w:sz w:val="24"/>
          <w:szCs w:val="24"/>
        </w:rPr>
        <w:t>,</w:t>
      </w:r>
      <w:r w:rsidRPr="00C13660">
        <w:rPr>
          <w:rFonts w:ascii="Times New Roman" w:hAnsi="Times New Roman" w:cs="Times New Roman"/>
          <w:sz w:val="24"/>
          <w:szCs w:val="24"/>
          <w:vertAlign w:val="superscript"/>
        </w:rPr>
        <w:tab/>
      </w:r>
      <w:r w:rsidRPr="00C13660">
        <w:rPr>
          <w:rFonts w:ascii="Times New Roman" w:hAnsi="Times New Roman" w:cs="Times New Roman"/>
          <w:sz w:val="24"/>
          <w:szCs w:val="24"/>
        </w:rPr>
        <w:t xml:space="preserve">‘“A World of Which We Had No Conception.”  Liberalism and the English Temperance Press: 1830–1872’, </w:t>
      </w:r>
      <w:r w:rsidRPr="00C13660">
        <w:rPr>
          <w:rFonts w:ascii="Times New Roman" w:hAnsi="Times New Roman" w:cs="Times New Roman"/>
          <w:i/>
          <w:sz w:val="24"/>
          <w:szCs w:val="24"/>
        </w:rPr>
        <w:t>Victorian Studies</w:t>
      </w:r>
      <w:r w:rsidRPr="00C13660">
        <w:rPr>
          <w:rFonts w:ascii="Times New Roman" w:hAnsi="Times New Roman" w:cs="Times New Roman"/>
          <w:sz w:val="24"/>
          <w:szCs w:val="24"/>
        </w:rPr>
        <w:t>, 13.2 (December 1969), 125–58 &lt;</w:t>
      </w:r>
      <w:hyperlink r:id="rId31" w:history="1">
        <w:r w:rsidRPr="00C13660">
          <w:rPr>
            <w:rStyle w:val="Hyperlink"/>
            <w:rFonts w:ascii="Times New Roman" w:hAnsi="Times New Roman" w:cs="Times New Roman"/>
            <w:sz w:val="24"/>
            <w:szCs w:val="24"/>
          </w:rPr>
          <w:t>http://www.jstor.org/stable/3826056</w:t>
        </w:r>
      </w:hyperlink>
      <w:r w:rsidRPr="00F426DF">
        <w:rPr>
          <w:rStyle w:val="Hyperlink"/>
          <w:rFonts w:ascii="Times New Roman" w:hAnsi="Times New Roman" w:cs="Times New Roman"/>
          <w:color w:val="auto"/>
          <w:sz w:val="24"/>
          <w:szCs w:val="24"/>
          <w:u w:val="none"/>
        </w:rPr>
        <w:t>&gt;</w:t>
      </w:r>
      <w:r w:rsidRPr="00F426DF">
        <w:rPr>
          <w:rFonts w:ascii="Times New Roman" w:hAnsi="Times New Roman" w:cs="Times New Roman"/>
          <w:sz w:val="24"/>
          <w:szCs w:val="24"/>
        </w:rPr>
        <w:t xml:space="preserve"> [</w:t>
      </w:r>
      <w:r w:rsidRPr="00C13660">
        <w:rPr>
          <w:rFonts w:ascii="Times New Roman" w:hAnsi="Times New Roman" w:cs="Times New Roman"/>
          <w:sz w:val="24"/>
          <w:szCs w:val="24"/>
        </w:rPr>
        <w:t>accessed 3 October 2016]</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Hartcup, Adeline, </w:t>
      </w:r>
      <w:r w:rsidRPr="00C13660">
        <w:rPr>
          <w:rFonts w:ascii="Times New Roman" w:hAnsi="Times New Roman" w:cs="Times New Roman"/>
          <w:i/>
          <w:sz w:val="24"/>
          <w:szCs w:val="24"/>
        </w:rPr>
        <w:t>Below Stairs in the Great Country Houses</w:t>
      </w:r>
      <w:r w:rsidRPr="00C13660">
        <w:rPr>
          <w:rFonts w:ascii="Times New Roman" w:hAnsi="Times New Roman" w:cs="Times New Roman"/>
          <w:sz w:val="24"/>
          <w:szCs w:val="24"/>
        </w:rPr>
        <w:t xml:space="preserve"> (London: Sidgwick and Jackson, 1980)</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Hauser, Helen, ‘Form and Reform: The “Miscellany Novel”’, </w:t>
      </w:r>
      <w:r w:rsidRPr="00C13660">
        <w:rPr>
          <w:rFonts w:ascii="Times New Roman" w:hAnsi="Times New Roman" w:cs="Times New Roman"/>
          <w:i/>
          <w:iCs/>
          <w:sz w:val="24"/>
          <w:szCs w:val="24"/>
        </w:rPr>
        <w:t>Victorian Literature and Culture</w:t>
      </w:r>
      <w:r w:rsidRPr="00C13660">
        <w:rPr>
          <w:rFonts w:ascii="Times New Roman" w:hAnsi="Times New Roman" w:cs="Times New Roman"/>
          <w:sz w:val="24"/>
          <w:szCs w:val="24"/>
        </w:rPr>
        <w:t>, 41 (2013), 21–40 &lt;doi: 10.1017/S1060150312000204&gt;</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Ian Haywood, ‘George W. M. Reynolds and the radicalization of Victorian serial fiction’, </w:t>
      </w:r>
      <w:r w:rsidRPr="00C13660">
        <w:rPr>
          <w:rFonts w:ascii="Times New Roman" w:hAnsi="Times New Roman" w:cs="Times New Roman"/>
          <w:i/>
          <w:sz w:val="24"/>
          <w:szCs w:val="24"/>
        </w:rPr>
        <w:t>Media History</w:t>
      </w:r>
      <w:r w:rsidRPr="00C13660">
        <w:rPr>
          <w:rFonts w:ascii="Times New Roman" w:hAnsi="Times New Roman" w:cs="Times New Roman"/>
          <w:sz w:val="24"/>
          <w:szCs w:val="24"/>
        </w:rPr>
        <w:t>, 4.2 (1998), 121–39 &lt;</w:t>
      </w:r>
      <w:hyperlink r:id="rId32" w:history="1">
        <w:r w:rsidRPr="00C13660">
          <w:rPr>
            <w:rStyle w:val="Hyperlink"/>
            <w:rFonts w:ascii="Times New Roman" w:hAnsi="Times New Roman" w:cs="Times New Roman"/>
            <w:sz w:val="24"/>
            <w:szCs w:val="24"/>
          </w:rPr>
          <w:t>https://doi.org/10.1080/13688809809357940</w:t>
        </w:r>
      </w:hyperlink>
      <w:r w:rsidRPr="00C13660">
        <w:rPr>
          <w:rFonts w:ascii="Times New Roman" w:hAnsi="Times New Roman" w:cs="Times New Roman"/>
          <w:sz w:val="24"/>
          <w:szCs w:val="24"/>
        </w:rPr>
        <w:t>&gt;</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vertAlign w:val="superscript"/>
        </w:rPr>
        <w:t>______________</w:t>
      </w:r>
      <w:r w:rsidRPr="00C13660">
        <w:rPr>
          <w:rFonts w:ascii="Times New Roman" w:hAnsi="Times New Roman" w:cs="Times New Roman"/>
          <w:sz w:val="24"/>
          <w:szCs w:val="24"/>
        </w:rPr>
        <w:t>,</w:t>
      </w:r>
      <w:r w:rsidRPr="00C13660">
        <w:rPr>
          <w:rFonts w:ascii="Times New Roman" w:hAnsi="Times New Roman" w:cs="Times New Roman"/>
          <w:sz w:val="24"/>
          <w:szCs w:val="24"/>
          <w:vertAlign w:val="superscript"/>
        </w:rPr>
        <w:tab/>
      </w:r>
      <w:r w:rsidRPr="00C13660">
        <w:rPr>
          <w:rFonts w:ascii="Times New Roman" w:hAnsi="Times New Roman" w:cs="Times New Roman"/>
          <w:sz w:val="24"/>
          <w:szCs w:val="24"/>
        </w:rPr>
        <w:t xml:space="preserve">‘George W. M. Reynolds and ‘The Trafalgar Square Revolution’: radicalism, the carnivalesque and popular culture in mid-Victorian England’, </w:t>
      </w:r>
      <w:r w:rsidRPr="00C13660">
        <w:rPr>
          <w:rFonts w:ascii="Times New Roman" w:hAnsi="Times New Roman" w:cs="Times New Roman"/>
          <w:i/>
          <w:sz w:val="24"/>
          <w:szCs w:val="24"/>
        </w:rPr>
        <w:t>Journal of Victorian Culture</w:t>
      </w:r>
      <w:r w:rsidRPr="00C13660">
        <w:rPr>
          <w:rFonts w:ascii="Times New Roman" w:hAnsi="Times New Roman" w:cs="Times New Roman"/>
          <w:sz w:val="24"/>
          <w:szCs w:val="24"/>
        </w:rPr>
        <w:t>, 7:1, 23–59 &lt;</w:t>
      </w:r>
      <w:hyperlink r:id="rId33" w:history="1">
        <w:r w:rsidRPr="00C13660">
          <w:rPr>
            <w:rStyle w:val="Hyperlink"/>
            <w:rFonts w:ascii="Times New Roman" w:hAnsi="Times New Roman" w:cs="Times New Roman"/>
            <w:sz w:val="24"/>
            <w:szCs w:val="24"/>
          </w:rPr>
          <w:t>http://dx.doi.org/10.3366/jvc.2002.7.1.23</w:t>
        </w:r>
      </w:hyperlink>
      <w:r w:rsidRPr="00F426DF">
        <w:rPr>
          <w:rStyle w:val="Hyperlink"/>
          <w:rFonts w:ascii="Times New Roman" w:hAnsi="Times New Roman" w:cs="Times New Roman"/>
          <w:color w:val="auto"/>
          <w:sz w:val="24"/>
          <w:szCs w:val="24"/>
          <w:u w:val="none"/>
        </w:rPr>
        <w:t>&gt;</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vertAlign w:val="superscript"/>
        </w:rPr>
        <w:t>______________</w:t>
      </w:r>
      <w:r w:rsidRPr="00C13660">
        <w:rPr>
          <w:rFonts w:ascii="Times New Roman" w:hAnsi="Times New Roman" w:cs="Times New Roman"/>
          <w:sz w:val="24"/>
          <w:szCs w:val="24"/>
        </w:rPr>
        <w:t>,</w:t>
      </w:r>
      <w:r w:rsidRPr="00C13660">
        <w:rPr>
          <w:rFonts w:ascii="Times New Roman" w:hAnsi="Times New Roman" w:cs="Times New Roman"/>
          <w:sz w:val="24"/>
          <w:szCs w:val="24"/>
          <w:vertAlign w:val="superscript"/>
        </w:rPr>
        <w:tab/>
      </w:r>
      <w:r w:rsidRPr="00C13660">
        <w:rPr>
          <w:rFonts w:ascii="Times New Roman" w:hAnsi="Times New Roman" w:cs="Times New Roman"/>
          <w:i/>
          <w:sz w:val="24"/>
          <w:szCs w:val="24"/>
        </w:rPr>
        <w:t>The Revolution in Popular Literature: Print, Politics and the People, 1790-1860</w:t>
      </w:r>
      <w:r w:rsidRPr="00C13660">
        <w:rPr>
          <w:rFonts w:ascii="Times New Roman" w:hAnsi="Times New Roman" w:cs="Times New Roman"/>
          <w:sz w:val="24"/>
          <w:szCs w:val="24"/>
        </w:rPr>
        <w:t xml:space="preserve"> (Cambridge: Cambridge University Press, 2004)</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Himmelfarb, Gertrude, </w:t>
      </w:r>
      <w:r w:rsidRPr="00C13660">
        <w:rPr>
          <w:rFonts w:ascii="Times New Roman" w:hAnsi="Times New Roman" w:cs="Times New Roman"/>
          <w:i/>
          <w:sz w:val="24"/>
          <w:szCs w:val="24"/>
        </w:rPr>
        <w:t>The Idea of Poverty.  England in the Early Industrial Age</w:t>
      </w:r>
      <w:r w:rsidRPr="00C13660">
        <w:rPr>
          <w:rFonts w:ascii="Times New Roman" w:hAnsi="Times New Roman" w:cs="Times New Roman"/>
          <w:sz w:val="24"/>
          <w:szCs w:val="24"/>
        </w:rPr>
        <w:t xml:space="preserve"> (London: Faber and Faber, 1984)</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Hindes, Jessica, ‘Revealing Bodies: Knowledge, Power and Mass Market Fictions in G. W. M. Reynolds’s</w:t>
      </w:r>
      <w:r w:rsidRPr="00C13660">
        <w:rPr>
          <w:rFonts w:ascii="Times New Roman" w:hAnsi="Times New Roman" w:cs="Times New Roman"/>
          <w:i/>
          <w:sz w:val="24"/>
          <w:szCs w:val="24"/>
        </w:rPr>
        <w:t xml:space="preserve"> Mysteries of London</w:t>
      </w:r>
      <w:r w:rsidRPr="00C13660">
        <w:rPr>
          <w:rFonts w:ascii="Times New Roman" w:hAnsi="Times New Roman" w:cs="Times New Roman"/>
          <w:sz w:val="24"/>
          <w:szCs w:val="24"/>
        </w:rPr>
        <w:t>’ (</w:t>
      </w:r>
      <w:r w:rsidRPr="00C13660">
        <w:rPr>
          <w:rFonts w:ascii="Times New Roman" w:eastAsiaTheme="minorHAnsi" w:hAnsi="Times New Roman" w:cs="Times New Roman"/>
          <w:sz w:val="24"/>
          <w:szCs w:val="24"/>
        </w:rPr>
        <w:t>unpublished doctoral thesis</w:t>
      </w:r>
      <w:r w:rsidRPr="00C13660">
        <w:rPr>
          <w:rFonts w:ascii="Times New Roman" w:hAnsi="Times New Roman" w:cs="Times New Roman"/>
          <w:sz w:val="24"/>
          <w:szCs w:val="24"/>
        </w:rPr>
        <w:t>, Royal Holloway, University of London, [n.d.])</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Hobsbawm, E. J., and George Rudé, </w:t>
      </w:r>
      <w:r w:rsidRPr="00C13660">
        <w:rPr>
          <w:rFonts w:ascii="Times New Roman" w:hAnsi="Times New Roman" w:cs="Times New Roman"/>
          <w:i/>
          <w:sz w:val="24"/>
          <w:szCs w:val="24"/>
        </w:rPr>
        <w:t>Captain Swing</w:t>
      </w:r>
      <w:r w:rsidRPr="00C13660">
        <w:rPr>
          <w:rFonts w:ascii="Times New Roman" w:hAnsi="Times New Roman" w:cs="Times New Roman"/>
          <w:sz w:val="24"/>
          <w:szCs w:val="24"/>
        </w:rPr>
        <w:t xml:space="preserve"> (London: Lawrence and Wishart, 1969)</w:t>
      </w:r>
    </w:p>
    <w:p w:rsidR="00967FD1" w:rsidRPr="00C13660" w:rsidRDefault="00967FD1" w:rsidP="00967FD1">
      <w:pPr>
        <w:spacing w:after="120" w:line="360" w:lineRule="auto"/>
        <w:rPr>
          <w:rFonts w:ascii="Times New Roman" w:hAnsi="Times New Roman" w:cs="Times New Roman"/>
          <w:bCs/>
          <w:sz w:val="24"/>
          <w:szCs w:val="24"/>
        </w:rPr>
      </w:pPr>
      <w:r w:rsidRPr="00C13660">
        <w:rPr>
          <w:rFonts w:ascii="Times New Roman" w:hAnsi="Times New Roman" w:cs="Times New Roman"/>
          <w:bCs/>
          <w:sz w:val="24"/>
          <w:szCs w:val="24"/>
        </w:rPr>
        <w:t xml:space="preserve">Horn, Pamela, </w:t>
      </w:r>
      <w:r w:rsidRPr="00C13660">
        <w:rPr>
          <w:rFonts w:ascii="Times New Roman" w:hAnsi="Times New Roman" w:cs="Times New Roman"/>
          <w:bCs/>
          <w:i/>
          <w:sz w:val="24"/>
          <w:szCs w:val="24"/>
        </w:rPr>
        <w:t>The Rise and Fall of the Victorian Servant</w:t>
      </w:r>
      <w:r w:rsidRPr="00C13660">
        <w:rPr>
          <w:rFonts w:ascii="Times New Roman" w:hAnsi="Times New Roman" w:cs="Times New Roman"/>
          <w:bCs/>
          <w:sz w:val="24"/>
          <w:szCs w:val="24"/>
        </w:rPr>
        <w:t xml:space="preserve"> (Dublin: Gill and Macmillan, 1975)</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Howarth, T. E. B., </w:t>
      </w:r>
      <w:r w:rsidRPr="00C13660">
        <w:rPr>
          <w:rFonts w:ascii="Times New Roman" w:hAnsi="Times New Roman" w:cs="Times New Roman"/>
          <w:i/>
          <w:sz w:val="24"/>
          <w:szCs w:val="24"/>
        </w:rPr>
        <w:t>Citizen-King. The Life of Louis Philippe King of the French</w:t>
      </w:r>
      <w:r w:rsidRPr="00C13660">
        <w:rPr>
          <w:rFonts w:ascii="Times New Roman" w:hAnsi="Times New Roman" w:cs="Times New Roman"/>
          <w:sz w:val="24"/>
          <w:szCs w:val="24"/>
        </w:rPr>
        <w:t xml:space="preserve"> (London: Eyre &amp; Spottiswoode, 1961)</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Huggett, Frank, </w:t>
      </w:r>
      <w:r w:rsidRPr="00C13660">
        <w:rPr>
          <w:rFonts w:ascii="Times New Roman" w:hAnsi="Times New Roman" w:cs="Times New Roman"/>
          <w:i/>
          <w:sz w:val="24"/>
          <w:szCs w:val="24"/>
        </w:rPr>
        <w:t>Life Below Stairs: Domestic Servants in England from Victorian Times</w:t>
      </w:r>
      <w:r w:rsidRPr="00C13660">
        <w:rPr>
          <w:rFonts w:ascii="Times New Roman" w:hAnsi="Times New Roman" w:cs="Times New Roman"/>
          <w:sz w:val="24"/>
          <w:szCs w:val="24"/>
        </w:rPr>
        <w:t>, (London: Murray, 1977)</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Humpherys, Anne, ‘G. W. M. Reynolds: Popular Literature &amp; Popular Politics’, </w:t>
      </w:r>
      <w:r w:rsidRPr="00C13660">
        <w:rPr>
          <w:rFonts w:ascii="Times New Roman" w:hAnsi="Times New Roman" w:cs="Times New Roman"/>
          <w:i/>
          <w:iCs/>
          <w:sz w:val="24"/>
          <w:szCs w:val="24"/>
        </w:rPr>
        <w:t>Victorian Periodicals Review</w:t>
      </w:r>
      <w:r w:rsidRPr="00C13660">
        <w:rPr>
          <w:rFonts w:ascii="Times New Roman" w:hAnsi="Times New Roman" w:cs="Times New Roman"/>
          <w:sz w:val="24"/>
          <w:szCs w:val="24"/>
        </w:rPr>
        <w:t>, 16.3/4 (Fall–Winter, 1983), 79–89 &lt;</w:t>
      </w:r>
      <w:hyperlink r:id="rId34" w:history="1">
        <w:r w:rsidRPr="00C13660">
          <w:rPr>
            <w:rStyle w:val="Hyperlink"/>
            <w:rFonts w:ascii="Times New Roman" w:hAnsi="Times New Roman" w:cs="Times New Roman"/>
            <w:sz w:val="24"/>
            <w:szCs w:val="24"/>
          </w:rPr>
          <w:t>http://www.jstor.org/stable/20082085</w:t>
        </w:r>
      </w:hyperlink>
      <w:r w:rsidRPr="00C13660">
        <w:rPr>
          <w:rFonts w:ascii="Times New Roman" w:hAnsi="Times New Roman" w:cs="Times New Roman"/>
          <w:sz w:val="24"/>
          <w:szCs w:val="24"/>
        </w:rPr>
        <w:t>&gt; [accessed 4 October 2013]</w:t>
      </w:r>
    </w:p>
    <w:p w:rsidR="00967FD1" w:rsidRPr="00C13660" w:rsidRDefault="00967FD1" w:rsidP="00967FD1">
      <w:pPr>
        <w:pStyle w:val="Default"/>
        <w:spacing w:after="120" w:line="360" w:lineRule="auto"/>
        <w:rPr>
          <w:rFonts w:ascii="Times New Roman" w:hAnsi="Times New Roman" w:cs="Times New Roman"/>
          <w:color w:val="auto"/>
        </w:rPr>
      </w:pPr>
      <w:r w:rsidRPr="00C13660">
        <w:rPr>
          <w:rFonts w:ascii="Times New Roman" w:hAnsi="Times New Roman" w:cs="Times New Roman"/>
          <w:color w:val="auto"/>
          <w:vertAlign w:val="superscript"/>
        </w:rPr>
        <w:lastRenderedPageBreak/>
        <w:t>______________</w:t>
      </w:r>
      <w:r w:rsidRPr="00C13660">
        <w:rPr>
          <w:rFonts w:ascii="Times New Roman" w:hAnsi="Times New Roman" w:cs="Times New Roman"/>
          <w:color w:val="auto"/>
        </w:rPr>
        <w:t>,</w:t>
      </w:r>
      <w:r w:rsidRPr="00C13660">
        <w:rPr>
          <w:rFonts w:ascii="Times New Roman" w:hAnsi="Times New Roman" w:cs="Times New Roman"/>
          <w:color w:val="auto"/>
          <w:vertAlign w:val="superscript"/>
        </w:rPr>
        <w:tab/>
      </w:r>
      <w:r w:rsidRPr="00C13660">
        <w:rPr>
          <w:rFonts w:ascii="Times New Roman" w:hAnsi="Times New Roman" w:cs="Times New Roman"/>
          <w:color w:val="auto"/>
        </w:rPr>
        <w:t xml:space="preserve">‘Generic Strands and Urban Twists: The Victorian Mysteries Novel’, </w:t>
      </w:r>
      <w:r w:rsidRPr="00C13660">
        <w:rPr>
          <w:rFonts w:ascii="Times New Roman" w:hAnsi="Times New Roman" w:cs="Times New Roman"/>
          <w:i/>
          <w:color w:val="auto"/>
        </w:rPr>
        <w:t>Victorian Studies</w:t>
      </w:r>
      <w:r w:rsidRPr="00C13660">
        <w:rPr>
          <w:rFonts w:ascii="Times New Roman" w:hAnsi="Times New Roman" w:cs="Times New Roman"/>
          <w:color w:val="auto"/>
        </w:rPr>
        <w:t>, 34.4 (Summer 1991), 455–472 &lt;</w:t>
      </w:r>
      <w:hyperlink r:id="rId35" w:history="1">
        <w:r w:rsidRPr="00C13660">
          <w:rPr>
            <w:rStyle w:val="Hyperlink"/>
            <w:rFonts w:ascii="Times New Roman" w:hAnsi="Times New Roman" w:cs="Times New Roman"/>
            <w:color w:val="auto"/>
          </w:rPr>
          <w:t>http://www.jstor.org/stable/3828133</w:t>
        </w:r>
      </w:hyperlink>
      <w:r w:rsidRPr="00C13660">
        <w:rPr>
          <w:rFonts w:ascii="Times New Roman" w:hAnsi="Times New Roman" w:cs="Times New Roman"/>
          <w:color w:val="auto"/>
        </w:rPr>
        <w:t>&gt; [accessed 4 October 2013]</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vertAlign w:val="superscript"/>
        </w:rPr>
        <w:t>______________</w:t>
      </w:r>
      <w:r w:rsidRPr="00C13660">
        <w:rPr>
          <w:rFonts w:ascii="Times New Roman" w:hAnsi="Times New Roman" w:cs="Times New Roman"/>
          <w:sz w:val="24"/>
          <w:szCs w:val="24"/>
        </w:rPr>
        <w:t>,</w:t>
      </w:r>
      <w:r w:rsidRPr="00C13660">
        <w:rPr>
          <w:rFonts w:ascii="Times New Roman" w:hAnsi="Times New Roman" w:cs="Times New Roman"/>
          <w:sz w:val="24"/>
          <w:szCs w:val="24"/>
          <w:vertAlign w:val="superscript"/>
        </w:rPr>
        <w:tab/>
      </w:r>
      <w:r w:rsidRPr="00C13660">
        <w:rPr>
          <w:rFonts w:ascii="Times New Roman" w:hAnsi="Times New Roman" w:cs="Times New Roman"/>
          <w:sz w:val="24"/>
          <w:szCs w:val="24"/>
        </w:rPr>
        <w:t xml:space="preserve">‘The Geometry of the Modern City: G. W. M. Reynolds and "The Mysteries of London"’, </w:t>
      </w:r>
      <w:r w:rsidRPr="00C13660">
        <w:rPr>
          <w:rFonts w:ascii="Times New Roman" w:hAnsi="Times New Roman" w:cs="Times New Roman"/>
          <w:i/>
          <w:iCs/>
          <w:sz w:val="24"/>
          <w:szCs w:val="24"/>
        </w:rPr>
        <w:t>Browning Institute Studies</w:t>
      </w:r>
      <w:r w:rsidRPr="00C13660">
        <w:rPr>
          <w:rFonts w:ascii="Times New Roman" w:hAnsi="Times New Roman" w:cs="Times New Roman"/>
          <w:sz w:val="24"/>
          <w:szCs w:val="24"/>
        </w:rPr>
        <w:t>, 11 (1983), 69–80</w:t>
      </w:r>
    </w:p>
    <w:p w:rsidR="00967FD1" w:rsidRPr="00C13660" w:rsidRDefault="00967FD1" w:rsidP="00967FD1">
      <w:pPr>
        <w:pStyle w:val="Default"/>
        <w:spacing w:after="120" w:line="360" w:lineRule="auto"/>
        <w:rPr>
          <w:rFonts w:ascii="Times New Roman" w:hAnsi="Times New Roman" w:cs="Times New Roman"/>
          <w:color w:val="auto"/>
        </w:rPr>
      </w:pPr>
      <w:r w:rsidRPr="00C13660">
        <w:rPr>
          <w:rFonts w:ascii="Times New Roman" w:hAnsi="Times New Roman" w:cs="Times New Roman"/>
          <w:color w:val="auto"/>
        </w:rPr>
        <w:t xml:space="preserve">Humpherys, Anne, and Louis James, eds, </w:t>
      </w:r>
      <w:r w:rsidRPr="00C13660">
        <w:rPr>
          <w:rFonts w:ascii="Times New Roman" w:hAnsi="Times New Roman" w:cs="Times New Roman"/>
          <w:i/>
          <w:color w:val="auto"/>
        </w:rPr>
        <w:t>G. W. M. Reynolds: Nineteenth-Century Fiction, Politics, and the Press</w:t>
      </w:r>
      <w:r w:rsidRPr="00C13660">
        <w:rPr>
          <w:rFonts w:ascii="Times New Roman" w:hAnsi="Times New Roman" w:cs="Times New Roman"/>
          <w:color w:val="auto"/>
        </w:rPr>
        <w:t xml:space="preserve"> (London: Ashgate Publishing, 2008)</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James, Louis, </w:t>
      </w:r>
      <w:r w:rsidRPr="00C13660">
        <w:rPr>
          <w:rFonts w:ascii="Times New Roman" w:hAnsi="Times New Roman" w:cs="Times New Roman"/>
          <w:i/>
          <w:sz w:val="24"/>
          <w:szCs w:val="24"/>
        </w:rPr>
        <w:t>Fiction for the Working Man 1830 – 1850: A Study of the literature produced for the working classes in early Victorian urban England</w:t>
      </w:r>
      <w:r w:rsidRPr="00C13660">
        <w:rPr>
          <w:rFonts w:ascii="Times New Roman" w:hAnsi="Times New Roman" w:cs="Times New Roman"/>
          <w:sz w:val="24"/>
          <w:szCs w:val="24"/>
        </w:rPr>
        <w:t xml:space="preserve"> (Oxford: Oxford University Press, 1963)</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vertAlign w:val="superscript"/>
        </w:rPr>
        <w:t>______________</w:t>
      </w:r>
      <w:r w:rsidRPr="00C13660">
        <w:rPr>
          <w:rFonts w:ascii="Times New Roman" w:hAnsi="Times New Roman" w:cs="Times New Roman"/>
          <w:sz w:val="24"/>
          <w:szCs w:val="24"/>
        </w:rPr>
        <w:t>,</w:t>
      </w:r>
      <w:r w:rsidRPr="00C13660">
        <w:rPr>
          <w:rFonts w:ascii="Times New Roman" w:hAnsi="Times New Roman" w:cs="Times New Roman"/>
          <w:sz w:val="24"/>
          <w:szCs w:val="24"/>
          <w:vertAlign w:val="superscript"/>
        </w:rPr>
        <w:tab/>
      </w:r>
      <w:r w:rsidRPr="00C13660">
        <w:rPr>
          <w:rFonts w:ascii="Times New Roman" w:hAnsi="Times New Roman" w:cs="Times New Roman"/>
          <w:sz w:val="24"/>
          <w:szCs w:val="24"/>
        </w:rPr>
        <w:t xml:space="preserve">‘Foreword’, </w:t>
      </w:r>
      <w:r w:rsidRPr="00C13660">
        <w:rPr>
          <w:rFonts w:ascii="Times New Roman" w:hAnsi="Times New Roman" w:cs="Times New Roman"/>
          <w:i/>
          <w:sz w:val="24"/>
          <w:szCs w:val="24"/>
        </w:rPr>
        <w:t>The Mysteries of London</w:t>
      </w:r>
      <w:r w:rsidRPr="00C13660">
        <w:rPr>
          <w:rFonts w:ascii="Times New Roman" w:hAnsi="Times New Roman" w:cs="Times New Roman"/>
          <w:sz w:val="24"/>
          <w:szCs w:val="24"/>
        </w:rPr>
        <w:t xml:space="preserve"> (Kansas: Valancourt Books, 2013</w:t>
      </w:r>
      <w:r w:rsidRPr="00C13660">
        <w:rPr>
          <w:rFonts w:ascii="Times New Roman" w:hAnsi="Times New Roman" w:cs="Times New Roman"/>
          <w:sz w:val="24"/>
          <w:szCs w:val="24"/>
          <w:vertAlign w:val="superscript"/>
        </w:rPr>
        <w:t>__</w:t>
      </w:r>
      <w:r w:rsidRPr="00C13660">
        <w:rPr>
          <w:rFonts w:ascii="Times New Roman" w:hAnsi="Times New Roman" w:cs="Times New Roman"/>
          <w:sz w:val="24"/>
          <w:szCs w:val="24"/>
        </w:rPr>
        <w:t>), I, pp. v–xi</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vertAlign w:val="superscript"/>
        </w:rPr>
        <w:t>______________</w:t>
      </w:r>
      <w:r w:rsidRPr="00C13660">
        <w:rPr>
          <w:rFonts w:ascii="Times New Roman" w:hAnsi="Times New Roman" w:cs="Times New Roman"/>
          <w:sz w:val="24"/>
          <w:szCs w:val="24"/>
        </w:rPr>
        <w:t>,</w:t>
      </w:r>
      <w:r w:rsidRPr="00C13660">
        <w:rPr>
          <w:rFonts w:ascii="Times New Roman" w:hAnsi="Times New Roman" w:cs="Times New Roman"/>
          <w:sz w:val="24"/>
          <w:szCs w:val="24"/>
          <w:vertAlign w:val="superscript"/>
        </w:rPr>
        <w:tab/>
      </w:r>
      <w:r w:rsidRPr="00C13660">
        <w:rPr>
          <w:rFonts w:ascii="Times New Roman" w:eastAsia="Times New Roman" w:hAnsi="Times New Roman" w:cs="Times New Roman"/>
          <w:sz w:val="24"/>
          <w:szCs w:val="24"/>
          <w:lang w:eastAsia="en-GB"/>
        </w:rPr>
        <w:t xml:space="preserve">‘From Egan to Reynolds: The shaping of urban ‘Mysteries’ in England and France, 1821-48’, </w:t>
      </w:r>
      <w:r w:rsidRPr="00C13660">
        <w:rPr>
          <w:rFonts w:ascii="Times New Roman" w:eastAsia="Times New Roman" w:hAnsi="Times New Roman" w:cs="Times New Roman"/>
          <w:i/>
          <w:sz w:val="24"/>
          <w:szCs w:val="24"/>
          <w:lang w:eastAsia="en-GB"/>
        </w:rPr>
        <w:t>European Journal of English Studies</w:t>
      </w:r>
      <w:r w:rsidRPr="00C13660">
        <w:rPr>
          <w:rFonts w:ascii="Times New Roman" w:eastAsia="Times New Roman" w:hAnsi="Times New Roman" w:cs="Times New Roman"/>
          <w:sz w:val="24"/>
          <w:szCs w:val="24"/>
          <w:lang w:eastAsia="en-GB"/>
        </w:rPr>
        <w:t>, 14:2 (2010), 95</w:t>
      </w:r>
      <w:r w:rsidRPr="00C13660">
        <w:rPr>
          <w:rFonts w:ascii="Times New Roman" w:hAnsi="Times New Roman" w:cs="Times New Roman"/>
          <w:sz w:val="24"/>
          <w:szCs w:val="24"/>
        </w:rPr>
        <w:t>–</w:t>
      </w:r>
      <w:r w:rsidRPr="00C13660">
        <w:rPr>
          <w:rFonts w:ascii="Times New Roman" w:eastAsia="Times New Roman" w:hAnsi="Times New Roman" w:cs="Times New Roman"/>
          <w:sz w:val="24"/>
          <w:szCs w:val="24"/>
          <w:lang w:eastAsia="en-GB"/>
        </w:rPr>
        <w:t>106, &lt;</w:t>
      </w:r>
      <w:hyperlink r:id="rId36" w:history="1">
        <w:r w:rsidRPr="00C13660">
          <w:rPr>
            <w:rStyle w:val="Hyperlink"/>
            <w:rFonts w:ascii="Times New Roman" w:hAnsi="Times New Roman" w:cs="Times New Roman"/>
            <w:sz w:val="24"/>
            <w:szCs w:val="24"/>
          </w:rPr>
          <w:t>http://dx.doi.org/10.1080/13825571003775356</w:t>
        </w:r>
      </w:hyperlink>
      <w:r w:rsidRPr="00C13660">
        <w:rPr>
          <w:rFonts w:ascii="Times New Roman" w:eastAsia="Times New Roman" w:hAnsi="Times New Roman" w:cs="Times New Roman"/>
          <w:sz w:val="24"/>
          <w:szCs w:val="24"/>
          <w:lang w:eastAsia="en-GB"/>
        </w:rPr>
        <w:t>&gt;</w:t>
      </w:r>
    </w:p>
    <w:p w:rsidR="00967FD1" w:rsidRPr="00C13660" w:rsidRDefault="00967FD1" w:rsidP="00967FD1">
      <w:pPr>
        <w:pStyle w:val="Default"/>
        <w:spacing w:after="120" w:line="360" w:lineRule="auto"/>
        <w:rPr>
          <w:rFonts w:ascii="Times New Roman" w:hAnsi="Times New Roman" w:cs="Times New Roman"/>
          <w:color w:val="auto"/>
        </w:rPr>
      </w:pPr>
      <w:r w:rsidRPr="00C13660">
        <w:rPr>
          <w:rFonts w:ascii="Times New Roman" w:hAnsi="Times New Roman" w:cs="Times New Roman"/>
          <w:color w:val="auto"/>
          <w:vertAlign w:val="superscript"/>
        </w:rPr>
        <w:t>______________</w:t>
      </w:r>
      <w:r w:rsidRPr="00C13660">
        <w:rPr>
          <w:rFonts w:ascii="Times New Roman" w:hAnsi="Times New Roman" w:cs="Times New Roman"/>
          <w:color w:val="auto"/>
        </w:rPr>
        <w:t>,</w:t>
      </w:r>
      <w:r w:rsidRPr="00C13660">
        <w:rPr>
          <w:rFonts w:ascii="Times New Roman" w:hAnsi="Times New Roman" w:cs="Times New Roman"/>
          <w:color w:val="auto"/>
          <w:vertAlign w:val="superscript"/>
        </w:rPr>
        <w:tab/>
      </w:r>
      <w:r w:rsidRPr="00C13660">
        <w:rPr>
          <w:rFonts w:ascii="Times New Roman" w:hAnsi="Times New Roman" w:cs="Times New Roman"/>
          <w:color w:val="auto"/>
        </w:rPr>
        <w:t xml:space="preserve">‘The View from Brick Lane: Contrasting Perspectives in Working-Class and Middle-Class Fiction of the Early Victorian Period’, </w:t>
      </w:r>
      <w:r w:rsidRPr="00C13660">
        <w:rPr>
          <w:rFonts w:ascii="Times New Roman" w:hAnsi="Times New Roman" w:cs="Times New Roman"/>
          <w:i/>
          <w:color w:val="auto"/>
        </w:rPr>
        <w:t>The Yearbook of English Studies</w:t>
      </w:r>
      <w:r w:rsidRPr="00C13660">
        <w:rPr>
          <w:rFonts w:ascii="Times New Roman" w:hAnsi="Times New Roman" w:cs="Times New Roman"/>
          <w:color w:val="auto"/>
        </w:rPr>
        <w:t>, 11, Literature and Its Audience, II Special Number (1981), 87–101 &lt;</w:t>
      </w:r>
      <w:hyperlink r:id="rId37" w:history="1">
        <w:r w:rsidRPr="00C13660">
          <w:rPr>
            <w:rStyle w:val="Hyperlink"/>
            <w:rFonts w:ascii="Times New Roman" w:hAnsi="Times New Roman" w:cs="Times New Roman"/>
            <w:color w:val="auto"/>
          </w:rPr>
          <w:t>http://www.jstor.org/stable/3506260</w:t>
        </w:r>
      </w:hyperlink>
      <w:r w:rsidRPr="00C13660">
        <w:rPr>
          <w:rStyle w:val="Hyperlink"/>
          <w:rFonts w:ascii="Times New Roman" w:hAnsi="Times New Roman" w:cs="Times New Roman"/>
          <w:color w:val="auto"/>
        </w:rPr>
        <w:t>&gt;</w:t>
      </w:r>
      <w:r w:rsidRPr="00C13660">
        <w:rPr>
          <w:rFonts w:ascii="Times New Roman" w:hAnsi="Times New Roman" w:cs="Times New Roman"/>
          <w:color w:val="auto"/>
        </w:rPr>
        <w:t xml:space="preserve"> [accessed 14 February 2014]</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James, Sara Felicity, ‘Capital Tales: The Urban Mysteries of Eugene Sue and G. W. M. Reynolds’ (</w:t>
      </w:r>
      <w:r w:rsidRPr="00C13660">
        <w:rPr>
          <w:rFonts w:ascii="Times New Roman" w:eastAsiaTheme="minorHAnsi" w:hAnsi="Times New Roman" w:cs="Times New Roman"/>
          <w:sz w:val="24"/>
          <w:szCs w:val="24"/>
        </w:rPr>
        <w:t>unpublished doctoral thesis</w:t>
      </w:r>
      <w:r w:rsidRPr="00C13660">
        <w:rPr>
          <w:rFonts w:ascii="Times New Roman" w:hAnsi="Times New Roman" w:cs="Times New Roman"/>
          <w:sz w:val="24"/>
          <w:szCs w:val="24"/>
        </w:rPr>
        <w:t>, University of Birmingham, 2000) &lt;</w:t>
      </w:r>
      <w:hyperlink r:id="rId38" w:history="1">
        <w:r w:rsidRPr="00C13660">
          <w:rPr>
            <w:rStyle w:val="Hyperlink"/>
            <w:rFonts w:ascii="Times New Roman" w:hAnsi="Times New Roman" w:cs="Times New Roman"/>
            <w:sz w:val="24"/>
            <w:szCs w:val="24"/>
          </w:rPr>
          <w:t>http://ethos.bl.uk/OrderDetails.do?uin=uk.bl.ethos.368743</w:t>
        </w:r>
      </w:hyperlink>
      <w:r w:rsidRPr="00C13660">
        <w:rPr>
          <w:rFonts w:ascii="Times New Roman" w:hAnsi="Times New Roman" w:cs="Times New Roman"/>
          <w:sz w:val="24"/>
          <w:szCs w:val="24"/>
        </w:rPr>
        <w:t>&gt;</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Jones, David, </w:t>
      </w:r>
      <w:r w:rsidRPr="00C13660">
        <w:rPr>
          <w:rFonts w:ascii="Times New Roman" w:hAnsi="Times New Roman" w:cs="Times New Roman"/>
          <w:i/>
          <w:sz w:val="24"/>
          <w:szCs w:val="24"/>
        </w:rPr>
        <w:t>Chartism and the Chartists</w:t>
      </w:r>
      <w:r w:rsidRPr="00C13660">
        <w:rPr>
          <w:rFonts w:ascii="Times New Roman" w:hAnsi="Times New Roman" w:cs="Times New Roman"/>
          <w:sz w:val="24"/>
          <w:szCs w:val="24"/>
        </w:rPr>
        <w:t xml:space="preserve"> (New York: St Martin’s Press, 1975)</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Jones, Gareth Stedman, </w:t>
      </w:r>
      <w:r w:rsidRPr="00C13660">
        <w:rPr>
          <w:rFonts w:ascii="Times New Roman" w:hAnsi="Times New Roman" w:cs="Times New Roman"/>
          <w:i/>
          <w:sz w:val="24"/>
          <w:szCs w:val="24"/>
        </w:rPr>
        <w:t>Outcast London: A Study in the Relationship between Classes in Victorian Society</w:t>
      </w:r>
      <w:r w:rsidRPr="00C13660">
        <w:rPr>
          <w:rFonts w:ascii="Times New Roman" w:hAnsi="Times New Roman" w:cs="Times New Roman"/>
          <w:sz w:val="24"/>
          <w:szCs w:val="24"/>
        </w:rPr>
        <w:t xml:space="preserve"> (Harmondsworth: Penguin Books, 1984)</w:t>
      </w:r>
    </w:p>
    <w:p w:rsidR="00967FD1" w:rsidRPr="00C13660" w:rsidRDefault="00967FD1" w:rsidP="00967FD1">
      <w:pPr>
        <w:autoSpaceDE w:val="0"/>
        <w:autoSpaceDN w:val="0"/>
        <w:adjustRightInd w:val="0"/>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Kitson Clark, G., </w:t>
      </w:r>
      <w:r w:rsidRPr="00C13660">
        <w:rPr>
          <w:rFonts w:ascii="Times New Roman" w:hAnsi="Times New Roman" w:cs="Times New Roman"/>
          <w:i/>
          <w:sz w:val="24"/>
          <w:szCs w:val="24"/>
        </w:rPr>
        <w:t>The making of Victorian London</w:t>
      </w:r>
      <w:r w:rsidRPr="00C13660">
        <w:rPr>
          <w:rFonts w:ascii="Times New Roman" w:hAnsi="Times New Roman" w:cs="Times New Roman"/>
          <w:sz w:val="24"/>
          <w:szCs w:val="24"/>
        </w:rPr>
        <w:t xml:space="preserve"> (London: Methuen and Co., 1962)</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Inwood, Stephen, </w:t>
      </w:r>
      <w:r w:rsidRPr="00C13660">
        <w:rPr>
          <w:rFonts w:ascii="Times New Roman" w:hAnsi="Times New Roman" w:cs="Times New Roman"/>
          <w:i/>
          <w:sz w:val="24"/>
          <w:szCs w:val="24"/>
        </w:rPr>
        <w:t>A History of London</w:t>
      </w:r>
      <w:r w:rsidRPr="00C13660">
        <w:rPr>
          <w:rFonts w:ascii="Times New Roman" w:hAnsi="Times New Roman" w:cs="Times New Roman"/>
          <w:sz w:val="24"/>
          <w:szCs w:val="24"/>
        </w:rPr>
        <w:t xml:space="preserve"> (London: Macmillan, 1998)</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Joyce, Patrick</w:t>
      </w:r>
      <w:r>
        <w:rPr>
          <w:rFonts w:ascii="Times New Roman" w:hAnsi="Times New Roman" w:cs="Times New Roman"/>
          <w:i/>
          <w:sz w:val="24"/>
          <w:szCs w:val="24"/>
        </w:rPr>
        <w:t>, Visions of the People: Industrial England and the Question of Class 1848</w:t>
      </w:r>
      <w:r>
        <w:rPr>
          <w:rFonts w:ascii="Times New Roman" w:hAnsi="Times New Roman" w:cs="Times New Roman"/>
          <w:sz w:val="24"/>
          <w:szCs w:val="24"/>
        </w:rPr>
        <w:t>–</w:t>
      </w:r>
      <w:r>
        <w:rPr>
          <w:rFonts w:ascii="Times New Roman" w:hAnsi="Times New Roman" w:cs="Times New Roman"/>
          <w:i/>
          <w:sz w:val="24"/>
          <w:szCs w:val="24"/>
        </w:rPr>
        <w:t>1914</w:t>
      </w:r>
      <w:r>
        <w:rPr>
          <w:rFonts w:ascii="Times New Roman" w:hAnsi="Times New Roman" w:cs="Times New Roman"/>
          <w:sz w:val="24"/>
          <w:szCs w:val="24"/>
        </w:rPr>
        <w:t xml:space="preserve"> (Cambridge: Cambridge University Press, 1991)</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Leavis, Q. D., </w:t>
      </w:r>
      <w:r>
        <w:rPr>
          <w:rFonts w:ascii="Times New Roman" w:hAnsi="Times New Roman" w:cs="Times New Roman"/>
          <w:i/>
          <w:sz w:val="24"/>
          <w:szCs w:val="24"/>
        </w:rPr>
        <w:t>Fiction and the Reading Public</w:t>
      </w:r>
      <w:r>
        <w:rPr>
          <w:rFonts w:ascii="Times New Roman" w:hAnsi="Times New Roman" w:cs="Times New Roman"/>
          <w:sz w:val="24"/>
          <w:szCs w:val="24"/>
        </w:rPr>
        <w:t xml:space="preserve"> (Harmondsworth: Penguin, 1979)</w:t>
      </w:r>
    </w:p>
    <w:p w:rsidR="00967FD1" w:rsidRDefault="0059252C" w:rsidP="00967FD1">
      <w:pPr>
        <w:spacing w:after="120" w:line="360" w:lineRule="auto"/>
        <w:rPr>
          <w:rFonts w:ascii="Times New Roman" w:hAnsi="Times New Roman" w:cs="Times New Roman"/>
          <w:sz w:val="24"/>
          <w:szCs w:val="24"/>
        </w:rPr>
      </w:pPr>
      <w:r w:rsidRPr="0059252C">
        <w:rPr>
          <w:rFonts w:ascii="Times New Roman" w:hAnsi="Times New Roman" w:cs="Times New Roman"/>
          <w:sz w:val="24"/>
          <w:szCs w:val="24"/>
        </w:rPr>
        <w:lastRenderedPageBreak/>
        <w:t>Luk</w:t>
      </w:r>
      <w:r w:rsidRPr="0059252C">
        <w:rPr>
          <w:rFonts w:ascii="Times New Roman" w:hAnsi="Times New Roman" w:cs="Times New Roman"/>
          <w:bCs/>
          <w:sz w:val="24"/>
          <w:szCs w:val="24"/>
        </w:rPr>
        <w:t>á</w:t>
      </w:r>
      <w:r w:rsidRPr="0059252C">
        <w:rPr>
          <w:rFonts w:ascii="Times New Roman" w:hAnsi="Times New Roman" w:cs="Times New Roman"/>
          <w:sz w:val="24"/>
          <w:szCs w:val="24"/>
        </w:rPr>
        <w:t xml:space="preserve">cs, </w:t>
      </w:r>
      <w:r w:rsidR="00967FD1">
        <w:rPr>
          <w:rFonts w:ascii="Times New Roman" w:hAnsi="Times New Roman" w:cs="Times New Roman"/>
          <w:sz w:val="24"/>
          <w:szCs w:val="24"/>
        </w:rPr>
        <w:t xml:space="preserve">Georg, </w:t>
      </w:r>
      <w:r w:rsidR="00967FD1">
        <w:rPr>
          <w:rFonts w:ascii="Times New Roman" w:hAnsi="Times New Roman" w:cs="Times New Roman"/>
          <w:i/>
          <w:sz w:val="24"/>
          <w:szCs w:val="24"/>
        </w:rPr>
        <w:t>History and Class Consciousness.  Studies in Marxist Dialectics</w:t>
      </w:r>
      <w:r w:rsidR="00967FD1">
        <w:rPr>
          <w:rFonts w:ascii="Times New Roman" w:hAnsi="Times New Roman" w:cs="Times New Roman"/>
          <w:sz w:val="24"/>
          <w:szCs w:val="24"/>
        </w:rPr>
        <w:t>, trans. by Rodney Livingstone (London: Merlin Press, 1971)</w:t>
      </w:r>
    </w:p>
    <w:p w:rsidR="00967FD1" w:rsidRDefault="00967FD1" w:rsidP="00967FD1">
      <w:pPr>
        <w:pStyle w:val="Default"/>
        <w:spacing w:after="120" w:line="360" w:lineRule="auto"/>
        <w:rPr>
          <w:rFonts w:ascii="Times New Roman" w:hAnsi="Times New Roman" w:cs="Times New Roman"/>
          <w:color w:val="auto"/>
        </w:rPr>
      </w:pPr>
      <w:r>
        <w:rPr>
          <w:rFonts w:ascii="Times New Roman" w:hAnsi="Times New Roman" w:cs="Times New Roman"/>
          <w:color w:val="auto"/>
        </w:rPr>
        <w:t xml:space="preserve">Maxwell, Richard, ‘G. W. M. Reynolds, Dickens and the Mysteries of London’, </w:t>
      </w:r>
      <w:r>
        <w:rPr>
          <w:rFonts w:ascii="Times New Roman" w:hAnsi="Times New Roman" w:cs="Times New Roman"/>
          <w:i/>
          <w:color w:val="auto"/>
        </w:rPr>
        <w:t>Nineteenth Century Fiction</w:t>
      </w:r>
      <w:r>
        <w:rPr>
          <w:rFonts w:ascii="Times New Roman" w:hAnsi="Times New Roman" w:cs="Times New Roman"/>
          <w:color w:val="auto"/>
        </w:rPr>
        <w:t>, 32.2 (September 1977), 188–</w:t>
      </w:r>
      <w:r w:rsidRPr="0059252C">
        <w:rPr>
          <w:rFonts w:ascii="Times New Roman" w:hAnsi="Times New Roman" w:cs="Times New Roman"/>
          <w:color w:val="auto"/>
        </w:rPr>
        <w:t>213 &lt;</w:t>
      </w:r>
      <w:hyperlink r:id="rId39" w:history="1">
        <w:r w:rsidRPr="0059252C">
          <w:rPr>
            <w:rStyle w:val="Hyperlink"/>
            <w:rFonts w:ascii="Times New Roman" w:hAnsi="Times New Roman" w:cs="Times New Roman"/>
            <w:color w:val="auto"/>
          </w:rPr>
          <w:t>http://www.jstor.org/stable/2933188</w:t>
        </w:r>
      </w:hyperlink>
      <w:r w:rsidRPr="0059252C">
        <w:rPr>
          <w:rFonts w:ascii="Times New Roman" w:hAnsi="Times New Roman" w:cs="Times New Roman"/>
          <w:color w:val="auto"/>
        </w:rPr>
        <w:t>&gt;</w:t>
      </w:r>
      <w:r>
        <w:rPr>
          <w:rFonts w:ascii="Times New Roman" w:hAnsi="Times New Roman" w:cs="Times New Roman"/>
          <w:color w:val="auto"/>
        </w:rPr>
        <w:t xml:space="preserve"> [accessed 4 October 2013]</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i/>
          <w:sz w:val="24"/>
          <w:szCs w:val="24"/>
        </w:rPr>
        <w:t>The Mysteries of Paris and London</w:t>
      </w:r>
      <w:r>
        <w:rPr>
          <w:rFonts w:ascii="Times New Roman" w:hAnsi="Times New Roman" w:cs="Times New Roman"/>
          <w:sz w:val="24"/>
          <w:szCs w:val="24"/>
        </w:rPr>
        <w:t xml:space="preserve"> (Charlottesville: University Press of Virginia, 1992)</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McCalman, Iain, </w:t>
      </w:r>
      <w:r>
        <w:rPr>
          <w:rFonts w:ascii="Times New Roman" w:hAnsi="Times New Roman" w:cs="Times New Roman"/>
          <w:i/>
          <w:sz w:val="24"/>
          <w:szCs w:val="24"/>
        </w:rPr>
        <w:t>Prophets, Revolutionaries and Pornographers in London, 1785</w:t>
      </w:r>
      <w:r>
        <w:rPr>
          <w:rFonts w:ascii="Times New Roman" w:hAnsi="Times New Roman" w:cs="Times New Roman"/>
          <w:sz w:val="24"/>
          <w:szCs w:val="24"/>
        </w:rPr>
        <w:t>–</w:t>
      </w:r>
      <w:r>
        <w:rPr>
          <w:rFonts w:ascii="Times New Roman" w:hAnsi="Times New Roman" w:cs="Times New Roman"/>
          <w:i/>
          <w:sz w:val="24"/>
          <w:szCs w:val="24"/>
        </w:rPr>
        <w:t>1840</w:t>
      </w:r>
      <w:r>
        <w:rPr>
          <w:rFonts w:ascii="Times New Roman" w:hAnsi="Times New Roman" w:cs="Times New Roman"/>
          <w:sz w:val="24"/>
          <w:szCs w:val="24"/>
        </w:rPr>
        <w:t xml:space="preserve"> (Cambridge: Cambridge University Press, 1988)</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Marlow, Joyce, </w:t>
      </w:r>
      <w:r>
        <w:rPr>
          <w:rFonts w:ascii="Times New Roman" w:hAnsi="Times New Roman" w:cs="Times New Roman"/>
          <w:i/>
          <w:sz w:val="24"/>
          <w:szCs w:val="24"/>
        </w:rPr>
        <w:t>The Tolpuddle Martyrs</w:t>
      </w:r>
      <w:r>
        <w:rPr>
          <w:rFonts w:ascii="Times New Roman" w:hAnsi="Times New Roman" w:cs="Times New Roman"/>
          <w:sz w:val="24"/>
          <w:szCs w:val="24"/>
        </w:rPr>
        <w:t xml:space="preserve"> (London: Deutsch, 1972)</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Massey, Doreen, </w:t>
      </w:r>
      <w:r>
        <w:rPr>
          <w:rFonts w:ascii="Times New Roman" w:hAnsi="Times New Roman" w:cs="Times New Roman"/>
          <w:i/>
          <w:iCs/>
          <w:sz w:val="24"/>
          <w:szCs w:val="24"/>
        </w:rPr>
        <w:t>Space, Place and Gender</w:t>
      </w:r>
      <w:r>
        <w:rPr>
          <w:rFonts w:ascii="Times New Roman" w:hAnsi="Times New Roman" w:cs="Times New Roman"/>
          <w:sz w:val="24"/>
          <w:szCs w:val="24"/>
        </w:rPr>
        <w:t xml:space="preserve"> (Cambridge: Polity Press, 1994)</w:t>
      </w:r>
    </w:p>
    <w:p w:rsidR="00967FD1" w:rsidRDefault="00967FD1" w:rsidP="00967FD1">
      <w:pPr>
        <w:spacing w:after="120" w:line="360" w:lineRule="auto"/>
        <w:rPr>
          <w:rFonts w:ascii="Times New Roman" w:hAnsi="Times New Roman" w:cs="Times New Roman"/>
          <w:bCs/>
          <w:sz w:val="24"/>
          <w:szCs w:val="24"/>
        </w:rPr>
      </w:pPr>
      <w:r>
        <w:rPr>
          <w:rFonts w:ascii="Times New Roman" w:hAnsi="Times New Roman" w:cs="Times New Roman"/>
          <w:sz w:val="24"/>
          <w:szCs w:val="24"/>
          <w:vertAlign w:val="superscript"/>
        </w:rPr>
        <w:t>______________</w:t>
      </w:r>
      <w:r>
        <w:rPr>
          <w:rFonts w:ascii="Times New Roman" w:hAnsi="Times New Roman" w:cs="Times New Roman"/>
          <w:sz w:val="24"/>
          <w:szCs w:val="24"/>
        </w:rPr>
        <w:t>,</w:t>
      </w:r>
      <w:r>
        <w:rPr>
          <w:rFonts w:ascii="Times New Roman" w:hAnsi="Times New Roman" w:cs="Times New Roman"/>
          <w:sz w:val="24"/>
          <w:szCs w:val="24"/>
          <w:vertAlign w:val="superscript"/>
        </w:rPr>
        <w:tab/>
      </w:r>
      <w:r>
        <w:rPr>
          <w:rFonts w:ascii="Times New Roman" w:hAnsi="Times New Roman" w:cs="Times New Roman"/>
          <w:i/>
          <w:iCs/>
          <w:sz w:val="24"/>
          <w:szCs w:val="24"/>
        </w:rPr>
        <w:t>Spatial Division of Labour.  Social Structures and the Geography of Production</w:t>
      </w:r>
      <w:r>
        <w:rPr>
          <w:rFonts w:ascii="Times New Roman" w:hAnsi="Times New Roman" w:cs="Times New Roman"/>
          <w:sz w:val="24"/>
          <w:szCs w:val="24"/>
        </w:rPr>
        <w:t>, 2</w:t>
      </w:r>
      <w:r>
        <w:rPr>
          <w:rFonts w:ascii="Times New Roman" w:hAnsi="Times New Roman" w:cs="Times New Roman"/>
          <w:sz w:val="24"/>
          <w:szCs w:val="24"/>
          <w:vertAlign w:val="superscript"/>
        </w:rPr>
        <w:t>nd</w:t>
      </w:r>
      <w:r>
        <w:rPr>
          <w:rFonts w:ascii="Times New Roman" w:hAnsi="Times New Roman" w:cs="Times New Roman"/>
          <w:sz w:val="24"/>
          <w:szCs w:val="24"/>
        </w:rPr>
        <w:t xml:space="preserve"> edn (Houndmills: Macmillan, 1995)</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Mighall, Robert, </w:t>
      </w:r>
      <w:r>
        <w:rPr>
          <w:rFonts w:ascii="Times New Roman" w:hAnsi="Times New Roman" w:cs="Times New Roman"/>
          <w:i/>
          <w:sz w:val="24"/>
          <w:szCs w:val="24"/>
        </w:rPr>
        <w:t>A Geography of Victorian Gothic Fiction: Mapping History’s Nightmares</w:t>
      </w:r>
      <w:r>
        <w:rPr>
          <w:rFonts w:ascii="Times New Roman" w:hAnsi="Times New Roman" w:cs="Times New Roman"/>
          <w:sz w:val="24"/>
          <w:szCs w:val="24"/>
        </w:rPr>
        <w:t xml:space="preserve"> (Oxford University Press, Oxford, 1999)</w:t>
      </w:r>
    </w:p>
    <w:p w:rsidR="00967FD1" w:rsidRDefault="00967FD1" w:rsidP="00967FD1">
      <w:pPr>
        <w:spacing w:after="120" w:line="360" w:lineRule="auto"/>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 xml:space="preserve">Murphy, Paul Thomas, </w:t>
      </w:r>
      <w:r>
        <w:rPr>
          <w:rFonts w:ascii="Times New Roman" w:eastAsia="Times New Roman" w:hAnsi="Times New Roman" w:cs="Times New Roman"/>
          <w:i/>
          <w:sz w:val="24"/>
          <w:szCs w:val="24"/>
          <w:lang w:eastAsia="en-GB"/>
        </w:rPr>
        <w:t>Towards a Working Class Canon</w:t>
      </w:r>
      <w:r>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i/>
          <w:sz w:val="24"/>
          <w:szCs w:val="24"/>
          <w:lang w:eastAsia="en-GB"/>
        </w:rPr>
        <w:t>Literary Criticism in British Working-Class Periodicals, 1816</w:t>
      </w:r>
      <w:r>
        <w:rPr>
          <w:rFonts w:ascii="Times New Roman" w:hAnsi="Times New Roman" w:cs="Times New Roman"/>
          <w:sz w:val="24"/>
          <w:szCs w:val="24"/>
        </w:rPr>
        <w:t>–</w:t>
      </w:r>
      <w:r>
        <w:rPr>
          <w:rFonts w:ascii="Times New Roman" w:eastAsia="Times New Roman" w:hAnsi="Times New Roman" w:cs="Times New Roman"/>
          <w:i/>
          <w:sz w:val="24"/>
          <w:szCs w:val="24"/>
          <w:lang w:eastAsia="en-GB"/>
        </w:rPr>
        <w:t>1858</w:t>
      </w:r>
      <w:r>
        <w:rPr>
          <w:rFonts w:ascii="Times New Roman" w:eastAsia="Times New Roman" w:hAnsi="Times New Roman" w:cs="Times New Roman"/>
          <w:sz w:val="24"/>
          <w:szCs w:val="24"/>
          <w:lang w:eastAsia="en-GB"/>
        </w:rPr>
        <w:t xml:space="preserve"> (Columbus: Ohio State University, 1994)</w:t>
      </w:r>
    </w:p>
    <w:p w:rsidR="00967FD1" w:rsidRPr="00C13660" w:rsidRDefault="00967FD1" w:rsidP="00967FD1">
      <w:pPr>
        <w:spacing w:after="120" w:line="360" w:lineRule="auto"/>
        <w:rPr>
          <w:rFonts w:ascii="Times New Roman" w:eastAsia="Times New Roman" w:hAnsi="Times New Roman" w:cs="Times New Roman"/>
          <w:sz w:val="24"/>
          <w:szCs w:val="24"/>
          <w:lang w:eastAsia="en-GB"/>
        </w:rPr>
      </w:pPr>
      <w:r w:rsidRPr="00C13660">
        <w:rPr>
          <w:rFonts w:ascii="Times New Roman" w:hAnsi="Times New Roman" w:cs="Times New Roman"/>
          <w:sz w:val="24"/>
          <w:szCs w:val="24"/>
        </w:rPr>
        <w:t xml:space="preserve">Neale, R. S., </w:t>
      </w:r>
      <w:r w:rsidRPr="00C13660">
        <w:rPr>
          <w:rFonts w:ascii="Times New Roman" w:hAnsi="Times New Roman" w:cs="Times New Roman"/>
          <w:i/>
          <w:sz w:val="24"/>
          <w:szCs w:val="24"/>
        </w:rPr>
        <w:t>Class in English History 1680</w:t>
      </w:r>
      <w:r w:rsidRPr="00C13660">
        <w:rPr>
          <w:rFonts w:ascii="Times New Roman" w:hAnsi="Times New Roman" w:cs="Times New Roman"/>
          <w:sz w:val="24"/>
          <w:szCs w:val="24"/>
        </w:rPr>
        <w:t>–</w:t>
      </w:r>
      <w:r w:rsidRPr="00C13660">
        <w:rPr>
          <w:rFonts w:ascii="Times New Roman" w:hAnsi="Times New Roman" w:cs="Times New Roman"/>
          <w:i/>
          <w:sz w:val="24"/>
          <w:szCs w:val="24"/>
        </w:rPr>
        <w:t>1850</w:t>
      </w:r>
      <w:r w:rsidRPr="00C13660">
        <w:rPr>
          <w:rFonts w:ascii="Times New Roman" w:hAnsi="Times New Roman" w:cs="Times New Roman"/>
          <w:sz w:val="24"/>
          <w:szCs w:val="24"/>
        </w:rPr>
        <w:t xml:space="preserve"> (Oxford: Blackwell, 1981)</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Oxford Dictionary of National Biography &lt;</w:t>
      </w:r>
      <w:hyperlink r:id="rId40" w:history="1">
        <w:r w:rsidRPr="00C13660">
          <w:rPr>
            <w:rStyle w:val="Hyperlink"/>
            <w:rFonts w:ascii="Times New Roman" w:hAnsi="Times New Roman" w:cs="Times New Roman"/>
            <w:sz w:val="24"/>
            <w:szCs w:val="24"/>
          </w:rPr>
          <w:t>http://www.oxforddnb.com/</w:t>
        </w:r>
      </w:hyperlink>
      <w:r w:rsidRPr="00F426DF">
        <w:rPr>
          <w:rStyle w:val="Hyperlink"/>
          <w:rFonts w:ascii="Times New Roman" w:hAnsi="Times New Roman" w:cs="Times New Roman"/>
          <w:color w:val="auto"/>
          <w:sz w:val="24"/>
          <w:szCs w:val="24"/>
          <w:u w:val="none"/>
        </w:rPr>
        <w:t>&gt;</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Pankhurst, Richard K. P., </w:t>
      </w:r>
      <w:r w:rsidRPr="00C13660">
        <w:rPr>
          <w:rFonts w:ascii="Times New Roman" w:hAnsi="Times New Roman" w:cs="Times New Roman"/>
          <w:i/>
          <w:sz w:val="24"/>
          <w:szCs w:val="24"/>
        </w:rPr>
        <w:t>William Thompson (1775–1833) Britain’s Pioneer Socialist, Feminist, and Co-operator</w:t>
      </w:r>
      <w:r w:rsidRPr="00C13660">
        <w:rPr>
          <w:rFonts w:ascii="Times New Roman" w:hAnsi="Times New Roman" w:cs="Times New Roman"/>
          <w:sz w:val="24"/>
          <w:szCs w:val="24"/>
        </w:rPr>
        <w:t xml:space="preserve"> (London: Watts, 1954)</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Picard, Liza, </w:t>
      </w:r>
      <w:r w:rsidRPr="00C13660">
        <w:rPr>
          <w:rFonts w:ascii="Times New Roman" w:hAnsi="Times New Roman" w:cs="Times New Roman"/>
          <w:i/>
          <w:sz w:val="24"/>
          <w:szCs w:val="24"/>
        </w:rPr>
        <w:t>Victorian London: The Life of a City 1840</w:t>
      </w:r>
      <w:r w:rsidRPr="00C13660">
        <w:rPr>
          <w:rFonts w:ascii="Times New Roman" w:hAnsi="Times New Roman" w:cs="Times New Roman"/>
          <w:sz w:val="24"/>
          <w:szCs w:val="24"/>
        </w:rPr>
        <w:t>–</w:t>
      </w:r>
      <w:r w:rsidRPr="00C13660">
        <w:rPr>
          <w:rFonts w:ascii="Times New Roman" w:hAnsi="Times New Roman" w:cs="Times New Roman"/>
          <w:i/>
          <w:sz w:val="24"/>
          <w:szCs w:val="24"/>
        </w:rPr>
        <w:t>1870</w:t>
      </w:r>
      <w:r w:rsidRPr="00C13660">
        <w:rPr>
          <w:rFonts w:ascii="Times New Roman" w:hAnsi="Times New Roman" w:cs="Times New Roman"/>
          <w:sz w:val="24"/>
          <w:szCs w:val="24"/>
        </w:rPr>
        <w:t xml:space="preserve"> (London: Phoenix, 2005) </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Parker, Noel, </w:t>
      </w:r>
      <w:r w:rsidRPr="00C13660">
        <w:rPr>
          <w:rFonts w:ascii="Times New Roman" w:hAnsi="Times New Roman" w:cs="Times New Roman"/>
          <w:i/>
          <w:sz w:val="24"/>
          <w:szCs w:val="24"/>
        </w:rPr>
        <w:t>Portrayals of Revolution: Images, Debates and Patterns of Thought on the French Revolution</w:t>
      </w:r>
      <w:r w:rsidRPr="00C13660">
        <w:rPr>
          <w:rFonts w:ascii="Times New Roman" w:hAnsi="Times New Roman" w:cs="Times New Roman"/>
          <w:sz w:val="24"/>
          <w:szCs w:val="24"/>
        </w:rPr>
        <w:t xml:space="preserve"> (Hemel Hempstead: Harvester Wheatsheaf, 1990)</w:t>
      </w:r>
    </w:p>
    <w:p w:rsidR="00967FD1" w:rsidRPr="00C13660" w:rsidRDefault="00967FD1" w:rsidP="00967FD1">
      <w:pPr>
        <w:spacing w:after="120" w:line="360" w:lineRule="auto"/>
        <w:rPr>
          <w:rFonts w:ascii="Times New Roman" w:hAnsi="Times New Roman" w:cs="Times New Roman"/>
          <w:bCs/>
          <w:sz w:val="24"/>
          <w:szCs w:val="24"/>
        </w:rPr>
      </w:pPr>
      <w:r w:rsidRPr="00C13660">
        <w:rPr>
          <w:rFonts w:ascii="Times New Roman" w:hAnsi="Times New Roman" w:cs="Times New Roman"/>
          <w:sz w:val="24"/>
          <w:szCs w:val="24"/>
        </w:rPr>
        <w:t xml:space="preserve">Pear, T. H., </w:t>
      </w:r>
      <w:r w:rsidRPr="00C13660">
        <w:rPr>
          <w:rFonts w:ascii="Times New Roman" w:hAnsi="Times New Roman" w:cs="Times New Roman"/>
          <w:bCs/>
          <w:i/>
          <w:iCs/>
          <w:sz w:val="24"/>
          <w:szCs w:val="24"/>
        </w:rPr>
        <w:t>English Social Differences</w:t>
      </w:r>
      <w:r w:rsidRPr="00C13660">
        <w:rPr>
          <w:rFonts w:ascii="Times New Roman" w:hAnsi="Times New Roman" w:cs="Times New Roman"/>
          <w:bCs/>
          <w:sz w:val="24"/>
          <w:szCs w:val="24"/>
        </w:rPr>
        <w:t xml:space="preserve"> (London: George Allen and Unwin, 1955)</w:t>
      </w:r>
    </w:p>
    <w:p w:rsidR="00967FD1" w:rsidRPr="00C13660" w:rsidRDefault="00967FD1" w:rsidP="00967FD1">
      <w:pPr>
        <w:spacing w:after="120" w:line="360" w:lineRule="auto"/>
        <w:rPr>
          <w:rFonts w:ascii="Times New Roman" w:hAnsi="Times New Roman" w:cs="Times New Roman"/>
          <w:bCs/>
          <w:sz w:val="24"/>
          <w:szCs w:val="24"/>
        </w:rPr>
      </w:pPr>
      <w:r w:rsidRPr="00C13660">
        <w:rPr>
          <w:rFonts w:ascii="Times New Roman" w:hAnsi="Times New Roman" w:cs="Times New Roman"/>
          <w:bCs/>
          <w:sz w:val="24"/>
          <w:szCs w:val="24"/>
        </w:rPr>
        <w:t xml:space="preserve">Pilbeam, Pamela M., </w:t>
      </w:r>
      <w:r w:rsidRPr="00C13660">
        <w:rPr>
          <w:rFonts w:ascii="Times New Roman" w:hAnsi="Times New Roman" w:cs="Times New Roman"/>
          <w:bCs/>
          <w:i/>
          <w:sz w:val="24"/>
          <w:szCs w:val="24"/>
        </w:rPr>
        <w:t xml:space="preserve">The 1830 Revolution in France </w:t>
      </w:r>
      <w:r w:rsidRPr="00C13660">
        <w:rPr>
          <w:rFonts w:ascii="Times New Roman" w:hAnsi="Times New Roman" w:cs="Times New Roman"/>
          <w:bCs/>
          <w:sz w:val="24"/>
          <w:szCs w:val="24"/>
        </w:rPr>
        <w:t>(Houndmills: Macmillan, 1991)</w:t>
      </w:r>
    </w:p>
    <w:p w:rsidR="00967FD1" w:rsidRDefault="00967FD1" w:rsidP="00967FD1">
      <w:pPr>
        <w:spacing w:after="120" w:line="360" w:lineRule="auto"/>
        <w:rPr>
          <w:rFonts w:ascii="Times New Roman" w:hAnsi="Times New Roman" w:cs="Times New Roman"/>
          <w:bCs/>
          <w:sz w:val="24"/>
          <w:szCs w:val="24"/>
        </w:rPr>
      </w:pPr>
      <w:r>
        <w:rPr>
          <w:rFonts w:ascii="Times New Roman" w:hAnsi="Times New Roman" w:cs="Times New Roman"/>
          <w:bCs/>
          <w:sz w:val="24"/>
          <w:szCs w:val="24"/>
        </w:rPr>
        <w:t xml:space="preserve">Pamela Pilbeam, </w:t>
      </w:r>
      <w:r>
        <w:rPr>
          <w:rFonts w:ascii="Times New Roman" w:hAnsi="Times New Roman" w:cs="Times New Roman"/>
          <w:bCs/>
          <w:i/>
          <w:sz w:val="24"/>
          <w:szCs w:val="24"/>
        </w:rPr>
        <w:t>The Constitutional Monarchy in France 1814</w:t>
      </w:r>
      <w:r>
        <w:rPr>
          <w:rFonts w:ascii="Times New Roman" w:hAnsi="Times New Roman" w:cs="Times New Roman"/>
          <w:sz w:val="24"/>
          <w:szCs w:val="24"/>
        </w:rPr>
        <w:t>–</w:t>
      </w:r>
      <w:r>
        <w:rPr>
          <w:rFonts w:ascii="Times New Roman" w:hAnsi="Times New Roman" w:cs="Times New Roman"/>
          <w:bCs/>
          <w:i/>
          <w:sz w:val="24"/>
          <w:szCs w:val="24"/>
        </w:rPr>
        <w:t xml:space="preserve">48 </w:t>
      </w:r>
      <w:r>
        <w:rPr>
          <w:rFonts w:ascii="Times New Roman" w:hAnsi="Times New Roman" w:cs="Times New Roman"/>
          <w:bCs/>
          <w:sz w:val="24"/>
          <w:szCs w:val="24"/>
        </w:rPr>
        <w:t>(Harlow: Pearson Education, 2000)</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Plummer, Alfred, </w:t>
      </w:r>
      <w:r>
        <w:rPr>
          <w:rFonts w:ascii="Times New Roman" w:hAnsi="Times New Roman" w:cs="Times New Roman"/>
          <w:i/>
          <w:sz w:val="24"/>
          <w:szCs w:val="24"/>
        </w:rPr>
        <w:t>Bronterre: A Political Biography of Bronterre O’Brien 1804</w:t>
      </w:r>
      <w:r>
        <w:rPr>
          <w:rFonts w:ascii="Times New Roman" w:hAnsi="Times New Roman" w:cs="Times New Roman"/>
          <w:sz w:val="24"/>
          <w:szCs w:val="24"/>
        </w:rPr>
        <w:t>–</w:t>
      </w:r>
      <w:r>
        <w:rPr>
          <w:rFonts w:ascii="Times New Roman" w:hAnsi="Times New Roman" w:cs="Times New Roman"/>
          <w:i/>
          <w:sz w:val="24"/>
          <w:szCs w:val="24"/>
        </w:rPr>
        <w:t>1864</w:t>
      </w:r>
      <w:r>
        <w:rPr>
          <w:rFonts w:ascii="Times New Roman" w:hAnsi="Times New Roman" w:cs="Times New Roman"/>
          <w:sz w:val="24"/>
          <w:szCs w:val="24"/>
        </w:rPr>
        <w:t xml:space="preserve"> (London: Allen &amp; Unwin, 1971)</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Prothero, I. J., </w:t>
      </w:r>
      <w:r>
        <w:rPr>
          <w:rFonts w:ascii="Times New Roman" w:hAnsi="Times New Roman" w:cs="Times New Roman"/>
          <w:i/>
          <w:sz w:val="24"/>
          <w:szCs w:val="24"/>
        </w:rPr>
        <w:t>Artisans and Politics in Early Nineteenth-century London.  John Gast and his Times</w:t>
      </w:r>
      <w:r>
        <w:rPr>
          <w:rFonts w:ascii="Times New Roman" w:hAnsi="Times New Roman" w:cs="Times New Roman"/>
          <w:sz w:val="24"/>
          <w:szCs w:val="24"/>
        </w:rPr>
        <w:t xml:space="preserve"> (Folkestone: Dawson &amp; Son, 1979)</w:t>
      </w:r>
    </w:p>
    <w:p w:rsidR="00967FD1" w:rsidRPr="00C13660" w:rsidRDefault="00967FD1" w:rsidP="00967FD1">
      <w:pPr>
        <w:pStyle w:val="Default"/>
        <w:spacing w:after="120" w:line="360" w:lineRule="auto"/>
        <w:rPr>
          <w:rFonts w:ascii="Times New Roman" w:hAnsi="Times New Roman" w:cs="Times New Roman"/>
          <w:color w:val="auto"/>
        </w:rPr>
      </w:pPr>
      <w:r w:rsidRPr="00C13660">
        <w:rPr>
          <w:rFonts w:ascii="Times New Roman" w:hAnsi="Times New Roman" w:cs="Times New Roman"/>
          <w:color w:val="auto"/>
        </w:rPr>
        <w:t xml:space="preserve">Reed, John R., ‘Fighting Words: Two Proletarian Military Novels of the Crimean Period’, </w:t>
      </w:r>
      <w:r w:rsidRPr="00C13660">
        <w:rPr>
          <w:rFonts w:ascii="Times New Roman" w:hAnsi="Times New Roman" w:cs="Times New Roman"/>
          <w:i/>
          <w:color w:val="auto"/>
        </w:rPr>
        <w:t>Victorian Literature and Culture</w:t>
      </w:r>
      <w:r w:rsidRPr="00C13660">
        <w:rPr>
          <w:rFonts w:ascii="Times New Roman" w:hAnsi="Times New Roman" w:cs="Times New Roman"/>
          <w:color w:val="auto"/>
        </w:rPr>
        <w:t>, 36.2 (2008), 331–42 &lt;</w:t>
      </w:r>
      <w:hyperlink r:id="rId41" w:history="1">
        <w:r w:rsidRPr="00C13660">
          <w:rPr>
            <w:rStyle w:val="Hyperlink"/>
            <w:rFonts w:ascii="Times New Roman" w:hAnsi="Times New Roman" w:cs="Times New Roman"/>
            <w:color w:val="auto"/>
          </w:rPr>
          <w:t>http://www.jstor.org/stable/40347191</w:t>
        </w:r>
      </w:hyperlink>
      <w:r w:rsidRPr="00C13660">
        <w:rPr>
          <w:rFonts w:ascii="Times New Roman" w:hAnsi="Times New Roman" w:cs="Times New Roman"/>
          <w:color w:val="auto"/>
        </w:rPr>
        <w:t>&gt; [accessed 14 February 2014]</w:t>
      </w:r>
    </w:p>
    <w:p w:rsidR="00967FD1" w:rsidRPr="00C13660" w:rsidRDefault="00967FD1" w:rsidP="00967FD1">
      <w:pPr>
        <w:pStyle w:val="FootnoteText"/>
        <w:spacing w:after="120" w:line="360" w:lineRule="auto"/>
        <w:rPr>
          <w:rFonts w:ascii="Times New Roman" w:hAnsi="Times New Roman"/>
          <w:sz w:val="24"/>
          <w:szCs w:val="24"/>
        </w:rPr>
      </w:pPr>
      <w:r w:rsidRPr="00C13660">
        <w:rPr>
          <w:rFonts w:ascii="Times New Roman" w:hAnsi="Times New Roman"/>
          <w:sz w:val="24"/>
          <w:szCs w:val="24"/>
        </w:rPr>
        <w:t xml:space="preserve">Rogers, Helen, ‘"The Good Are Not Always Powerful, nor the Powerful Always Good": The Politics of Women's Needlework in Mid-Victorian London’, </w:t>
      </w:r>
      <w:r w:rsidRPr="00C13660">
        <w:rPr>
          <w:rFonts w:ascii="Times New Roman" w:hAnsi="Times New Roman"/>
          <w:i/>
          <w:sz w:val="24"/>
          <w:szCs w:val="24"/>
        </w:rPr>
        <w:t>Victorian Studies</w:t>
      </w:r>
      <w:r w:rsidRPr="00C13660">
        <w:rPr>
          <w:rFonts w:ascii="Times New Roman" w:hAnsi="Times New Roman"/>
          <w:sz w:val="24"/>
          <w:szCs w:val="24"/>
        </w:rPr>
        <w:t>, 40.4 (Summer 1997), 589–623 &lt;</w:t>
      </w:r>
      <w:hyperlink r:id="rId42" w:history="1">
        <w:r w:rsidRPr="00C13660">
          <w:rPr>
            <w:rStyle w:val="Hyperlink"/>
            <w:rFonts w:ascii="Times New Roman" w:hAnsi="Times New Roman"/>
            <w:sz w:val="24"/>
            <w:szCs w:val="24"/>
          </w:rPr>
          <w:t>http://www.jstor.org/stable/3828748</w:t>
        </w:r>
      </w:hyperlink>
      <w:r w:rsidRPr="00C13660">
        <w:rPr>
          <w:rFonts w:ascii="Times New Roman" w:hAnsi="Times New Roman"/>
          <w:sz w:val="24"/>
          <w:szCs w:val="24"/>
        </w:rPr>
        <w:t>&gt; [accessed 15 May 2015]</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Rudé, George, </w:t>
      </w:r>
      <w:r w:rsidRPr="00C13660">
        <w:rPr>
          <w:rFonts w:ascii="Times New Roman" w:hAnsi="Times New Roman" w:cs="Times New Roman"/>
          <w:i/>
          <w:sz w:val="24"/>
          <w:szCs w:val="24"/>
        </w:rPr>
        <w:t>The Crowd in the French Revolution</w:t>
      </w:r>
      <w:r w:rsidRPr="00C13660">
        <w:rPr>
          <w:rFonts w:ascii="Times New Roman" w:hAnsi="Times New Roman" w:cs="Times New Roman"/>
          <w:sz w:val="24"/>
          <w:szCs w:val="24"/>
        </w:rPr>
        <w:t xml:space="preserve"> (London: Oxford University Press, 1959)</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Rudé, George, </w:t>
      </w:r>
      <w:r w:rsidRPr="00C13660">
        <w:rPr>
          <w:rFonts w:ascii="Times New Roman" w:hAnsi="Times New Roman" w:cs="Times New Roman"/>
          <w:i/>
          <w:sz w:val="24"/>
          <w:szCs w:val="24"/>
        </w:rPr>
        <w:t>Ideology and Popular Protest</w:t>
      </w:r>
      <w:r w:rsidRPr="00C13660">
        <w:rPr>
          <w:rFonts w:ascii="Times New Roman" w:hAnsi="Times New Roman" w:cs="Times New Roman"/>
          <w:sz w:val="24"/>
          <w:szCs w:val="24"/>
        </w:rPr>
        <w:t xml:space="preserve"> (London: Lawrence and Wishart (1980)</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Rule, John, ‘Social Crime in the Rural South in the Eighteenth and Early Nineteenth Centuries’, in </w:t>
      </w:r>
      <w:r w:rsidRPr="00C13660">
        <w:rPr>
          <w:rFonts w:ascii="Times New Roman" w:hAnsi="Times New Roman" w:cs="Times New Roman"/>
          <w:i/>
          <w:iCs/>
          <w:sz w:val="24"/>
          <w:szCs w:val="24"/>
        </w:rPr>
        <w:t>Crime, Protest and Popular Politics in Southern England 1740</w:t>
      </w:r>
      <w:r w:rsidRPr="00C13660">
        <w:rPr>
          <w:rFonts w:ascii="Times New Roman" w:hAnsi="Times New Roman" w:cs="Times New Roman"/>
          <w:sz w:val="24"/>
          <w:szCs w:val="24"/>
        </w:rPr>
        <w:t>–</w:t>
      </w:r>
      <w:r w:rsidRPr="00C13660">
        <w:rPr>
          <w:rFonts w:ascii="Times New Roman" w:hAnsi="Times New Roman" w:cs="Times New Roman"/>
          <w:i/>
          <w:iCs/>
          <w:sz w:val="24"/>
          <w:szCs w:val="24"/>
        </w:rPr>
        <w:t>1850</w:t>
      </w:r>
      <w:r w:rsidRPr="00C13660">
        <w:rPr>
          <w:rFonts w:ascii="Times New Roman" w:hAnsi="Times New Roman" w:cs="Times New Roman"/>
          <w:sz w:val="24"/>
          <w:szCs w:val="24"/>
        </w:rPr>
        <w:t xml:space="preserve"> (London: Hambledon Press, 1997)</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Russell, Norman, </w:t>
      </w:r>
      <w:r>
        <w:rPr>
          <w:rFonts w:ascii="Times New Roman" w:hAnsi="Times New Roman" w:cs="Times New Roman"/>
          <w:i/>
          <w:sz w:val="24"/>
          <w:szCs w:val="24"/>
        </w:rPr>
        <w:t>The Novelist and Mammon: Literary Responses to the World of Commerce in the Nineteenth Century</w:t>
      </w:r>
      <w:r>
        <w:rPr>
          <w:rFonts w:ascii="Times New Roman" w:hAnsi="Times New Roman" w:cs="Times New Roman"/>
          <w:sz w:val="24"/>
          <w:szCs w:val="24"/>
        </w:rPr>
        <w:t xml:space="preserve"> (Oxford: Clarendon Press, 1986)</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bCs/>
          <w:sz w:val="24"/>
          <w:szCs w:val="24"/>
        </w:rPr>
        <w:t xml:space="preserve">Schoyen, A. R., </w:t>
      </w:r>
      <w:r>
        <w:rPr>
          <w:rFonts w:ascii="Times New Roman" w:hAnsi="Times New Roman" w:cs="Times New Roman"/>
          <w:i/>
          <w:sz w:val="24"/>
          <w:szCs w:val="24"/>
        </w:rPr>
        <w:t>The Chartist Challenge: A Portrait of George Julian Harney</w:t>
      </w:r>
      <w:r>
        <w:rPr>
          <w:rFonts w:ascii="Times New Roman" w:hAnsi="Times New Roman" w:cs="Times New Roman"/>
          <w:sz w:val="24"/>
          <w:szCs w:val="24"/>
        </w:rPr>
        <w:t xml:space="preserve"> (London: William Heinemann, 1958)</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Scott, James C., </w:t>
      </w:r>
      <w:r>
        <w:rPr>
          <w:rFonts w:ascii="Times New Roman" w:hAnsi="Times New Roman" w:cs="Times New Roman"/>
          <w:i/>
          <w:iCs/>
          <w:sz w:val="24"/>
          <w:szCs w:val="24"/>
        </w:rPr>
        <w:t>Domination and the Arts of Resistance.  Hidden Transcripts</w:t>
      </w:r>
      <w:r>
        <w:rPr>
          <w:rFonts w:ascii="Times New Roman" w:hAnsi="Times New Roman" w:cs="Times New Roman"/>
          <w:sz w:val="24"/>
          <w:szCs w:val="24"/>
        </w:rPr>
        <w:t xml:space="preserve"> (New Haven: Yale University Press, 1990)</w:t>
      </w:r>
    </w:p>
    <w:p w:rsidR="00967FD1" w:rsidRDefault="00967FD1" w:rsidP="00967FD1">
      <w:pPr>
        <w:pStyle w:val="FootnoteText"/>
        <w:spacing w:after="120" w:line="360" w:lineRule="auto"/>
        <w:rPr>
          <w:rFonts w:ascii="Times New Roman" w:hAnsi="Times New Roman"/>
          <w:i/>
          <w:iCs/>
          <w:sz w:val="24"/>
          <w:szCs w:val="24"/>
        </w:rPr>
      </w:pPr>
      <w:r>
        <w:rPr>
          <w:rFonts w:ascii="Times New Roman" w:hAnsi="Times New Roman"/>
          <w:sz w:val="24"/>
          <w:szCs w:val="24"/>
        </w:rPr>
        <w:t xml:space="preserve">Shannon, Mary L., </w:t>
      </w:r>
      <w:r>
        <w:rPr>
          <w:rFonts w:ascii="Times New Roman" w:hAnsi="Times New Roman"/>
          <w:i/>
          <w:iCs/>
          <w:sz w:val="24"/>
          <w:szCs w:val="24"/>
        </w:rPr>
        <w:t xml:space="preserve">Dickens, Reynolds and Mayhew on Wellington Street: The Print Culture of a Victorian Street </w:t>
      </w:r>
      <w:r>
        <w:rPr>
          <w:rFonts w:ascii="Times New Roman" w:hAnsi="Times New Roman"/>
          <w:sz w:val="24"/>
          <w:szCs w:val="24"/>
        </w:rPr>
        <w:t>(London: Routledge, 2015)</w:t>
      </w:r>
    </w:p>
    <w:p w:rsidR="00967FD1" w:rsidRDefault="00967FD1" w:rsidP="00967FD1">
      <w:pPr>
        <w:pStyle w:val="FootnoteText"/>
        <w:spacing w:after="120" w:line="360" w:lineRule="auto"/>
        <w:rPr>
          <w:rFonts w:ascii="Times New Roman" w:hAnsi="Times New Roman"/>
          <w:sz w:val="24"/>
          <w:szCs w:val="24"/>
        </w:rPr>
      </w:pPr>
      <w:r>
        <w:rPr>
          <w:rFonts w:ascii="Times New Roman" w:hAnsi="Times New Roman"/>
          <w:bCs/>
          <w:sz w:val="24"/>
          <w:szCs w:val="24"/>
        </w:rPr>
        <w:t>Shoemaker, Robert B., ‘The Street Robber and the Gentleman Highwayman: Changing Perceptions of Robbery in London, 1690</w:t>
      </w:r>
      <w:r>
        <w:rPr>
          <w:rFonts w:ascii="Times New Roman" w:hAnsi="Times New Roman"/>
          <w:sz w:val="24"/>
          <w:szCs w:val="24"/>
        </w:rPr>
        <w:t>–</w:t>
      </w:r>
      <w:r>
        <w:rPr>
          <w:rFonts w:ascii="Times New Roman" w:hAnsi="Times New Roman"/>
          <w:bCs/>
          <w:sz w:val="24"/>
          <w:szCs w:val="24"/>
        </w:rPr>
        <w:t xml:space="preserve">1800’, </w:t>
      </w:r>
      <w:r>
        <w:rPr>
          <w:rStyle w:val="HTMLCite"/>
          <w:rFonts w:ascii="Times New Roman" w:hAnsi="Times New Roman"/>
          <w:sz w:val="24"/>
          <w:szCs w:val="24"/>
        </w:rPr>
        <w:t>Cultural and Social History</w:t>
      </w:r>
      <w:r>
        <w:rPr>
          <w:rStyle w:val="HTMLCite"/>
          <w:rFonts w:ascii="Times New Roman" w:hAnsi="Times New Roman"/>
          <w:i w:val="0"/>
          <w:sz w:val="24"/>
          <w:szCs w:val="24"/>
        </w:rPr>
        <w:t xml:space="preserve">, </w:t>
      </w:r>
      <w:r>
        <w:rPr>
          <w:rFonts w:ascii="Times New Roman" w:hAnsi="Times New Roman"/>
          <w:sz w:val="24"/>
          <w:szCs w:val="24"/>
        </w:rPr>
        <w:t>3.4 (2006), 381–405</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Showalter, Elaine, </w:t>
      </w:r>
      <w:r>
        <w:rPr>
          <w:rFonts w:ascii="Times New Roman" w:hAnsi="Times New Roman" w:cs="Times New Roman"/>
          <w:i/>
          <w:iCs/>
          <w:sz w:val="24"/>
          <w:szCs w:val="24"/>
        </w:rPr>
        <w:t>The Female Malady. Women, Madness and English Culture, 1830</w:t>
      </w:r>
      <w:r>
        <w:rPr>
          <w:rFonts w:ascii="Times New Roman" w:hAnsi="Times New Roman" w:cs="Times New Roman"/>
          <w:sz w:val="24"/>
          <w:szCs w:val="24"/>
        </w:rPr>
        <w:t>–</w:t>
      </w:r>
      <w:r>
        <w:rPr>
          <w:rFonts w:ascii="Times New Roman" w:hAnsi="Times New Roman" w:cs="Times New Roman"/>
          <w:i/>
          <w:iCs/>
          <w:sz w:val="24"/>
          <w:szCs w:val="24"/>
        </w:rPr>
        <w:t>1980</w:t>
      </w:r>
      <w:r>
        <w:rPr>
          <w:rFonts w:ascii="Times New Roman" w:hAnsi="Times New Roman" w:cs="Times New Roman"/>
          <w:sz w:val="24"/>
          <w:szCs w:val="24"/>
        </w:rPr>
        <w:t xml:space="preserve"> (London: Virago Press, 1987)</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Small, Helen, </w:t>
      </w:r>
      <w:r>
        <w:rPr>
          <w:rFonts w:ascii="Times New Roman" w:hAnsi="Times New Roman" w:cs="Times New Roman"/>
          <w:i/>
          <w:iCs/>
          <w:sz w:val="24"/>
          <w:szCs w:val="24"/>
        </w:rPr>
        <w:t>Love’s Madness Medicine, The Novel, and Female Insanity 1800</w:t>
      </w:r>
      <w:r>
        <w:rPr>
          <w:rFonts w:ascii="Times New Roman" w:hAnsi="Times New Roman" w:cs="Times New Roman"/>
          <w:sz w:val="24"/>
          <w:szCs w:val="24"/>
        </w:rPr>
        <w:t>–</w:t>
      </w:r>
      <w:r>
        <w:rPr>
          <w:rFonts w:ascii="Times New Roman" w:hAnsi="Times New Roman" w:cs="Times New Roman"/>
          <w:i/>
          <w:iCs/>
          <w:sz w:val="24"/>
          <w:szCs w:val="24"/>
        </w:rPr>
        <w:t>1865</w:t>
      </w:r>
      <w:r>
        <w:rPr>
          <w:rFonts w:ascii="Times New Roman" w:hAnsi="Times New Roman" w:cs="Times New Roman"/>
          <w:sz w:val="24"/>
          <w:szCs w:val="24"/>
        </w:rPr>
        <w:t xml:space="preserve"> (Oxford: Clarendon Press, 1996)</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Speare, Morris Edmund, </w:t>
      </w:r>
      <w:r>
        <w:rPr>
          <w:rFonts w:ascii="Times New Roman" w:hAnsi="Times New Roman" w:cs="Times New Roman"/>
          <w:i/>
          <w:sz w:val="24"/>
          <w:szCs w:val="24"/>
        </w:rPr>
        <w:t>The Political Novel: Its Development in England and America</w:t>
      </w:r>
      <w:r>
        <w:rPr>
          <w:rFonts w:ascii="Times New Roman" w:hAnsi="Times New Roman" w:cs="Times New Roman"/>
          <w:sz w:val="24"/>
          <w:szCs w:val="24"/>
        </w:rPr>
        <w:t xml:space="preserve"> (New York: Oxford University Press, 1924)</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Stedman Jones, Gareth, </w:t>
      </w:r>
      <w:r>
        <w:rPr>
          <w:rFonts w:ascii="Times New Roman" w:hAnsi="Times New Roman" w:cs="Times New Roman"/>
          <w:i/>
          <w:sz w:val="24"/>
          <w:szCs w:val="24"/>
        </w:rPr>
        <w:t>Outcast London: A Study in the Relationship between Classes in Victorian Society</w:t>
      </w:r>
      <w:r>
        <w:rPr>
          <w:rFonts w:ascii="Times New Roman" w:hAnsi="Times New Roman" w:cs="Times New Roman"/>
          <w:sz w:val="24"/>
          <w:szCs w:val="24"/>
        </w:rPr>
        <w:t xml:space="preserve"> (Harmondsworth: Penguin Books, 1984)</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Stevenson, John, </w:t>
      </w:r>
      <w:r>
        <w:rPr>
          <w:rFonts w:ascii="Times New Roman" w:hAnsi="Times New Roman" w:cs="Times New Roman"/>
          <w:i/>
          <w:sz w:val="24"/>
          <w:szCs w:val="24"/>
        </w:rPr>
        <w:t>Popular Disturbances in England, 1700</w:t>
      </w:r>
      <w:r>
        <w:rPr>
          <w:rFonts w:ascii="Times New Roman" w:hAnsi="Times New Roman" w:cs="Times New Roman"/>
          <w:sz w:val="24"/>
          <w:szCs w:val="24"/>
        </w:rPr>
        <w:t>–</w:t>
      </w:r>
      <w:r>
        <w:rPr>
          <w:rFonts w:ascii="Times New Roman" w:hAnsi="Times New Roman" w:cs="Times New Roman"/>
          <w:i/>
          <w:sz w:val="24"/>
          <w:szCs w:val="24"/>
        </w:rPr>
        <w:t>1832</w:t>
      </w:r>
      <w:r>
        <w:rPr>
          <w:rFonts w:ascii="Times New Roman" w:hAnsi="Times New Roman" w:cs="Times New Roman"/>
          <w:sz w:val="24"/>
          <w:szCs w:val="24"/>
        </w:rPr>
        <w:t>, 2</w:t>
      </w:r>
      <w:r>
        <w:rPr>
          <w:rFonts w:ascii="Times New Roman" w:hAnsi="Times New Roman" w:cs="Times New Roman"/>
          <w:sz w:val="24"/>
          <w:szCs w:val="24"/>
          <w:vertAlign w:val="superscript"/>
        </w:rPr>
        <w:t>nd</w:t>
      </w:r>
      <w:r>
        <w:rPr>
          <w:rFonts w:ascii="Times New Roman" w:hAnsi="Times New Roman" w:cs="Times New Roman"/>
          <w:sz w:val="24"/>
          <w:szCs w:val="24"/>
        </w:rPr>
        <w:t xml:space="preserve"> edn (Harlow: Longman Group UK Limited, 1992)</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Taylor, Miles, </w:t>
      </w:r>
      <w:r>
        <w:rPr>
          <w:rFonts w:ascii="Times New Roman" w:hAnsi="Times New Roman" w:cs="Times New Roman"/>
          <w:i/>
          <w:iCs/>
          <w:sz w:val="24"/>
          <w:szCs w:val="24"/>
        </w:rPr>
        <w:t>The Decline of British Radicalism, 1847</w:t>
      </w:r>
      <w:r>
        <w:rPr>
          <w:rFonts w:ascii="Times New Roman" w:hAnsi="Times New Roman" w:cs="Times New Roman"/>
          <w:sz w:val="24"/>
          <w:szCs w:val="24"/>
        </w:rPr>
        <w:t>–</w:t>
      </w:r>
      <w:r>
        <w:rPr>
          <w:rFonts w:ascii="Times New Roman" w:hAnsi="Times New Roman" w:cs="Times New Roman"/>
          <w:i/>
          <w:iCs/>
          <w:sz w:val="24"/>
          <w:szCs w:val="24"/>
        </w:rPr>
        <w:t>1860</w:t>
      </w:r>
      <w:r>
        <w:rPr>
          <w:rFonts w:ascii="Times New Roman" w:hAnsi="Times New Roman" w:cs="Times New Roman"/>
          <w:sz w:val="24"/>
          <w:szCs w:val="24"/>
        </w:rPr>
        <w:t xml:space="preserve"> (Oxford: Clarendon Press, 1995)</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Thompson, Dorothy, </w:t>
      </w:r>
      <w:r>
        <w:rPr>
          <w:rFonts w:ascii="Times New Roman" w:hAnsi="Times New Roman" w:cs="Times New Roman"/>
          <w:i/>
          <w:iCs/>
          <w:sz w:val="24"/>
          <w:szCs w:val="24"/>
        </w:rPr>
        <w:t>The Chartists</w:t>
      </w:r>
      <w:r>
        <w:rPr>
          <w:rFonts w:ascii="Times New Roman" w:hAnsi="Times New Roman" w:cs="Times New Roman"/>
          <w:sz w:val="24"/>
          <w:szCs w:val="24"/>
        </w:rPr>
        <w:t xml:space="preserve"> (London: Temple Smith, 1984)</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Thompson, E. P., </w:t>
      </w:r>
      <w:r>
        <w:rPr>
          <w:rFonts w:ascii="Times New Roman" w:hAnsi="Times New Roman" w:cs="Times New Roman"/>
          <w:i/>
          <w:sz w:val="24"/>
          <w:szCs w:val="24"/>
        </w:rPr>
        <w:t>The Making of the English Working Class</w:t>
      </w:r>
      <w:r>
        <w:rPr>
          <w:rFonts w:ascii="Times New Roman" w:hAnsi="Times New Roman" w:cs="Times New Roman"/>
          <w:sz w:val="24"/>
          <w:szCs w:val="24"/>
        </w:rPr>
        <w:t xml:space="preserve"> (London: Harmondsworth, 1986)</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Tombs, Robert, </w:t>
      </w:r>
      <w:r>
        <w:rPr>
          <w:rFonts w:ascii="Times New Roman" w:hAnsi="Times New Roman" w:cs="Times New Roman"/>
          <w:i/>
          <w:iCs/>
          <w:sz w:val="24"/>
          <w:szCs w:val="24"/>
        </w:rPr>
        <w:t>France 1814</w:t>
      </w:r>
      <w:r>
        <w:rPr>
          <w:rFonts w:ascii="Times New Roman" w:hAnsi="Times New Roman" w:cs="Times New Roman"/>
          <w:sz w:val="24"/>
          <w:szCs w:val="24"/>
        </w:rPr>
        <w:t>–</w:t>
      </w:r>
      <w:r>
        <w:rPr>
          <w:rFonts w:ascii="Times New Roman" w:hAnsi="Times New Roman" w:cs="Times New Roman"/>
          <w:i/>
          <w:iCs/>
          <w:sz w:val="24"/>
          <w:szCs w:val="24"/>
        </w:rPr>
        <w:t>1914</w:t>
      </w:r>
      <w:r>
        <w:rPr>
          <w:rFonts w:ascii="Times New Roman" w:hAnsi="Times New Roman" w:cs="Times New Roman"/>
          <w:sz w:val="24"/>
          <w:szCs w:val="24"/>
        </w:rPr>
        <w:t xml:space="preserve"> (London: Longman, 1996)</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Vargish, Thomas, </w:t>
      </w:r>
      <w:r w:rsidRPr="00C13660">
        <w:rPr>
          <w:rFonts w:ascii="Times New Roman" w:hAnsi="Times New Roman" w:cs="Times New Roman"/>
          <w:i/>
          <w:iCs/>
          <w:sz w:val="24"/>
          <w:szCs w:val="24"/>
        </w:rPr>
        <w:t>The Providential Aesthetic in Victorian Fiction</w:t>
      </w:r>
      <w:r w:rsidRPr="00C13660">
        <w:rPr>
          <w:rFonts w:ascii="Times New Roman" w:hAnsi="Times New Roman" w:cs="Times New Roman"/>
          <w:sz w:val="24"/>
          <w:szCs w:val="24"/>
        </w:rPr>
        <w:t xml:space="preserve"> (Charlottesville: University Press of Virginia, 1985)</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Wallas, Graham, </w:t>
      </w:r>
      <w:r w:rsidRPr="00C13660">
        <w:rPr>
          <w:rFonts w:ascii="Times New Roman" w:hAnsi="Times New Roman" w:cs="Times New Roman"/>
          <w:i/>
          <w:sz w:val="24"/>
          <w:szCs w:val="24"/>
        </w:rPr>
        <w:t>The Life of Francis Place 1771</w:t>
      </w:r>
      <w:r w:rsidRPr="00C13660">
        <w:rPr>
          <w:rFonts w:ascii="Times New Roman" w:hAnsi="Times New Roman" w:cs="Times New Roman"/>
          <w:sz w:val="24"/>
          <w:szCs w:val="24"/>
        </w:rPr>
        <w:t>–</w:t>
      </w:r>
      <w:r w:rsidRPr="00C13660">
        <w:rPr>
          <w:rFonts w:ascii="Times New Roman" w:hAnsi="Times New Roman" w:cs="Times New Roman"/>
          <w:i/>
          <w:sz w:val="24"/>
          <w:szCs w:val="24"/>
        </w:rPr>
        <w:t>1854</w:t>
      </w:r>
      <w:r w:rsidRPr="00C13660">
        <w:rPr>
          <w:rFonts w:ascii="Times New Roman" w:hAnsi="Times New Roman" w:cs="Times New Roman"/>
          <w:sz w:val="24"/>
          <w:szCs w:val="24"/>
        </w:rPr>
        <w:t>, 2nd ed. rev. (London: Allen &amp; Unwin, 1925)</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bCs/>
          <w:sz w:val="24"/>
          <w:szCs w:val="24"/>
        </w:rPr>
        <w:t xml:space="preserve">Ward, J. T., </w:t>
      </w:r>
      <w:r w:rsidRPr="00C13660">
        <w:rPr>
          <w:rFonts w:ascii="Times New Roman" w:hAnsi="Times New Roman" w:cs="Times New Roman"/>
          <w:i/>
          <w:sz w:val="24"/>
          <w:szCs w:val="24"/>
        </w:rPr>
        <w:t>Chartism</w:t>
      </w:r>
      <w:r w:rsidRPr="00C13660">
        <w:rPr>
          <w:rFonts w:ascii="Times New Roman" w:hAnsi="Times New Roman" w:cs="Times New Roman"/>
          <w:sz w:val="24"/>
          <w:szCs w:val="24"/>
        </w:rPr>
        <w:t xml:space="preserve"> (London: Batsford, 1973)</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Wardroper, John, </w:t>
      </w:r>
      <w:r w:rsidRPr="00C13660">
        <w:rPr>
          <w:rFonts w:ascii="Times New Roman" w:hAnsi="Times New Roman" w:cs="Times New Roman"/>
          <w:i/>
          <w:sz w:val="24"/>
          <w:szCs w:val="24"/>
        </w:rPr>
        <w:t>Kings, Lords and Wicked Libellers: Satire and Protest 1760</w:t>
      </w:r>
      <w:r w:rsidRPr="00C13660">
        <w:rPr>
          <w:rFonts w:ascii="Times New Roman" w:hAnsi="Times New Roman" w:cs="Times New Roman"/>
          <w:sz w:val="24"/>
          <w:szCs w:val="24"/>
        </w:rPr>
        <w:t>–</w:t>
      </w:r>
      <w:r w:rsidRPr="00C13660">
        <w:rPr>
          <w:rFonts w:ascii="Times New Roman" w:hAnsi="Times New Roman" w:cs="Times New Roman"/>
          <w:i/>
          <w:sz w:val="24"/>
          <w:szCs w:val="24"/>
        </w:rPr>
        <w:t>1837</w:t>
      </w:r>
      <w:r w:rsidRPr="00C13660">
        <w:rPr>
          <w:rFonts w:ascii="Times New Roman" w:hAnsi="Times New Roman" w:cs="Times New Roman"/>
          <w:sz w:val="24"/>
          <w:szCs w:val="24"/>
        </w:rPr>
        <w:t xml:space="preserve"> (London: Murray, 1973)</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The Wellesley Index to Victorian Periodicals, 1824–1900 &lt;</w:t>
      </w:r>
      <w:hyperlink r:id="rId43" w:history="1">
        <w:r w:rsidRPr="00C13660">
          <w:rPr>
            <w:rStyle w:val="Hyperlink"/>
            <w:rFonts w:ascii="Times New Roman" w:hAnsi="Times New Roman" w:cs="Times New Roman"/>
            <w:sz w:val="24"/>
            <w:szCs w:val="24"/>
          </w:rPr>
          <w:t>http://wellesley.chadwyck.co.uk/toc/BrowseIndex.jsp</w:t>
        </w:r>
      </w:hyperlink>
      <w:r w:rsidRPr="00F426DF">
        <w:rPr>
          <w:rStyle w:val="Hyperlink"/>
          <w:rFonts w:ascii="Times New Roman" w:hAnsi="Times New Roman" w:cs="Times New Roman"/>
          <w:color w:val="auto"/>
          <w:sz w:val="24"/>
          <w:szCs w:val="24"/>
          <w:u w:val="none"/>
        </w:rPr>
        <w:t>&gt;</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Wiener, Martin J., </w:t>
      </w:r>
      <w:r w:rsidRPr="00C13660">
        <w:rPr>
          <w:rFonts w:ascii="Times New Roman" w:hAnsi="Times New Roman" w:cs="Times New Roman"/>
          <w:i/>
          <w:iCs/>
          <w:sz w:val="24"/>
          <w:szCs w:val="24"/>
        </w:rPr>
        <w:t>Reconstructing the Criminal: Culture, law and policy in England, 1830</w:t>
      </w:r>
      <w:r w:rsidRPr="00C13660">
        <w:rPr>
          <w:rFonts w:ascii="Times New Roman" w:hAnsi="Times New Roman" w:cs="Times New Roman"/>
          <w:i/>
          <w:sz w:val="24"/>
          <w:szCs w:val="24"/>
        </w:rPr>
        <w:t>–</w:t>
      </w:r>
      <w:r w:rsidRPr="00C13660">
        <w:rPr>
          <w:rFonts w:ascii="Times New Roman" w:hAnsi="Times New Roman" w:cs="Times New Roman"/>
          <w:i/>
          <w:iCs/>
          <w:sz w:val="24"/>
          <w:szCs w:val="24"/>
        </w:rPr>
        <w:t>1914</w:t>
      </w:r>
      <w:r w:rsidRPr="00C13660">
        <w:rPr>
          <w:rFonts w:ascii="Times New Roman" w:hAnsi="Times New Roman" w:cs="Times New Roman"/>
          <w:sz w:val="24"/>
          <w:szCs w:val="24"/>
        </w:rPr>
        <w:t xml:space="preserve"> (Cambridge: Cambridge University Press, 1990)</w:t>
      </w:r>
    </w:p>
    <w:p w:rsidR="00967FD1" w:rsidRPr="00C13660" w:rsidRDefault="00967FD1" w:rsidP="00967FD1">
      <w:pPr>
        <w:spacing w:after="120" w:line="360" w:lineRule="auto"/>
        <w:rPr>
          <w:rFonts w:ascii="Times New Roman" w:hAnsi="Times New Roman" w:cs="Times New Roman"/>
          <w:sz w:val="24"/>
          <w:szCs w:val="24"/>
        </w:rPr>
      </w:pPr>
      <w:r w:rsidRPr="00C13660">
        <w:rPr>
          <w:rFonts w:ascii="Times New Roman" w:hAnsi="Times New Roman" w:cs="Times New Roman"/>
          <w:sz w:val="24"/>
          <w:szCs w:val="24"/>
        </w:rPr>
        <w:t xml:space="preserve">Williams, Raymond, </w:t>
      </w:r>
      <w:r w:rsidRPr="00C13660">
        <w:rPr>
          <w:rFonts w:ascii="Times New Roman" w:hAnsi="Times New Roman" w:cs="Times New Roman"/>
          <w:i/>
          <w:sz w:val="24"/>
          <w:szCs w:val="24"/>
        </w:rPr>
        <w:t>Culture and Society 1780-1850</w:t>
      </w:r>
      <w:r w:rsidRPr="00C13660">
        <w:rPr>
          <w:rFonts w:ascii="Times New Roman" w:hAnsi="Times New Roman" w:cs="Times New Roman"/>
          <w:sz w:val="24"/>
          <w:szCs w:val="24"/>
        </w:rPr>
        <w:t xml:space="preserve"> (Harmondsworth: Penguin Books Ltd., 1984)</w:t>
      </w:r>
    </w:p>
    <w:p w:rsidR="00967FD1" w:rsidRPr="008B39F9" w:rsidRDefault="00967FD1" w:rsidP="00967FD1">
      <w:pPr>
        <w:spacing w:after="120" w:line="360" w:lineRule="auto"/>
        <w:rPr>
          <w:rFonts w:ascii="Times New Roman" w:hAnsi="Times New Roman" w:cs="Times New Roman"/>
          <w:sz w:val="24"/>
          <w:szCs w:val="24"/>
        </w:rPr>
      </w:pPr>
      <w:r w:rsidRPr="008B39F9">
        <w:rPr>
          <w:rFonts w:ascii="Times New Roman" w:hAnsi="Times New Roman" w:cs="Times New Roman"/>
          <w:sz w:val="24"/>
          <w:szCs w:val="24"/>
          <w:vertAlign w:val="superscript"/>
        </w:rPr>
        <w:t>______________</w:t>
      </w:r>
      <w:r w:rsidRPr="008B39F9">
        <w:rPr>
          <w:rFonts w:ascii="Times New Roman" w:hAnsi="Times New Roman" w:cs="Times New Roman"/>
          <w:sz w:val="24"/>
          <w:szCs w:val="24"/>
        </w:rPr>
        <w:t>,</w:t>
      </w:r>
      <w:r w:rsidRPr="008B39F9">
        <w:rPr>
          <w:rFonts w:ascii="Times New Roman" w:hAnsi="Times New Roman" w:cs="Times New Roman"/>
          <w:sz w:val="24"/>
          <w:szCs w:val="24"/>
          <w:vertAlign w:val="superscript"/>
        </w:rPr>
        <w:tab/>
      </w:r>
      <w:r w:rsidRPr="008B39F9">
        <w:rPr>
          <w:rFonts w:ascii="Times New Roman" w:hAnsi="Times New Roman" w:cs="Times New Roman"/>
          <w:i/>
          <w:sz w:val="24"/>
          <w:szCs w:val="24"/>
        </w:rPr>
        <w:t>The Long Revolution</w:t>
      </w:r>
      <w:r w:rsidRPr="008B39F9">
        <w:rPr>
          <w:rFonts w:ascii="Times New Roman" w:hAnsi="Times New Roman" w:cs="Times New Roman"/>
          <w:sz w:val="24"/>
          <w:szCs w:val="24"/>
        </w:rPr>
        <w:t>, rev edn (Harmondsworth: Pelican Books, 1963)</w:t>
      </w:r>
    </w:p>
    <w:p w:rsidR="00967FD1" w:rsidRPr="008B39F9" w:rsidRDefault="00967FD1" w:rsidP="00967FD1">
      <w:pPr>
        <w:pStyle w:val="Default"/>
        <w:spacing w:after="120" w:line="360" w:lineRule="auto"/>
        <w:rPr>
          <w:rFonts w:ascii="Times New Roman" w:hAnsi="Times New Roman" w:cs="Times New Roman"/>
          <w:color w:val="auto"/>
        </w:rPr>
      </w:pPr>
      <w:r w:rsidRPr="008B39F9">
        <w:rPr>
          <w:rStyle w:val="Strong"/>
          <w:rFonts w:ascii="Times New Roman" w:hAnsi="Times New Roman" w:cs="Times New Roman"/>
          <w:b w:val="0"/>
          <w:bCs w:val="0"/>
          <w:color w:val="auto"/>
        </w:rPr>
        <w:t>Wiltshire, Irene, ‘</w:t>
      </w:r>
      <w:r w:rsidRPr="008B39F9">
        <w:rPr>
          <w:rStyle w:val="Strong"/>
          <w:rFonts w:ascii="Times New Roman" w:hAnsi="Times New Roman" w:cs="Times New Roman"/>
          <w:b w:val="0"/>
          <w:bCs w:val="0"/>
          <w:i/>
          <w:iCs/>
          <w:color w:val="auto"/>
        </w:rPr>
        <w:t>Pickwick</w:t>
      </w:r>
      <w:r w:rsidRPr="008B39F9">
        <w:rPr>
          <w:rStyle w:val="Strong"/>
          <w:rFonts w:ascii="Times New Roman" w:hAnsi="Times New Roman" w:cs="Times New Roman"/>
          <w:b w:val="0"/>
          <w:bCs w:val="0"/>
          <w:color w:val="auto"/>
        </w:rPr>
        <w:t xml:space="preserve"> and the pirates’, </w:t>
      </w:r>
      <w:r w:rsidRPr="008B39F9">
        <w:rPr>
          <w:rStyle w:val="Strong"/>
          <w:rFonts w:ascii="Times New Roman" w:hAnsi="Times New Roman" w:cs="Times New Roman"/>
          <w:b w:val="0"/>
          <w:bCs w:val="0"/>
          <w:i/>
          <w:color w:val="auto"/>
        </w:rPr>
        <w:t>Dickensian</w:t>
      </w:r>
      <w:r w:rsidRPr="008B39F9">
        <w:rPr>
          <w:rStyle w:val="Strong"/>
          <w:rFonts w:ascii="Times New Roman" w:hAnsi="Times New Roman" w:cs="Times New Roman"/>
          <w:b w:val="0"/>
          <w:bCs w:val="0"/>
          <w:color w:val="auto"/>
        </w:rPr>
        <w:t>, 102.1 (Spring 2006), 32</w:t>
      </w:r>
      <w:r w:rsidRPr="008B39F9">
        <w:rPr>
          <w:rFonts w:ascii="Times New Roman" w:hAnsi="Times New Roman" w:cs="Times New Roman"/>
          <w:color w:val="auto"/>
        </w:rPr>
        <w:t>–</w:t>
      </w:r>
      <w:r w:rsidRPr="008B39F9">
        <w:rPr>
          <w:rStyle w:val="Strong"/>
          <w:rFonts w:ascii="Times New Roman" w:hAnsi="Times New Roman" w:cs="Times New Roman"/>
          <w:b w:val="0"/>
          <w:bCs w:val="0"/>
          <w:color w:val="auto"/>
        </w:rPr>
        <w:t>44</w:t>
      </w:r>
    </w:p>
    <w:p w:rsidR="00967FD1" w:rsidRPr="008B39F9" w:rsidRDefault="00967FD1" w:rsidP="00967FD1">
      <w:pPr>
        <w:pStyle w:val="FootnoteText"/>
        <w:spacing w:after="120" w:line="360" w:lineRule="auto"/>
        <w:rPr>
          <w:rFonts w:ascii="Times New Roman" w:hAnsi="Times New Roman"/>
          <w:sz w:val="24"/>
          <w:szCs w:val="24"/>
        </w:rPr>
      </w:pPr>
      <w:r w:rsidRPr="008B39F9">
        <w:rPr>
          <w:rFonts w:ascii="Times New Roman" w:hAnsi="Times New Roman"/>
          <w:sz w:val="24"/>
          <w:szCs w:val="24"/>
        </w:rPr>
        <w:t xml:space="preserve">Wise, Sarah, </w:t>
      </w:r>
      <w:r w:rsidRPr="008B39F9">
        <w:rPr>
          <w:rFonts w:ascii="Times New Roman" w:hAnsi="Times New Roman"/>
          <w:i/>
          <w:sz w:val="24"/>
          <w:szCs w:val="24"/>
        </w:rPr>
        <w:t>The Italian Boy: Murder and Grave-Robbery in 1830s London</w:t>
      </w:r>
      <w:r w:rsidRPr="008B39F9">
        <w:rPr>
          <w:rFonts w:ascii="Times New Roman" w:hAnsi="Times New Roman"/>
          <w:sz w:val="24"/>
          <w:szCs w:val="24"/>
        </w:rPr>
        <w:t xml:space="preserve"> (London: Cape, 2004)</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bCs/>
          <w:sz w:val="24"/>
          <w:szCs w:val="24"/>
        </w:rPr>
        <w:t xml:space="preserve">Wooldridge, Adam, </w:t>
      </w:r>
      <w:r>
        <w:rPr>
          <w:rFonts w:ascii="Times New Roman" w:hAnsi="Times New Roman" w:cs="Times New Roman"/>
          <w:bCs/>
          <w:i/>
          <w:sz w:val="24"/>
          <w:szCs w:val="24"/>
        </w:rPr>
        <w:t>Measuring the Mind: Education and Psychology in England c.1860</w:t>
      </w:r>
      <w:r>
        <w:rPr>
          <w:rFonts w:ascii="Times New Roman" w:hAnsi="Times New Roman" w:cs="Times New Roman"/>
          <w:sz w:val="24"/>
          <w:szCs w:val="24"/>
        </w:rPr>
        <w:t>–</w:t>
      </w:r>
      <w:r>
        <w:rPr>
          <w:rFonts w:ascii="Times New Roman" w:hAnsi="Times New Roman" w:cs="Times New Roman"/>
          <w:bCs/>
          <w:i/>
          <w:sz w:val="24"/>
          <w:szCs w:val="24"/>
        </w:rPr>
        <w:t>c.1990</w:t>
      </w:r>
      <w:r>
        <w:rPr>
          <w:rFonts w:ascii="Times New Roman" w:hAnsi="Times New Roman" w:cs="Times New Roman"/>
          <w:bCs/>
          <w:sz w:val="24"/>
          <w:szCs w:val="24"/>
        </w:rPr>
        <w:t xml:space="preserve"> (Cambridge, Cambridge University Press, 1994)</w:t>
      </w:r>
    </w:p>
    <w:p w:rsidR="00967FD1" w:rsidRDefault="00967FD1" w:rsidP="00967FD1">
      <w:pPr>
        <w:spacing w:after="12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Worrall, David, </w:t>
      </w:r>
      <w:r>
        <w:rPr>
          <w:rFonts w:ascii="Times New Roman" w:hAnsi="Times New Roman" w:cs="Times New Roman"/>
          <w:i/>
          <w:iCs/>
          <w:sz w:val="24"/>
          <w:szCs w:val="24"/>
        </w:rPr>
        <w:t>Radical Culture, Discourse, Resistance and Surveillance, 1790</w:t>
      </w:r>
      <w:r>
        <w:rPr>
          <w:rFonts w:ascii="Times New Roman" w:hAnsi="Times New Roman" w:cs="Times New Roman"/>
          <w:sz w:val="24"/>
          <w:szCs w:val="24"/>
        </w:rPr>
        <w:t>–</w:t>
      </w:r>
      <w:r>
        <w:rPr>
          <w:rFonts w:ascii="Times New Roman" w:hAnsi="Times New Roman" w:cs="Times New Roman"/>
          <w:i/>
          <w:iCs/>
          <w:sz w:val="24"/>
          <w:szCs w:val="24"/>
        </w:rPr>
        <w:t>1820</w:t>
      </w:r>
      <w:r>
        <w:rPr>
          <w:rFonts w:ascii="Times New Roman" w:hAnsi="Times New Roman" w:cs="Times New Roman"/>
          <w:sz w:val="24"/>
          <w:szCs w:val="24"/>
        </w:rPr>
        <w:t xml:space="preserve"> (Hemel Hempstead: Harvester Wheatsheaf, 1992)</w:t>
      </w:r>
    </w:p>
    <w:p w:rsidR="0032103F" w:rsidRDefault="0032103F"/>
    <w:sectPr w:rsidR="0032103F">
      <w:footnotePr>
        <w:numRestart w:val="eachSect"/>
      </w:foot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324DF" w:rsidRDefault="007324DF" w:rsidP="00690DF3">
      <w:pPr>
        <w:spacing w:after="0" w:line="240" w:lineRule="auto"/>
      </w:pPr>
      <w:r>
        <w:separator/>
      </w:r>
    </w:p>
  </w:endnote>
  <w:endnote w:type="continuationSeparator" w:id="0">
    <w:p w:rsidR="007324DF" w:rsidRDefault="007324DF" w:rsidP="00690D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ode">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399764"/>
      <w:docPartObj>
        <w:docPartGallery w:val="Page Numbers (Bottom of Page)"/>
        <w:docPartUnique/>
      </w:docPartObj>
    </w:sdtPr>
    <w:sdtEndPr>
      <w:rPr>
        <w:noProof/>
      </w:rPr>
    </w:sdtEndPr>
    <w:sdtContent>
      <w:p w:rsidR="003515E3" w:rsidRDefault="003515E3">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3515E3" w:rsidRDefault="003515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324DF" w:rsidRDefault="007324DF" w:rsidP="00690DF3">
      <w:pPr>
        <w:spacing w:after="0" w:line="240" w:lineRule="auto"/>
      </w:pPr>
      <w:r>
        <w:separator/>
      </w:r>
    </w:p>
  </w:footnote>
  <w:footnote w:type="continuationSeparator" w:id="0">
    <w:p w:rsidR="007324DF" w:rsidRDefault="007324DF" w:rsidP="00690DF3">
      <w:pPr>
        <w:spacing w:after="0" w:line="240" w:lineRule="auto"/>
      </w:pPr>
      <w:r>
        <w:continuationSeparator/>
      </w:r>
    </w:p>
  </w:footnote>
  <w:footnote w:id="1">
    <w:p w:rsidR="003515E3" w:rsidRPr="001151C3" w:rsidRDefault="003515E3" w:rsidP="00D363EC">
      <w:pPr>
        <w:pStyle w:val="FootnoteText"/>
        <w:spacing w:after="0" w:line="240" w:lineRule="auto"/>
        <w:rPr>
          <w:rFonts w:ascii="Times New Roman" w:hAnsi="Times New Roman"/>
        </w:rPr>
      </w:pPr>
      <w:r w:rsidRPr="001151C3">
        <w:rPr>
          <w:rStyle w:val="FootnoteReference"/>
          <w:rFonts w:ascii="Times New Roman" w:hAnsi="Times New Roman"/>
        </w:rPr>
        <w:footnoteRef/>
      </w:r>
      <w:r w:rsidRPr="001151C3">
        <w:rPr>
          <w:rFonts w:ascii="Times New Roman" w:hAnsi="Times New Roman"/>
        </w:rPr>
        <w:t xml:space="preserve"> William Makepeace Thackeray, ‘Charity and Humour’, in </w:t>
      </w:r>
      <w:r w:rsidRPr="001151C3">
        <w:rPr>
          <w:rFonts w:ascii="Times New Roman" w:hAnsi="Times New Roman"/>
          <w:i/>
        </w:rPr>
        <w:t>The Works of William Makepeace Thackeray</w:t>
      </w:r>
      <w:r w:rsidRPr="001151C3">
        <w:rPr>
          <w:rFonts w:ascii="Times New Roman" w:hAnsi="Times New Roman"/>
        </w:rPr>
        <w:t>, 26 vols (London: Smith, Elder, 1911), XI, pp. 347–64 (p. 360).</w:t>
      </w:r>
    </w:p>
  </w:footnote>
  <w:footnote w:id="2">
    <w:p w:rsidR="003515E3" w:rsidRPr="001151C3" w:rsidRDefault="003515E3" w:rsidP="00D363EC">
      <w:pPr>
        <w:pStyle w:val="FootnoteText"/>
        <w:spacing w:after="0" w:line="240" w:lineRule="auto"/>
        <w:rPr>
          <w:rFonts w:ascii="Times New Roman" w:hAnsi="Times New Roman"/>
        </w:rPr>
      </w:pPr>
      <w:r w:rsidRPr="001151C3">
        <w:rPr>
          <w:rStyle w:val="FootnoteReference"/>
          <w:rFonts w:ascii="Times New Roman" w:hAnsi="Times New Roman"/>
        </w:rPr>
        <w:footnoteRef/>
      </w:r>
      <w:r w:rsidRPr="001151C3">
        <w:rPr>
          <w:rFonts w:ascii="Times New Roman" w:hAnsi="Times New Roman"/>
        </w:rPr>
        <w:t xml:space="preserve"> Dickens vented his displeasure in a letter to W. C. Macready dated 30 August 1849: ‘If “Mr. G. W. Reynolds” be the Mr. Reynolds who is the Author of the Mysteries of London, and who took the chair for a mon in Trafalgar Square before they set forth on a window-breaking expedition, I hold his to be a name with which no lady’s, and no gentleman’s, should be associated.’  See </w:t>
      </w:r>
      <w:r w:rsidRPr="001151C3">
        <w:rPr>
          <w:rFonts w:ascii="Times New Roman" w:hAnsi="Times New Roman"/>
          <w:i/>
          <w:iCs/>
        </w:rPr>
        <w:t>The Letters of Charles Dickens:</w:t>
      </w:r>
      <w:r w:rsidRPr="001151C3">
        <w:rPr>
          <w:rFonts w:ascii="Times New Roman" w:hAnsi="Times New Roman"/>
        </w:rPr>
        <w:t xml:space="preserve"> Volume Five 1847–1849, ed. by Graham Storey and K. J. Fielding (Oxford: Clarendon Press, 1981), pp. 603–04.  Publicly he charged Reynolds’s books as attempting to ‘degrade the working man’.  See </w:t>
      </w:r>
      <w:r w:rsidRPr="001151C3">
        <w:rPr>
          <w:rFonts w:ascii="Times New Roman" w:hAnsi="Times New Roman"/>
          <w:iCs/>
        </w:rPr>
        <w:t xml:space="preserve">Charles Dickens, ‘The Three Kingdoms’, </w:t>
      </w:r>
      <w:r w:rsidRPr="001151C3">
        <w:rPr>
          <w:rFonts w:ascii="Times New Roman" w:hAnsi="Times New Roman"/>
          <w:i/>
        </w:rPr>
        <w:t>Household Narrative of Current Events</w:t>
      </w:r>
      <w:r w:rsidRPr="001151C3">
        <w:rPr>
          <w:rFonts w:ascii="Times New Roman" w:hAnsi="Times New Roman"/>
        </w:rPr>
        <w:t>, 27 March–26 April 1851, pp. 73–75 (p. 73).</w:t>
      </w:r>
    </w:p>
  </w:footnote>
  <w:footnote w:id="3">
    <w:p w:rsidR="003515E3" w:rsidRPr="001151C3" w:rsidRDefault="003515E3" w:rsidP="00D363EC">
      <w:pPr>
        <w:pStyle w:val="FootnoteText"/>
        <w:spacing w:after="0" w:line="240" w:lineRule="auto"/>
        <w:rPr>
          <w:rFonts w:ascii="Times New Roman" w:hAnsi="Times New Roman"/>
        </w:rPr>
      </w:pPr>
      <w:r w:rsidRPr="001151C3">
        <w:rPr>
          <w:rStyle w:val="FootnoteReference"/>
          <w:rFonts w:ascii="Times New Roman" w:hAnsi="Times New Roman"/>
        </w:rPr>
        <w:footnoteRef/>
      </w:r>
      <w:r w:rsidRPr="001151C3">
        <w:rPr>
          <w:rFonts w:ascii="Times New Roman" w:hAnsi="Times New Roman"/>
        </w:rPr>
        <w:t xml:space="preserve"> Thomas Wright, </w:t>
      </w:r>
      <w:r w:rsidRPr="001151C3">
        <w:rPr>
          <w:rFonts w:ascii="Times New Roman" w:hAnsi="Times New Roman"/>
          <w:i/>
        </w:rPr>
        <w:t>Some Habits and Customs of the Working Classes by a Journeyman Engineer</w:t>
      </w:r>
      <w:r w:rsidRPr="001151C3">
        <w:rPr>
          <w:rFonts w:ascii="Times New Roman" w:hAnsi="Times New Roman"/>
        </w:rPr>
        <w:t xml:space="preserve"> (London: Tinsley Brothers, 1867; repr. New York: Kelley, 1967), p. 31.</w:t>
      </w:r>
    </w:p>
  </w:footnote>
  <w:footnote w:id="4">
    <w:p w:rsidR="003515E3" w:rsidRPr="001151C3" w:rsidRDefault="003515E3" w:rsidP="00D363EC">
      <w:pPr>
        <w:autoSpaceDE w:val="0"/>
        <w:autoSpaceDN w:val="0"/>
        <w:adjustRightInd w:val="0"/>
        <w:spacing w:after="0" w:line="240" w:lineRule="auto"/>
        <w:rPr>
          <w:rFonts w:ascii="Times New Roman" w:hAnsi="Times New Roman" w:cs="Times New Roman"/>
          <w:sz w:val="20"/>
          <w:szCs w:val="20"/>
        </w:rPr>
      </w:pPr>
      <w:r w:rsidRPr="001151C3">
        <w:rPr>
          <w:rStyle w:val="FootnoteReference"/>
          <w:rFonts w:ascii="Times New Roman" w:hAnsi="Times New Roman" w:cs="Times New Roman"/>
          <w:sz w:val="20"/>
          <w:szCs w:val="20"/>
        </w:rPr>
        <w:footnoteRef/>
      </w:r>
      <w:r w:rsidRPr="001151C3">
        <w:rPr>
          <w:rFonts w:ascii="Times New Roman" w:hAnsi="Times New Roman" w:cs="Times New Roman"/>
          <w:sz w:val="20"/>
          <w:szCs w:val="20"/>
        </w:rPr>
        <w:t xml:space="preserve"> Rohan McWilliam, ‘</w:t>
      </w:r>
      <w:r w:rsidRPr="001151C3">
        <w:rPr>
          <w:rFonts w:ascii="Times New Roman" w:hAnsi="Times New Roman" w:cs="Times New Roman"/>
          <w:i/>
          <w:sz w:val="20"/>
          <w:szCs w:val="20"/>
        </w:rPr>
        <w:t>The French Connection: G. W. M. Reynolds and the Outlaw Robert Macaire’</w:t>
      </w:r>
      <w:r w:rsidRPr="001151C3">
        <w:rPr>
          <w:rFonts w:ascii="Times New Roman" w:hAnsi="Times New Roman" w:cs="Times New Roman"/>
          <w:sz w:val="20"/>
          <w:szCs w:val="20"/>
        </w:rPr>
        <w:t xml:space="preserve">, in </w:t>
      </w:r>
      <w:r w:rsidRPr="001151C3">
        <w:rPr>
          <w:rFonts w:ascii="Times New Roman" w:hAnsi="Times New Roman" w:cs="Times New Roman"/>
          <w:i/>
          <w:sz w:val="20"/>
          <w:szCs w:val="20"/>
        </w:rPr>
        <w:t>G. W. M. Reynolds: Nineteenth-Century Fiction, Politics, and the Press</w:t>
      </w:r>
      <w:r w:rsidRPr="001151C3">
        <w:rPr>
          <w:rFonts w:ascii="Times New Roman" w:hAnsi="Times New Roman" w:cs="Times New Roman"/>
          <w:sz w:val="20"/>
          <w:szCs w:val="20"/>
        </w:rPr>
        <w:t xml:space="preserve">, ed. by Anne Humpherys and Louis James (London: Ashgate Publishing, 2008), pp. 33–49 (pp. 33–34). </w:t>
      </w:r>
    </w:p>
  </w:footnote>
  <w:footnote w:id="5">
    <w:p w:rsidR="003515E3" w:rsidRPr="001151C3" w:rsidRDefault="003515E3" w:rsidP="00D363EC">
      <w:pPr>
        <w:pStyle w:val="FootnoteText"/>
        <w:spacing w:after="0" w:line="240" w:lineRule="auto"/>
        <w:rPr>
          <w:rFonts w:ascii="Times New Roman" w:hAnsi="Times New Roman"/>
        </w:rPr>
      </w:pPr>
      <w:r w:rsidRPr="001151C3">
        <w:rPr>
          <w:rStyle w:val="FootnoteReference"/>
          <w:rFonts w:ascii="Times New Roman" w:hAnsi="Times New Roman"/>
        </w:rPr>
        <w:footnoteRef/>
      </w:r>
      <w:r w:rsidRPr="001151C3">
        <w:rPr>
          <w:rFonts w:ascii="Times New Roman" w:hAnsi="Times New Roman"/>
        </w:rPr>
        <w:t xml:space="preserve"> G. W. M. Reynolds, ‘How the Social System Works’, </w:t>
      </w:r>
      <w:r w:rsidRPr="001151C3">
        <w:rPr>
          <w:rFonts w:ascii="Times New Roman" w:hAnsi="Times New Roman"/>
          <w:i/>
          <w:iCs/>
        </w:rPr>
        <w:t>Reynolds’s Newspaper</w:t>
      </w:r>
      <w:r w:rsidRPr="001151C3">
        <w:rPr>
          <w:rFonts w:ascii="Times New Roman" w:hAnsi="Times New Roman"/>
        </w:rPr>
        <w:t>, 15 June 1851, p. 1.</w:t>
      </w:r>
    </w:p>
  </w:footnote>
  <w:footnote w:id="6">
    <w:p w:rsidR="003515E3" w:rsidRPr="001151C3" w:rsidRDefault="003515E3" w:rsidP="00D363EC">
      <w:pPr>
        <w:pStyle w:val="Default"/>
        <w:rPr>
          <w:rFonts w:ascii="Times New Roman" w:hAnsi="Times New Roman" w:cs="Times New Roman"/>
          <w:color w:val="auto"/>
          <w:sz w:val="20"/>
          <w:szCs w:val="20"/>
        </w:rPr>
      </w:pPr>
      <w:r w:rsidRPr="001151C3">
        <w:rPr>
          <w:rStyle w:val="FootnoteReference"/>
          <w:rFonts w:ascii="Times New Roman" w:hAnsi="Times New Roman" w:cs="Times New Roman"/>
          <w:color w:val="auto"/>
          <w:sz w:val="20"/>
          <w:szCs w:val="20"/>
        </w:rPr>
        <w:footnoteRef/>
      </w:r>
      <w:r w:rsidRPr="001151C3">
        <w:rPr>
          <w:rFonts w:ascii="Times New Roman" w:hAnsi="Times New Roman" w:cs="Times New Roman"/>
          <w:color w:val="auto"/>
          <w:sz w:val="20"/>
          <w:szCs w:val="20"/>
        </w:rPr>
        <w:t xml:space="preserve"> G. W. M. Reynolds, ‘The Prospects of the Democratic Cause’, </w:t>
      </w:r>
      <w:r w:rsidRPr="001151C3">
        <w:rPr>
          <w:rFonts w:ascii="Times New Roman" w:hAnsi="Times New Roman" w:cs="Times New Roman"/>
          <w:i/>
          <w:iCs/>
          <w:color w:val="auto"/>
          <w:sz w:val="20"/>
          <w:szCs w:val="20"/>
        </w:rPr>
        <w:t>Reynolds’s Weekly Newspaper</w:t>
      </w:r>
      <w:r w:rsidRPr="001151C3">
        <w:rPr>
          <w:rFonts w:ascii="Times New Roman" w:hAnsi="Times New Roman" w:cs="Times New Roman"/>
          <w:color w:val="auto"/>
          <w:sz w:val="20"/>
          <w:szCs w:val="20"/>
        </w:rPr>
        <w:t>, 5 May 1850, p. 1.</w:t>
      </w:r>
    </w:p>
  </w:footnote>
  <w:footnote w:id="7">
    <w:p w:rsidR="003515E3" w:rsidRPr="00D363EC" w:rsidRDefault="003515E3" w:rsidP="00D363EC">
      <w:pPr>
        <w:pStyle w:val="FootnoteText"/>
        <w:spacing w:after="0" w:line="240" w:lineRule="auto"/>
        <w:rPr>
          <w:rFonts w:ascii="Times New Roman" w:hAnsi="Times New Roman"/>
        </w:rPr>
      </w:pPr>
      <w:r w:rsidRPr="001151C3">
        <w:rPr>
          <w:rStyle w:val="FootnoteReference"/>
          <w:rFonts w:ascii="Times New Roman" w:hAnsi="Times New Roman"/>
        </w:rPr>
        <w:footnoteRef/>
      </w:r>
      <w:r w:rsidRPr="001151C3">
        <w:rPr>
          <w:rFonts w:ascii="Times New Roman" w:hAnsi="Times New Roman"/>
        </w:rPr>
        <w:t xml:space="preserve"> Raymond Williams, </w:t>
      </w:r>
      <w:r w:rsidRPr="001151C3">
        <w:rPr>
          <w:rFonts w:ascii="Times New Roman" w:hAnsi="Times New Roman"/>
          <w:i/>
        </w:rPr>
        <w:t>The Long Revolution</w:t>
      </w:r>
      <w:r w:rsidRPr="001151C3">
        <w:rPr>
          <w:rFonts w:ascii="Times New Roman" w:hAnsi="Times New Roman"/>
        </w:rPr>
        <w:t>, rev. edn (Harmondsworth: Pelican Books, 1963), p. 73.</w:t>
      </w:r>
    </w:p>
  </w:footnote>
  <w:footnote w:id="8">
    <w:p w:rsidR="003515E3" w:rsidRPr="00D363EC" w:rsidRDefault="003515E3" w:rsidP="00D363EC">
      <w:pPr>
        <w:pStyle w:val="Default"/>
        <w:rPr>
          <w:rFonts w:ascii="Times New Roman" w:hAnsi="Times New Roman" w:cs="Times New Roman"/>
          <w:color w:val="auto"/>
          <w:sz w:val="20"/>
          <w:szCs w:val="20"/>
        </w:rPr>
      </w:pPr>
      <w:r w:rsidRPr="00D363EC">
        <w:rPr>
          <w:rStyle w:val="FootnoteReference"/>
          <w:rFonts w:ascii="Times New Roman" w:hAnsi="Times New Roman" w:cs="Times New Roman"/>
          <w:color w:val="auto"/>
          <w:sz w:val="20"/>
          <w:szCs w:val="20"/>
        </w:rPr>
        <w:footnoteRef/>
      </w:r>
      <w:r w:rsidRPr="00D363EC">
        <w:rPr>
          <w:rFonts w:ascii="Times New Roman" w:hAnsi="Times New Roman" w:cs="Times New Roman"/>
          <w:color w:val="auto"/>
          <w:sz w:val="20"/>
          <w:szCs w:val="20"/>
        </w:rPr>
        <w:t xml:space="preserve"> Anne Humpherys, ‘G. W. M. Reynolds: Popular Literature &amp; Popular Politics’, in </w:t>
      </w:r>
      <w:r w:rsidRPr="00D363EC">
        <w:rPr>
          <w:rFonts w:ascii="Times New Roman" w:hAnsi="Times New Roman" w:cs="Times New Roman"/>
          <w:i/>
          <w:color w:val="auto"/>
          <w:sz w:val="20"/>
          <w:szCs w:val="20"/>
        </w:rPr>
        <w:t>Victorian Periodicals Review</w:t>
      </w:r>
      <w:r w:rsidRPr="00D363EC">
        <w:rPr>
          <w:rFonts w:ascii="Times New Roman" w:hAnsi="Times New Roman" w:cs="Times New Roman"/>
          <w:color w:val="auto"/>
          <w:sz w:val="20"/>
          <w:szCs w:val="20"/>
        </w:rPr>
        <w:t>, 16.3/4 (Fall–Winter 1983), 79–89 &lt;</w:t>
      </w:r>
      <w:hyperlink r:id="rId1" w:history="1">
        <w:r w:rsidRPr="00D363EC">
          <w:rPr>
            <w:rStyle w:val="Hyperlink"/>
            <w:rFonts w:ascii="Times New Roman" w:hAnsi="Times New Roman" w:cs="Times New Roman"/>
            <w:color w:val="auto"/>
            <w:sz w:val="20"/>
            <w:szCs w:val="20"/>
          </w:rPr>
          <w:t>http://www.jstor.org/stable/20082085</w:t>
        </w:r>
      </w:hyperlink>
      <w:r w:rsidRPr="00D363EC">
        <w:rPr>
          <w:rFonts w:ascii="Times New Roman" w:hAnsi="Times New Roman" w:cs="Times New Roman"/>
          <w:color w:val="auto"/>
          <w:sz w:val="20"/>
          <w:szCs w:val="20"/>
        </w:rPr>
        <w:t>&gt; [accessed 4 October 2013] (p. 79).</w:t>
      </w:r>
    </w:p>
  </w:footnote>
  <w:footnote w:id="9">
    <w:p w:rsidR="003515E3" w:rsidRPr="00D363EC" w:rsidRDefault="003515E3" w:rsidP="00D363EC">
      <w:pPr>
        <w:pStyle w:val="FootnoteText"/>
        <w:spacing w:after="0" w:line="240" w:lineRule="auto"/>
        <w:rPr>
          <w:rFonts w:ascii="Times New Roman" w:hAnsi="Times New Roman"/>
          <w:lang w:val="fr-FR"/>
        </w:rPr>
      </w:pPr>
      <w:r w:rsidRPr="00D363EC">
        <w:rPr>
          <w:rStyle w:val="FootnoteReference"/>
          <w:rFonts w:ascii="Times New Roman" w:hAnsi="Times New Roman"/>
        </w:rPr>
        <w:footnoteRef/>
      </w:r>
      <w:r w:rsidRPr="00D363EC">
        <w:rPr>
          <w:rFonts w:ascii="Times New Roman" w:hAnsi="Times New Roman"/>
          <w:lang w:val="fr-FR"/>
        </w:rPr>
        <w:t xml:space="preserve"> ‘G. W. M. Reynolds: Popular Literature &amp; Popular Politics’, p. 79.</w:t>
      </w:r>
    </w:p>
  </w:footnote>
  <w:footnote w:id="10">
    <w:p w:rsidR="003515E3" w:rsidRPr="00D363EC" w:rsidRDefault="003515E3" w:rsidP="00D363EC">
      <w:pPr>
        <w:pStyle w:val="FootnoteText"/>
        <w:spacing w:after="0" w:line="240" w:lineRule="auto"/>
        <w:rPr>
          <w:rFonts w:ascii="Times New Roman" w:hAnsi="Times New Roman"/>
        </w:rPr>
      </w:pPr>
      <w:r w:rsidRPr="00D363EC">
        <w:rPr>
          <w:rStyle w:val="FootnoteReference"/>
          <w:rFonts w:ascii="Times New Roman" w:hAnsi="Times New Roman"/>
        </w:rPr>
        <w:footnoteRef/>
      </w:r>
      <w:r w:rsidRPr="00D363EC">
        <w:rPr>
          <w:rFonts w:ascii="Times New Roman" w:hAnsi="Times New Roman"/>
        </w:rPr>
        <w:t xml:space="preserve"> Anonymous, ‘More Lies of the Press’, </w:t>
      </w:r>
      <w:r w:rsidRPr="00D363EC">
        <w:rPr>
          <w:rFonts w:ascii="Times New Roman" w:hAnsi="Times New Roman"/>
          <w:i/>
          <w:iCs/>
        </w:rPr>
        <w:t>Northern Star, and National Trades’ Journal</w:t>
      </w:r>
      <w:r w:rsidRPr="00D363EC">
        <w:rPr>
          <w:rFonts w:ascii="Times New Roman" w:hAnsi="Times New Roman"/>
        </w:rPr>
        <w:t>, 1 July 1848, p.2.</w:t>
      </w:r>
    </w:p>
  </w:footnote>
  <w:footnote w:id="11">
    <w:p w:rsidR="003515E3" w:rsidRPr="00D363EC" w:rsidRDefault="003515E3" w:rsidP="00D363EC">
      <w:pPr>
        <w:pStyle w:val="Default"/>
        <w:rPr>
          <w:rFonts w:ascii="Times New Roman" w:hAnsi="Times New Roman" w:cs="Times New Roman"/>
          <w:color w:val="auto"/>
          <w:sz w:val="20"/>
          <w:szCs w:val="20"/>
        </w:rPr>
      </w:pPr>
      <w:r w:rsidRPr="00D363EC">
        <w:rPr>
          <w:rStyle w:val="FootnoteReference"/>
          <w:rFonts w:ascii="Times New Roman" w:hAnsi="Times New Roman" w:cs="Times New Roman"/>
          <w:color w:val="auto"/>
          <w:sz w:val="20"/>
          <w:szCs w:val="20"/>
        </w:rPr>
        <w:footnoteRef/>
      </w:r>
      <w:r w:rsidRPr="00D363EC">
        <w:rPr>
          <w:rFonts w:ascii="Times New Roman" w:hAnsi="Times New Roman" w:cs="Times New Roman"/>
          <w:color w:val="auto"/>
          <w:sz w:val="20"/>
          <w:szCs w:val="20"/>
        </w:rPr>
        <w:t xml:space="preserve"> William J. Linton, </w:t>
      </w:r>
      <w:r w:rsidRPr="00D363EC">
        <w:rPr>
          <w:rFonts w:ascii="Times New Roman" w:hAnsi="Times New Roman" w:cs="Times New Roman"/>
          <w:i/>
          <w:color w:val="auto"/>
          <w:sz w:val="20"/>
          <w:szCs w:val="20"/>
        </w:rPr>
        <w:t>James Watson: A Memoir of the Days of the Fight for a Free Press in England and of the Agitation for the People’s Charter</w:t>
      </w:r>
      <w:r w:rsidRPr="00D363EC">
        <w:rPr>
          <w:rFonts w:ascii="Times New Roman" w:hAnsi="Times New Roman" w:cs="Times New Roman"/>
          <w:color w:val="auto"/>
          <w:sz w:val="20"/>
          <w:szCs w:val="20"/>
        </w:rPr>
        <w:t xml:space="preserve"> (Manchester: Heywood &amp; Son, 1880; repr New York: Kelley, 1971), p. 65.</w:t>
      </w:r>
    </w:p>
  </w:footnote>
  <w:footnote w:id="12">
    <w:p w:rsidR="003515E3" w:rsidRPr="00D363EC" w:rsidRDefault="003515E3" w:rsidP="00D363EC">
      <w:pPr>
        <w:pStyle w:val="Default"/>
        <w:rPr>
          <w:rFonts w:ascii="Times New Roman" w:hAnsi="Times New Roman" w:cs="Times New Roman"/>
          <w:color w:val="auto"/>
          <w:sz w:val="20"/>
          <w:szCs w:val="20"/>
        </w:rPr>
      </w:pPr>
      <w:r w:rsidRPr="00D363EC">
        <w:rPr>
          <w:rStyle w:val="FootnoteReference"/>
          <w:rFonts w:ascii="Times New Roman" w:hAnsi="Times New Roman" w:cs="Times New Roman"/>
          <w:color w:val="auto"/>
          <w:sz w:val="20"/>
          <w:szCs w:val="20"/>
        </w:rPr>
        <w:footnoteRef/>
      </w:r>
      <w:r w:rsidRPr="00D363EC">
        <w:rPr>
          <w:rFonts w:ascii="Times New Roman" w:hAnsi="Times New Roman" w:cs="Times New Roman"/>
          <w:color w:val="auto"/>
          <w:sz w:val="20"/>
          <w:szCs w:val="20"/>
        </w:rPr>
        <w:t xml:space="preserve"> W. E. Adams, </w:t>
      </w:r>
      <w:r w:rsidRPr="00D363EC">
        <w:rPr>
          <w:rFonts w:ascii="Times New Roman" w:hAnsi="Times New Roman" w:cs="Times New Roman"/>
          <w:i/>
          <w:color w:val="auto"/>
          <w:sz w:val="20"/>
          <w:szCs w:val="20"/>
        </w:rPr>
        <w:t>Memoirs of a Social Atom</w:t>
      </w:r>
      <w:r w:rsidRPr="00D363EC">
        <w:rPr>
          <w:rFonts w:ascii="Times New Roman" w:hAnsi="Times New Roman" w:cs="Times New Roman"/>
          <w:color w:val="auto"/>
          <w:sz w:val="20"/>
          <w:szCs w:val="20"/>
        </w:rPr>
        <w:t xml:space="preserve"> (London: Hutcheson, 1903; repr. New York: Kelley, 1968), p. 235.</w:t>
      </w:r>
    </w:p>
  </w:footnote>
  <w:footnote w:id="13">
    <w:p w:rsidR="003515E3" w:rsidRPr="00D363EC" w:rsidRDefault="003515E3" w:rsidP="00D363EC">
      <w:pPr>
        <w:spacing w:after="0" w:line="240" w:lineRule="auto"/>
        <w:rPr>
          <w:rFonts w:ascii="Times New Roman" w:hAnsi="Times New Roman" w:cs="Times New Roman"/>
          <w:b/>
          <w:sz w:val="20"/>
          <w:szCs w:val="20"/>
        </w:rPr>
      </w:pPr>
      <w:r w:rsidRPr="00D363EC">
        <w:rPr>
          <w:rStyle w:val="FootnoteReference"/>
          <w:rFonts w:ascii="Times New Roman" w:hAnsi="Times New Roman" w:cs="Times New Roman"/>
          <w:sz w:val="20"/>
          <w:szCs w:val="20"/>
        </w:rPr>
        <w:footnoteRef/>
      </w:r>
      <w:r w:rsidRPr="00D363EC">
        <w:rPr>
          <w:rFonts w:ascii="Times New Roman" w:hAnsi="Times New Roman" w:cs="Times New Roman"/>
          <w:sz w:val="20"/>
          <w:szCs w:val="20"/>
        </w:rPr>
        <w:t xml:space="preserve"> Margot C. Finn, </w:t>
      </w:r>
      <w:r w:rsidRPr="00D363EC">
        <w:rPr>
          <w:rFonts w:ascii="Times New Roman" w:hAnsi="Times New Roman" w:cs="Times New Roman"/>
          <w:i/>
          <w:sz w:val="20"/>
          <w:szCs w:val="20"/>
        </w:rPr>
        <w:t>After Chartism: Class and Nation in English Radical Politics, 1848</w:t>
      </w:r>
      <w:r w:rsidRPr="00D363EC">
        <w:rPr>
          <w:rFonts w:ascii="Times New Roman" w:hAnsi="Times New Roman" w:cs="Times New Roman"/>
          <w:sz w:val="20"/>
          <w:szCs w:val="20"/>
        </w:rPr>
        <w:t>–</w:t>
      </w:r>
      <w:r w:rsidRPr="00D363EC">
        <w:rPr>
          <w:rFonts w:ascii="Times New Roman" w:hAnsi="Times New Roman" w:cs="Times New Roman"/>
          <w:i/>
          <w:sz w:val="20"/>
          <w:szCs w:val="20"/>
        </w:rPr>
        <w:t>1874</w:t>
      </w:r>
      <w:r w:rsidRPr="00D363EC">
        <w:rPr>
          <w:rFonts w:ascii="Times New Roman" w:hAnsi="Times New Roman" w:cs="Times New Roman"/>
          <w:sz w:val="20"/>
          <w:szCs w:val="20"/>
        </w:rPr>
        <w:t xml:space="preserve"> (Cambridge: Cambridge University Press, 1993), p. 190.</w:t>
      </w:r>
    </w:p>
  </w:footnote>
  <w:footnote w:id="14">
    <w:p w:rsidR="003515E3" w:rsidRPr="00D363EC" w:rsidRDefault="003515E3" w:rsidP="00D363EC">
      <w:pPr>
        <w:spacing w:after="0" w:line="240" w:lineRule="auto"/>
        <w:rPr>
          <w:rFonts w:ascii="Times New Roman" w:hAnsi="Times New Roman" w:cs="Times New Roman"/>
          <w:sz w:val="20"/>
          <w:szCs w:val="20"/>
        </w:rPr>
      </w:pPr>
      <w:r w:rsidRPr="00D363EC">
        <w:rPr>
          <w:rStyle w:val="FootnoteReference"/>
          <w:rFonts w:ascii="Times New Roman" w:hAnsi="Times New Roman" w:cs="Times New Roman"/>
          <w:sz w:val="20"/>
          <w:szCs w:val="20"/>
        </w:rPr>
        <w:footnoteRef/>
      </w:r>
      <w:r w:rsidRPr="00D363EC">
        <w:rPr>
          <w:rFonts w:ascii="Times New Roman" w:hAnsi="Times New Roman" w:cs="Times New Roman"/>
          <w:sz w:val="20"/>
          <w:szCs w:val="20"/>
        </w:rPr>
        <w:t xml:space="preserve"> Harold Gough, ‘G. W. M. Reynolds at Herne Bay’, </w:t>
      </w:r>
      <w:r w:rsidRPr="00D363EC">
        <w:rPr>
          <w:rFonts w:ascii="Times New Roman" w:hAnsi="Times New Roman" w:cs="Times New Roman"/>
          <w:i/>
          <w:sz w:val="20"/>
          <w:szCs w:val="20"/>
        </w:rPr>
        <w:t>Bygone Kent</w:t>
      </w:r>
      <w:r w:rsidRPr="00D363EC">
        <w:rPr>
          <w:rFonts w:ascii="Times New Roman" w:hAnsi="Times New Roman" w:cs="Times New Roman"/>
          <w:sz w:val="20"/>
          <w:szCs w:val="20"/>
        </w:rPr>
        <w:t>, 6.5 (1985), pp. 275–83 (p. 281).</w:t>
      </w:r>
    </w:p>
  </w:footnote>
  <w:footnote w:id="15">
    <w:p w:rsidR="003515E3" w:rsidRPr="00D363EC" w:rsidRDefault="003515E3" w:rsidP="00D363EC">
      <w:pPr>
        <w:pStyle w:val="FootnoteText"/>
        <w:spacing w:after="0" w:line="240" w:lineRule="auto"/>
        <w:rPr>
          <w:rFonts w:ascii="Times New Roman" w:hAnsi="Times New Roman"/>
        </w:rPr>
      </w:pPr>
      <w:r w:rsidRPr="00D363EC">
        <w:rPr>
          <w:rStyle w:val="FootnoteReference"/>
          <w:rFonts w:ascii="Times New Roman" w:hAnsi="Times New Roman"/>
        </w:rPr>
        <w:footnoteRef/>
      </w:r>
      <w:r w:rsidRPr="00D363EC">
        <w:rPr>
          <w:rFonts w:ascii="Times New Roman" w:hAnsi="Times New Roman"/>
        </w:rPr>
        <w:t xml:space="preserve"> Reynolds’s last recorded fiction was a short tale ‘The Young Fisherman’ published in </w:t>
      </w:r>
      <w:r w:rsidRPr="00D363EC">
        <w:rPr>
          <w:rFonts w:ascii="Times New Roman" w:hAnsi="Times New Roman"/>
          <w:i/>
        </w:rPr>
        <w:t>Reynolds’s Miscellany</w:t>
      </w:r>
      <w:r w:rsidRPr="00D363EC">
        <w:rPr>
          <w:rFonts w:ascii="Times New Roman" w:hAnsi="Times New Roman"/>
        </w:rPr>
        <w:t xml:space="preserve">, October–November 1861, but he appears to have written little, if any, other new fiction since the beginning of 1860.  See Louis James, ‘A Bibliography of Works by G. </w:t>
      </w:r>
      <w:r w:rsidRPr="00D363EC">
        <w:rPr>
          <w:rFonts w:ascii="Times New Roman" w:hAnsi="Times New Roman"/>
          <w:iCs/>
        </w:rPr>
        <w:t xml:space="preserve">W. M. Reynolds’ in </w:t>
      </w:r>
      <w:r w:rsidRPr="00D363EC">
        <w:rPr>
          <w:rFonts w:ascii="Times New Roman" w:hAnsi="Times New Roman"/>
          <w:i/>
        </w:rPr>
        <w:t>G. W. M. Reynolds: Nineteenth-Century Fiction, Politics and the Press</w:t>
      </w:r>
      <w:r w:rsidRPr="00D363EC">
        <w:rPr>
          <w:rFonts w:ascii="Times New Roman" w:hAnsi="Times New Roman"/>
          <w:iCs/>
        </w:rPr>
        <w:t xml:space="preserve">, ed. by </w:t>
      </w:r>
      <w:r w:rsidRPr="00D363EC">
        <w:rPr>
          <w:rFonts w:ascii="Times New Roman" w:hAnsi="Times New Roman"/>
        </w:rPr>
        <w:t>Anne Humpherys and Louis James, 273–84.  The thesis uses this article when referencing publication dates of Reynolds’s fictional work.</w:t>
      </w:r>
    </w:p>
  </w:footnote>
  <w:footnote w:id="16">
    <w:p w:rsidR="003515E3" w:rsidRPr="006C620A"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w:t>
      </w:r>
      <w:r w:rsidRPr="00A257D5">
        <w:rPr>
          <w:rFonts w:ascii="Times New Roman" w:eastAsia="Times New Roman" w:hAnsi="Times New Roman"/>
          <w:lang w:eastAsia="en-GB"/>
        </w:rPr>
        <w:t xml:space="preserve">Paul Thomas Murphy, </w:t>
      </w:r>
      <w:r w:rsidRPr="00A257D5">
        <w:rPr>
          <w:rFonts w:ascii="Times New Roman" w:eastAsia="Times New Roman" w:hAnsi="Times New Roman"/>
          <w:i/>
          <w:lang w:eastAsia="en-GB"/>
        </w:rPr>
        <w:t>Towards a Working Class Canon:</w:t>
      </w:r>
      <w:r w:rsidRPr="00A257D5">
        <w:rPr>
          <w:rFonts w:ascii="Times New Roman" w:eastAsia="Times New Roman" w:hAnsi="Times New Roman"/>
          <w:lang w:eastAsia="en-GB"/>
        </w:rPr>
        <w:t xml:space="preserve"> </w:t>
      </w:r>
      <w:r w:rsidRPr="00A257D5">
        <w:rPr>
          <w:rFonts w:ascii="Times New Roman" w:eastAsia="Times New Roman" w:hAnsi="Times New Roman"/>
          <w:i/>
          <w:lang w:eastAsia="en-GB"/>
        </w:rPr>
        <w:t>Literary Criticism in British Working-Class Periodicals, 1816</w:t>
      </w:r>
      <w:r w:rsidRPr="00A257D5">
        <w:rPr>
          <w:rFonts w:ascii="Times New Roman" w:hAnsi="Times New Roman"/>
        </w:rPr>
        <w:t>–</w:t>
      </w:r>
      <w:r w:rsidRPr="00A257D5">
        <w:rPr>
          <w:rFonts w:ascii="Times New Roman" w:eastAsia="Times New Roman" w:hAnsi="Times New Roman"/>
          <w:i/>
          <w:lang w:eastAsia="en-GB"/>
        </w:rPr>
        <w:t>1858</w:t>
      </w:r>
      <w:r w:rsidRPr="00A257D5">
        <w:rPr>
          <w:rFonts w:ascii="Times New Roman" w:eastAsia="Times New Roman" w:hAnsi="Times New Roman"/>
          <w:lang w:eastAsia="en-GB"/>
        </w:rPr>
        <w:t xml:space="preserve"> (Columbus: Ohio State University, 1994), </w:t>
      </w:r>
      <w:r w:rsidRPr="00A257D5">
        <w:rPr>
          <w:rFonts w:ascii="Times New Roman" w:hAnsi="Times New Roman"/>
        </w:rPr>
        <w:t>pp. 77–88.</w:t>
      </w:r>
    </w:p>
  </w:footnote>
  <w:footnote w:id="17">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Thomas Carlyle, ‘Chartism’, in </w:t>
      </w:r>
      <w:r w:rsidRPr="00A257D5">
        <w:rPr>
          <w:rFonts w:ascii="Times New Roman" w:hAnsi="Times New Roman"/>
          <w:i/>
        </w:rPr>
        <w:t>English and other Critical Essays</w:t>
      </w:r>
      <w:r w:rsidRPr="00A257D5">
        <w:rPr>
          <w:rFonts w:ascii="Times New Roman" w:hAnsi="Times New Roman"/>
        </w:rPr>
        <w:t xml:space="preserve"> (London: Dent &amp; Sons, 1915), pp. 165–238 (p. 188).</w:t>
      </w:r>
    </w:p>
  </w:footnote>
  <w:footnote w:id="18">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Frederick Engels, </w:t>
      </w:r>
      <w:r w:rsidRPr="00A257D5">
        <w:rPr>
          <w:rFonts w:ascii="Times New Roman" w:hAnsi="Times New Roman"/>
          <w:i/>
        </w:rPr>
        <w:t>The Condition of the Working-Class in England from Personal Observation and Authentic Sources</w:t>
      </w:r>
      <w:r w:rsidRPr="00A257D5">
        <w:rPr>
          <w:rFonts w:ascii="Times New Roman" w:hAnsi="Times New Roman"/>
        </w:rPr>
        <w:t xml:space="preserve"> (Moscow: Progress Publishers, 1973), </w:t>
      </w:r>
      <w:r w:rsidRPr="00A257D5">
        <w:rPr>
          <w:rFonts w:ascii="Times New Roman" w:hAnsi="Times New Roman"/>
          <w:bCs/>
        </w:rPr>
        <w:t>p. 220.</w:t>
      </w:r>
    </w:p>
  </w:footnote>
  <w:footnote w:id="19">
    <w:p w:rsidR="003515E3" w:rsidRPr="00E428F4"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w:t>
      </w:r>
      <w:r>
        <w:rPr>
          <w:rFonts w:ascii="Times New Roman" w:hAnsi="Times New Roman"/>
        </w:rPr>
        <w:t xml:space="preserve">G. W. M. Reynolds, </w:t>
      </w:r>
      <w:r w:rsidRPr="00A257D5">
        <w:rPr>
          <w:rFonts w:ascii="Times New Roman" w:hAnsi="Times New Roman"/>
          <w:i/>
        </w:rPr>
        <w:t>Mysteries of London</w:t>
      </w:r>
      <w:r w:rsidRPr="00A257D5">
        <w:rPr>
          <w:rFonts w:ascii="Times New Roman" w:hAnsi="Times New Roman"/>
        </w:rPr>
        <w:t>,</w:t>
      </w:r>
      <w:r>
        <w:rPr>
          <w:rFonts w:ascii="Times New Roman" w:hAnsi="Times New Roman"/>
        </w:rPr>
        <w:t xml:space="preserve"> 4 vols (London: Vickers, 1844</w:t>
      </w:r>
      <w:r w:rsidRPr="001151C3">
        <w:rPr>
          <w:rFonts w:ascii="Times New Roman" w:hAnsi="Times New Roman"/>
        </w:rPr>
        <w:t>–</w:t>
      </w:r>
      <w:r>
        <w:rPr>
          <w:rFonts w:ascii="Times New Roman" w:hAnsi="Times New Roman"/>
        </w:rPr>
        <w:t>48),</w:t>
      </w:r>
      <w:r w:rsidRPr="00A257D5">
        <w:rPr>
          <w:rFonts w:ascii="Times New Roman" w:hAnsi="Times New Roman"/>
        </w:rPr>
        <w:t xml:space="preserve"> II (1846), 404.</w:t>
      </w:r>
    </w:p>
  </w:footnote>
  <w:footnote w:id="20">
    <w:p w:rsidR="003515E3" w:rsidRPr="001151C3" w:rsidRDefault="003515E3" w:rsidP="00D363EC">
      <w:pPr>
        <w:pStyle w:val="FootnoteText"/>
        <w:spacing w:after="0" w:line="240" w:lineRule="auto"/>
        <w:rPr>
          <w:rFonts w:ascii="Times New Roman" w:hAnsi="Times New Roman"/>
        </w:rPr>
      </w:pPr>
      <w:r w:rsidRPr="001151C3">
        <w:rPr>
          <w:rStyle w:val="FootnoteReference"/>
          <w:rFonts w:ascii="Times New Roman" w:hAnsi="Times New Roman"/>
        </w:rPr>
        <w:footnoteRef/>
      </w:r>
      <w:r w:rsidRPr="001151C3">
        <w:rPr>
          <w:rFonts w:ascii="Times New Roman" w:hAnsi="Times New Roman"/>
        </w:rPr>
        <w:t xml:space="preserve"> Clark continues by writing these ranged from ‘rough soldiers, labourers, and prostitutes to needlewomen, servants, artisans, and factory workers, and merging into the lower levels of what would become the middle-class, that is, small masters, shopkeepers, tradesmen, and publicans.’  See Anna Clark, </w:t>
      </w:r>
      <w:r w:rsidRPr="001151C3">
        <w:rPr>
          <w:rFonts w:ascii="Times New Roman" w:hAnsi="Times New Roman"/>
          <w:i/>
        </w:rPr>
        <w:t>The Struggle for the Breeches.  Gender and the Making of the British Working Class</w:t>
      </w:r>
      <w:r w:rsidRPr="001151C3">
        <w:rPr>
          <w:rFonts w:ascii="Times New Roman" w:hAnsi="Times New Roman"/>
        </w:rPr>
        <w:t xml:space="preserve"> (London: Rivers Oram Press, 1995), p. 3.</w:t>
      </w:r>
    </w:p>
  </w:footnote>
  <w:footnote w:id="21">
    <w:p w:rsidR="003515E3" w:rsidRPr="001151C3" w:rsidRDefault="003515E3" w:rsidP="00D363EC">
      <w:pPr>
        <w:pStyle w:val="FootnoteText"/>
        <w:spacing w:after="0" w:line="240" w:lineRule="auto"/>
        <w:rPr>
          <w:rFonts w:ascii="Times New Roman" w:hAnsi="Times New Roman"/>
        </w:rPr>
      </w:pPr>
      <w:r w:rsidRPr="001151C3">
        <w:rPr>
          <w:rStyle w:val="FootnoteReference"/>
          <w:rFonts w:ascii="Times New Roman" w:hAnsi="Times New Roman"/>
        </w:rPr>
        <w:footnoteRef/>
      </w:r>
      <w:r w:rsidRPr="001151C3">
        <w:rPr>
          <w:rFonts w:ascii="Times New Roman" w:hAnsi="Times New Roman"/>
        </w:rPr>
        <w:t xml:space="preserve"> For Neale’s detailed breakdown of his ‘five-class model’ see R. S. Neale, </w:t>
      </w:r>
      <w:r w:rsidRPr="001151C3">
        <w:rPr>
          <w:rFonts w:ascii="Times New Roman" w:hAnsi="Times New Roman"/>
          <w:i/>
        </w:rPr>
        <w:t>Class in English History 1680</w:t>
      </w:r>
      <w:r w:rsidRPr="001151C3">
        <w:rPr>
          <w:rFonts w:ascii="Times New Roman" w:hAnsi="Times New Roman"/>
        </w:rPr>
        <w:t>–</w:t>
      </w:r>
      <w:r w:rsidRPr="001151C3">
        <w:rPr>
          <w:rFonts w:ascii="Times New Roman" w:hAnsi="Times New Roman"/>
          <w:i/>
        </w:rPr>
        <w:t>1850</w:t>
      </w:r>
      <w:r w:rsidRPr="001151C3">
        <w:rPr>
          <w:rFonts w:ascii="Times New Roman" w:hAnsi="Times New Roman"/>
        </w:rPr>
        <w:t xml:space="preserve"> (Oxford: Blackwell, 1981), pp. 133–35.</w:t>
      </w:r>
    </w:p>
  </w:footnote>
  <w:footnote w:id="22">
    <w:p w:rsidR="003515E3" w:rsidRPr="001151C3" w:rsidRDefault="003515E3" w:rsidP="00D363EC">
      <w:pPr>
        <w:pStyle w:val="FootnoteText"/>
        <w:spacing w:after="0" w:line="240" w:lineRule="auto"/>
        <w:rPr>
          <w:rFonts w:ascii="Times New Roman" w:hAnsi="Times New Roman"/>
        </w:rPr>
      </w:pPr>
      <w:r w:rsidRPr="001151C3">
        <w:rPr>
          <w:rStyle w:val="FootnoteReference"/>
          <w:rFonts w:ascii="Times New Roman" w:hAnsi="Times New Roman"/>
        </w:rPr>
        <w:footnoteRef/>
      </w:r>
      <w:r w:rsidRPr="001151C3">
        <w:rPr>
          <w:rFonts w:ascii="Times New Roman" w:hAnsi="Times New Roman"/>
        </w:rPr>
        <w:t xml:space="preserve"> Neale, p. 133.</w:t>
      </w:r>
    </w:p>
  </w:footnote>
  <w:footnote w:id="23">
    <w:p w:rsidR="003515E3" w:rsidRPr="00E428F4" w:rsidRDefault="003515E3" w:rsidP="00D363EC">
      <w:pPr>
        <w:autoSpaceDE w:val="0"/>
        <w:autoSpaceDN w:val="0"/>
        <w:adjustRightInd w:val="0"/>
        <w:spacing w:after="0" w:line="240" w:lineRule="auto"/>
        <w:rPr>
          <w:rFonts w:ascii="Times New Roman" w:hAnsi="Times New Roman" w:cs="Times New Roman"/>
          <w:sz w:val="20"/>
          <w:szCs w:val="20"/>
        </w:rPr>
      </w:pPr>
      <w:r w:rsidRPr="001151C3">
        <w:rPr>
          <w:rStyle w:val="FootnoteReference"/>
          <w:rFonts w:ascii="Times New Roman" w:hAnsi="Times New Roman"/>
          <w:sz w:val="20"/>
          <w:szCs w:val="20"/>
        </w:rPr>
        <w:footnoteRef/>
      </w:r>
      <w:r w:rsidRPr="001151C3">
        <w:rPr>
          <w:rFonts w:ascii="Times New Roman" w:hAnsi="Times New Roman" w:cs="Times New Roman"/>
          <w:sz w:val="20"/>
          <w:szCs w:val="20"/>
        </w:rPr>
        <w:t xml:space="preserve"> Quoted by Andrew King, ‘</w:t>
      </w:r>
      <w:r w:rsidRPr="001151C3">
        <w:rPr>
          <w:rFonts w:ascii="Times New Roman" w:hAnsi="Times New Roman" w:cs="Times New Roman"/>
          <w:i/>
          <w:sz w:val="20"/>
          <w:szCs w:val="20"/>
        </w:rPr>
        <w:t>Reynolds’s Miscellany</w:t>
      </w:r>
      <w:r w:rsidRPr="001151C3">
        <w:rPr>
          <w:rFonts w:ascii="Times New Roman" w:hAnsi="Times New Roman" w:cs="Times New Roman"/>
          <w:sz w:val="20"/>
          <w:szCs w:val="20"/>
        </w:rPr>
        <w:t xml:space="preserve">, 1846–1849: Advertising Networks and Politics’, in </w:t>
      </w:r>
      <w:r w:rsidRPr="001151C3">
        <w:rPr>
          <w:rFonts w:ascii="Times New Roman" w:hAnsi="Times New Roman" w:cs="Times New Roman"/>
          <w:i/>
          <w:sz w:val="20"/>
          <w:szCs w:val="20"/>
        </w:rPr>
        <w:t>G. W. M. Reynolds: Nineteenth-Century Fiction, Politics, and the Press</w:t>
      </w:r>
      <w:r w:rsidRPr="001151C3">
        <w:rPr>
          <w:rFonts w:ascii="Times New Roman" w:hAnsi="Times New Roman" w:cs="Times New Roman"/>
          <w:sz w:val="20"/>
          <w:szCs w:val="20"/>
        </w:rPr>
        <w:t>, ed. by Humpherys and James pp. 53–74 (p. 71).  However, King notes one ‘Letter’ addressed to the Agricultural Workers and another, written by John Taylor Sinnett nine months later to the Woollen Clothworkers.  See ‘</w:t>
      </w:r>
      <w:r w:rsidRPr="001151C3">
        <w:rPr>
          <w:rFonts w:ascii="Times New Roman" w:hAnsi="Times New Roman" w:cs="Times New Roman"/>
          <w:i/>
          <w:sz w:val="20"/>
          <w:szCs w:val="20"/>
        </w:rPr>
        <w:t>Reynolds’s Miscellany</w:t>
      </w:r>
      <w:r w:rsidRPr="001151C3">
        <w:rPr>
          <w:rFonts w:ascii="Times New Roman" w:hAnsi="Times New Roman" w:cs="Times New Roman"/>
          <w:sz w:val="20"/>
          <w:szCs w:val="20"/>
        </w:rPr>
        <w:t>, 1846–1849: Advertising Networks and Politics’, p. 71.</w:t>
      </w:r>
    </w:p>
  </w:footnote>
  <w:footnote w:id="24">
    <w:p w:rsidR="003515E3" w:rsidRPr="001151C3" w:rsidRDefault="003515E3" w:rsidP="00D363EC">
      <w:pPr>
        <w:spacing w:after="0" w:line="240" w:lineRule="auto"/>
        <w:rPr>
          <w:rFonts w:ascii="Times New Roman" w:hAnsi="Times New Roman" w:cs="Times New Roman"/>
          <w:sz w:val="20"/>
          <w:szCs w:val="20"/>
        </w:rPr>
      </w:pPr>
      <w:r w:rsidRPr="001151C3">
        <w:rPr>
          <w:rStyle w:val="FootnoteReference"/>
          <w:rFonts w:ascii="Times New Roman" w:hAnsi="Times New Roman"/>
          <w:sz w:val="20"/>
          <w:szCs w:val="20"/>
        </w:rPr>
        <w:footnoteRef/>
      </w:r>
      <w:r w:rsidRPr="001151C3">
        <w:rPr>
          <w:rFonts w:ascii="Times New Roman" w:hAnsi="Times New Roman" w:cs="Times New Roman"/>
          <w:sz w:val="20"/>
          <w:szCs w:val="20"/>
        </w:rPr>
        <w:t xml:space="preserve"> Liza Picard, </w:t>
      </w:r>
      <w:r w:rsidRPr="001151C3">
        <w:rPr>
          <w:rFonts w:ascii="Times New Roman" w:hAnsi="Times New Roman" w:cs="Times New Roman"/>
          <w:i/>
          <w:sz w:val="20"/>
          <w:szCs w:val="20"/>
        </w:rPr>
        <w:t>Victorian London: The Life of a City 1840</w:t>
      </w:r>
      <w:r w:rsidRPr="001151C3">
        <w:rPr>
          <w:rFonts w:ascii="Times New Roman" w:hAnsi="Times New Roman" w:cs="Times New Roman"/>
          <w:sz w:val="20"/>
          <w:szCs w:val="20"/>
        </w:rPr>
        <w:t>–</w:t>
      </w:r>
      <w:r w:rsidRPr="001151C3">
        <w:rPr>
          <w:rFonts w:ascii="Times New Roman" w:hAnsi="Times New Roman" w:cs="Times New Roman"/>
          <w:i/>
          <w:sz w:val="20"/>
          <w:szCs w:val="20"/>
        </w:rPr>
        <w:t>1870</w:t>
      </w:r>
      <w:r w:rsidRPr="001151C3">
        <w:rPr>
          <w:rFonts w:ascii="Times New Roman" w:hAnsi="Times New Roman" w:cs="Times New Roman"/>
          <w:sz w:val="20"/>
          <w:szCs w:val="20"/>
        </w:rPr>
        <w:t xml:space="preserve"> (London: Phoenix, 2005), p. 147.</w:t>
      </w:r>
    </w:p>
  </w:footnote>
  <w:footnote w:id="25">
    <w:p w:rsidR="003515E3" w:rsidRPr="001151C3" w:rsidRDefault="003515E3" w:rsidP="00D363EC">
      <w:pPr>
        <w:pStyle w:val="FootnoteText"/>
        <w:spacing w:after="0" w:line="240" w:lineRule="auto"/>
        <w:rPr>
          <w:rFonts w:ascii="Times New Roman" w:hAnsi="Times New Roman"/>
        </w:rPr>
      </w:pPr>
      <w:r w:rsidRPr="001151C3">
        <w:rPr>
          <w:rStyle w:val="FootnoteReference"/>
          <w:rFonts w:ascii="Times New Roman" w:hAnsi="Times New Roman"/>
        </w:rPr>
        <w:footnoteRef/>
      </w:r>
      <w:r w:rsidRPr="001151C3">
        <w:rPr>
          <w:rFonts w:ascii="Times New Roman" w:hAnsi="Times New Roman"/>
        </w:rPr>
        <w:t xml:space="preserve"> Stephen Inwood, </w:t>
      </w:r>
      <w:r w:rsidRPr="001151C3">
        <w:rPr>
          <w:rFonts w:ascii="Times New Roman" w:hAnsi="Times New Roman"/>
          <w:i/>
        </w:rPr>
        <w:t>A History of London</w:t>
      </w:r>
      <w:r w:rsidRPr="001151C3">
        <w:rPr>
          <w:rFonts w:ascii="Times New Roman" w:hAnsi="Times New Roman"/>
        </w:rPr>
        <w:t xml:space="preserve"> (London: Macmillan, 1998), p. 444.</w:t>
      </w:r>
    </w:p>
  </w:footnote>
  <w:footnote w:id="26">
    <w:p w:rsidR="003515E3" w:rsidRPr="001151C3" w:rsidRDefault="003515E3" w:rsidP="00D363EC">
      <w:pPr>
        <w:pStyle w:val="FootnoteText"/>
        <w:spacing w:after="0" w:line="240" w:lineRule="auto"/>
        <w:rPr>
          <w:rFonts w:ascii="Times New Roman" w:hAnsi="Times New Roman"/>
        </w:rPr>
      </w:pPr>
      <w:r w:rsidRPr="001151C3">
        <w:rPr>
          <w:rStyle w:val="FootnoteReference"/>
          <w:rFonts w:ascii="Times New Roman" w:hAnsi="Times New Roman"/>
        </w:rPr>
        <w:footnoteRef/>
      </w:r>
      <w:r w:rsidRPr="001151C3">
        <w:rPr>
          <w:rFonts w:ascii="Times New Roman" w:hAnsi="Times New Roman"/>
        </w:rPr>
        <w:t xml:space="preserve"> Helen Rogers, ‘"The Good Are Not Always Powerful, nor the Powerful Always Good": The Politics of Women's Needlework in Mid-Victorian London’, </w:t>
      </w:r>
      <w:r w:rsidRPr="001151C3">
        <w:rPr>
          <w:rFonts w:ascii="Times New Roman" w:hAnsi="Times New Roman"/>
          <w:i/>
        </w:rPr>
        <w:t>Victorian Studies</w:t>
      </w:r>
      <w:r w:rsidRPr="001151C3">
        <w:rPr>
          <w:rFonts w:ascii="Times New Roman" w:hAnsi="Times New Roman"/>
        </w:rPr>
        <w:t>, 40.4 (Summer 1997), 589–623 &lt;</w:t>
      </w:r>
      <w:hyperlink r:id="rId2" w:history="1">
        <w:r w:rsidRPr="001151C3">
          <w:rPr>
            <w:rStyle w:val="Hyperlink"/>
            <w:rFonts w:ascii="Times New Roman" w:hAnsi="Times New Roman"/>
          </w:rPr>
          <w:t>http://www.jstor.org/stable/3828748</w:t>
        </w:r>
      </w:hyperlink>
      <w:r w:rsidRPr="001151C3">
        <w:rPr>
          <w:rFonts w:ascii="Times New Roman" w:hAnsi="Times New Roman"/>
        </w:rPr>
        <w:t>&gt; [accessed 15 May 2015] (pp. 591–92).</w:t>
      </w:r>
    </w:p>
  </w:footnote>
  <w:footnote w:id="27">
    <w:p w:rsidR="003515E3" w:rsidRPr="001151C3" w:rsidRDefault="003515E3" w:rsidP="00D363EC">
      <w:pPr>
        <w:spacing w:after="0" w:line="240" w:lineRule="auto"/>
        <w:rPr>
          <w:rFonts w:ascii="Times New Roman" w:hAnsi="Times New Roman" w:cs="Times New Roman"/>
          <w:sz w:val="20"/>
          <w:szCs w:val="20"/>
        </w:rPr>
      </w:pPr>
      <w:r w:rsidRPr="001151C3">
        <w:rPr>
          <w:rStyle w:val="FootnoteReference"/>
          <w:rFonts w:ascii="Times New Roman" w:hAnsi="Times New Roman"/>
          <w:sz w:val="20"/>
          <w:szCs w:val="20"/>
        </w:rPr>
        <w:footnoteRef/>
      </w:r>
      <w:r w:rsidRPr="001151C3">
        <w:rPr>
          <w:rFonts w:ascii="Times New Roman" w:hAnsi="Times New Roman" w:cs="Times New Roman"/>
          <w:sz w:val="20"/>
          <w:szCs w:val="20"/>
        </w:rPr>
        <w:t xml:space="preserve"> Based on research from the 1861 Census, Liza Picard suggests that in England and Wales the ‘boundaries between the working class and middle class merged, below £100’.  See </w:t>
      </w:r>
      <w:r w:rsidRPr="001151C3">
        <w:rPr>
          <w:rFonts w:ascii="Times New Roman" w:hAnsi="Times New Roman" w:cs="Times New Roman"/>
          <w:i/>
          <w:sz w:val="20"/>
          <w:szCs w:val="20"/>
        </w:rPr>
        <w:t>Victorian London: The Life of a City 1840</w:t>
      </w:r>
      <w:r w:rsidRPr="001151C3">
        <w:rPr>
          <w:rFonts w:ascii="Times New Roman" w:hAnsi="Times New Roman" w:cs="Times New Roman"/>
          <w:sz w:val="20"/>
          <w:szCs w:val="20"/>
        </w:rPr>
        <w:t>–</w:t>
      </w:r>
      <w:r w:rsidRPr="001151C3">
        <w:rPr>
          <w:rFonts w:ascii="Times New Roman" w:hAnsi="Times New Roman" w:cs="Times New Roman"/>
          <w:i/>
          <w:sz w:val="20"/>
          <w:szCs w:val="20"/>
        </w:rPr>
        <w:t>1870</w:t>
      </w:r>
      <w:r w:rsidRPr="001151C3">
        <w:rPr>
          <w:rFonts w:ascii="Times New Roman" w:hAnsi="Times New Roman" w:cs="Times New Roman"/>
          <w:sz w:val="20"/>
          <w:szCs w:val="20"/>
        </w:rPr>
        <w:t xml:space="preserve">, p. 116.  Kitson Clark wrote that in the second quarter of the nineteenth century for those commonly seen as lower middle-class the annual wage might vary between £60 and £150-£200.  See G. Kitson Clark, </w:t>
      </w:r>
      <w:r w:rsidRPr="001151C3">
        <w:rPr>
          <w:rFonts w:ascii="Times New Roman" w:hAnsi="Times New Roman" w:cs="Times New Roman"/>
          <w:i/>
          <w:sz w:val="20"/>
          <w:szCs w:val="20"/>
        </w:rPr>
        <w:t>The Making of Victorian London</w:t>
      </w:r>
      <w:r w:rsidRPr="001151C3">
        <w:rPr>
          <w:rFonts w:ascii="Times New Roman" w:hAnsi="Times New Roman" w:cs="Times New Roman"/>
          <w:sz w:val="20"/>
          <w:szCs w:val="20"/>
        </w:rPr>
        <w:t xml:space="preserve"> (London: Methuen, 1962), p. 119.</w:t>
      </w:r>
    </w:p>
  </w:footnote>
  <w:footnote w:id="28">
    <w:p w:rsidR="003515E3" w:rsidRPr="001151C3" w:rsidRDefault="003515E3" w:rsidP="00D363EC">
      <w:pPr>
        <w:pStyle w:val="FootnoteText"/>
        <w:spacing w:after="0" w:line="240" w:lineRule="auto"/>
        <w:rPr>
          <w:rFonts w:ascii="Times New Roman" w:hAnsi="Times New Roman"/>
        </w:rPr>
      </w:pPr>
      <w:r w:rsidRPr="001151C3">
        <w:rPr>
          <w:rStyle w:val="FootnoteReference"/>
          <w:rFonts w:ascii="Times New Roman" w:hAnsi="Times New Roman"/>
        </w:rPr>
        <w:footnoteRef/>
      </w:r>
      <w:r w:rsidRPr="001151C3">
        <w:rPr>
          <w:rFonts w:ascii="Times New Roman" w:hAnsi="Times New Roman"/>
        </w:rPr>
        <w:t xml:space="preserve"> See G. W. M. Reynolds, </w:t>
      </w:r>
      <w:r w:rsidRPr="001151C3">
        <w:rPr>
          <w:rFonts w:ascii="Times New Roman" w:hAnsi="Times New Roman"/>
          <w:bCs/>
          <w:i/>
          <w:iCs/>
        </w:rPr>
        <w:t>Mary Price; or, the Memoirs of a Servant-Maid</w:t>
      </w:r>
      <w:r w:rsidRPr="001151C3">
        <w:rPr>
          <w:rFonts w:ascii="Times New Roman" w:hAnsi="Times New Roman"/>
        </w:rPr>
        <w:t>, 2 vols (London: Dicks, 1851–53), I, 37–38, 192.</w:t>
      </w:r>
    </w:p>
  </w:footnote>
  <w:footnote w:id="29">
    <w:p w:rsidR="003515E3" w:rsidRPr="00A257D5" w:rsidRDefault="003515E3" w:rsidP="00D363EC">
      <w:pPr>
        <w:pStyle w:val="FootnoteText"/>
        <w:spacing w:after="0" w:line="240" w:lineRule="auto"/>
        <w:rPr>
          <w:rFonts w:ascii="Times New Roman" w:hAnsi="Times New Roman"/>
        </w:rPr>
      </w:pPr>
      <w:r w:rsidRPr="001151C3">
        <w:rPr>
          <w:rStyle w:val="FootnoteReference"/>
          <w:rFonts w:ascii="Times New Roman" w:hAnsi="Times New Roman"/>
        </w:rPr>
        <w:footnoteRef/>
      </w:r>
      <w:r w:rsidRPr="001151C3">
        <w:rPr>
          <w:rFonts w:ascii="Times New Roman" w:hAnsi="Times New Roman"/>
        </w:rPr>
        <w:t xml:space="preserve"> G. W. M. Reynolds, </w:t>
      </w:r>
      <w:r w:rsidRPr="001151C3">
        <w:rPr>
          <w:rFonts w:ascii="Times New Roman" w:hAnsi="Times New Roman"/>
          <w:i/>
        </w:rPr>
        <w:t>Joseph Wilmot</w:t>
      </w:r>
      <w:r w:rsidRPr="001151C3">
        <w:rPr>
          <w:rFonts w:ascii="Times New Roman" w:hAnsi="Times New Roman"/>
        </w:rPr>
        <w:t xml:space="preserve">, </w:t>
      </w:r>
      <w:r w:rsidRPr="001151C3">
        <w:rPr>
          <w:rFonts w:ascii="Times New Roman" w:hAnsi="Times New Roman"/>
          <w:bCs/>
          <w:i/>
          <w:iCs/>
        </w:rPr>
        <w:t>or, the Memoirs of a Man-Servant</w:t>
      </w:r>
      <w:r w:rsidRPr="001151C3">
        <w:rPr>
          <w:rFonts w:ascii="Times New Roman" w:hAnsi="Times New Roman"/>
        </w:rPr>
        <w:t>, 2 vols (London: Dicks, 1853–55), I, 356.</w:t>
      </w:r>
    </w:p>
  </w:footnote>
  <w:footnote w:id="30">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Henry Mayhew, </w:t>
      </w:r>
      <w:r w:rsidRPr="00A257D5">
        <w:rPr>
          <w:rFonts w:ascii="Times New Roman" w:hAnsi="Times New Roman"/>
          <w:i/>
        </w:rPr>
        <w:t>London Labour and the London Poor</w:t>
      </w:r>
      <w:r w:rsidRPr="00A257D5">
        <w:rPr>
          <w:rFonts w:ascii="Times New Roman" w:hAnsi="Times New Roman"/>
        </w:rPr>
        <w:t>, 4 vols (London: Cass, 1967), IV, 13–14.</w:t>
      </w:r>
    </w:p>
  </w:footnote>
  <w:footnote w:id="31">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w:t>
      </w:r>
      <w:r w:rsidRPr="00A257D5">
        <w:rPr>
          <w:rFonts w:ascii="Times New Roman" w:hAnsi="Times New Roman"/>
          <w:i/>
        </w:rPr>
        <w:t>Mysteries of London</w:t>
      </w:r>
      <w:r w:rsidRPr="00A257D5">
        <w:rPr>
          <w:rFonts w:ascii="Times New Roman" w:hAnsi="Times New Roman"/>
        </w:rPr>
        <w:t>, I, 36.</w:t>
      </w:r>
    </w:p>
  </w:footnote>
  <w:footnote w:id="32">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w:t>
      </w:r>
      <w:r w:rsidRPr="00A257D5">
        <w:rPr>
          <w:rFonts w:ascii="Times New Roman" w:hAnsi="Times New Roman"/>
          <w:i/>
        </w:rPr>
        <w:t>Mysteries of London</w:t>
      </w:r>
      <w:r w:rsidRPr="00A257D5">
        <w:rPr>
          <w:rFonts w:ascii="Times New Roman" w:hAnsi="Times New Roman"/>
        </w:rPr>
        <w:t>, I, 36.</w:t>
      </w:r>
    </w:p>
  </w:footnote>
  <w:footnote w:id="33">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w:t>
      </w:r>
      <w:r w:rsidRPr="00A257D5">
        <w:rPr>
          <w:rFonts w:ascii="Times New Roman" w:hAnsi="Times New Roman"/>
          <w:i/>
        </w:rPr>
        <w:t>Mysteries of London</w:t>
      </w:r>
      <w:r w:rsidRPr="00A257D5">
        <w:rPr>
          <w:rFonts w:ascii="Times New Roman" w:hAnsi="Times New Roman"/>
        </w:rPr>
        <w:t>, I, 324.</w:t>
      </w:r>
    </w:p>
  </w:footnote>
  <w:footnote w:id="34">
    <w:p w:rsidR="003515E3" w:rsidRPr="00E428F4"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Raymond Williams includes the following: Benjamin Disraeli’s </w:t>
      </w:r>
      <w:r w:rsidRPr="00A257D5">
        <w:rPr>
          <w:rFonts w:ascii="Times New Roman" w:hAnsi="Times New Roman"/>
          <w:i/>
          <w:iCs/>
        </w:rPr>
        <w:t>Sybil</w:t>
      </w:r>
      <w:r w:rsidRPr="00A257D5">
        <w:rPr>
          <w:rFonts w:ascii="Times New Roman" w:hAnsi="Times New Roman"/>
        </w:rPr>
        <w:t xml:space="preserve"> (1845); Elizabeth Gaskell’s </w:t>
      </w:r>
      <w:r w:rsidRPr="00A257D5">
        <w:rPr>
          <w:rFonts w:ascii="Times New Roman" w:hAnsi="Times New Roman"/>
          <w:i/>
          <w:iCs/>
        </w:rPr>
        <w:t>Mary Barton</w:t>
      </w:r>
      <w:r w:rsidRPr="00A257D5">
        <w:rPr>
          <w:rFonts w:ascii="Times New Roman" w:hAnsi="Times New Roman"/>
        </w:rPr>
        <w:t xml:space="preserve"> (1848) and </w:t>
      </w:r>
      <w:r w:rsidRPr="00A257D5">
        <w:rPr>
          <w:rFonts w:ascii="Times New Roman" w:hAnsi="Times New Roman"/>
          <w:i/>
          <w:iCs/>
        </w:rPr>
        <w:t>North and South</w:t>
      </w:r>
      <w:r w:rsidRPr="00A257D5">
        <w:rPr>
          <w:rFonts w:ascii="Times New Roman" w:hAnsi="Times New Roman"/>
        </w:rPr>
        <w:t xml:space="preserve"> (1855), Charles Kingsley’s </w:t>
      </w:r>
      <w:r w:rsidRPr="00A257D5">
        <w:rPr>
          <w:rFonts w:ascii="Times New Roman" w:hAnsi="Times New Roman"/>
          <w:i/>
          <w:iCs/>
        </w:rPr>
        <w:t>Alton Locke</w:t>
      </w:r>
      <w:r w:rsidRPr="00A257D5">
        <w:rPr>
          <w:rFonts w:ascii="Times New Roman" w:hAnsi="Times New Roman"/>
        </w:rPr>
        <w:t xml:space="preserve"> (1850) and Charles Dickens’s </w:t>
      </w:r>
      <w:r w:rsidRPr="00A257D5">
        <w:rPr>
          <w:rFonts w:ascii="Times New Roman" w:hAnsi="Times New Roman"/>
          <w:i/>
          <w:iCs/>
        </w:rPr>
        <w:t>Hard Times</w:t>
      </w:r>
      <w:r w:rsidRPr="00A257D5">
        <w:rPr>
          <w:rFonts w:ascii="Times New Roman" w:hAnsi="Times New Roman"/>
        </w:rPr>
        <w:t xml:space="preserve"> (1854).  </w:t>
      </w:r>
      <w:r w:rsidRPr="00A257D5">
        <w:rPr>
          <w:rFonts w:asciiTheme="majorBidi" w:hAnsiTheme="majorBidi" w:cstheme="majorBidi"/>
          <w:i/>
        </w:rPr>
        <w:t>Sybil</w:t>
      </w:r>
      <w:r w:rsidRPr="00A257D5">
        <w:rPr>
          <w:rFonts w:asciiTheme="majorBidi" w:hAnsiTheme="majorBidi" w:cstheme="majorBidi"/>
        </w:rPr>
        <w:t xml:space="preserve"> was informed by the Plug Plot uprising and </w:t>
      </w:r>
      <w:r w:rsidRPr="00A257D5">
        <w:rPr>
          <w:rFonts w:asciiTheme="majorBidi" w:hAnsiTheme="majorBidi" w:cstheme="majorBidi"/>
          <w:i/>
        </w:rPr>
        <w:t>Mary Barton</w:t>
      </w:r>
      <w:r w:rsidRPr="00A257D5">
        <w:rPr>
          <w:rFonts w:asciiTheme="majorBidi" w:hAnsiTheme="majorBidi" w:cstheme="majorBidi"/>
        </w:rPr>
        <w:t xml:space="preserve"> by events surrounding the first Chartist Petition.  See Raymond Williams, </w:t>
      </w:r>
      <w:r w:rsidRPr="00A257D5">
        <w:rPr>
          <w:rFonts w:asciiTheme="majorBidi" w:hAnsiTheme="majorBidi" w:cstheme="majorBidi"/>
          <w:i/>
        </w:rPr>
        <w:t>Culture and Society 1780</w:t>
      </w:r>
      <w:r w:rsidRPr="00A257D5">
        <w:rPr>
          <w:rFonts w:ascii="Times New Roman" w:hAnsi="Times New Roman"/>
        </w:rPr>
        <w:t>–</w:t>
      </w:r>
      <w:r w:rsidRPr="00A257D5">
        <w:rPr>
          <w:rFonts w:asciiTheme="majorBidi" w:hAnsiTheme="majorBidi" w:cstheme="majorBidi"/>
          <w:i/>
        </w:rPr>
        <w:t>1850</w:t>
      </w:r>
      <w:r w:rsidRPr="00A257D5">
        <w:rPr>
          <w:rFonts w:asciiTheme="majorBidi" w:hAnsiTheme="majorBidi" w:cstheme="majorBidi"/>
        </w:rPr>
        <w:t xml:space="preserve"> (Harmondsworth: Penguin Books, 1984), pp. 99</w:t>
      </w:r>
      <w:r w:rsidRPr="00A257D5">
        <w:rPr>
          <w:rFonts w:ascii="Times New Roman" w:hAnsi="Times New Roman"/>
        </w:rPr>
        <w:t>–</w:t>
      </w:r>
      <w:r w:rsidRPr="00A257D5">
        <w:rPr>
          <w:rFonts w:asciiTheme="majorBidi" w:hAnsiTheme="majorBidi" w:cstheme="majorBidi"/>
        </w:rPr>
        <w:t>112.</w:t>
      </w:r>
    </w:p>
  </w:footnote>
  <w:footnote w:id="35">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Gareth Stedman Jones, </w:t>
      </w:r>
      <w:r w:rsidRPr="00A257D5">
        <w:rPr>
          <w:rFonts w:ascii="Times New Roman" w:hAnsi="Times New Roman"/>
          <w:i/>
        </w:rPr>
        <w:t>Outcast London: A Study in the Relationship between Classes in Victorian Society</w:t>
      </w:r>
      <w:r w:rsidRPr="00A257D5">
        <w:rPr>
          <w:rFonts w:ascii="Times New Roman" w:hAnsi="Times New Roman"/>
        </w:rPr>
        <w:t xml:space="preserve"> (Harmondsworth: Penguin Books, 1984), p. 27.</w:t>
      </w:r>
    </w:p>
  </w:footnote>
  <w:footnote w:id="36">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George Dodd, </w:t>
      </w:r>
      <w:r w:rsidRPr="00A257D5">
        <w:rPr>
          <w:rFonts w:ascii="Times New Roman" w:hAnsi="Times New Roman"/>
          <w:i/>
        </w:rPr>
        <w:t>Days at the Factories: Series I. – London</w:t>
      </w:r>
      <w:r w:rsidRPr="00A257D5">
        <w:rPr>
          <w:rFonts w:ascii="Times New Roman" w:hAnsi="Times New Roman"/>
        </w:rPr>
        <w:t xml:space="preserve"> (London: Knight, 1843; repr. New York: Kelley, 1967), pp. 1–15.  Dodd’s exceptions included printing and the manufacture of piano fortes.  However, he repeatedly referred to the larger factories to be found elsewhere for most types of manufacture. </w:t>
      </w:r>
    </w:p>
  </w:footnote>
  <w:footnote w:id="37">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Stephen Inwood allows these official figures may underrepresent larger concerns but still writes that over this period ‘most London production remained small-scale’.  See Inwood, pp. 446–47.</w:t>
      </w:r>
    </w:p>
  </w:footnote>
  <w:footnote w:id="38">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The 1842 Report of the Inspectors of Factories highlighted how tens of thousands of workers in cotton textile firms in Lancashire were in labour forces averaging well over 200 workers with several employing over 1000 workers.  Cited in David Gadian, ‘Class formation and class action in north-west industrial towns, 1830–50’, in </w:t>
      </w:r>
      <w:r w:rsidRPr="00A257D5">
        <w:rPr>
          <w:rFonts w:ascii="Times New Roman" w:hAnsi="Times New Roman"/>
          <w:i/>
          <w:iCs/>
        </w:rPr>
        <w:t>Class, power and social structure in British nineteenth-century towns</w:t>
      </w:r>
      <w:r w:rsidRPr="00A257D5">
        <w:rPr>
          <w:rFonts w:ascii="Times New Roman" w:hAnsi="Times New Roman"/>
        </w:rPr>
        <w:t>, ed. by R. J. Morris (Leicester: Leicester University Press), pp. 23–66 (p. 44).</w:t>
      </w:r>
    </w:p>
  </w:footnote>
  <w:footnote w:id="39">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Jean Fernandez, </w:t>
      </w:r>
      <w:r w:rsidRPr="00A257D5">
        <w:rPr>
          <w:rFonts w:ascii="Times New Roman" w:hAnsi="Times New Roman"/>
          <w:i/>
        </w:rPr>
        <w:t>Victorian Servants, Class, and the Politics of Literacy</w:t>
      </w:r>
      <w:r w:rsidRPr="00A257D5">
        <w:rPr>
          <w:rFonts w:ascii="Times New Roman" w:hAnsi="Times New Roman"/>
        </w:rPr>
        <w:t xml:space="preserve"> (Abingdon: Routledge, 2010), p. 4.</w:t>
      </w:r>
    </w:p>
  </w:footnote>
  <w:footnote w:id="40">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Fernandez, p. 4.</w:t>
      </w:r>
    </w:p>
  </w:footnote>
  <w:footnote w:id="41">
    <w:p w:rsidR="003515E3" w:rsidRPr="00E428F4"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Frank Huggett, </w:t>
      </w:r>
      <w:r w:rsidRPr="00A257D5">
        <w:rPr>
          <w:rFonts w:ascii="Times New Roman" w:hAnsi="Times New Roman"/>
          <w:i/>
        </w:rPr>
        <w:t>Life Below Stairs: Domestic Servants in England from Victorian Times</w:t>
      </w:r>
      <w:r w:rsidRPr="00A257D5">
        <w:rPr>
          <w:rFonts w:ascii="Times New Roman" w:hAnsi="Times New Roman"/>
        </w:rPr>
        <w:t xml:space="preserve"> (London: Murray, 1977), p. 45.</w:t>
      </w:r>
    </w:p>
  </w:footnote>
  <w:footnote w:id="42">
    <w:p w:rsidR="003515E3" w:rsidRPr="00F349CE"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A similar diagram is used by John Rule to present how deviant behaviour was or was not legitimized by popular opinion.  See John Rule, ‘Social Crime in the Rural South in the Eighteenth and Early Nineteenth Centuries’, in </w:t>
      </w:r>
      <w:r w:rsidRPr="00A257D5">
        <w:rPr>
          <w:rFonts w:ascii="Times New Roman" w:hAnsi="Times New Roman"/>
          <w:i/>
          <w:iCs/>
        </w:rPr>
        <w:t>Crime, Protest and Popular Politics in Southern England 1740</w:t>
      </w:r>
      <w:r w:rsidRPr="00A257D5">
        <w:rPr>
          <w:rFonts w:ascii="Times New Roman" w:hAnsi="Times New Roman"/>
          <w:color w:val="000000"/>
        </w:rPr>
        <w:t>–</w:t>
      </w:r>
      <w:r w:rsidRPr="00A257D5">
        <w:rPr>
          <w:rFonts w:ascii="Times New Roman" w:hAnsi="Times New Roman"/>
          <w:i/>
          <w:iCs/>
        </w:rPr>
        <w:t>1850</w:t>
      </w:r>
      <w:r w:rsidRPr="00A257D5">
        <w:rPr>
          <w:rFonts w:ascii="Times New Roman" w:hAnsi="Times New Roman"/>
        </w:rPr>
        <w:t xml:space="preserve"> (London: Hambledon Press, 1997), pp. 153</w:t>
      </w:r>
      <w:r w:rsidRPr="00A257D5">
        <w:rPr>
          <w:rFonts w:ascii="Times New Roman" w:hAnsi="Times New Roman"/>
          <w:color w:val="000000"/>
        </w:rPr>
        <w:t>–</w:t>
      </w:r>
      <w:r w:rsidRPr="00A257D5">
        <w:rPr>
          <w:rFonts w:ascii="Times New Roman" w:hAnsi="Times New Roman"/>
        </w:rPr>
        <w:t>68 (p. 156).</w:t>
      </w:r>
    </w:p>
  </w:footnote>
  <w:footnote w:id="43">
    <w:p w:rsidR="003515E3" w:rsidRPr="00E428F4"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w:t>
      </w:r>
      <w:r w:rsidRPr="00A257D5">
        <w:rPr>
          <w:rFonts w:asciiTheme="majorBidi" w:hAnsiTheme="majorBidi" w:cstheme="majorBidi"/>
          <w:bCs/>
        </w:rPr>
        <w:t xml:space="preserve">G. W. M. Reynolds, </w:t>
      </w:r>
      <w:r w:rsidRPr="00A257D5">
        <w:rPr>
          <w:rFonts w:asciiTheme="majorBidi" w:hAnsiTheme="majorBidi" w:cstheme="majorBidi"/>
          <w:i/>
          <w:iCs/>
        </w:rPr>
        <w:t>The Seamstress; or, the White Slave of England</w:t>
      </w:r>
      <w:r w:rsidRPr="00A257D5">
        <w:rPr>
          <w:rFonts w:asciiTheme="majorBidi" w:hAnsiTheme="majorBidi" w:cstheme="majorBidi"/>
          <w:iCs/>
        </w:rPr>
        <w:t xml:space="preserve"> (London: Dicks, 1853)</w:t>
      </w:r>
      <w:r w:rsidRPr="00A257D5">
        <w:rPr>
          <w:rFonts w:ascii="Times New Roman" w:hAnsi="Times New Roman"/>
        </w:rPr>
        <w:t>, p. 95.</w:t>
      </w:r>
    </w:p>
  </w:footnote>
  <w:footnote w:id="44">
    <w:p w:rsidR="003515E3" w:rsidRPr="005B51F7"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w:t>
      </w:r>
      <w:r w:rsidRPr="005B51F7">
        <w:rPr>
          <w:rFonts w:ascii="Times New Roman" w:hAnsi="Times New Roman"/>
        </w:rPr>
        <w:t xml:space="preserve">See Louis James, </w:t>
      </w:r>
      <w:r w:rsidRPr="005B51F7">
        <w:rPr>
          <w:rFonts w:ascii="Times New Roman" w:hAnsi="Times New Roman"/>
          <w:i/>
        </w:rPr>
        <w:t>Fiction for the Working Man 1830–1850: A Study of the Literature Produced for the Working Classes in Early Victorian Urban England</w:t>
      </w:r>
      <w:r w:rsidRPr="005B51F7">
        <w:rPr>
          <w:rFonts w:ascii="Times New Roman" w:hAnsi="Times New Roman"/>
        </w:rPr>
        <w:t xml:space="preserve"> (Oxford: Oxford University Press, 1963).  This and other titles referenced in the introductory survey will receive specific footnotes as they are referenced in later chapters.</w:t>
      </w:r>
    </w:p>
  </w:footnote>
  <w:footnote w:id="45">
    <w:p w:rsidR="003515E3" w:rsidRPr="005B51F7" w:rsidRDefault="003515E3" w:rsidP="00D363EC">
      <w:pPr>
        <w:autoSpaceDE w:val="0"/>
        <w:autoSpaceDN w:val="0"/>
        <w:adjustRightInd w:val="0"/>
        <w:spacing w:after="0" w:line="240" w:lineRule="auto"/>
        <w:rPr>
          <w:rFonts w:ascii="Times New Roman" w:hAnsi="Times New Roman" w:cs="Times New Roman"/>
          <w:sz w:val="20"/>
          <w:szCs w:val="20"/>
        </w:rPr>
      </w:pPr>
      <w:r w:rsidRPr="005B51F7">
        <w:rPr>
          <w:rStyle w:val="FootnoteReference"/>
          <w:rFonts w:ascii="Times New Roman" w:hAnsi="Times New Roman"/>
          <w:sz w:val="20"/>
          <w:szCs w:val="20"/>
        </w:rPr>
        <w:footnoteRef/>
      </w:r>
      <w:r w:rsidRPr="005B51F7">
        <w:rPr>
          <w:rFonts w:ascii="Times New Roman" w:hAnsi="Times New Roman" w:cs="Times New Roman"/>
          <w:sz w:val="20"/>
          <w:szCs w:val="20"/>
        </w:rPr>
        <w:t xml:space="preserve"> See </w:t>
      </w:r>
      <w:r w:rsidRPr="005B51F7">
        <w:rPr>
          <w:rFonts w:ascii="Times New Roman" w:hAnsi="Times New Roman" w:cs="Times New Roman"/>
          <w:i/>
          <w:sz w:val="20"/>
          <w:szCs w:val="20"/>
        </w:rPr>
        <w:t>G. W. M. Reynolds: Nineteenth-Century Fiction, Politics, and the Press</w:t>
      </w:r>
      <w:r w:rsidRPr="005B51F7">
        <w:rPr>
          <w:rFonts w:ascii="Times New Roman" w:hAnsi="Times New Roman" w:cs="Times New Roman"/>
          <w:sz w:val="20"/>
          <w:szCs w:val="20"/>
        </w:rPr>
        <w:t xml:space="preserve">, ed. by Humpherys and James.  </w:t>
      </w:r>
    </w:p>
  </w:footnote>
  <w:footnote w:id="46">
    <w:p w:rsidR="003515E3" w:rsidRPr="005B51F7" w:rsidRDefault="003515E3" w:rsidP="00D363EC">
      <w:pPr>
        <w:autoSpaceDE w:val="0"/>
        <w:autoSpaceDN w:val="0"/>
        <w:adjustRightInd w:val="0"/>
        <w:spacing w:after="0" w:line="240" w:lineRule="auto"/>
        <w:rPr>
          <w:rFonts w:ascii="Times New Roman" w:hAnsi="Times New Roman" w:cs="Times New Roman"/>
          <w:sz w:val="20"/>
          <w:szCs w:val="20"/>
        </w:rPr>
      </w:pPr>
      <w:r w:rsidRPr="005B51F7">
        <w:rPr>
          <w:rStyle w:val="FootnoteReference"/>
          <w:rFonts w:ascii="Times New Roman" w:hAnsi="Times New Roman"/>
          <w:sz w:val="20"/>
          <w:szCs w:val="20"/>
        </w:rPr>
        <w:footnoteRef/>
      </w:r>
      <w:r w:rsidRPr="005B51F7">
        <w:rPr>
          <w:rFonts w:ascii="Times New Roman" w:hAnsi="Times New Roman" w:cs="Times New Roman"/>
          <w:sz w:val="20"/>
          <w:szCs w:val="20"/>
        </w:rPr>
        <w:t xml:space="preserve"> Virginia Berridge, ‘Popular Journalism and Working-Class Attitudes, 1854–1886: A Study of </w:t>
      </w:r>
      <w:r w:rsidRPr="005B51F7">
        <w:rPr>
          <w:rFonts w:ascii="Times New Roman" w:hAnsi="Times New Roman" w:cs="Times New Roman"/>
          <w:i/>
          <w:sz w:val="20"/>
          <w:szCs w:val="20"/>
        </w:rPr>
        <w:t>Reynolds’s Newspaper, Lloyd’s Weekly Newspaper and the Weekly Times’</w:t>
      </w:r>
      <w:r w:rsidRPr="005B51F7">
        <w:rPr>
          <w:rFonts w:ascii="Times New Roman" w:hAnsi="Times New Roman" w:cs="Times New Roman"/>
          <w:sz w:val="20"/>
          <w:szCs w:val="20"/>
        </w:rPr>
        <w:t>, 2 vols (</w:t>
      </w:r>
      <w:r w:rsidRPr="005B51F7">
        <w:rPr>
          <w:rFonts w:ascii="Times New Roman" w:eastAsiaTheme="minorHAnsi" w:hAnsi="Times New Roman" w:cs="Times New Roman"/>
          <w:sz w:val="20"/>
          <w:szCs w:val="20"/>
          <w:lang w:eastAsia="en-US"/>
        </w:rPr>
        <w:t xml:space="preserve">unpublished doctoral thesis, </w:t>
      </w:r>
      <w:r w:rsidRPr="005B51F7">
        <w:rPr>
          <w:rFonts w:ascii="Times New Roman" w:hAnsi="Times New Roman" w:cs="Times New Roman"/>
          <w:sz w:val="20"/>
          <w:szCs w:val="20"/>
        </w:rPr>
        <w:t>University of London, 1976) &lt;</w:t>
      </w:r>
      <w:hyperlink r:id="rId3" w:history="1">
        <w:r w:rsidRPr="005B51F7">
          <w:rPr>
            <w:rStyle w:val="Hyperlink"/>
            <w:rFonts w:ascii="Times New Roman" w:eastAsia="Times New Roman" w:hAnsi="Times New Roman" w:cs="Times New Roman"/>
            <w:sz w:val="20"/>
            <w:szCs w:val="20"/>
          </w:rPr>
          <w:t>http://ethos.bl.uk/OrderDetails.do?uin=uk.bl.ethos.449650</w:t>
        </w:r>
      </w:hyperlink>
      <w:r w:rsidRPr="005B51F7">
        <w:rPr>
          <w:rStyle w:val="Hyperlink"/>
          <w:rFonts w:ascii="Times New Roman" w:eastAsia="Times New Roman" w:hAnsi="Times New Roman" w:cs="Times New Roman"/>
          <w:sz w:val="20"/>
          <w:szCs w:val="20"/>
        </w:rPr>
        <w:t>&gt;</w:t>
      </w:r>
    </w:p>
  </w:footnote>
  <w:footnote w:id="47">
    <w:p w:rsidR="003515E3" w:rsidRPr="005B51F7" w:rsidRDefault="003515E3" w:rsidP="00D363EC">
      <w:pPr>
        <w:autoSpaceDE w:val="0"/>
        <w:autoSpaceDN w:val="0"/>
        <w:adjustRightInd w:val="0"/>
        <w:spacing w:after="0" w:line="240" w:lineRule="auto"/>
        <w:rPr>
          <w:rFonts w:ascii="Times New Roman" w:hAnsi="Times New Roman" w:cs="Times New Roman"/>
          <w:sz w:val="20"/>
          <w:szCs w:val="20"/>
        </w:rPr>
      </w:pPr>
      <w:r w:rsidRPr="005B51F7">
        <w:rPr>
          <w:rStyle w:val="FootnoteReference"/>
          <w:rFonts w:ascii="Times New Roman" w:hAnsi="Times New Roman"/>
          <w:sz w:val="20"/>
          <w:szCs w:val="20"/>
        </w:rPr>
        <w:footnoteRef/>
      </w:r>
      <w:r w:rsidRPr="005B51F7">
        <w:rPr>
          <w:rFonts w:ascii="Times New Roman" w:hAnsi="Times New Roman" w:cs="Times New Roman"/>
          <w:sz w:val="20"/>
          <w:szCs w:val="20"/>
        </w:rPr>
        <w:t xml:space="preserve"> </w:t>
      </w:r>
      <w:r w:rsidRPr="005B51F7">
        <w:rPr>
          <w:rFonts w:ascii="Times New Roman" w:hAnsi="Times New Roman" w:cs="Times New Roman"/>
          <w:bCs/>
          <w:sz w:val="20"/>
          <w:szCs w:val="20"/>
        </w:rPr>
        <w:t xml:space="preserve">See Margaret Dalziel, </w:t>
      </w:r>
      <w:r w:rsidRPr="005B51F7">
        <w:rPr>
          <w:rFonts w:ascii="Times New Roman" w:hAnsi="Times New Roman" w:cs="Times New Roman"/>
          <w:i/>
          <w:sz w:val="20"/>
          <w:szCs w:val="20"/>
        </w:rPr>
        <w:t>Popular Fiction 100 Years Ago: An Unexplored Tract of Literary History</w:t>
      </w:r>
      <w:r w:rsidRPr="005B51F7">
        <w:rPr>
          <w:rFonts w:ascii="Times New Roman" w:hAnsi="Times New Roman" w:cs="Times New Roman"/>
          <w:sz w:val="20"/>
          <w:szCs w:val="20"/>
        </w:rPr>
        <w:t xml:space="preserve"> (London: Cohen &amp; West, 1957); and Ian Haywood, </w:t>
      </w:r>
      <w:r w:rsidRPr="005B51F7">
        <w:rPr>
          <w:rFonts w:ascii="Times New Roman" w:hAnsi="Times New Roman" w:cs="Times New Roman"/>
          <w:i/>
          <w:sz w:val="20"/>
          <w:szCs w:val="20"/>
        </w:rPr>
        <w:t>The Revolution in Popular Literature: Print, Politics and the People, 1790</w:t>
      </w:r>
      <w:r w:rsidRPr="005B51F7">
        <w:rPr>
          <w:rFonts w:ascii="Times New Roman" w:hAnsi="Times New Roman" w:cs="Times New Roman"/>
          <w:sz w:val="20"/>
          <w:szCs w:val="20"/>
        </w:rPr>
        <w:t>–</w:t>
      </w:r>
      <w:r w:rsidRPr="005B51F7">
        <w:rPr>
          <w:rFonts w:ascii="Times New Roman" w:hAnsi="Times New Roman" w:cs="Times New Roman"/>
          <w:i/>
          <w:sz w:val="20"/>
          <w:szCs w:val="20"/>
        </w:rPr>
        <w:t>1860</w:t>
      </w:r>
      <w:r w:rsidRPr="005B51F7">
        <w:rPr>
          <w:rFonts w:ascii="Times New Roman" w:hAnsi="Times New Roman" w:cs="Times New Roman"/>
          <w:sz w:val="20"/>
          <w:szCs w:val="20"/>
        </w:rPr>
        <w:t xml:space="preserve"> (Cambridge: Cambridge University Press, 2004).</w:t>
      </w:r>
    </w:p>
  </w:footnote>
  <w:footnote w:id="48">
    <w:p w:rsidR="003515E3" w:rsidRPr="005B51F7" w:rsidRDefault="003515E3" w:rsidP="00D363EC">
      <w:pPr>
        <w:pStyle w:val="FootnoteText"/>
        <w:spacing w:after="0" w:line="240" w:lineRule="auto"/>
        <w:rPr>
          <w:rFonts w:ascii="Times New Roman" w:hAnsi="Times New Roman"/>
        </w:rPr>
      </w:pPr>
      <w:r w:rsidRPr="005B51F7">
        <w:rPr>
          <w:rStyle w:val="FootnoteReference"/>
          <w:rFonts w:ascii="Times New Roman" w:hAnsi="Times New Roman"/>
        </w:rPr>
        <w:footnoteRef/>
      </w:r>
      <w:r w:rsidRPr="005B51F7">
        <w:rPr>
          <w:rFonts w:ascii="Times New Roman" w:hAnsi="Times New Roman"/>
        </w:rPr>
        <w:t xml:space="preserve"> See T. J. Edelstein, ‘They Sang "The Song of the Shirt": The Visual Iconology of the Seamstress’, </w:t>
      </w:r>
      <w:r w:rsidRPr="005B51F7">
        <w:rPr>
          <w:rFonts w:ascii="Times New Roman" w:hAnsi="Times New Roman"/>
          <w:i/>
        </w:rPr>
        <w:t>Victorian Studies</w:t>
      </w:r>
      <w:r w:rsidRPr="005B51F7">
        <w:rPr>
          <w:rFonts w:ascii="Times New Roman" w:hAnsi="Times New Roman"/>
        </w:rPr>
        <w:t>, 23.2 (Winter 1980), 183–210 &lt;</w:t>
      </w:r>
      <w:hyperlink r:id="rId4" w:history="1">
        <w:r w:rsidRPr="005B51F7">
          <w:rPr>
            <w:rStyle w:val="Hyperlink"/>
            <w:rFonts w:ascii="Times New Roman" w:hAnsi="Times New Roman"/>
          </w:rPr>
          <w:t>http://www.jstor.org/stable/3827085</w:t>
        </w:r>
      </w:hyperlink>
      <w:r w:rsidRPr="005B51F7">
        <w:rPr>
          <w:rFonts w:ascii="Times New Roman" w:hAnsi="Times New Roman"/>
        </w:rPr>
        <w:t>&gt; [accessed: 15 May 2015].</w:t>
      </w:r>
    </w:p>
  </w:footnote>
  <w:footnote w:id="49">
    <w:p w:rsidR="003515E3" w:rsidRPr="00A257D5" w:rsidRDefault="003515E3" w:rsidP="00D363EC">
      <w:pPr>
        <w:pStyle w:val="FootnoteText"/>
        <w:spacing w:after="0" w:line="240" w:lineRule="auto"/>
        <w:rPr>
          <w:rFonts w:ascii="Times New Roman" w:hAnsi="Times New Roman"/>
        </w:rPr>
      </w:pPr>
      <w:r w:rsidRPr="005B51F7">
        <w:rPr>
          <w:rStyle w:val="FootnoteReference"/>
          <w:rFonts w:ascii="Times New Roman" w:hAnsi="Times New Roman"/>
        </w:rPr>
        <w:footnoteRef/>
      </w:r>
      <w:r w:rsidRPr="005B51F7">
        <w:rPr>
          <w:rFonts w:ascii="Times New Roman" w:hAnsi="Times New Roman"/>
        </w:rPr>
        <w:t xml:space="preserve"> See Helen Rogers, ‘"The Good Are Not Always Powerful, nor the Powerful Always Good": The Politics of Women's Needlework in Mid-Victorian London’.</w:t>
      </w:r>
    </w:p>
  </w:footnote>
  <w:footnote w:id="50">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John R. Reed, ‘Fighting Words: Two Proletarian Military Novels of the Crimean Period’, </w:t>
      </w:r>
      <w:r w:rsidRPr="00A257D5">
        <w:rPr>
          <w:rFonts w:ascii="Times New Roman" w:hAnsi="Times New Roman"/>
          <w:i/>
        </w:rPr>
        <w:t>Victorian Literature and Culture</w:t>
      </w:r>
      <w:r w:rsidRPr="00A257D5">
        <w:rPr>
          <w:rFonts w:ascii="Times New Roman" w:hAnsi="Times New Roman"/>
        </w:rPr>
        <w:t>, 36.2 (2008), pp. 331–42 &lt;</w:t>
      </w:r>
      <w:hyperlink r:id="rId5" w:history="1">
        <w:r w:rsidRPr="00A257D5">
          <w:rPr>
            <w:rStyle w:val="Hyperlink"/>
            <w:rFonts w:ascii="Times New Roman" w:hAnsi="Times New Roman"/>
          </w:rPr>
          <w:t>http://www.jstor.org/stable/40347191</w:t>
        </w:r>
      </w:hyperlink>
      <w:r w:rsidRPr="00A257D5">
        <w:rPr>
          <w:rFonts w:ascii="Times New Roman" w:hAnsi="Times New Roman"/>
          <w:lang w:eastAsia="en-GB"/>
        </w:rPr>
        <w:t>&gt; [a</w:t>
      </w:r>
      <w:r w:rsidRPr="00A257D5">
        <w:rPr>
          <w:rFonts w:ascii="Times New Roman" w:hAnsi="Times New Roman"/>
        </w:rPr>
        <w:t xml:space="preserve">ccessed: 14 February 2014]. </w:t>
      </w:r>
    </w:p>
  </w:footnote>
  <w:footnote w:id="51">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See Gertrude Himmelfarb, </w:t>
      </w:r>
      <w:r w:rsidRPr="00A257D5">
        <w:rPr>
          <w:rFonts w:ascii="Times New Roman" w:hAnsi="Times New Roman"/>
          <w:i/>
        </w:rPr>
        <w:t>The Idea of Poverty. England in the Early Industrial Age</w:t>
      </w:r>
      <w:r w:rsidRPr="00A257D5">
        <w:rPr>
          <w:rFonts w:ascii="Times New Roman" w:hAnsi="Times New Roman"/>
        </w:rPr>
        <w:t xml:space="preserve"> (London: Faber and Faber, 1984).</w:t>
      </w:r>
    </w:p>
  </w:footnote>
  <w:footnote w:id="52">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Himmelfarb, p. 445.</w:t>
      </w:r>
    </w:p>
  </w:footnote>
  <w:footnote w:id="53">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See Robert Mighall, </w:t>
      </w:r>
      <w:r w:rsidRPr="00A257D5">
        <w:rPr>
          <w:rFonts w:ascii="Times New Roman" w:hAnsi="Times New Roman"/>
          <w:i/>
        </w:rPr>
        <w:t>A Geography of Victorian Gothic Fiction: Mapping History’s Nightmares</w:t>
      </w:r>
      <w:r w:rsidRPr="00A257D5">
        <w:rPr>
          <w:rFonts w:ascii="Times New Roman" w:hAnsi="Times New Roman"/>
        </w:rPr>
        <w:t xml:space="preserve"> (Oxford University Press, Oxford, 1999).</w:t>
      </w:r>
    </w:p>
  </w:footnote>
  <w:footnote w:id="54">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See Sara Felicity James, ‘Capital Tales: The Urban Mysteries of Eugene Sue and G. W. M. Reynolds’ (</w:t>
      </w:r>
      <w:r w:rsidRPr="00A257D5">
        <w:rPr>
          <w:rFonts w:ascii="Times New Roman" w:eastAsiaTheme="minorHAnsi" w:hAnsi="Times New Roman"/>
        </w:rPr>
        <w:t>unpublished doctoral thesis</w:t>
      </w:r>
      <w:r w:rsidRPr="00A257D5">
        <w:rPr>
          <w:rFonts w:ascii="Times New Roman" w:hAnsi="Times New Roman"/>
        </w:rPr>
        <w:t>, University of Birmingham, 2000) &lt;</w:t>
      </w:r>
      <w:hyperlink r:id="rId6" w:history="1">
        <w:r w:rsidRPr="00A257D5">
          <w:rPr>
            <w:rStyle w:val="Hyperlink"/>
            <w:rFonts w:ascii="Times New Roman" w:hAnsi="Times New Roman"/>
          </w:rPr>
          <w:t>http://ethos.bl.uk/OrderDetails.do?uin=uk.bl.ethos.368743</w:t>
        </w:r>
      </w:hyperlink>
      <w:r w:rsidRPr="00A257D5">
        <w:rPr>
          <w:rFonts w:ascii="Times New Roman" w:hAnsi="Times New Roman"/>
        </w:rPr>
        <w:t>&gt;; and Jessica Hindes, ‘Revealing Bodies: Knowledge, Power and Mass Market Fictions in G. W. M. Reynolds’s</w:t>
      </w:r>
      <w:r w:rsidRPr="00A257D5">
        <w:rPr>
          <w:rFonts w:ascii="Times New Roman" w:hAnsi="Times New Roman"/>
          <w:i/>
        </w:rPr>
        <w:t xml:space="preserve"> Mysteries of London</w:t>
      </w:r>
      <w:r w:rsidRPr="00A257D5">
        <w:rPr>
          <w:rFonts w:ascii="Times New Roman" w:hAnsi="Times New Roman"/>
        </w:rPr>
        <w:t>’ (</w:t>
      </w:r>
      <w:r w:rsidRPr="00A257D5">
        <w:rPr>
          <w:rFonts w:ascii="Times New Roman" w:eastAsiaTheme="minorHAnsi" w:hAnsi="Times New Roman"/>
        </w:rPr>
        <w:t>unpublished doctoral thesis</w:t>
      </w:r>
      <w:r w:rsidRPr="00A257D5">
        <w:rPr>
          <w:rFonts w:ascii="Times New Roman" w:hAnsi="Times New Roman"/>
        </w:rPr>
        <w:t>, Royal Holloway, University of London, [n.d.]).</w:t>
      </w:r>
    </w:p>
  </w:footnote>
  <w:footnote w:id="55">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See Mary L. Shannon, </w:t>
      </w:r>
      <w:r w:rsidRPr="00A257D5">
        <w:rPr>
          <w:rFonts w:ascii="Times New Roman" w:hAnsi="Times New Roman"/>
          <w:i/>
          <w:iCs/>
        </w:rPr>
        <w:t xml:space="preserve">Dickens, Reynolds and Mayhew on Wellington Street: The Print Culture of a Victorian Street </w:t>
      </w:r>
      <w:r w:rsidRPr="00A257D5">
        <w:rPr>
          <w:rFonts w:ascii="Times New Roman" w:hAnsi="Times New Roman"/>
        </w:rPr>
        <w:t>(London: Routledge, 2015).</w:t>
      </w:r>
      <w:r w:rsidRPr="00A257D5">
        <w:rPr>
          <w:rFonts w:ascii="Times New Roman" w:hAnsi="Times New Roman"/>
          <w:i/>
          <w:iCs/>
        </w:rPr>
        <w:t xml:space="preserve"> </w:t>
      </w:r>
    </w:p>
  </w:footnote>
  <w:footnote w:id="56">
    <w:p w:rsidR="003515E3" w:rsidRPr="00A257D5"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Ian Haywood, ‘George W. M. Reynolds and ‘The Trafalgar Square Revolution’: radicalism, the carnivalesque and popular culture in mid-Victorian England’, </w:t>
      </w:r>
      <w:r w:rsidRPr="00A257D5">
        <w:rPr>
          <w:rFonts w:ascii="Times New Roman" w:hAnsi="Times New Roman"/>
          <w:i/>
        </w:rPr>
        <w:t>Journal of Victorian Culture</w:t>
      </w:r>
      <w:r w:rsidRPr="00A257D5">
        <w:rPr>
          <w:rFonts w:ascii="Times New Roman" w:hAnsi="Times New Roman"/>
        </w:rPr>
        <w:t>, 7:1 (2002), 23–59 &lt;</w:t>
      </w:r>
      <w:hyperlink r:id="rId7" w:history="1">
        <w:r w:rsidRPr="00A257D5">
          <w:rPr>
            <w:rStyle w:val="Hyperlink"/>
            <w:rFonts w:ascii="Times New Roman" w:hAnsi="Times New Roman"/>
          </w:rPr>
          <w:t>http://dx.doi.org/10.3366/jvc.2002.7.1.23</w:t>
        </w:r>
      </w:hyperlink>
      <w:r w:rsidRPr="00A257D5">
        <w:rPr>
          <w:rStyle w:val="Hyperlink"/>
          <w:rFonts w:ascii="Times New Roman" w:hAnsi="Times New Roman"/>
        </w:rPr>
        <w:t>&gt;</w:t>
      </w:r>
      <w:r w:rsidRPr="00A257D5">
        <w:rPr>
          <w:rFonts w:ascii="Times New Roman" w:hAnsi="Times New Roman"/>
        </w:rPr>
        <w:t xml:space="preserve"> </w:t>
      </w:r>
    </w:p>
  </w:footnote>
  <w:footnote w:id="57">
    <w:p w:rsidR="003515E3" w:rsidRPr="005B51F7" w:rsidRDefault="003515E3" w:rsidP="00D363EC">
      <w:pPr>
        <w:autoSpaceDE w:val="0"/>
        <w:autoSpaceDN w:val="0"/>
        <w:adjustRightInd w:val="0"/>
        <w:spacing w:after="0" w:line="240" w:lineRule="auto"/>
        <w:rPr>
          <w:rFonts w:ascii="Times New Roman" w:hAnsi="Times New Roman" w:cs="Times New Roman"/>
          <w:sz w:val="20"/>
          <w:szCs w:val="20"/>
        </w:rPr>
      </w:pPr>
      <w:r w:rsidRPr="005B51F7">
        <w:rPr>
          <w:rStyle w:val="FootnoteReference"/>
          <w:rFonts w:ascii="Times New Roman" w:hAnsi="Times New Roman"/>
          <w:sz w:val="20"/>
          <w:szCs w:val="20"/>
        </w:rPr>
        <w:footnoteRef/>
      </w:r>
      <w:r w:rsidRPr="005B51F7">
        <w:rPr>
          <w:rFonts w:ascii="Times New Roman" w:hAnsi="Times New Roman" w:cs="Times New Roman"/>
          <w:sz w:val="20"/>
          <w:szCs w:val="20"/>
        </w:rPr>
        <w:t xml:space="preserve"> See Thomas Vargish, </w:t>
      </w:r>
      <w:r w:rsidRPr="005B51F7">
        <w:rPr>
          <w:rFonts w:ascii="Times New Roman" w:hAnsi="Times New Roman" w:cs="Times New Roman"/>
          <w:i/>
          <w:iCs/>
          <w:sz w:val="20"/>
          <w:szCs w:val="20"/>
        </w:rPr>
        <w:t>The Providential Aesthetic in Victorian Fiction</w:t>
      </w:r>
      <w:r w:rsidRPr="005B51F7">
        <w:rPr>
          <w:rFonts w:ascii="Times New Roman" w:hAnsi="Times New Roman" w:cs="Times New Roman"/>
          <w:sz w:val="20"/>
          <w:szCs w:val="20"/>
        </w:rPr>
        <w:t xml:space="preserve"> (Charlottesville: University Press of Virginia, 1985); and Catherine Gallagher, </w:t>
      </w:r>
      <w:r w:rsidRPr="005B51F7">
        <w:rPr>
          <w:rFonts w:ascii="Times New Roman" w:hAnsi="Times New Roman" w:cs="Times New Roman"/>
          <w:i/>
          <w:sz w:val="20"/>
          <w:szCs w:val="20"/>
        </w:rPr>
        <w:t>The Industrial Reformation of English Fiction: Social Discourse and Narrative Form 1832</w:t>
      </w:r>
      <w:r w:rsidRPr="005B51F7">
        <w:rPr>
          <w:rFonts w:ascii="Times New Roman" w:hAnsi="Times New Roman"/>
          <w:sz w:val="20"/>
          <w:szCs w:val="20"/>
        </w:rPr>
        <w:t>–</w:t>
      </w:r>
      <w:r w:rsidRPr="005B51F7">
        <w:rPr>
          <w:rFonts w:ascii="Times New Roman" w:hAnsi="Times New Roman" w:cs="Times New Roman"/>
          <w:i/>
          <w:sz w:val="20"/>
          <w:szCs w:val="20"/>
        </w:rPr>
        <w:t>1867</w:t>
      </w:r>
      <w:r w:rsidRPr="005B51F7">
        <w:rPr>
          <w:rFonts w:ascii="Times New Roman" w:hAnsi="Times New Roman" w:cs="Times New Roman"/>
          <w:sz w:val="20"/>
          <w:szCs w:val="20"/>
        </w:rPr>
        <w:t xml:space="preserve"> (Chicago: Chicago of University Press, 1985).</w:t>
      </w:r>
    </w:p>
  </w:footnote>
  <w:footnote w:id="58">
    <w:p w:rsidR="003515E3" w:rsidRPr="005B51F7" w:rsidRDefault="003515E3" w:rsidP="00D363EC">
      <w:pPr>
        <w:autoSpaceDE w:val="0"/>
        <w:autoSpaceDN w:val="0"/>
        <w:adjustRightInd w:val="0"/>
        <w:spacing w:after="0" w:line="240" w:lineRule="auto"/>
        <w:rPr>
          <w:rFonts w:ascii="Times New Roman" w:hAnsi="Times New Roman" w:cs="Times New Roman"/>
          <w:sz w:val="20"/>
          <w:szCs w:val="20"/>
        </w:rPr>
      </w:pPr>
      <w:r w:rsidRPr="005B51F7">
        <w:rPr>
          <w:rStyle w:val="FootnoteReference"/>
          <w:rFonts w:ascii="Times New Roman" w:hAnsi="Times New Roman"/>
          <w:sz w:val="20"/>
          <w:szCs w:val="20"/>
        </w:rPr>
        <w:footnoteRef/>
      </w:r>
      <w:r w:rsidRPr="005B51F7">
        <w:rPr>
          <w:rFonts w:ascii="Times New Roman" w:hAnsi="Times New Roman" w:cs="Times New Roman"/>
          <w:sz w:val="20"/>
          <w:szCs w:val="20"/>
        </w:rPr>
        <w:t xml:space="preserve"> See Martin J. Wiener, </w:t>
      </w:r>
      <w:r w:rsidRPr="005B51F7">
        <w:rPr>
          <w:rFonts w:ascii="Times New Roman" w:hAnsi="Times New Roman" w:cs="Times New Roman"/>
          <w:i/>
          <w:iCs/>
          <w:sz w:val="20"/>
          <w:szCs w:val="20"/>
        </w:rPr>
        <w:t>Reconstructing the Criminal: Culture, law and policy in England, 1830</w:t>
      </w:r>
      <w:r w:rsidRPr="005B51F7">
        <w:rPr>
          <w:rFonts w:ascii="Times New Roman" w:hAnsi="Times New Roman"/>
          <w:i/>
          <w:sz w:val="20"/>
          <w:szCs w:val="20"/>
        </w:rPr>
        <w:t>–</w:t>
      </w:r>
      <w:r w:rsidRPr="005B51F7">
        <w:rPr>
          <w:rFonts w:ascii="Times New Roman" w:hAnsi="Times New Roman" w:cs="Times New Roman"/>
          <w:i/>
          <w:iCs/>
          <w:sz w:val="20"/>
          <w:szCs w:val="20"/>
        </w:rPr>
        <w:t>1914</w:t>
      </w:r>
      <w:r w:rsidRPr="005B51F7">
        <w:rPr>
          <w:rFonts w:ascii="Times New Roman" w:hAnsi="Times New Roman" w:cs="Times New Roman"/>
          <w:sz w:val="20"/>
          <w:szCs w:val="20"/>
        </w:rPr>
        <w:t xml:space="preserve"> (Cambridge: Cambridge University Press, 1990).</w:t>
      </w:r>
    </w:p>
  </w:footnote>
  <w:footnote w:id="59">
    <w:p w:rsidR="003515E3" w:rsidRPr="005B51F7" w:rsidRDefault="003515E3" w:rsidP="00D363EC">
      <w:pPr>
        <w:pStyle w:val="FootnoteText"/>
        <w:spacing w:after="0" w:line="240" w:lineRule="auto"/>
        <w:rPr>
          <w:rFonts w:ascii="Times New Roman" w:hAnsi="Times New Roman"/>
        </w:rPr>
      </w:pPr>
      <w:r w:rsidRPr="005B51F7">
        <w:rPr>
          <w:rStyle w:val="FootnoteReference"/>
          <w:rFonts w:ascii="Times New Roman" w:hAnsi="Times New Roman"/>
        </w:rPr>
        <w:footnoteRef/>
      </w:r>
      <w:r w:rsidRPr="005B51F7">
        <w:rPr>
          <w:rFonts w:ascii="Times New Roman" w:hAnsi="Times New Roman"/>
        </w:rPr>
        <w:t xml:space="preserve"> See </w:t>
      </w:r>
      <w:r w:rsidRPr="005B51F7">
        <w:rPr>
          <w:rFonts w:asciiTheme="majorBidi" w:hAnsiTheme="majorBidi" w:cstheme="majorBidi"/>
        </w:rPr>
        <w:t xml:space="preserve">Helen Small, </w:t>
      </w:r>
      <w:r w:rsidRPr="005B51F7">
        <w:rPr>
          <w:rFonts w:asciiTheme="majorBidi" w:hAnsiTheme="majorBidi" w:cstheme="majorBidi"/>
          <w:i/>
          <w:iCs/>
        </w:rPr>
        <w:t>Love’s Madness Medicine, The Novel, and Female Insanity 1800</w:t>
      </w:r>
      <w:r w:rsidRPr="005B51F7">
        <w:rPr>
          <w:rFonts w:ascii="Times New Roman" w:hAnsi="Times New Roman"/>
        </w:rPr>
        <w:t>–</w:t>
      </w:r>
      <w:r w:rsidRPr="005B51F7">
        <w:rPr>
          <w:rFonts w:asciiTheme="majorBidi" w:hAnsiTheme="majorBidi" w:cstheme="majorBidi"/>
          <w:i/>
          <w:iCs/>
        </w:rPr>
        <w:t>1865</w:t>
      </w:r>
      <w:r w:rsidRPr="005B51F7">
        <w:rPr>
          <w:rFonts w:asciiTheme="majorBidi" w:hAnsiTheme="majorBidi" w:cstheme="majorBidi"/>
        </w:rPr>
        <w:t xml:space="preserve"> (Oxford: Clarendon Press, 1996); and Elaine Showalter, </w:t>
      </w:r>
      <w:r w:rsidRPr="005B51F7">
        <w:rPr>
          <w:rFonts w:asciiTheme="majorBidi" w:hAnsiTheme="majorBidi" w:cstheme="majorBidi"/>
          <w:i/>
          <w:iCs/>
        </w:rPr>
        <w:t>The Female Malady. Women, Madness and English Culture, 1830</w:t>
      </w:r>
      <w:r w:rsidRPr="005B51F7">
        <w:rPr>
          <w:rFonts w:ascii="Times New Roman" w:hAnsi="Times New Roman"/>
        </w:rPr>
        <w:t>–</w:t>
      </w:r>
      <w:r w:rsidRPr="005B51F7">
        <w:rPr>
          <w:rFonts w:asciiTheme="majorBidi" w:hAnsiTheme="majorBidi" w:cstheme="majorBidi"/>
          <w:i/>
          <w:iCs/>
        </w:rPr>
        <w:t>1980</w:t>
      </w:r>
      <w:r w:rsidRPr="005B51F7">
        <w:rPr>
          <w:rFonts w:asciiTheme="majorBidi" w:hAnsiTheme="majorBidi" w:cstheme="majorBidi"/>
        </w:rPr>
        <w:t xml:space="preserve"> (London: Virago Press, 1987).</w:t>
      </w:r>
    </w:p>
  </w:footnote>
  <w:footnote w:id="60">
    <w:p w:rsidR="003515E3" w:rsidRPr="005B51F7" w:rsidRDefault="003515E3" w:rsidP="00D363EC">
      <w:pPr>
        <w:spacing w:after="0" w:line="240" w:lineRule="auto"/>
        <w:rPr>
          <w:rFonts w:ascii="Times New Roman" w:hAnsi="Times New Roman" w:cs="Times New Roman"/>
          <w:sz w:val="20"/>
          <w:szCs w:val="20"/>
        </w:rPr>
      </w:pPr>
      <w:r w:rsidRPr="005B51F7">
        <w:rPr>
          <w:rStyle w:val="FootnoteReference"/>
          <w:rFonts w:ascii="Times New Roman" w:hAnsi="Times New Roman"/>
          <w:sz w:val="20"/>
          <w:szCs w:val="20"/>
        </w:rPr>
        <w:footnoteRef/>
      </w:r>
      <w:r w:rsidRPr="005B51F7">
        <w:rPr>
          <w:rFonts w:ascii="Times New Roman" w:hAnsi="Times New Roman" w:cs="Times New Roman"/>
          <w:sz w:val="20"/>
          <w:szCs w:val="20"/>
        </w:rPr>
        <w:t xml:space="preserve"> </w:t>
      </w:r>
      <w:r w:rsidRPr="005B51F7">
        <w:rPr>
          <w:rFonts w:asciiTheme="majorBidi" w:hAnsiTheme="majorBidi" w:cstheme="majorBidi"/>
          <w:bCs/>
          <w:sz w:val="20"/>
          <w:szCs w:val="20"/>
        </w:rPr>
        <w:t xml:space="preserve">J. Nicholas Entrikin, </w:t>
      </w:r>
      <w:r w:rsidRPr="005B51F7">
        <w:rPr>
          <w:rFonts w:asciiTheme="majorBidi" w:hAnsiTheme="majorBidi" w:cstheme="majorBidi"/>
          <w:bCs/>
          <w:i/>
          <w:sz w:val="20"/>
          <w:szCs w:val="20"/>
        </w:rPr>
        <w:t>The Betweenness of Place: Towards a Geography of Modernity</w:t>
      </w:r>
      <w:r w:rsidRPr="005B51F7">
        <w:rPr>
          <w:rFonts w:asciiTheme="majorBidi" w:hAnsiTheme="majorBidi" w:cstheme="majorBidi"/>
          <w:bCs/>
          <w:sz w:val="20"/>
          <w:szCs w:val="20"/>
        </w:rPr>
        <w:t xml:space="preserve"> (Houndmills: Macmillan, 1991</w:t>
      </w:r>
      <w:r w:rsidRPr="005B51F7">
        <w:rPr>
          <w:rFonts w:ascii="Times New Roman" w:hAnsi="Times New Roman" w:cs="Times New Roman"/>
          <w:sz w:val="20"/>
          <w:szCs w:val="20"/>
        </w:rPr>
        <w:t>).</w:t>
      </w:r>
    </w:p>
  </w:footnote>
  <w:footnote w:id="61">
    <w:p w:rsidR="003515E3" w:rsidRPr="005B51F7" w:rsidRDefault="003515E3" w:rsidP="00D363EC">
      <w:pPr>
        <w:spacing w:after="0" w:line="240" w:lineRule="auto"/>
        <w:rPr>
          <w:rFonts w:ascii="Times New Roman" w:hAnsi="Times New Roman" w:cs="Times New Roman"/>
          <w:sz w:val="20"/>
          <w:szCs w:val="20"/>
        </w:rPr>
      </w:pPr>
      <w:r w:rsidRPr="005B51F7">
        <w:rPr>
          <w:rStyle w:val="FootnoteReference"/>
          <w:rFonts w:ascii="Times New Roman" w:hAnsi="Times New Roman"/>
          <w:sz w:val="20"/>
          <w:szCs w:val="20"/>
        </w:rPr>
        <w:footnoteRef/>
      </w:r>
      <w:r w:rsidRPr="005B51F7">
        <w:rPr>
          <w:rFonts w:ascii="Times New Roman" w:hAnsi="Times New Roman" w:cs="Times New Roman"/>
          <w:sz w:val="20"/>
          <w:szCs w:val="20"/>
        </w:rPr>
        <w:t xml:space="preserve"> Adeline Hartcup, </w:t>
      </w:r>
      <w:r w:rsidRPr="005B51F7">
        <w:rPr>
          <w:rFonts w:ascii="Times New Roman" w:hAnsi="Times New Roman" w:cs="Times New Roman"/>
          <w:i/>
          <w:sz w:val="20"/>
          <w:szCs w:val="20"/>
        </w:rPr>
        <w:t>Below Stairs in the Great Country Houses</w:t>
      </w:r>
      <w:r w:rsidRPr="005B51F7">
        <w:rPr>
          <w:rFonts w:ascii="Times New Roman" w:hAnsi="Times New Roman" w:cs="Times New Roman"/>
          <w:sz w:val="20"/>
          <w:szCs w:val="20"/>
        </w:rPr>
        <w:t xml:space="preserve"> (London: Sidgwick and Jackson, 1980).</w:t>
      </w:r>
    </w:p>
  </w:footnote>
  <w:footnote w:id="62">
    <w:p w:rsidR="003515E3" w:rsidRPr="00E428F4" w:rsidRDefault="003515E3" w:rsidP="00D363EC">
      <w:pPr>
        <w:spacing w:after="0" w:line="240" w:lineRule="auto"/>
        <w:rPr>
          <w:rFonts w:ascii="Times New Roman" w:hAnsi="Times New Roman" w:cs="Times New Roman"/>
          <w:sz w:val="20"/>
          <w:szCs w:val="20"/>
        </w:rPr>
      </w:pPr>
      <w:r w:rsidRPr="005B51F7">
        <w:rPr>
          <w:rStyle w:val="FootnoteReference"/>
          <w:rFonts w:ascii="Times New Roman" w:hAnsi="Times New Roman"/>
          <w:sz w:val="20"/>
          <w:szCs w:val="20"/>
        </w:rPr>
        <w:footnoteRef/>
      </w:r>
      <w:r w:rsidRPr="005B51F7">
        <w:rPr>
          <w:rFonts w:ascii="Times New Roman" w:hAnsi="Times New Roman" w:cs="Times New Roman"/>
          <w:sz w:val="20"/>
          <w:szCs w:val="20"/>
        </w:rPr>
        <w:t xml:space="preserve"> See E. P. Thompson, </w:t>
      </w:r>
      <w:r w:rsidRPr="005B51F7">
        <w:rPr>
          <w:rFonts w:ascii="Times New Roman" w:hAnsi="Times New Roman" w:cs="Times New Roman"/>
          <w:i/>
          <w:sz w:val="20"/>
          <w:szCs w:val="20"/>
        </w:rPr>
        <w:t>The Making of the English Working Class</w:t>
      </w:r>
      <w:r w:rsidRPr="005B51F7">
        <w:rPr>
          <w:rFonts w:ascii="Times New Roman" w:hAnsi="Times New Roman" w:cs="Times New Roman"/>
          <w:sz w:val="20"/>
          <w:szCs w:val="20"/>
        </w:rPr>
        <w:t xml:space="preserve"> (London: Harmondsworth, 1986); and I. J. Prothero, </w:t>
      </w:r>
      <w:r w:rsidRPr="005B51F7">
        <w:rPr>
          <w:rFonts w:ascii="Times New Roman" w:hAnsi="Times New Roman" w:cs="Times New Roman"/>
          <w:i/>
          <w:sz w:val="20"/>
          <w:szCs w:val="20"/>
        </w:rPr>
        <w:t>Artisans and Politics in Early Nineteenth-century London.  John Gast and his Times</w:t>
      </w:r>
      <w:r w:rsidRPr="005B51F7">
        <w:rPr>
          <w:rFonts w:ascii="Times New Roman" w:hAnsi="Times New Roman" w:cs="Times New Roman"/>
          <w:sz w:val="20"/>
          <w:szCs w:val="20"/>
        </w:rPr>
        <w:t xml:space="preserve"> (Folkestone: Dawson &amp; Son, 1979).</w:t>
      </w:r>
    </w:p>
  </w:footnote>
  <w:footnote w:id="63">
    <w:p w:rsidR="003515E3" w:rsidRPr="00E428F4" w:rsidRDefault="003515E3" w:rsidP="00D363EC">
      <w:pPr>
        <w:pStyle w:val="FootnoteText"/>
        <w:spacing w:after="0" w:line="240" w:lineRule="auto"/>
        <w:rPr>
          <w:rFonts w:ascii="Times New Roman" w:hAnsi="Times New Roman"/>
        </w:rPr>
      </w:pPr>
      <w:r w:rsidRPr="00A257D5">
        <w:rPr>
          <w:rStyle w:val="FootnoteReference"/>
          <w:rFonts w:ascii="Times New Roman" w:hAnsi="Times New Roman"/>
        </w:rPr>
        <w:footnoteRef/>
      </w:r>
      <w:r w:rsidRPr="00A257D5">
        <w:rPr>
          <w:rFonts w:ascii="Times New Roman" w:hAnsi="Times New Roman"/>
        </w:rPr>
        <w:t xml:space="preserve"> Throughout his writing career, Reynolds’s produced many gothic fantasies and historical romances.  These also displayed his radical intent, but are less directly relevant for analysing the protest of the contemporary industrious classes.  For a useful summary of their anti-clerical and anti-aristocratic themes, see </w:t>
      </w:r>
      <w:r w:rsidRPr="00A257D5">
        <w:rPr>
          <w:rFonts w:asciiTheme="majorBidi" w:hAnsiTheme="majorBidi" w:cstheme="majorBidi"/>
        </w:rPr>
        <w:t xml:space="preserve">Louis James, ‘Time, Politics and the Symbolic Imagination in Reynolds’s Social Melodrama’ in </w:t>
      </w:r>
      <w:r w:rsidRPr="00A257D5">
        <w:rPr>
          <w:rFonts w:ascii="Times New Roman" w:hAnsi="Times New Roman"/>
          <w:i/>
        </w:rPr>
        <w:t>G. W. M. Reynolds: Nineteenth-Century Fiction, Politics and the Press</w:t>
      </w:r>
      <w:r w:rsidRPr="00A257D5">
        <w:rPr>
          <w:rFonts w:asciiTheme="majorBidi" w:hAnsiTheme="majorBidi" w:cstheme="majorBidi"/>
          <w:iCs/>
        </w:rPr>
        <w:t xml:space="preserve">, ed. by </w:t>
      </w:r>
      <w:r w:rsidRPr="00A257D5">
        <w:rPr>
          <w:rFonts w:asciiTheme="majorBidi" w:hAnsiTheme="majorBidi" w:cstheme="majorBidi"/>
        </w:rPr>
        <w:t>Anne Humpherys and Louis James, 273–84.</w:t>
      </w:r>
    </w:p>
  </w:footnote>
  <w:footnote w:id="64">
    <w:p w:rsidR="003515E3" w:rsidRPr="00C73A2E" w:rsidRDefault="003515E3" w:rsidP="00D363EC">
      <w:pPr>
        <w:pStyle w:val="Default"/>
        <w:rPr>
          <w:rFonts w:ascii="Times New Roman" w:hAnsi="Times New Roman" w:cs="Times New Roman"/>
          <w:color w:val="auto"/>
          <w:sz w:val="20"/>
          <w:szCs w:val="20"/>
        </w:rPr>
      </w:pPr>
      <w:r w:rsidRPr="00C73A2E">
        <w:rPr>
          <w:rStyle w:val="FootnoteReference"/>
          <w:rFonts w:ascii="Times New Roman" w:hAnsi="Times New Roman" w:cs="Times New Roman"/>
          <w:color w:val="auto"/>
          <w:sz w:val="20"/>
          <w:szCs w:val="20"/>
        </w:rPr>
        <w:footnoteRef/>
      </w:r>
      <w:r w:rsidRPr="00C73A2E">
        <w:rPr>
          <w:rFonts w:ascii="Times New Roman" w:hAnsi="Times New Roman" w:cs="Times New Roman"/>
          <w:color w:val="auto"/>
          <w:sz w:val="20"/>
          <w:szCs w:val="20"/>
        </w:rPr>
        <w:t xml:space="preserve"> Richard Maxwell, ‘G. W. M. Reynolds, Dickens and the Mysteries of London’, </w:t>
      </w:r>
      <w:r w:rsidRPr="00C73A2E">
        <w:rPr>
          <w:rFonts w:ascii="Times New Roman" w:hAnsi="Times New Roman" w:cs="Times New Roman"/>
          <w:i/>
          <w:color w:val="auto"/>
          <w:sz w:val="20"/>
          <w:szCs w:val="20"/>
        </w:rPr>
        <w:t>Nineteenth Century Fiction</w:t>
      </w:r>
      <w:r w:rsidRPr="00C73A2E">
        <w:rPr>
          <w:rFonts w:ascii="Times New Roman" w:hAnsi="Times New Roman" w:cs="Times New Roman"/>
          <w:color w:val="auto"/>
          <w:sz w:val="20"/>
          <w:szCs w:val="20"/>
        </w:rPr>
        <w:t>, 32.2 (September 1977), 188–213 &lt;</w:t>
      </w:r>
      <w:hyperlink r:id="rId8" w:history="1">
        <w:r w:rsidRPr="00C73A2E">
          <w:rPr>
            <w:rStyle w:val="Hyperlink"/>
            <w:rFonts w:ascii="Times New Roman" w:hAnsi="Times New Roman" w:cs="Times New Roman"/>
            <w:color w:val="auto"/>
            <w:sz w:val="20"/>
            <w:szCs w:val="20"/>
          </w:rPr>
          <w:t>http://www.jstor.org/stable/2933188</w:t>
        </w:r>
      </w:hyperlink>
      <w:r w:rsidRPr="00C73A2E">
        <w:rPr>
          <w:rFonts w:ascii="Times New Roman" w:hAnsi="Times New Roman" w:cs="Times New Roman"/>
          <w:color w:val="auto"/>
          <w:sz w:val="20"/>
          <w:szCs w:val="20"/>
        </w:rPr>
        <w:t>&gt; [accessed: 4 October 2013] (p. 194).</w:t>
      </w:r>
    </w:p>
  </w:footnote>
  <w:footnote w:id="65">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Pamela Pilbeam details the four ordinances signed 25 July 1830 that aimed to </w:t>
      </w:r>
      <w:r w:rsidRPr="005C73CB">
        <w:rPr>
          <w:rFonts w:ascii="Times New Roman" w:hAnsi="Times New Roman"/>
          <w:shd w:val="clear" w:color="auto" w:fill="FFFFFF"/>
        </w:rPr>
        <w:t>censor the press, dissolve the recently elected liberal chamber and cut the electorate to 23,000</w:t>
      </w:r>
      <w:r w:rsidRPr="005C73CB">
        <w:rPr>
          <w:rFonts w:ascii="Times New Roman" w:hAnsi="Times New Roman"/>
        </w:rPr>
        <w:t xml:space="preserve">.  See Pamela M. Pilbeam, </w:t>
      </w:r>
      <w:r w:rsidRPr="005C73CB">
        <w:rPr>
          <w:rFonts w:ascii="Times New Roman" w:hAnsi="Times New Roman"/>
          <w:i/>
          <w:iCs/>
        </w:rPr>
        <w:t>The 1830 Revolution in France</w:t>
      </w:r>
      <w:r w:rsidRPr="005C73CB">
        <w:rPr>
          <w:rFonts w:ascii="Times New Roman" w:hAnsi="Times New Roman"/>
        </w:rPr>
        <w:t xml:space="preserve"> (Houndmills: Macmillan, 1991). pp. 60–61.  For Reynolds’s description of the ‘July Days’, see </w:t>
      </w:r>
      <w:r w:rsidRPr="005C73CB">
        <w:rPr>
          <w:rFonts w:asciiTheme="majorBidi" w:hAnsiTheme="majorBidi" w:cstheme="majorBidi"/>
          <w:bCs/>
          <w:i/>
        </w:rPr>
        <w:t>Alfred; or the Adventures of a French Gentleman</w:t>
      </w:r>
      <w:r w:rsidRPr="005C73CB">
        <w:rPr>
          <w:rFonts w:asciiTheme="majorBidi" w:hAnsiTheme="majorBidi" w:cstheme="majorBidi"/>
          <w:bCs/>
        </w:rPr>
        <w:t>, (London: Willoughby, 1844), pp. 220</w:t>
      </w:r>
      <w:r w:rsidRPr="005C73CB">
        <w:rPr>
          <w:rFonts w:ascii="Times New Roman" w:hAnsi="Times New Roman"/>
        </w:rPr>
        <w:t>–</w:t>
      </w:r>
      <w:r w:rsidRPr="005C73CB">
        <w:rPr>
          <w:rFonts w:asciiTheme="majorBidi" w:hAnsiTheme="majorBidi" w:cstheme="majorBidi"/>
          <w:bCs/>
        </w:rPr>
        <w:t>29.</w:t>
      </w:r>
    </w:p>
  </w:footnote>
  <w:footnote w:id="66">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For a detailed discussion of this development, see J. T. </w:t>
      </w:r>
      <w:r w:rsidRPr="005C73CB">
        <w:rPr>
          <w:rFonts w:asciiTheme="majorBidi" w:hAnsiTheme="majorBidi" w:cstheme="majorBidi"/>
          <w:bCs/>
        </w:rPr>
        <w:t xml:space="preserve">Ward, </w:t>
      </w:r>
      <w:r w:rsidRPr="005C73CB">
        <w:rPr>
          <w:rFonts w:asciiTheme="majorBidi" w:hAnsiTheme="majorBidi" w:cstheme="majorBidi"/>
          <w:bCs/>
          <w:i/>
        </w:rPr>
        <w:t>Chartism</w:t>
      </w:r>
      <w:r w:rsidRPr="005C73CB">
        <w:rPr>
          <w:rFonts w:asciiTheme="majorBidi" w:hAnsiTheme="majorBidi" w:cstheme="majorBidi"/>
          <w:bCs/>
        </w:rPr>
        <w:t xml:space="preserve"> (London: Batsford, 1973), pp. 86</w:t>
      </w:r>
      <w:r w:rsidRPr="005C73CB">
        <w:rPr>
          <w:rFonts w:ascii="Times New Roman" w:hAnsi="Times New Roman"/>
        </w:rPr>
        <w:t>–</w:t>
      </w:r>
      <w:r w:rsidRPr="005C73CB">
        <w:rPr>
          <w:rFonts w:asciiTheme="majorBidi" w:hAnsiTheme="majorBidi" w:cstheme="majorBidi"/>
          <w:bCs/>
        </w:rPr>
        <w:t>110.</w:t>
      </w:r>
    </w:p>
  </w:footnote>
  <w:footnote w:id="67">
    <w:p w:rsidR="003515E3" w:rsidRPr="005C73CB" w:rsidRDefault="003515E3" w:rsidP="001151C3">
      <w:pPr>
        <w:pStyle w:val="Default"/>
        <w:rPr>
          <w:rFonts w:ascii="Times New Roman" w:hAnsi="Times New Roman" w:cs="Times New Roman"/>
          <w:color w:val="auto"/>
          <w:sz w:val="20"/>
          <w:szCs w:val="20"/>
        </w:rPr>
      </w:pPr>
      <w:r w:rsidRPr="005C73CB">
        <w:rPr>
          <w:rStyle w:val="FootnoteReference"/>
          <w:rFonts w:ascii="Times New Roman" w:hAnsi="Times New Roman" w:cs="Times New Roman"/>
          <w:color w:val="auto"/>
          <w:sz w:val="20"/>
          <w:szCs w:val="20"/>
        </w:rPr>
        <w:footnoteRef/>
      </w:r>
      <w:r w:rsidRPr="005C73CB">
        <w:rPr>
          <w:rFonts w:ascii="Times New Roman" w:hAnsi="Times New Roman" w:cs="Times New Roman"/>
          <w:color w:val="auto"/>
          <w:sz w:val="20"/>
          <w:szCs w:val="20"/>
        </w:rPr>
        <w:t xml:space="preserve"> For a summary of Reynolds’s view of the ruling tyrannies across </w:t>
      </w:r>
      <w:r w:rsidRPr="00E0018A">
        <w:rPr>
          <w:rFonts w:ascii="Times New Roman" w:hAnsi="Times New Roman" w:cs="Times New Roman"/>
          <w:color w:val="auto"/>
          <w:sz w:val="20"/>
          <w:szCs w:val="20"/>
        </w:rPr>
        <w:t>Europe, see ‘The Prospects of the Democratic Cause’, p. 1.</w:t>
      </w:r>
    </w:p>
  </w:footnote>
  <w:footnote w:id="68">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Reynolds’s major involvement with fictional periodicals was as editor of the </w:t>
      </w:r>
      <w:r w:rsidRPr="005C73CB">
        <w:rPr>
          <w:rFonts w:ascii="Times New Roman" w:hAnsi="Times New Roman"/>
          <w:i/>
        </w:rPr>
        <w:t xml:space="preserve">London Journal </w:t>
      </w:r>
      <w:r w:rsidRPr="005C73CB">
        <w:rPr>
          <w:rFonts w:ascii="Times New Roman" w:hAnsi="Times New Roman"/>
        </w:rPr>
        <w:t xml:space="preserve">during 1845–46 before setting up </w:t>
      </w:r>
      <w:r w:rsidRPr="005C73CB">
        <w:rPr>
          <w:rFonts w:ascii="Times New Roman" w:hAnsi="Times New Roman"/>
          <w:i/>
        </w:rPr>
        <w:t>Reynolds’s Miscellany</w:t>
      </w:r>
      <w:r w:rsidRPr="005C73CB">
        <w:rPr>
          <w:rFonts w:ascii="Times New Roman" w:hAnsi="Times New Roman"/>
        </w:rPr>
        <w:t xml:space="preserve"> in 1846, referred to henceforth as the </w:t>
      </w:r>
      <w:r w:rsidRPr="005C73CB">
        <w:rPr>
          <w:rFonts w:ascii="Times New Roman" w:hAnsi="Times New Roman"/>
          <w:i/>
        </w:rPr>
        <w:t>Miscellany</w:t>
      </w:r>
      <w:r w:rsidRPr="005C73CB">
        <w:rPr>
          <w:rFonts w:ascii="Times New Roman" w:hAnsi="Times New Roman"/>
        </w:rPr>
        <w:t xml:space="preserve">.  His non-fiction journals included </w:t>
      </w:r>
      <w:r w:rsidRPr="005C73CB">
        <w:rPr>
          <w:rFonts w:ascii="Times New Roman" w:hAnsi="Times New Roman"/>
          <w:i/>
        </w:rPr>
        <w:t>Reynolds’s Political Instructor</w:t>
      </w:r>
      <w:r w:rsidRPr="005C73CB">
        <w:rPr>
          <w:rFonts w:ascii="Times New Roman" w:hAnsi="Times New Roman"/>
        </w:rPr>
        <w:t xml:space="preserve">, published 1849–50, referred to henceforth as the </w:t>
      </w:r>
      <w:r w:rsidRPr="005C73CB">
        <w:rPr>
          <w:rFonts w:ascii="Times New Roman" w:hAnsi="Times New Roman"/>
          <w:i/>
        </w:rPr>
        <w:t>Political Instructor</w:t>
      </w:r>
      <w:r w:rsidRPr="005C73CB">
        <w:rPr>
          <w:rFonts w:ascii="Times New Roman" w:hAnsi="Times New Roman"/>
        </w:rPr>
        <w:t xml:space="preserve">, and his newspaper, </w:t>
      </w:r>
      <w:r w:rsidRPr="005C73CB">
        <w:rPr>
          <w:rFonts w:ascii="Times New Roman" w:hAnsi="Times New Roman"/>
          <w:i/>
        </w:rPr>
        <w:t>Reynolds’s Weekly Newspaper</w:t>
      </w:r>
      <w:r w:rsidRPr="005C73CB">
        <w:rPr>
          <w:rFonts w:ascii="Times New Roman" w:hAnsi="Times New Roman"/>
        </w:rPr>
        <w:t xml:space="preserve"> later renamed </w:t>
      </w:r>
      <w:r w:rsidRPr="005C73CB">
        <w:rPr>
          <w:rFonts w:ascii="Times New Roman" w:hAnsi="Times New Roman"/>
          <w:i/>
        </w:rPr>
        <w:t>Reynolds’s Newspaper</w:t>
      </w:r>
      <w:r w:rsidRPr="005C73CB">
        <w:rPr>
          <w:rFonts w:ascii="Times New Roman" w:hAnsi="Times New Roman"/>
        </w:rPr>
        <w:t>.</w:t>
      </w:r>
    </w:p>
  </w:footnote>
  <w:footnote w:id="69">
    <w:p w:rsidR="003515E3" w:rsidRPr="005C73CB" w:rsidRDefault="003515E3" w:rsidP="001151C3">
      <w:pPr>
        <w:pStyle w:val="FootnoteText"/>
        <w:spacing w:after="0" w:line="240" w:lineRule="auto"/>
        <w:rPr>
          <w:rFonts w:ascii="Times New Roman" w:hAnsi="Times New Roman"/>
        </w:rPr>
      </w:pPr>
      <w:r w:rsidRPr="00AA1DF4">
        <w:rPr>
          <w:rStyle w:val="FootnoteReference"/>
          <w:rFonts w:ascii="Times New Roman" w:hAnsi="Times New Roman"/>
        </w:rPr>
        <w:footnoteRef/>
      </w:r>
      <w:r w:rsidRPr="00AA1DF4">
        <w:rPr>
          <w:rFonts w:ascii="Times New Roman" w:hAnsi="Times New Roman"/>
        </w:rPr>
        <w:t xml:space="preserve"> Reynolds wrote: ‘Next to the demoralizing idea that white men have a right to enslave the blacks, the belief </w:t>
      </w:r>
      <w:r w:rsidRPr="005C73CB">
        <w:rPr>
          <w:rFonts w:ascii="Times New Roman" w:hAnsi="Times New Roman"/>
        </w:rPr>
        <w:t xml:space="preserve">which the English entertain relative to the necessity of the un-importance of woman is the most unjust and unfounded.’  See G. W. M. Reynolds, </w:t>
      </w:r>
      <w:r w:rsidRPr="005C73CB">
        <w:rPr>
          <w:rFonts w:asciiTheme="majorBidi" w:hAnsiTheme="majorBidi" w:cstheme="majorBidi"/>
          <w:bCs/>
          <w:i/>
          <w:iCs/>
        </w:rPr>
        <w:t>Grace Darling; or, the Heroine of the Fern Islands</w:t>
      </w:r>
      <w:r w:rsidRPr="005C73CB">
        <w:rPr>
          <w:rFonts w:ascii="Times New Roman" w:hAnsi="Times New Roman"/>
        </w:rPr>
        <w:t xml:space="preserve"> (London: Henderson, 1839), pp. vi–vii.</w:t>
      </w:r>
    </w:p>
  </w:footnote>
  <w:footnote w:id="70">
    <w:p w:rsidR="003515E3" w:rsidRPr="005C73CB" w:rsidRDefault="003515E3" w:rsidP="001151C3">
      <w:pPr>
        <w:pStyle w:val="FootnoteText"/>
        <w:spacing w:after="0" w:line="240" w:lineRule="auto"/>
        <w:rPr>
          <w:rFonts w:asciiTheme="majorBidi" w:hAnsiTheme="majorBidi" w:cstheme="majorBidi"/>
        </w:rPr>
      </w:pPr>
      <w:r w:rsidRPr="005C73CB">
        <w:rPr>
          <w:rStyle w:val="FootnoteReference"/>
          <w:rFonts w:asciiTheme="majorBidi" w:hAnsiTheme="majorBidi" w:cstheme="majorBidi"/>
        </w:rPr>
        <w:footnoteRef/>
      </w:r>
      <w:r w:rsidRPr="005C73CB">
        <w:rPr>
          <w:rFonts w:asciiTheme="majorBidi" w:hAnsiTheme="majorBidi" w:cstheme="majorBidi"/>
        </w:rPr>
        <w:t xml:space="preserve"> Anonymous, ‘The Character of the Jews’, </w:t>
      </w:r>
      <w:r w:rsidRPr="005C73CB">
        <w:rPr>
          <w:rFonts w:asciiTheme="majorBidi" w:hAnsiTheme="majorBidi" w:cstheme="majorBidi"/>
          <w:i/>
          <w:iCs/>
        </w:rPr>
        <w:t>Reynolds’s Miscellany</w:t>
      </w:r>
      <w:r w:rsidRPr="005C73CB">
        <w:rPr>
          <w:rFonts w:asciiTheme="majorBidi" w:hAnsiTheme="majorBidi" w:cstheme="majorBidi"/>
        </w:rPr>
        <w:t>, 21 August 1847, pp. 226</w:t>
      </w:r>
      <w:r w:rsidRPr="005C73CB">
        <w:rPr>
          <w:rFonts w:ascii="Times New Roman" w:hAnsi="Times New Roman"/>
        </w:rPr>
        <w:t>–</w:t>
      </w:r>
      <w:r w:rsidRPr="005C73CB">
        <w:rPr>
          <w:rFonts w:asciiTheme="majorBidi" w:hAnsiTheme="majorBidi" w:cstheme="majorBidi"/>
        </w:rPr>
        <w:t>27 (p. 226).</w:t>
      </w:r>
    </w:p>
  </w:footnote>
  <w:footnote w:id="71">
    <w:p w:rsidR="003515E3" w:rsidRPr="005C73CB" w:rsidRDefault="003515E3" w:rsidP="001151C3">
      <w:pPr>
        <w:pStyle w:val="FootnoteText"/>
        <w:spacing w:after="0" w:line="240" w:lineRule="auto"/>
        <w:rPr>
          <w:rFonts w:asciiTheme="majorBidi" w:hAnsiTheme="majorBidi" w:cstheme="majorBidi"/>
        </w:rPr>
      </w:pPr>
      <w:r w:rsidRPr="005C73CB">
        <w:rPr>
          <w:rStyle w:val="FootnoteReference"/>
          <w:rFonts w:asciiTheme="majorBidi" w:hAnsiTheme="majorBidi" w:cstheme="majorBidi"/>
        </w:rPr>
        <w:footnoteRef/>
      </w:r>
      <w:r w:rsidRPr="005C73CB">
        <w:rPr>
          <w:rFonts w:asciiTheme="majorBidi" w:hAnsiTheme="majorBidi" w:cstheme="majorBidi"/>
        </w:rPr>
        <w:t xml:space="preserve"> </w:t>
      </w:r>
      <w:r w:rsidRPr="005C73CB">
        <w:rPr>
          <w:rFonts w:asciiTheme="majorBidi" w:hAnsiTheme="majorBidi" w:cstheme="majorBidi"/>
          <w:bCs/>
        </w:rPr>
        <w:t xml:space="preserve">Adam Wooldridge, </w:t>
      </w:r>
      <w:r w:rsidRPr="005C73CB">
        <w:rPr>
          <w:rFonts w:asciiTheme="majorBidi" w:hAnsiTheme="majorBidi" w:cstheme="majorBidi"/>
          <w:bCs/>
          <w:i/>
        </w:rPr>
        <w:t>Measuring the Mind: Education and Psychology in England c.1860</w:t>
      </w:r>
      <w:r w:rsidRPr="005C73CB">
        <w:rPr>
          <w:rFonts w:ascii="Times New Roman" w:hAnsi="Times New Roman"/>
        </w:rPr>
        <w:t>–</w:t>
      </w:r>
      <w:r w:rsidRPr="005C73CB">
        <w:rPr>
          <w:rFonts w:asciiTheme="majorBidi" w:hAnsiTheme="majorBidi" w:cstheme="majorBidi"/>
          <w:bCs/>
          <w:i/>
        </w:rPr>
        <w:t>c.1990</w:t>
      </w:r>
      <w:r w:rsidRPr="005C73CB">
        <w:rPr>
          <w:rFonts w:asciiTheme="majorBidi" w:hAnsiTheme="majorBidi" w:cstheme="majorBidi"/>
          <w:bCs/>
        </w:rPr>
        <w:t xml:space="preserve"> (Cambridge, Cambridge University Press, 1994), p. 294.</w:t>
      </w:r>
    </w:p>
  </w:footnote>
  <w:footnote w:id="72">
    <w:p w:rsidR="003515E3" w:rsidRPr="005C73CB" w:rsidRDefault="003515E3" w:rsidP="001151C3">
      <w:pPr>
        <w:pStyle w:val="FootnoteText"/>
        <w:spacing w:after="0" w:line="240" w:lineRule="auto"/>
        <w:rPr>
          <w:rFonts w:asciiTheme="majorBidi" w:hAnsiTheme="majorBidi" w:cstheme="majorBidi"/>
        </w:rPr>
      </w:pPr>
      <w:r w:rsidRPr="005C73CB">
        <w:rPr>
          <w:rStyle w:val="FootnoteReference"/>
          <w:rFonts w:asciiTheme="majorBidi" w:hAnsiTheme="majorBidi" w:cstheme="majorBidi"/>
        </w:rPr>
        <w:footnoteRef/>
      </w:r>
      <w:r w:rsidRPr="005C73CB">
        <w:rPr>
          <w:rFonts w:asciiTheme="majorBidi" w:hAnsiTheme="majorBidi" w:cstheme="majorBidi"/>
        </w:rPr>
        <w:t xml:space="preserve"> </w:t>
      </w:r>
      <w:r w:rsidRPr="005C73CB">
        <w:rPr>
          <w:rFonts w:asciiTheme="majorBidi" w:hAnsiTheme="majorBidi" w:cstheme="majorBidi"/>
          <w:bCs/>
          <w:i/>
          <w:iCs/>
        </w:rPr>
        <w:t>Grace Darling</w:t>
      </w:r>
      <w:r w:rsidRPr="005C73CB">
        <w:rPr>
          <w:rFonts w:asciiTheme="majorBidi" w:hAnsiTheme="majorBidi" w:cstheme="majorBidi"/>
          <w:bCs/>
        </w:rPr>
        <w:t xml:space="preserve">, p. vii.  </w:t>
      </w:r>
      <w:r w:rsidRPr="005C73CB">
        <w:rPr>
          <w:rFonts w:ascii="Times New Roman" w:hAnsi="Times New Roman"/>
        </w:rPr>
        <w:t>This study frequently refers to the influence of Locke’s ideas upon Reynolds’s outlook.  However, this is in relation to the broad principles that each espouses such as toleration and moderation in human conduct.  There is no attempt to equate Locke, writing in the late seventeenth century, with the mid-Victorian Reynolds.  Locke opposes absolute monarchy and is a staunch supporter of the 1688 Revolution.  He also justifies the accumulation of landed property.  For his argument upon the latter subject, see John Locke, ‘The Second Treaties of Government (An Essay Concerning the True Original, Extent and End of Civil Government)’ in</w:t>
      </w:r>
      <w:r w:rsidRPr="005C73CB">
        <w:rPr>
          <w:rFonts w:ascii="Times New Roman" w:hAnsi="Times New Roman"/>
          <w:i/>
        </w:rPr>
        <w:t xml:space="preserve"> The Second Treaties of Government and A Letter Concerning Toleration</w:t>
      </w:r>
      <w:r w:rsidRPr="005C73CB">
        <w:rPr>
          <w:rFonts w:ascii="Times New Roman" w:hAnsi="Times New Roman"/>
        </w:rPr>
        <w:t>, edited with a revised introduction by J. W. Gough (Oxford: Blackwell, 1966), pp. 3–122, (p.26).  In contrast, Reynolds was a Republican who aimed to curtail aristocratic privilege, gradually weaken the land monopoly and extend democratic and social rights to the masses.</w:t>
      </w:r>
    </w:p>
  </w:footnote>
  <w:footnote w:id="73">
    <w:p w:rsidR="003515E3" w:rsidRPr="005C73CB" w:rsidRDefault="003515E3" w:rsidP="001151C3">
      <w:pPr>
        <w:pStyle w:val="FootnoteText"/>
        <w:spacing w:after="0" w:line="240" w:lineRule="auto"/>
        <w:rPr>
          <w:rFonts w:asciiTheme="majorBidi" w:hAnsiTheme="majorBidi" w:cstheme="majorBidi"/>
        </w:rPr>
      </w:pPr>
      <w:r w:rsidRPr="005C73CB">
        <w:rPr>
          <w:rStyle w:val="FootnoteReference"/>
          <w:rFonts w:asciiTheme="majorBidi" w:hAnsiTheme="majorBidi" w:cstheme="majorBidi"/>
        </w:rPr>
        <w:footnoteRef/>
      </w:r>
      <w:r w:rsidRPr="005C73CB">
        <w:rPr>
          <w:rFonts w:asciiTheme="majorBidi" w:hAnsiTheme="majorBidi" w:cstheme="majorBidi"/>
        </w:rPr>
        <w:t xml:space="preserve"> </w:t>
      </w:r>
      <w:r w:rsidRPr="005C73CB">
        <w:rPr>
          <w:rFonts w:ascii="Times New Roman" w:hAnsi="Times New Roman"/>
        </w:rPr>
        <w:t xml:space="preserve">G. W. M. Reynolds, ‘Lead Article’, </w:t>
      </w:r>
      <w:r w:rsidRPr="005C73CB">
        <w:rPr>
          <w:rFonts w:ascii="Times New Roman" w:hAnsi="Times New Roman"/>
          <w:i/>
        </w:rPr>
        <w:t>Teetotaler,</w:t>
      </w:r>
      <w:r w:rsidRPr="005C73CB">
        <w:rPr>
          <w:rFonts w:ascii="Times New Roman" w:hAnsi="Times New Roman"/>
        </w:rPr>
        <w:t xml:space="preserve"> 12 September 1840, pp. 92–93 (p. 92).  Although the lead articles were unsigned there is considerable evidence pointing to Reynolds’s authorship.  They occasionally largely repeated his speeches at teetotal meetings.  For example, see ‘Report of Teetotal Progress and Meetings’,</w:t>
      </w:r>
      <w:r w:rsidRPr="005C73CB">
        <w:rPr>
          <w:rFonts w:ascii="Times New Roman" w:hAnsi="Times New Roman"/>
          <w:i/>
        </w:rPr>
        <w:t xml:space="preserve"> Teetotaler,</w:t>
      </w:r>
      <w:r w:rsidRPr="005C73CB">
        <w:rPr>
          <w:rFonts w:ascii="Times New Roman" w:hAnsi="Times New Roman"/>
        </w:rPr>
        <w:t xml:space="preserve"> 12 September 1840, p. 95; ‘Town News’, </w:t>
      </w:r>
      <w:r w:rsidRPr="005C73CB">
        <w:rPr>
          <w:rFonts w:ascii="Times New Roman" w:hAnsi="Times New Roman"/>
          <w:i/>
        </w:rPr>
        <w:t>Teetotaler</w:t>
      </w:r>
      <w:r w:rsidRPr="005C73CB">
        <w:rPr>
          <w:rFonts w:ascii="Times New Roman" w:hAnsi="Times New Roman"/>
        </w:rPr>
        <w:t xml:space="preserve">, 31 October 1840, p. 152; ‘Town News’, </w:t>
      </w:r>
      <w:r w:rsidRPr="005C73CB">
        <w:rPr>
          <w:rFonts w:ascii="Times New Roman" w:hAnsi="Times New Roman"/>
          <w:i/>
        </w:rPr>
        <w:t>Teetotaler</w:t>
      </w:r>
      <w:r w:rsidRPr="005C73CB">
        <w:rPr>
          <w:rFonts w:ascii="Times New Roman" w:hAnsi="Times New Roman"/>
        </w:rPr>
        <w:t xml:space="preserve">, 19 December 1840, p. 208.  They also repeat themes he expressed in lectures and articles he signed, such as the need for unity across the movement, the chemical composition of alcohol and the necessity of total abstinence rather than temperance.  The Lead Articles confirmed his position of authority at the journal, portending the front-page addresses of </w:t>
      </w:r>
      <w:r w:rsidRPr="005C73CB">
        <w:rPr>
          <w:rFonts w:ascii="Times New Roman" w:hAnsi="Times New Roman"/>
          <w:i/>
        </w:rPr>
        <w:t>Reynolds’s Newspaper</w:t>
      </w:r>
      <w:r w:rsidRPr="005C73CB">
        <w:rPr>
          <w:rFonts w:ascii="Times New Roman" w:hAnsi="Times New Roman"/>
        </w:rPr>
        <w:t xml:space="preserve"> a decade later.  Other unsigned articles in his journals, although it is likely he wrote or contributed to many, have been attributed to ‘Anonymous’.</w:t>
      </w:r>
    </w:p>
  </w:footnote>
  <w:footnote w:id="74">
    <w:p w:rsidR="003515E3" w:rsidRPr="00200909" w:rsidRDefault="003515E3" w:rsidP="001151C3">
      <w:pPr>
        <w:tabs>
          <w:tab w:val="left" w:pos="7995"/>
        </w:tabs>
        <w:spacing w:after="0" w:line="240" w:lineRule="auto"/>
        <w:rPr>
          <w:rFonts w:ascii="Times New Roman" w:hAnsi="Times New Roman" w:cs="Times New Roman"/>
          <w:sz w:val="20"/>
          <w:szCs w:val="20"/>
        </w:rPr>
      </w:pPr>
      <w:r w:rsidRPr="00200909">
        <w:rPr>
          <w:rStyle w:val="FootnoteReference"/>
          <w:rFonts w:ascii="Times New Roman" w:hAnsi="Times New Roman" w:cs="Times New Roman"/>
          <w:sz w:val="20"/>
          <w:szCs w:val="20"/>
        </w:rPr>
        <w:footnoteRef/>
      </w:r>
      <w:r w:rsidRPr="00200909">
        <w:rPr>
          <w:rFonts w:ascii="Times New Roman" w:hAnsi="Times New Roman" w:cs="Times New Roman"/>
          <w:sz w:val="20"/>
          <w:szCs w:val="20"/>
        </w:rPr>
        <w:t xml:space="preserve"> </w:t>
      </w:r>
      <w:r w:rsidRPr="00200909">
        <w:rPr>
          <w:rFonts w:ascii="Times New Roman" w:hAnsi="Times New Roman" w:cs="Times New Roman"/>
          <w:bCs/>
          <w:sz w:val="20"/>
          <w:szCs w:val="20"/>
        </w:rPr>
        <w:t xml:space="preserve">G. W. M. Reynolds, </w:t>
      </w:r>
      <w:r w:rsidRPr="00200909">
        <w:rPr>
          <w:rFonts w:ascii="Times New Roman" w:hAnsi="Times New Roman" w:cs="Times New Roman"/>
          <w:bCs/>
          <w:i/>
          <w:iCs/>
          <w:sz w:val="20"/>
          <w:szCs w:val="20"/>
        </w:rPr>
        <w:t>The Steam Packet: A Tale of the River and the Ocean</w:t>
      </w:r>
      <w:r w:rsidRPr="00200909">
        <w:rPr>
          <w:rFonts w:ascii="Times New Roman" w:hAnsi="Times New Roman" w:cs="Times New Roman"/>
          <w:bCs/>
          <w:sz w:val="20"/>
          <w:szCs w:val="20"/>
        </w:rPr>
        <w:t xml:space="preserve"> (London: Willoughby, [n.d.]), p. 75.</w:t>
      </w:r>
    </w:p>
  </w:footnote>
  <w:footnote w:id="75">
    <w:p w:rsidR="003515E3" w:rsidRPr="00200909" w:rsidRDefault="003515E3" w:rsidP="001151C3">
      <w:pPr>
        <w:tabs>
          <w:tab w:val="left" w:pos="7995"/>
        </w:tabs>
        <w:spacing w:after="0" w:line="240" w:lineRule="auto"/>
        <w:rPr>
          <w:rFonts w:ascii="Times New Roman" w:hAnsi="Times New Roman" w:cs="Times New Roman"/>
          <w:sz w:val="20"/>
          <w:szCs w:val="20"/>
        </w:rPr>
      </w:pPr>
      <w:r w:rsidRPr="00200909">
        <w:rPr>
          <w:rStyle w:val="FootnoteReference"/>
          <w:rFonts w:ascii="Times New Roman" w:hAnsi="Times New Roman" w:cs="Times New Roman"/>
          <w:sz w:val="20"/>
          <w:szCs w:val="20"/>
        </w:rPr>
        <w:footnoteRef/>
      </w:r>
      <w:r w:rsidRPr="00200909">
        <w:rPr>
          <w:rFonts w:ascii="Times New Roman" w:hAnsi="Times New Roman" w:cs="Times New Roman"/>
          <w:sz w:val="20"/>
          <w:szCs w:val="20"/>
        </w:rPr>
        <w:t xml:space="preserve"> </w:t>
      </w:r>
      <w:r w:rsidRPr="00200909">
        <w:rPr>
          <w:rFonts w:ascii="Times New Roman" w:hAnsi="Times New Roman" w:cs="Times New Roman"/>
          <w:bCs/>
          <w:i/>
          <w:iCs/>
          <w:sz w:val="20"/>
          <w:szCs w:val="20"/>
        </w:rPr>
        <w:t>Steam Packet</w:t>
      </w:r>
      <w:r w:rsidRPr="00200909">
        <w:rPr>
          <w:rFonts w:ascii="Times New Roman" w:hAnsi="Times New Roman" w:cs="Times New Roman"/>
          <w:bCs/>
          <w:sz w:val="20"/>
          <w:szCs w:val="20"/>
        </w:rPr>
        <w:t>, p. 75.</w:t>
      </w:r>
    </w:p>
  </w:footnote>
  <w:footnote w:id="76">
    <w:p w:rsidR="003515E3" w:rsidRPr="00200909" w:rsidRDefault="003515E3" w:rsidP="001151C3">
      <w:pPr>
        <w:tabs>
          <w:tab w:val="left" w:pos="7995"/>
        </w:tabs>
        <w:spacing w:after="0" w:line="240" w:lineRule="auto"/>
        <w:rPr>
          <w:rFonts w:ascii="Times New Roman" w:hAnsi="Times New Roman" w:cs="Times New Roman"/>
          <w:sz w:val="20"/>
          <w:szCs w:val="20"/>
        </w:rPr>
      </w:pPr>
      <w:r w:rsidRPr="00200909">
        <w:rPr>
          <w:rStyle w:val="FootnoteReference"/>
          <w:rFonts w:ascii="Times New Roman" w:hAnsi="Times New Roman" w:cs="Times New Roman"/>
          <w:sz w:val="20"/>
          <w:szCs w:val="20"/>
        </w:rPr>
        <w:footnoteRef/>
      </w:r>
      <w:r w:rsidRPr="00200909">
        <w:rPr>
          <w:rFonts w:ascii="Times New Roman" w:hAnsi="Times New Roman" w:cs="Times New Roman"/>
          <w:sz w:val="20"/>
          <w:szCs w:val="20"/>
        </w:rPr>
        <w:t xml:space="preserve"> When Reynolds joined it was the </w:t>
      </w:r>
      <w:r w:rsidRPr="00200909">
        <w:rPr>
          <w:rFonts w:ascii="Times New Roman" w:hAnsi="Times New Roman" w:cs="Times New Roman"/>
          <w:i/>
          <w:sz w:val="20"/>
          <w:szCs w:val="20"/>
        </w:rPr>
        <w:t>London United Teetotaller Association</w:t>
      </w:r>
      <w:r w:rsidRPr="00200909">
        <w:rPr>
          <w:rFonts w:ascii="Times New Roman" w:hAnsi="Times New Roman" w:cs="Times New Roman"/>
          <w:sz w:val="20"/>
          <w:szCs w:val="20"/>
        </w:rPr>
        <w:t xml:space="preserve"> but changed its name to the </w:t>
      </w:r>
      <w:r w:rsidRPr="00200909">
        <w:rPr>
          <w:rFonts w:ascii="Times New Roman" w:hAnsi="Times New Roman" w:cs="Times New Roman"/>
          <w:i/>
          <w:sz w:val="20"/>
          <w:szCs w:val="20"/>
        </w:rPr>
        <w:t>United Teetotaller Association</w:t>
      </w:r>
      <w:r w:rsidRPr="00200909">
        <w:rPr>
          <w:rFonts w:ascii="Times New Roman" w:hAnsi="Times New Roman" w:cs="Times New Roman"/>
          <w:sz w:val="20"/>
          <w:szCs w:val="20"/>
        </w:rPr>
        <w:t xml:space="preserve"> soon after to better reflect unity across the movement.  See G. W. M. Reynolds, ‘Lead Article’, </w:t>
      </w:r>
      <w:r w:rsidRPr="00200909">
        <w:rPr>
          <w:rFonts w:ascii="Times New Roman" w:hAnsi="Times New Roman" w:cs="Times New Roman"/>
          <w:i/>
          <w:sz w:val="20"/>
          <w:szCs w:val="20"/>
        </w:rPr>
        <w:t>Teetotaler,</w:t>
      </w:r>
      <w:r w:rsidRPr="00200909">
        <w:rPr>
          <w:rFonts w:ascii="Times New Roman" w:hAnsi="Times New Roman" w:cs="Times New Roman"/>
          <w:sz w:val="20"/>
          <w:szCs w:val="20"/>
        </w:rPr>
        <w:t xml:space="preserve"> 18 July 1840, p. 28.</w:t>
      </w:r>
    </w:p>
  </w:footnote>
  <w:footnote w:id="77">
    <w:p w:rsidR="003515E3" w:rsidRPr="00200909" w:rsidRDefault="003515E3" w:rsidP="001151C3">
      <w:pPr>
        <w:tabs>
          <w:tab w:val="left" w:pos="7995"/>
        </w:tabs>
        <w:spacing w:after="0" w:line="240" w:lineRule="auto"/>
        <w:rPr>
          <w:rFonts w:ascii="Times New Roman" w:hAnsi="Times New Roman" w:cs="Times New Roman"/>
          <w:sz w:val="20"/>
          <w:szCs w:val="20"/>
        </w:rPr>
      </w:pPr>
      <w:r w:rsidRPr="00200909">
        <w:rPr>
          <w:rStyle w:val="FootnoteReference"/>
          <w:rFonts w:ascii="Times New Roman" w:hAnsi="Times New Roman" w:cs="Times New Roman"/>
          <w:sz w:val="20"/>
          <w:szCs w:val="20"/>
        </w:rPr>
        <w:footnoteRef/>
      </w:r>
      <w:r w:rsidRPr="00200909">
        <w:rPr>
          <w:rFonts w:ascii="Times New Roman" w:hAnsi="Times New Roman" w:cs="Times New Roman"/>
          <w:sz w:val="20"/>
          <w:szCs w:val="20"/>
        </w:rPr>
        <w:t xml:space="preserve"> </w:t>
      </w:r>
      <w:r w:rsidRPr="00200909">
        <w:rPr>
          <w:rFonts w:ascii="Times New Roman" w:hAnsi="Times New Roman" w:cs="Times New Roman"/>
          <w:bCs/>
          <w:sz w:val="20"/>
          <w:szCs w:val="20"/>
        </w:rPr>
        <w:t xml:space="preserve">Brian Harrison reproduces graphs from papers listed in the index to Dawson Burns’s </w:t>
      </w:r>
      <w:r w:rsidRPr="00200909">
        <w:rPr>
          <w:rFonts w:ascii="Times New Roman" w:hAnsi="Times New Roman" w:cs="Times New Roman"/>
          <w:bCs/>
          <w:i/>
          <w:sz w:val="20"/>
          <w:szCs w:val="20"/>
        </w:rPr>
        <w:t>Temperance History</w:t>
      </w:r>
      <w:r w:rsidRPr="00200909">
        <w:rPr>
          <w:rFonts w:ascii="Times New Roman" w:hAnsi="Times New Roman" w:cs="Times New Roman"/>
          <w:bCs/>
          <w:sz w:val="20"/>
          <w:szCs w:val="20"/>
        </w:rPr>
        <w:t xml:space="preserve"> (1889).  They point to a surge in the setting up of National Temperance Organisations and new temperance periodicals at the end of the 1830s.  See Brian Harrison, </w:t>
      </w:r>
      <w:r w:rsidRPr="00200909">
        <w:rPr>
          <w:rFonts w:ascii="Times New Roman" w:hAnsi="Times New Roman" w:cs="Times New Roman"/>
          <w:sz w:val="20"/>
          <w:szCs w:val="20"/>
        </w:rPr>
        <w:t xml:space="preserve">‘“A World of Which We Had No Conception.”  Liberalism and the English Temperance Press: 1830–1872’, </w:t>
      </w:r>
      <w:r w:rsidRPr="00200909">
        <w:rPr>
          <w:rFonts w:ascii="Times New Roman" w:hAnsi="Times New Roman" w:cs="Times New Roman"/>
          <w:i/>
          <w:sz w:val="20"/>
          <w:szCs w:val="20"/>
        </w:rPr>
        <w:t>Victorian Studies</w:t>
      </w:r>
      <w:r w:rsidRPr="00200909">
        <w:rPr>
          <w:rFonts w:ascii="Times New Roman" w:hAnsi="Times New Roman" w:cs="Times New Roman"/>
          <w:sz w:val="20"/>
          <w:szCs w:val="20"/>
        </w:rPr>
        <w:t>, 13.2 (December 1969), 125–58 &lt;</w:t>
      </w:r>
      <w:hyperlink r:id="rId9" w:history="1">
        <w:r w:rsidRPr="00200909">
          <w:rPr>
            <w:rStyle w:val="Hyperlink"/>
            <w:rFonts w:ascii="Times New Roman" w:hAnsi="Times New Roman" w:cs="Times New Roman"/>
            <w:color w:val="auto"/>
            <w:sz w:val="20"/>
            <w:szCs w:val="20"/>
            <w:u w:val="none"/>
          </w:rPr>
          <w:t>http://www.jstor.org/stable/3826056</w:t>
        </w:r>
      </w:hyperlink>
      <w:r w:rsidRPr="00200909">
        <w:rPr>
          <w:rStyle w:val="Hyperlink"/>
          <w:rFonts w:ascii="Times New Roman" w:hAnsi="Times New Roman" w:cs="Times New Roman"/>
          <w:color w:val="auto"/>
          <w:sz w:val="20"/>
          <w:szCs w:val="20"/>
          <w:u w:val="none"/>
        </w:rPr>
        <w:t>&gt;</w:t>
      </w:r>
      <w:r w:rsidRPr="00200909">
        <w:rPr>
          <w:rFonts w:ascii="Times New Roman" w:hAnsi="Times New Roman" w:cs="Times New Roman"/>
          <w:sz w:val="20"/>
          <w:szCs w:val="20"/>
        </w:rPr>
        <w:t xml:space="preserve"> [accessed 3 October 2016] (pp. 146–47).</w:t>
      </w:r>
    </w:p>
  </w:footnote>
  <w:footnote w:id="78">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G. W. M. Reynolds, ‘Lead Article’, </w:t>
      </w:r>
      <w:r w:rsidRPr="00200909">
        <w:rPr>
          <w:rFonts w:ascii="Times New Roman" w:hAnsi="Times New Roman"/>
          <w:i/>
        </w:rPr>
        <w:t>Teetotaler,</w:t>
      </w:r>
      <w:r w:rsidRPr="00200909">
        <w:rPr>
          <w:rFonts w:ascii="Times New Roman" w:hAnsi="Times New Roman"/>
        </w:rPr>
        <w:t xml:space="preserve"> 3 October 1840, p. 116.</w:t>
      </w:r>
    </w:p>
  </w:footnote>
  <w:footnote w:id="79">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‘Lead Article’, </w:t>
      </w:r>
      <w:r w:rsidRPr="00200909">
        <w:rPr>
          <w:rFonts w:ascii="Times New Roman" w:hAnsi="Times New Roman"/>
          <w:i/>
        </w:rPr>
        <w:t>Teetotaler,</w:t>
      </w:r>
      <w:r w:rsidRPr="00200909">
        <w:rPr>
          <w:rFonts w:ascii="Times New Roman" w:hAnsi="Times New Roman"/>
        </w:rPr>
        <w:t xml:space="preserve"> 3 October 1840, p. 116.</w:t>
      </w:r>
    </w:p>
  </w:footnote>
  <w:footnote w:id="80">
    <w:p w:rsidR="003515E3" w:rsidRPr="005C73CB"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Susannah Frances Reynolds, ‘The Working Man’,</w:t>
      </w:r>
      <w:r w:rsidRPr="00200909">
        <w:rPr>
          <w:rFonts w:ascii="Times New Roman" w:hAnsi="Times New Roman"/>
          <w:i/>
        </w:rPr>
        <w:t xml:space="preserve"> Teetotaler,</w:t>
      </w:r>
      <w:r w:rsidRPr="00200909">
        <w:rPr>
          <w:rFonts w:ascii="Times New Roman" w:hAnsi="Times New Roman"/>
        </w:rPr>
        <w:t xml:space="preserve"> 24 April 1841, p. 4.</w:t>
      </w:r>
    </w:p>
  </w:footnote>
  <w:footnote w:id="81">
    <w:p w:rsidR="003515E3" w:rsidRPr="00200909"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Reynolds </w:t>
      </w:r>
      <w:r w:rsidRPr="00200909">
        <w:rPr>
          <w:rFonts w:ascii="Times New Roman" w:hAnsi="Times New Roman"/>
          <w:iCs/>
        </w:rPr>
        <w:t xml:space="preserve">constantly emphasised the role played by the ‘ordinary’ man, as when he praised John Hocking because of his honourable reputation in the movement and also because ‘you are a Working Man!’  See </w:t>
      </w:r>
      <w:r w:rsidRPr="00200909">
        <w:rPr>
          <w:rFonts w:ascii="Times New Roman" w:hAnsi="Times New Roman"/>
        </w:rPr>
        <w:t xml:space="preserve">‘Letters to Teetotallers: No. 1.—To Mr. John Hocking’, </w:t>
      </w:r>
      <w:r w:rsidRPr="00200909">
        <w:rPr>
          <w:rFonts w:ascii="Times New Roman" w:hAnsi="Times New Roman"/>
          <w:i/>
        </w:rPr>
        <w:t>Teetotaler,</w:t>
      </w:r>
      <w:r w:rsidRPr="00200909">
        <w:rPr>
          <w:rFonts w:ascii="Times New Roman" w:hAnsi="Times New Roman"/>
        </w:rPr>
        <w:t xml:space="preserve"> 24 April 1841, pp. 5–6 (p.5).  Later, when Reynolds praises a pamphlet refuting the ‘moderation’ principles of Reverend Jacob Stanley, he emphasises that it was written by Mr J. Forsbury, ‘a working man’.  See ‘Lead Article’, </w:t>
      </w:r>
      <w:r w:rsidRPr="00200909">
        <w:rPr>
          <w:rFonts w:ascii="Times New Roman" w:hAnsi="Times New Roman"/>
          <w:i/>
        </w:rPr>
        <w:t>Teetotaler,</w:t>
      </w:r>
      <w:r w:rsidRPr="00200909">
        <w:rPr>
          <w:rFonts w:ascii="Times New Roman" w:hAnsi="Times New Roman"/>
        </w:rPr>
        <w:t xml:space="preserve"> 10 July 1841, pp. 92–93 (p. 92).</w:t>
      </w:r>
    </w:p>
  </w:footnote>
  <w:footnote w:id="82">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G. W. M. Reynolds, ‘Lead Article’, </w:t>
      </w:r>
      <w:r w:rsidRPr="00200909">
        <w:rPr>
          <w:rFonts w:ascii="Times New Roman" w:hAnsi="Times New Roman"/>
          <w:i/>
        </w:rPr>
        <w:t>Teetotaler,</w:t>
      </w:r>
      <w:r w:rsidRPr="00200909">
        <w:rPr>
          <w:rFonts w:ascii="Times New Roman" w:hAnsi="Times New Roman"/>
        </w:rPr>
        <w:t xml:space="preserve"> 7 November 1840, p. 156.</w:t>
      </w:r>
    </w:p>
  </w:footnote>
  <w:footnote w:id="83">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G. W. M. Reynolds, ‘Lead Article’, </w:t>
      </w:r>
      <w:r w:rsidRPr="00200909">
        <w:rPr>
          <w:rFonts w:ascii="Times New Roman" w:hAnsi="Times New Roman"/>
          <w:i/>
        </w:rPr>
        <w:t>Teetotaler,</w:t>
      </w:r>
      <w:r w:rsidRPr="00200909">
        <w:rPr>
          <w:rFonts w:ascii="Times New Roman" w:hAnsi="Times New Roman"/>
        </w:rPr>
        <w:t xml:space="preserve"> 7 November 1840, p. 156.</w:t>
      </w:r>
    </w:p>
  </w:footnote>
  <w:footnote w:id="84">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G. W. M. Reynolds, ‘The Triumphs of Teetotalism’, </w:t>
      </w:r>
      <w:r w:rsidRPr="00200909">
        <w:rPr>
          <w:rFonts w:ascii="Times New Roman" w:hAnsi="Times New Roman"/>
          <w:i/>
        </w:rPr>
        <w:t>Teetotaler,</w:t>
      </w:r>
      <w:r w:rsidRPr="00200909">
        <w:rPr>
          <w:rFonts w:ascii="Times New Roman" w:hAnsi="Times New Roman"/>
        </w:rPr>
        <w:t xml:space="preserve"> 1 August 1840, p. 44.</w:t>
      </w:r>
    </w:p>
  </w:footnote>
  <w:footnote w:id="85">
    <w:p w:rsidR="003515E3" w:rsidRPr="00AA1DF4"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For an attack on how contemporary education stultified the human intellect, see G. W. M. Reynolds, ‘Lead Article’, </w:t>
      </w:r>
      <w:r w:rsidRPr="00200909">
        <w:rPr>
          <w:rFonts w:ascii="Times New Roman" w:hAnsi="Times New Roman"/>
          <w:i/>
        </w:rPr>
        <w:t>Teetotaler,</w:t>
      </w:r>
      <w:r w:rsidRPr="00200909">
        <w:rPr>
          <w:rFonts w:ascii="Times New Roman" w:hAnsi="Times New Roman"/>
        </w:rPr>
        <w:t xml:space="preserve"> 8 August 1840, pp. 52–53.</w:t>
      </w:r>
    </w:p>
  </w:footnote>
  <w:footnote w:id="86">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G. W. M. Reynolds, ‘Lead Article’, </w:t>
      </w:r>
      <w:r w:rsidRPr="00200909">
        <w:rPr>
          <w:rFonts w:ascii="Times New Roman" w:hAnsi="Times New Roman"/>
          <w:i/>
        </w:rPr>
        <w:t>Teetotaler,</w:t>
      </w:r>
      <w:r w:rsidRPr="00200909">
        <w:rPr>
          <w:rFonts w:ascii="Times New Roman" w:hAnsi="Times New Roman"/>
        </w:rPr>
        <w:t xml:space="preserve"> 21 November 1840, p. 172.</w:t>
      </w:r>
    </w:p>
  </w:footnote>
  <w:footnote w:id="87">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‘The Triumphs of Teetotalism’, p. 44.</w:t>
      </w:r>
    </w:p>
  </w:footnote>
  <w:footnote w:id="88">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Anonymous, ‘Old England!’, </w:t>
      </w:r>
      <w:r w:rsidRPr="00200909">
        <w:rPr>
          <w:rFonts w:ascii="Times New Roman" w:hAnsi="Times New Roman"/>
          <w:i/>
        </w:rPr>
        <w:t>Teetotaler,</w:t>
      </w:r>
      <w:r w:rsidRPr="00200909">
        <w:rPr>
          <w:rFonts w:ascii="Times New Roman" w:hAnsi="Times New Roman"/>
        </w:rPr>
        <w:t xml:space="preserve"> 1 May 1841, p. 15.</w:t>
      </w:r>
    </w:p>
  </w:footnote>
  <w:footnote w:id="89">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There were only three of these ‘letters’ signed by Gracchus, each charging the monarchy with keeping the populace in a state of ignorance: ‘These same rulers, in order to support the tyrannical institutions which surround the throne, have long used their most strenuous exertions to keep you in a state of moral degradation and abasement, through the medium of your predilection in favour of alcoholic liquors’.  See ‘Letters to the Working Classes. No. I’, </w:t>
      </w:r>
      <w:r w:rsidRPr="00200909">
        <w:rPr>
          <w:rFonts w:ascii="Times New Roman" w:hAnsi="Times New Roman"/>
          <w:i/>
        </w:rPr>
        <w:t>Teetotaler,</w:t>
      </w:r>
      <w:r w:rsidRPr="00200909">
        <w:rPr>
          <w:rFonts w:ascii="Times New Roman" w:hAnsi="Times New Roman"/>
        </w:rPr>
        <w:t xml:space="preserve"> 24 October 1840, p. 141.  Elsewhere he wrote that the monarchy lived in luxury through taxation as many suffered: ‘While the Queen, and her consort, and all the stipendiary dependants of the court or cabinet are receiving enormous incomes, the poor are left to die of the lingering horrors of starvation, or to submit to the infernal regulations of an Union Workhouse’.  See ‘Letters to the Working Classes. No. 3’, </w:t>
      </w:r>
      <w:r w:rsidRPr="00200909">
        <w:rPr>
          <w:rFonts w:ascii="Times New Roman" w:hAnsi="Times New Roman"/>
          <w:i/>
        </w:rPr>
        <w:t>Teetotaler,</w:t>
      </w:r>
      <w:r w:rsidRPr="00200909">
        <w:rPr>
          <w:rFonts w:ascii="Times New Roman" w:hAnsi="Times New Roman"/>
        </w:rPr>
        <w:t xml:space="preserve"> 7 November 1840, pp. 158–59 (p. 158).</w:t>
      </w:r>
    </w:p>
  </w:footnote>
  <w:footnote w:id="90">
    <w:p w:rsidR="003515E3" w:rsidRPr="00AA1DF4"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Anonymous (signed Gracchus), ‘Letters to the Working Classes. No. II’, </w:t>
      </w:r>
      <w:r w:rsidRPr="00200909">
        <w:rPr>
          <w:rFonts w:ascii="Times New Roman" w:hAnsi="Times New Roman"/>
          <w:i/>
        </w:rPr>
        <w:t>Teetotaler,</w:t>
      </w:r>
      <w:r w:rsidRPr="00200909">
        <w:rPr>
          <w:rFonts w:ascii="Times New Roman" w:hAnsi="Times New Roman"/>
        </w:rPr>
        <w:t xml:space="preserve"> 31 October 1840, pp. 150–51 (p. 150).</w:t>
      </w:r>
    </w:p>
  </w:footnote>
  <w:footnote w:id="91">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‘Letters to the Working Classes. No. II’, p. 150.</w:t>
      </w:r>
    </w:p>
  </w:footnote>
  <w:footnote w:id="92">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Reynolds continually returned to the plight of the coal-whippers.  For examples, see ‘Lead Article’ for </w:t>
      </w:r>
      <w:r w:rsidRPr="005C73CB">
        <w:rPr>
          <w:rFonts w:ascii="Times New Roman" w:hAnsi="Times New Roman"/>
          <w:i/>
        </w:rPr>
        <w:t>Teetotaler</w:t>
      </w:r>
      <w:r w:rsidRPr="005C73CB">
        <w:rPr>
          <w:rFonts w:ascii="Times New Roman" w:hAnsi="Times New Roman"/>
          <w:iCs/>
        </w:rPr>
        <w:t xml:space="preserve">, 24 October 1840, p 140, and </w:t>
      </w:r>
      <w:r w:rsidRPr="005C73CB">
        <w:rPr>
          <w:rFonts w:ascii="Times New Roman" w:hAnsi="Times New Roman"/>
          <w:i/>
        </w:rPr>
        <w:t>Teetotaler</w:t>
      </w:r>
      <w:r w:rsidRPr="005C73CB">
        <w:rPr>
          <w:rFonts w:ascii="Times New Roman" w:hAnsi="Times New Roman"/>
          <w:iCs/>
        </w:rPr>
        <w:t xml:space="preserve">, </w:t>
      </w:r>
      <w:r w:rsidRPr="005C73CB">
        <w:rPr>
          <w:rFonts w:ascii="Times New Roman" w:hAnsi="Times New Roman"/>
        </w:rPr>
        <w:t>10 December 1840, p. 188.</w:t>
      </w:r>
    </w:p>
  </w:footnote>
  <w:footnote w:id="93">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Anonymous, ‘Great Meeting in Favour of the Coal-Whippers’, </w:t>
      </w:r>
      <w:r w:rsidRPr="005C73CB">
        <w:rPr>
          <w:rFonts w:ascii="Times New Roman" w:hAnsi="Times New Roman"/>
          <w:i/>
        </w:rPr>
        <w:t>Teetotaler,</w:t>
      </w:r>
      <w:r w:rsidRPr="005C73CB">
        <w:rPr>
          <w:rFonts w:ascii="Times New Roman" w:hAnsi="Times New Roman"/>
        </w:rPr>
        <w:t xml:space="preserve"> 8 August 1840, pp. 55–56.</w:t>
      </w:r>
    </w:p>
  </w:footnote>
  <w:footnote w:id="94">
    <w:p w:rsidR="003515E3" w:rsidRPr="005C73CB" w:rsidRDefault="003515E3" w:rsidP="001151C3">
      <w:pPr>
        <w:spacing w:after="0" w:line="240" w:lineRule="auto"/>
        <w:rPr>
          <w:rFonts w:ascii="Times New Roman" w:hAnsi="Times New Roman" w:cs="Times New Roman"/>
          <w:sz w:val="20"/>
          <w:szCs w:val="20"/>
        </w:rPr>
      </w:pPr>
      <w:r w:rsidRPr="005C73CB">
        <w:rPr>
          <w:rStyle w:val="FootnoteReference"/>
          <w:rFonts w:ascii="Times New Roman" w:hAnsi="Times New Roman" w:cs="Times New Roman"/>
          <w:sz w:val="20"/>
          <w:szCs w:val="20"/>
        </w:rPr>
        <w:footnoteRef/>
      </w:r>
      <w:r w:rsidRPr="005C73CB">
        <w:rPr>
          <w:rFonts w:ascii="Times New Roman" w:hAnsi="Times New Roman" w:cs="Times New Roman"/>
          <w:sz w:val="20"/>
          <w:szCs w:val="20"/>
        </w:rPr>
        <w:t xml:space="preserve"> Abrams comments upon this outlook as follows: ‘What was needed was not the reorganization of society but the improvement of individuals.  The problem was to design reforms that would so ameliorate social conditions that individuals would be enabled, or forced, to improve themselves.’  See Philip Abrams, ‘The Origins of British Sociology’, in </w:t>
      </w:r>
      <w:r w:rsidRPr="005C73CB">
        <w:rPr>
          <w:rFonts w:ascii="Times New Roman" w:hAnsi="Times New Roman" w:cs="Times New Roman"/>
          <w:i/>
          <w:sz w:val="20"/>
          <w:szCs w:val="20"/>
        </w:rPr>
        <w:t>The Origins of British Sociology: 1834</w:t>
      </w:r>
      <w:r w:rsidRPr="005C73CB">
        <w:rPr>
          <w:rFonts w:ascii="Times New Roman" w:hAnsi="Times New Roman" w:cs="Times New Roman"/>
          <w:sz w:val="20"/>
          <w:szCs w:val="20"/>
        </w:rPr>
        <w:t>–</w:t>
      </w:r>
      <w:r w:rsidRPr="005C73CB">
        <w:rPr>
          <w:rFonts w:ascii="Times New Roman" w:hAnsi="Times New Roman" w:cs="Times New Roman"/>
          <w:i/>
          <w:sz w:val="20"/>
          <w:szCs w:val="20"/>
        </w:rPr>
        <w:t>1914</w:t>
      </w:r>
      <w:r w:rsidRPr="005C73CB">
        <w:rPr>
          <w:rFonts w:ascii="Times New Roman" w:hAnsi="Times New Roman" w:cs="Times New Roman"/>
          <w:sz w:val="20"/>
          <w:szCs w:val="20"/>
        </w:rPr>
        <w:t xml:space="preserve"> (Chicago: The University of Chicago Press, 1968), pp. 3–153 (pp. 37–38).</w:t>
      </w:r>
    </w:p>
  </w:footnote>
  <w:footnote w:id="95">
    <w:p w:rsidR="003515E3" w:rsidRPr="00200909" w:rsidRDefault="003515E3" w:rsidP="001151C3">
      <w:pPr>
        <w:spacing w:after="0" w:line="240" w:lineRule="auto"/>
        <w:rPr>
          <w:rFonts w:ascii="Times New Roman" w:hAnsi="Times New Roman" w:cs="Times New Roman"/>
          <w:sz w:val="20"/>
          <w:szCs w:val="20"/>
        </w:rPr>
      </w:pPr>
      <w:r w:rsidRPr="005C73CB">
        <w:rPr>
          <w:rStyle w:val="FootnoteReference"/>
          <w:rFonts w:ascii="Times New Roman" w:hAnsi="Times New Roman" w:cs="Times New Roman"/>
          <w:sz w:val="20"/>
          <w:szCs w:val="20"/>
        </w:rPr>
        <w:footnoteRef/>
      </w:r>
      <w:r w:rsidRPr="005C73CB">
        <w:rPr>
          <w:rFonts w:ascii="Times New Roman" w:hAnsi="Times New Roman" w:cs="Times New Roman"/>
          <w:sz w:val="20"/>
          <w:szCs w:val="20"/>
        </w:rPr>
        <w:t xml:space="preserve"> </w:t>
      </w:r>
      <w:r w:rsidRPr="00200909">
        <w:rPr>
          <w:rFonts w:ascii="Times New Roman" w:hAnsi="Times New Roman" w:cs="Times New Roman"/>
          <w:sz w:val="20"/>
          <w:szCs w:val="20"/>
        </w:rPr>
        <w:t xml:space="preserve">Josephine M. Guy, </w:t>
      </w:r>
      <w:r w:rsidRPr="00200909">
        <w:rPr>
          <w:rFonts w:ascii="Times New Roman" w:hAnsi="Times New Roman" w:cs="Times New Roman"/>
          <w:i/>
          <w:sz w:val="20"/>
          <w:szCs w:val="20"/>
        </w:rPr>
        <w:t>The Victorian Social-Problem Novel: The Market, the Individual and Communal Lif</w:t>
      </w:r>
      <w:r w:rsidRPr="00200909">
        <w:rPr>
          <w:rFonts w:ascii="Times New Roman" w:hAnsi="Times New Roman" w:cs="Times New Roman"/>
          <w:sz w:val="20"/>
          <w:szCs w:val="20"/>
        </w:rPr>
        <w:t>e (London: Macmillan, 1996), p. 9.</w:t>
      </w:r>
    </w:p>
  </w:footnote>
  <w:footnote w:id="96">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imes New Roman" w:hAnsi="Times New Roman"/>
          <w:i/>
        </w:rPr>
        <w:t>The Long Revolution</w:t>
      </w:r>
      <w:r w:rsidRPr="00200909">
        <w:rPr>
          <w:rFonts w:ascii="Times New Roman" w:hAnsi="Times New Roman"/>
        </w:rPr>
        <w:t>, p. 77.</w:t>
      </w:r>
    </w:p>
  </w:footnote>
  <w:footnote w:id="97">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John Locke, ‘</w:t>
      </w:r>
      <w:r w:rsidRPr="00200909">
        <w:rPr>
          <w:rFonts w:ascii="Times New Roman" w:hAnsi="Times New Roman"/>
          <w:iCs/>
        </w:rPr>
        <w:t>Some Thoughts Concerning Education’,</w:t>
      </w:r>
      <w:r w:rsidRPr="00200909">
        <w:rPr>
          <w:rFonts w:ascii="Times New Roman" w:hAnsi="Times New Roman"/>
          <w:i/>
        </w:rPr>
        <w:t xml:space="preserve"> </w:t>
      </w:r>
      <w:r w:rsidRPr="00200909">
        <w:rPr>
          <w:rFonts w:ascii="Times New Roman" w:hAnsi="Times New Roman"/>
        </w:rPr>
        <w:t>in</w:t>
      </w:r>
      <w:r w:rsidRPr="00200909">
        <w:rPr>
          <w:rFonts w:ascii="Times New Roman" w:hAnsi="Times New Roman"/>
          <w:i/>
        </w:rPr>
        <w:t xml:space="preserve"> Some Thoughts Concerning Education and Of the Conduct of the Understanding</w:t>
      </w:r>
      <w:r w:rsidRPr="00200909">
        <w:rPr>
          <w:rFonts w:ascii="Times New Roman" w:hAnsi="Times New Roman"/>
        </w:rPr>
        <w:t>, ed. by Ruth W. Grant and Nathan Tarcov (Indianapolis: Hackett, 1996), pp. 7–161, (p.41).</w:t>
      </w:r>
    </w:p>
  </w:footnote>
  <w:footnote w:id="98">
    <w:p w:rsidR="003515E3" w:rsidRPr="00200909" w:rsidRDefault="003515E3" w:rsidP="001151C3">
      <w:pPr>
        <w:pStyle w:val="FootnoteText"/>
        <w:spacing w:after="0" w:line="240" w:lineRule="auto"/>
        <w:rPr>
          <w:rFonts w:ascii="Times New Roman" w:hAnsi="Times New Roman"/>
          <w:iCs/>
        </w:rPr>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imes New Roman" w:hAnsi="Times New Roman"/>
          <w:iCs/>
        </w:rPr>
        <w:t>Some Thoughts Concerning Education’, p. 75.</w:t>
      </w:r>
    </w:p>
  </w:footnote>
  <w:footnote w:id="99">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Anonymous, ‘Phrenology’, </w:t>
      </w:r>
      <w:r w:rsidRPr="00200909">
        <w:rPr>
          <w:rFonts w:ascii="Times New Roman" w:hAnsi="Times New Roman"/>
          <w:i/>
        </w:rPr>
        <w:t>Teetotaler</w:t>
      </w:r>
      <w:r w:rsidRPr="00200909">
        <w:rPr>
          <w:rFonts w:ascii="Times New Roman" w:hAnsi="Times New Roman"/>
        </w:rPr>
        <w:t xml:space="preserve">, 6 February 1841, pp. 259–60 (p. 260).  </w:t>
      </w:r>
      <w:r w:rsidRPr="00200909">
        <w:rPr>
          <w:rFonts w:ascii="Times New Roman" w:hAnsi="Times New Roman"/>
          <w:i/>
          <w:iCs/>
        </w:rPr>
        <w:t>Reynolds’s Miscellany</w:t>
      </w:r>
      <w:r w:rsidRPr="00200909">
        <w:rPr>
          <w:rFonts w:ascii="Times New Roman" w:hAnsi="Times New Roman"/>
        </w:rPr>
        <w:t xml:space="preserve"> followed this theme when its regular article upon human anatomy argued that the shape of the skull determined the intellect and basic instincts of the individual.  See James Johnson, ‘The Anatomy and Physiology of Ourselves Popularly Considered’, </w:t>
      </w:r>
      <w:r w:rsidRPr="00200909">
        <w:rPr>
          <w:rFonts w:ascii="Times New Roman" w:hAnsi="Times New Roman"/>
          <w:i/>
          <w:iCs/>
        </w:rPr>
        <w:t>Reynolds’s Miscellany</w:t>
      </w:r>
      <w:r w:rsidRPr="00200909">
        <w:rPr>
          <w:rFonts w:ascii="Times New Roman" w:hAnsi="Times New Roman"/>
        </w:rPr>
        <w:t xml:space="preserve">, 16 January 1847, pp. 166–68 (p. 168).  This did not prevent Reynolds from showing the area being open to abuse, as with his lampooning of the meeting held by Mr Goble, ‘professor of craniology and phrenology’.  See </w:t>
      </w:r>
      <w:r w:rsidRPr="00200909">
        <w:rPr>
          <w:rFonts w:asciiTheme="majorBidi" w:hAnsiTheme="majorBidi" w:cstheme="majorBidi"/>
        </w:rPr>
        <w:t xml:space="preserve">G. W. M. Reynolds, </w:t>
      </w:r>
      <w:r w:rsidRPr="00200909">
        <w:rPr>
          <w:rFonts w:asciiTheme="majorBidi" w:hAnsiTheme="majorBidi" w:cstheme="majorBidi"/>
          <w:bCs/>
          <w:i/>
          <w:iCs/>
        </w:rPr>
        <w:t>Pickwick Abroad; or, the Tour in France</w:t>
      </w:r>
      <w:r w:rsidRPr="00200909">
        <w:rPr>
          <w:rFonts w:asciiTheme="majorBidi" w:hAnsiTheme="majorBidi" w:cstheme="majorBidi"/>
          <w:bCs/>
        </w:rPr>
        <w:t xml:space="preserve"> (London: Sherwood, Gilbert and Piper, 1839)</w:t>
      </w:r>
      <w:r w:rsidRPr="00200909">
        <w:rPr>
          <w:rFonts w:ascii="Times New Roman" w:hAnsi="Times New Roman"/>
        </w:rPr>
        <w:t>, pp. 277–80.</w:t>
      </w:r>
    </w:p>
  </w:footnote>
  <w:footnote w:id="100">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G. W. M. Reynolds, ‘Lead Article’, </w:t>
      </w:r>
      <w:r w:rsidRPr="00200909">
        <w:rPr>
          <w:rFonts w:ascii="Times New Roman" w:hAnsi="Times New Roman"/>
          <w:i/>
        </w:rPr>
        <w:t>Teetotaler</w:t>
      </w:r>
      <w:r w:rsidRPr="00200909">
        <w:rPr>
          <w:rFonts w:ascii="Times New Roman" w:hAnsi="Times New Roman"/>
          <w:iCs/>
        </w:rPr>
        <w:t>,</w:t>
      </w:r>
      <w:r w:rsidRPr="00200909">
        <w:rPr>
          <w:rFonts w:ascii="Times New Roman" w:hAnsi="Times New Roman"/>
        </w:rPr>
        <w:t xml:space="preserve"> 6 February 1841, pp. 260–61 (p. 261).  The hypothetical drinker was addressed as follows: ‘Speak—degraded, trembling, demoralized drunkard,—speak, thou foe to morality, virtue, and peace,—speak, self-destroyer who darest to fly in the face of thy Maker’.</w:t>
      </w:r>
    </w:p>
  </w:footnote>
  <w:footnote w:id="101">
    <w:p w:rsidR="003515E3" w:rsidRPr="00AA1DF4"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‘Letters to the Working Classes. No. I’, p. 141.</w:t>
      </w:r>
    </w:p>
  </w:footnote>
  <w:footnote w:id="102">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‘Letters to the Working Classes. No. 3’, pp. 158–59.  In some respects Gracchus appears more radical than Reynolds in his comments upon the political effect of reduced alcohol consumption.  The article claims that European nations where it is less are on the verge of revolution: ‘The French only wait for a favourable opportunity to overturn the throne of the Citizen King, and establish a purely republican system of government in the place of a monarchy.’</w:t>
      </w:r>
    </w:p>
  </w:footnote>
  <w:footnote w:id="103">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G, W, M. Reynolds, ‘Drunkard’s Progress’, </w:t>
      </w:r>
      <w:r w:rsidRPr="005C73CB">
        <w:rPr>
          <w:rFonts w:ascii="Times New Roman" w:hAnsi="Times New Roman"/>
          <w:i/>
        </w:rPr>
        <w:t>Teetotaler</w:t>
      </w:r>
      <w:r w:rsidRPr="005C73CB">
        <w:rPr>
          <w:rFonts w:ascii="Times New Roman" w:hAnsi="Times New Roman"/>
        </w:rPr>
        <w:t xml:space="preserve">, 24 October 1840, pp. 137–38 (p. 137).  ‘The Drunkard’s Progress’ appeared in weekly instalments, </w:t>
      </w:r>
      <w:r w:rsidRPr="005C73CB">
        <w:rPr>
          <w:rFonts w:ascii="Times New Roman" w:hAnsi="Times New Roman"/>
          <w:i/>
        </w:rPr>
        <w:t>Teetotaler</w:t>
      </w:r>
      <w:r w:rsidRPr="005C73CB">
        <w:rPr>
          <w:rFonts w:ascii="Times New Roman" w:hAnsi="Times New Roman"/>
        </w:rPr>
        <w:t>, 27 June 1840–28 November 1840.</w:t>
      </w:r>
    </w:p>
  </w:footnote>
  <w:footnote w:id="104">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‘Drunkard’s Progress’, </w:t>
      </w:r>
      <w:r w:rsidRPr="005C73CB">
        <w:rPr>
          <w:rFonts w:ascii="Times New Roman" w:hAnsi="Times New Roman"/>
          <w:i/>
        </w:rPr>
        <w:t>Teetotaler</w:t>
      </w:r>
      <w:r w:rsidRPr="005C73CB">
        <w:rPr>
          <w:rFonts w:ascii="Times New Roman" w:hAnsi="Times New Roman"/>
        </w:rPr>
        <w:t>, 24 October 1840, p. 137.</w:t>
      </w:r>
    </w:p>
  </w:footnote>
  <w:footnote w:id="105">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Anonymous, ‘Address to the Public’, </w:t>
      </w:r>
      <w:r w:rsidRPr="005C73CB">
        <w:rPr>
          <w:rFonts w:ascii="Times New Roman" w:hAnsi="Times New Roman"/>
          <w:i/>
        </w:rPr>
        <w:t>Teetotaler</w:t>
      </w:r>
      <w:r w:rsidRPr="005C73CB">
        <w:rPr>
          <w:rFonts w:ascii="Times New Roman" w:hAnsi="Times New Roman"/>
        </w:rPr>
        <w:t>, 27 June 1840, p. 1.  The address continued on the front page for the first 8 numbers of the journal.</w:t>
      </w:r>
    </w:p>
  </w:footnote>
  <w:footnote w:id="106">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Anonymous, ‘The Grand Excursion to Captain Trotter’s Park’, </w:t>
      </w:r>
      <w:r w:rsidRPr="005C73CB">
        <w:rPr>
          <w:rFonts w:ascii="Times New Roman" w:hAnsi="Times New Roman"/>
          <w:i/>
        </w:rPr>
        <w:t>Teetotaler,</w:t>
      </w:r>
      <w:r w:rsidRPr="005C73CB">
        <w:rPr>
          <w:rFonts w:ascii="Times New Roman" w:hAnsi="Times New Roman"/>
        </w:rPr>
        <w:t xml:space="preserve"> 15 August 1840, p. 62.</w:t>
      </w:r>
    </w:p>
  </w:footnote>
  <w:footnote w:id="107">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Sir Culling Eardley Smith, Bart., (</w:t>
      </w:r>
      <w:r w:rsidRPr="005C73CB">
        <w:rPr>
          <w:rStyle w:val="Date1"/>
          <w:rFonts w:ascii="Times New Roman" w:hAnsi="Times New Roman"/>
          <w:bdr w:val="none" w:sz="0" w:space="0" w:color="auto" w:frame="1"/>
        </w:rPr>
        <w:t xml:space="preserve">1805–1863) held politically Liberal affinities and strong evangelical religious principles.  </w:t>
      </w:r>
      <w:r w:rsidRPr="005C73CB">
        <w:rPr>
          <w:rFonts w:ascii="Times New Roman" w:hAnsi="Times New Roman"/>
          <w:shd w:val="clear" w:color="auto" w:fill="FFFFFF"/>
        </w:rPr>
        <w:t xml:space="preserve">See </w:t>
      </w:r>
      <w:r w:rsidRPr="005C73CB">
        <w:rPr>
          <w:rFonts w:ascii="Times New Roman" w:hAnsi="Times New Roman"/>
          <w:i/>
          <w:iCs/>
        </w:rPr>
        <w:t>Oxford Dictionary of National Biography</w:t>
      </w:r>
      <w:r w:rsidRPr="005C73CB">
        <w:rPr>
          <w:rFonts w:ascii="Times New Roman" w:hAnsi="Times New Roman"/>
        </w:rPr>
        <w:t xml:space="preserve"> &lt;</w:t>
      </w:r>
      <w:hyperlink r:id="rId10" w:history="1">
        <w:r w:rsidRPr="005C73CB">
          <w:rPr>
            <w:rStyle w:val="Hyperlink"/>
            <w:rFonts w:ascii="Times New Roman" w:hAnsi="Times New Roman"/>
            <w:color w:val="auto"/>
            <w:u w:val="none"/>
            <w:bdr w:val="none" w:sz="0" w:space="0" w:color="auto" w:frame="1"/>
          </w:rPr>
          <w:t>https://doi.org/10.1093/ref:odnb/8393</w:t>
        </w:r>
      </w:hyperlink>
      <w:r w:rsidRPr="005C73CB">
        <w:rPr>
          <w:rStyle w:val="Hyperlink"/>
          <w:rFonts w:ascii="Times New Roman" w:hAnsi="Times New Roman"/>
          <w:color w:val="auto"/>
          <w:u w:val="none"/>
        </w:rPr>
        <w:t>&gt;</w:t>
      </w:r>
      <w:r w:rsidRPr="005C73CB">
        <w:rPr>
          <w:rStyle w:val="Date1"/>
          <w:rFonts w:ascii="Times New Roman" w:hAnsi="Times New Roman"/>
          <w:bdr w:val="none" w:sz="0" w:space="0" w:color="auto" w:frame="1"/>
        </w:rPr>
        <w:t xml:space="preserve"> </w:t>
      </w:r>
    </w:p>
  </w:footnote>
  <w:footnote w:id="108">
    <w:p w:rsidR="003515E3" w:rsidRPr="00200909"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G. W. M. </w:t>
      </w:r>
      <w:r w:rsidRPr="00200909">
        <w:rPr>
          <w:rFonts w:ascii="Times New Roman" w:hAnsi="Times New Roman"/>
        </w:rPr>
        <w:t xml:space="preserve">Reynolds, ‘Lead Article’, </w:t>
      </w:r>
      <w:r w:rsidRPr="00200909">
        <w:rPr>
          <w:rFonts w:ascii="Times New Roman" w:hAnsi="Times New Roman"/>
          <w:i/>
        </w:rPr>
        <w:t>Teetotaler,</w:t>
      </w:r>
      <w:r w:rsidRPr="00200909">
        <w:rPr>
          <w:rFonts w:ascii="Times New Roman" w:hAnsi="Times New Roman"/>
        </w:rPr>
        <w:t xml:space="preserve"> 15 August 1840, pp. 60–61 (p. 61).</w:t>
      </w:r>
    </w:p>
  </w:footnote>
  <w:footnote w:id="109">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Anonymous, ‘Metropolitan Labourers’ Suburban Dwelling Society’,</w:t>
      </w:r>
      <w:r w:rsidRPr="00200909">
        <w:rPr>
          <w:rFonts w:ascii="Times New Roman" w:hAnsi="Times New Roman"/>
          <w:i/>
          <w:iCs/>
        </w:rPr>
        <w:t xml:space="preserve"> </w:t>
      </w:r>
      <w:r w:rsidRPr="00200909">
        <w:rPr>
          <w:rFonts w:ascii="Times New Roman" w:hAnsi="Times New Roman"/>
          <w:i/>
        </w:rPr>
        <w:t>Reynolds’s Miscellany</w:t>
      </w:r>
      <w:r w:rsidRPr="00200909">
        <w:rPr>
          <w:rFonts w:ascii="Times New Roman" w:hAnsi="Times New Roman"/>
        </w:rPr>
        <w:t>, 9 January 1847, p. 151.  The article noted: ‘The Society at present numbers amongst its supporters the names of Earl Grey, Lord Ashley, Mr Ewart, M. P., Mr. Ricardo, M. P., Mr. Douglas Jerrold, and Mr. G. W. M. Reynolds’.</w:t>
      </w:r>
    </w:p>
  </w:footnote>
  <w:footnote w:id="110">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The plates for ‘The Progress of Intemperance ‘, were given away with T</w:t>
      </w:r>
      <w:r w:rsidRPr="00200909">
        <w:rPr>
          <w:rFonts w:ascii="Times New Roman" w:hAnsi="Times New Roman"/>
          <w:i/>
        </w:rPr>
        <w:t>he Teetotaler</w:t>
      </w:r>
      <w:r w:rsidRPr="00200909">
        <w:rPr>
          <w:rFonts w:ascii="Times New Roman" w:hAnsi="Times New Roman"/>
        </w:rPr>
        <w:t xml:space="preserve">  , 24 October1840–28 November 1840., those for ‘The Progress of Temperance ‘, 12 December 1840–16 January 1841.</w:t>
      </w:r>
    </w:p>
  </w:footnote>
  <w:footnote w:id="111">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Although the commentaries are unsigned it is likely that Reynolds was responsible for them.  In his letter of resignation he makes no objection to the journal’s perspective, boasting of its achievements: ‘</w:t>
      </w:r>
      <w:r w:rsidRPr="00200909">
        <w:rPr>
          <w:rFonts w:ascii="Times New Roman" w:hAnsi="Times New Roman"/>
        </w:rPr>
        <w:t xml:space="preserve">I can fearlessly declare that The Teetotaler has reformed more abuses in the sphere to which it belonged than any other Temperance publication; and the right-minded and discerning have invariably acknowledged its utility.’  </w:t>
      </w:r>
      <w:r w:rsidRPr="00200909">
        <w:rPr>
          <w:rFonts w:asciiTheme="majorBidi" w:hAnsiTheme="majorBidi" w:cstheme="majorBidi"/>
        </w:rPr>
        <w:t xml:space="preserve">His concerns are with the failure to promote unity between the many teetotal organisations and the lack of financial contributions by the society itself.  He implicitly lauds the illustrations for their ability to increase the paper’s circulation. </w:t>
      </w:r>
      <w:r w:rsidRPr="00200909">
        <w:rPr>
          <w:rFonts w:ascii="Times New Roman" w:hAnsi="Times New Roman"/>
        </w:rPr>
        <w:t xml:space="preserve">See G. W. M. Reynolds, ‘Farewell to the Public’, </w:t>
      </w:r>
      <w:r w:rsidRPr="00200909">
        <w:rPr>
          <w:rFonts w:ascii="Times New Roman" w:hAnsi="Times New Roman"/>
          <w:i/>
        </w:rPr>
        <w:t>Teetotaler</w:t>
      </w:r>
      <w:r w:rsidRPr="00200909">
        <w:rPr>
          <w:rFonts w:ascii="Times New Roman" w:hAnsi="Times New Roman"/>
        </w:rPr>
        <w:t>, 25 September 1841, p. 177.</w:t>
      </w:r>
    </w:p>
  </w:footnote>
  <w:footnote w:id="112">
    <w:p w:rsidR="003515E3" w:rsidRPr="005C73CB"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Anonymous, ‘The Progress of Intemperance’, </w:t>
      </w:r>
      <w:r w:rsidRPr="00200909">
        <w:rPr>
          <w:rFonts w:ascii="Times New Roman" w:hAnsi="Times New Roman"/>
          <w:i/>
        </w:rPr>
        <w:t>Teetotaler,</w:t>
      </w:r>
      <w:r w:rsidRPr="00200909">
        <w:rPr>
          <w:rFonts w:ascii="Times New Roman" w:hAnsi="Times New Roman"/>
        </w:rPr>
        <w:t xml:space="preserve"> 26 December 1840, pp. 209–10 (p. 209).</w:t>
      </w:r>
    </w:p>
  </w:footnote>
  <w:footnote w:id="113">
    <w:p w:rsidR="003515E3" w:rsidRPr="00072DB4" w:rsidRDefault="003515E3" w:rsidP="001151C3">
      <w:pPr>
        <w:pStyle w:val="FootnoteText"/>
        <w:spacing w:after="0" w:line="240" w:lineRule="auto"/>
        <w:rPr>
          <w:rFonts w:ascii="Times New Roman" w:hAnsi="Times New Roman"/>
        </w:rPr>
      </w:pPr>
      <w:r w:rsidRPr="00072DB4">
        <w:rPr>
          <w:rStyle w:val="FootnoteReference"/>
          <w:rFonts w:ascii="Times New Roman" w:hAnsi="Times New Roman"/>
        </w:rPr>
        <w:footnoteRef/>
      </w:r>
      <w:r w:rsidRPr="00072DB4">
        <w:rPr>
          <w:rFonts w:ascii="Times New Roman" w:hAnsi="Times New Roman"/>
        </w:rPr>
        <w:t xml:space="preserve"> ‘The Progress of Intemperance’, p. 210.</w:t>
      </w:r>
    </w:p>
  </w:footnote>
  <w:footnote w:id="114">
    <w:p w:rsidR="003515E3" w:rsidRPr="00072DB4" w:rsidRDefault="003515E3" w:rsidP="001151C3">
      <w:pPr>
        <w:pStyle w:val="FootnoteText"/>
        <w:spacing w:after="0" w:line="240" w:lineRule="auto"/>
        <w:rPr>
          <w:rFonts w:asciiTheme="majorBidi" w:hAnsiTheme="majorBidi" w:cstheme="majorBidi"/>
        </w:rPr>
      </w:pPr>
      <w:r w:rsidRPr="007C5D3C">
        <w:rPr>
          <w:rStyle w:val="FootnoteReference"/>
          <w:rFonts w:asciiTheme="majorBidi" w:hAnsiTheme="majorBidi" w:cstheme="majorBidi"/>
        </w:rPr>
        <w:footnoteRef/>
      </w:r>
      <w:r w:rsidRPr="007C5D3C">
        <w:rPr>
          <w:rFonts w:asciiTheme="majorBidi" w:hAnsiTheme="majorBidi" w:cstheme="majorBidi"/>
        </w:rPr>
        <w:t xml:space="preserve"> </w:t>
      </w:r>
      <w:r w:rsidRPr="007C5D3C">
        <w:rPr>
          <w:rFonts w:asciiTheme="majorBidi" w:hAnsiTheme="majorBidi" w:cstheme="majorBidi"/>
          <w:bCs/>
          <w:i/>
          <w:iCs/>
        </w:rPr>
        <w:t>Pickwick Abroad</w:t>
      </w:r>
      <w:r w:rsidRPr="007C5D3C">
        <w:rPr>
          <w:rFonts w:asciiTheme="majorBidi" w:hAnsiTheme="majorBidi" w:cstheme="majorBidi"/>
          <w:bCs/>
        </w:rPr>
        <w:t>,</w:t>
      </w:r>
      <w:r w:rsidRPr="007C5D3C">
        <w:rPr>
          <w:rFonts w:asciiTheme="majorBidi" w:hAnsiTheme="majorBidi" w:cstheme="majorBidi"/>
        </w:rPr>
        <w:t xml:space="preserve"> p. 169.</w:t>
      </w:r>
    </w:p>
  </w:footnote>
  <w:footnote w:id="115">
    <w:p w:rsidR="003515E3" w:rsidRPr="00200909" w:rsidRDefault="003515E3" w:rsidP="001151C3">
      <w:pPr>
        <w:pStyle w:val="FootnoteText"/>
        <w:spacing w:after="0" w:line="240" w:lineRule="auto"/>
        <w:rPr>
          <w:rFonts w:ascii="Times New Roman" w:hAnsi="Times New Roman"/>
        </w:rPr>
      </w:pPr>
      <w:r w:rsidRPr="00072DB4">
        <w:rPr>
          <w:rStyle w:val="FootnoteReference"/>
          <w:rFonts w:ascii="Times New Roman" w:hAnsi="Times New Roman"/>
        </w:rPr>
        <w:footnoteRef/>
      </w:r>
      <w:r w:rsidRPr="00072DB4">
        <w:rPr>
          <w:rFonts w:ascii="Times New Roman" w:hAnsi="Times New Roman"/>
        </w:rPr>
        <w:t xml:space="preserve"> Concerning the </w:t>
      </w:r>
      <w:r w:rsidRPr="00200909">
        <w:rPr>
          <w:rFonts w:ascii="Times New Roman" w:hAnsi="Times New Roman"/>
        </w:rPr>
        <w:t xml:space="preserve">petition for a new Parliamentary Constitution drawn up by William Lovett which contained the nucleus of the People’s Charter, Rosenblatt writes: ‘On 28 of February 1837, a great public meeting was held in London, at the Crown and Anchor, under the auspices of the London Working Men’s Association, at which, after the petition was approved and signed by about three thousand persons, a unanimous resolution was carried to present it to Parliament.’ See Frank F. Rosenblatt, </w:t>
      </w:r>
      <w:r w:rsidRPr="00200909">
        <w:rPr>
          <w:rFonts w:ascii="Times New Roman" w:hAnsi="Times New Roman"/>
          <w:i/>
        </w:rPr>
        <w:t>The Chartist Movement in its Social and Economic Aspects</w:t>
      </w:r>
      <w:r w:rsidRPr="00200909">
        <w:rPr>
          <w:rFonts w:ascii="Times New Roman" w:hAnsi="Times New Roman"/>
        </w:rPr>
        <w:t xml:space="preserve"> (London: Cass, 1967), p. 90.</w:t>
      </w:r>
    </w:p>
  </w:footnote>
  <w:footnote w:id="116">
    <w:p w:rsidR="003515E3" w:rsidRPr="00072DB4"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Anonymous, ‘The Progress of Temperance’, </w:t>
      </w:r>
      <w:r w:rsidRPr="00200909">
        <w:rPr>
          <w:rFonts w:ascii="Times New Roman" w:hAnsi="Times New Roman"/>
          <w:i/>
        </w:rPr>
        <w:t>Teetotaler,</w:t>
      </w:r>
      <w:r w:rsidRPr="00200909">
        <w:rPr>
          <w:rFonts w:ascii="Times New Roman" w:hAnsi="Times New Roman"/>
        </w:rPr>
        <w:t xml:space="preserve"> 9 January 1841, pp. 225–26, (p. 225).</w:t>
      </w:r>
    </w:p>
  </w:footnote>
  <w:footnote w:id="117">
    <w:p w:rsidR="003515E3" w:rsidRPr="00200909" w:rsidRDefault="003515E3" w:rsidP="001151C3">
      <w:pPr>
        <w:pStyle w:val="FootnoteText"/>
        <w:spacing w:after="0" w:line="240" w:lineRule="auto"/>
        <w:rPr>
          <w:rFonts w:ascii="Times New Roman" w:hAnsi="Times New Roman"/>
        </w:rPr>
      </w:pPr>
      <w:r w:rsidRPr="00A32B7C">
        <w:rPr>
          <w:rStyle w:val="FootnoteReference"/>
          <w:rFonts w:ascii="Times New Roman" w:hAnsi="Times New Roman"/>
        </w:rPr>
        <w:footnoteRef/>
      </w:r>
      <w:r w:rsidRPr="00A32B7C">
        <w:rPr>
          <w:rFonts w:ascii="Times New Roman" w:hAnsi="Times New Roman"/>
        </w:rPr>
        <w:t xml:space="preserve"> ‘The </w:t>
      </w:r>
      <w:r w:rsidRPr="00200909">
        <w:rPr>
          <w:rFonts w:ascii="Times New Roman" w:hAnsi="Times New Roman"/>
        </w:rPr>
        <w:t xml:space="preserve">Progress of Temperance’, </w:t>
      </w:r>
      <w:r w:rsidRPr="00200909">
        <w:rPr>
          <w:rFonts w:ascii="Times New Roman" w:hAnsi="Times New Roman"/>
          <w:i/>
        </w:rPr>
        <w:t>Teetotaler,</w:t>
      </w:r>
      <w:r w:rsidRPr="00200909">
        <w:rPr>
          <w:rFonts w:ascii="Times New Roman" w:hAnsi="Times New Roman"/>
        </w:rPr>
        <w:t xml:space="preserve"> 9 January 1841, p. 225.</w:t>
      </w:r>
    </w:p>
  </w:footnote>
  <w:footnote w:id="118">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Wiener, p. 38.</w:t>
      </w:r>
    </w:p>
  </w:footnote>
  <w:footnote w:id="119">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Anonymous, ‘The Progress of Temperance’, </w:t>
      </w:r>
      <w:r w:rsidRPr="00200909">
        <w:rPr>
          <w:rFonts w:ascii="Times New Roman" w:hAnsi="Times New Roman"/>
          <w:i/>
        </w:rPr>
        <w:t>Teetotaler,</w:t>
      </w:r>
      <w:r w:rsidRPr="00200909">
        <w:rPr>
          <w:rFonts w:ascii="Times New Roman" w:hAnsi="Times New Roman"/>
        </w:rPr>
        <w:t xml:space="preserve"> 16 January 1841, p. 233.</w:t>
      </w:r>
    </w:p>
  </w:footnote>
  <w:footnote w:id="120">
    <w:p w:rsidR="003515E3" w:rsidRPr="00A32B7C"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‘The Progress of Temperance’, </w:t>
      </w:r>
      <w:r w:rsidRPr="00200909">
        <w:rPr>
          <w:rFonts w:ascii="Times New Roman" w:hAnsi="Times New Roman"/>
          <w:i/>
        </w:rPr>
        <w:t>Teetotaler,</w:t>
      </w:r>
      <w:r w:rsidRPr="00200909">
        <w:rPr>
          <w:rFonts w:ascii="Times New Roman" w:hAnsi="Times New Roman"/>
        </w:rPr>
        <w:t xml:space="preserve"> 9 January 1841, p. 225.</w:t>
      </w:r>
    </w:p>
  </w:footnote>
  <w:footnote w:id="121">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Wiener, p. 46.  </w:t>
      </w:r>
    </w:p>
  </w:footnote>
  <w:footnote w:id="122">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These articles, seventeen in total, allowed Reynolds to complete approximately two columns of text fairly easily, being largely composed of quotations from other writers or paragraphs that could have been cribbed from works about social manners and slightly amended.</w:t>
      </w:r>
    </w:p>
  </w:footnote>
  <w:footnote w:id="123">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See G. W. M. Reynolds, ‘Etiquette for the Millions: No. XIV.</w:t>
      </w:r>
      <w:r w:rsidRPr="00200909">
        <w:rPr>
          <w:rFonts w:ascii="Times New Roman" w:hAnsi="Times New Roman"/>
        </w:rPr>
        <w:t>—</w:t>
      </w:r>
      <w:r w:rsidRPr="00200909">
        <w:rPr>
          <w:rFonts w:asciiTheme="majorBidi" w:hAnsiTheme="majorBidi" w:cstheme="majorBidi"/>
        </w:rPr>
        <w:t xml:space="preserve">Morals’, </w:t>
      </w:r>
      <w:r w:rsidRPr="00200909">
        <w:rPr>
          <w:rFonts w:asciiTheme="majorBidi" w:hAnsiTheme="majorBidi" w:cstheme="majorBidi"/>
          <w:i/>
          <w:iCs/>
        </w:rPr>
        <w:t>London Journal</w:t>
      </w:r>
      <w:r w:rsidRPr="00200909">
        <w:rPr>
          <w:rFonts w:asciiTheme="majorBidi" w:hAnsiTheme="majorBidi" w:cstheme="majorBidi"/>
        </w:rPr>
        <w:t>, 26 July 1845, pp. 338</w:t>
      </w:r>
      <w:r w:rsidRPr="00200909">
        <w:rPr>
          <w:rFonts w:ascii="Times New Roman" w:hAnsi="Times New Roman"/>
        </w:rPr>
        <w:t>–</w:t>
      </w:r>
      <w:r w:rsidRPr="00200909">
        <w:rPr>
          <w:rFonts w:asciiTheme="majorBidi" w:hAnsiTheme="majorBidi" w:cstheme="majorBidi"/>
        </w:rPr>
        <w:t>39.</w:t>
      </w:r>
    </w:p>
  </w:footnote>
  <w:footnote w:id="124">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James cites the following advice given for the dinner table’: ‘Never convey the knife to your mouth; nor put bread into the gravy.  Eat slowly, and never let anything drop from your mouth on your plate.’  See </w:t>
      </w:r>
      <w:r w:rsidRPr="00200909">
        <w:rPr>
          <w:rFonts w:ascii="Times New Roman" w:hAnsi="Times New Roman"/>
          <w:i/>
        </w:rPr>
        <w:t>Fiction for the Working Man 1830–1850</w:t>
      </w:r>
      <w:r w:rsidRPr="00200909">
        <w:rPr>
          <w:rFonts w:ascii="Times New Roman" w:hAnsi="Times New Roman"/>
        </w:rPr>
        <w:t>, p. 40.</w:t>
      </w:r>
    </w:p>
  </w:footnote>
  <w:footnote w:id="125">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See G. W. M. Reynolds, ‘Etiquette for the Millions: No. III.</w:t>
      </w:r>
      <w:r w:rsidRPr="00200909">
        <w:rPr>
          <w:rFonts w:ascii="Times New Roman" w:hAnsi="Times New Roman"/>
        </w:rPr>
        <w:t>—</w:t>
      </w:r>
      <w:r w:rsidRPr="00200909">
        <w:rPr>
          <w:rFonts w:asciiTheme="majorBidi" w:hAnsiTheme="majorBidi" w:cstheme="majorBidi"/>
        </w:rPr>
        <w:t xml:space="preserve">Dinners’, </w:t>
      </w:r>
      <w:r w:rsidRPr="00200909">
        <w:rPr>
          <w:rFonts w:asciiTheme="majorBidi" w:hAnsiTheme="majorBidi" w:cstheme="majorBidi"/>
          <w:i/>
          <w:iCs/>
        </w:rPr>
        <w:t>London Journal</w:t>
      </w:r>
      <w:r w:rsidRPr="00200909">
        <w:rPr>
          <w:rFonts w:asciiTheme="majorBidi" w:hAnsiTheme="majorBidi" w:cstheme="majorBidi"/>
        </w:rPr>
        <w:t>, 26 April 1845, pp. 141</w:t>
      </w:r>
      <w:r w:rsidRPr="00200909">
        <w:rPr>
          <w:rFonts w:ascii="Times New Roman" w:hAnsi="Times New Roman"/>
        </w:rPr>
        <w:t>–</w:t>
      </w:r>
      <w:r w:rsidRPr="00200909">
        <w:rPr>
          <w:rFonts w:asciiTheme="majorBidi" w:hAnsiTheme="majorBidi" w:cstheme="majorBidi"/>
        </w:rPr>
        <w:t xml:space="preserve">42 (p. 142).  </w:t>
      </w:r>
    </w:p>
  </w:footnote>
  <w:footnote w:id="126">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G. W. M. Reynolds, ‘Etiquette for the Millions: No. VIII.</w:t>
      </w:r>
      <w:r w:rsidRPr="00200909">
        <w:rPr>
          <w:rFonts w:ascii="Times New Roman" w:hAnsi="Times New Roman"/>
        </w:rPr>
        <w:t>—</w:t>
      </w:r>
      <w:r w:rsidRPr="00200909">
        <w:rPr>
          <w:rFonts w:asciiTheme="majorBidi" w:hAnsiTheme="majorBidi" w:cstheme="majorBidi"/>
        </w:rPr>
        <w:t xml:space="preserve">Behaviour out of Doors’, </w:t>
      </w:r>
      <w:r w:rsidRPr="00200909">
        <w:rPr>
          <w:rFonts w:asciiTheme="majorBidi" w:hAnsiTheme="majorBidi" w:cstheme="majorBidi"/>
          <w:i/>
          <w:iCs/>
        </w:rPr>
        <w:t>London Journal</w:t>
      </w:r>
      <w:r w:rsidRPr="00200909">
        <w:rPr>
          <w:rFonts w:asciiTheme="majorBidi" w:hAnsiTheme="majorBidi" w:cstheme="majorBidi"/>
        </w:rPr>
        <w:t>, 14 June 1845, p. 251.</w:t>
      </w:r>
    </w:p>
  </w:footnote>
  <w:footnote w:id="127">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Warnings about poor taste included: ‘Do not allow your servants to wait at table in gloves: nothing is more affected.’  See ‘Etiquette for the Millions No. III’, p. 142.</w:t>
      </w:r>
    </w:p>
  </w:footnote>
  <w:footnote w:id="128">
    <w:p w:rsidR="003515E3" w:rsidRPr="00A32B7C"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G. W. M. Reynolds, ‘Etiquette for the Millions: I.</w:t>
      </w:r>
      <w:r w:rsidRPr="00200909">
        <w:rPr>
          <w:rFonts w:ascii="Times New Roman" w:hAnsi="Times New Roman"/>
        </w:rPr>
        <w:t>—</w:t>
      </w:r>
      <w:r w:rsidRPr="00200909">
        <w:rPr>
          <w:rFonts w:asciiTheme="majorBidi" w:hAnsiTheme="majorBidi" w:cstheme="majorBidi"/>
        </w:rPr>
        <w:t xml:space="preserve">Introductory Remarks’, </w:t>
      </w:r>
      <w:r w:rsidRPr="00200909">
        <w:rPr>
          <w:rFonts w:asciiTheme="majorBidi" w:hAnsiTheme="majorBidi" w:cstheme="majorBidi"/>
          <w:i/>
          <w:iCs/>
        </w:rPr>
        <w:t>London Journal</w:t>
      </w:r>
      <w:r w:rsidRPr="00200909">
        <w:rPr>
          <w:rFonts w:asciiTheme="majorBidi" w:hAnsiTheme="majorBidi" w:cstheme="majorBidi"/>
        </w:rPr>
        <w:t>, 12 April 1845, p. 104.  In this article, ‘wilful’ objections included, ‘Why should we use silver forks, when plated ones will do as well?’</w:t>
      </w:r>
    </w:p>
  </w:footnote>
  <w:footnote w:id="129">
    <w:p w:rsidR="003515E3" w:rsidRPr="00A32B7C" w:rsidRDefault="003515E3" w:rsidP="001151C3">
      <w:pPr>
        <w:pStyle w:val="FootnoteText"/>
        <w:spacing w:after="0" w:line="240" w:lineRule="auto"/>
        <w:rPr>
          <w:rFonts w:asciiTheme="majorBidi" w:hAnsiTheme="majorBidi" w:cstheme="majorBidi"/>
        </w:rPr>
      </w:pPr>
      <w:r w:rsidRPr="00A32B7C">
        <w:rPr>
          <w:rStyle w:val="FootnoteReference"/>
          <w:rFonts w:asciiTheme="majorBidi" w:hAnsiTheme="majorBidi" w:cstheme="majorBidi"/>
        </w:rPr>
        <w:footnoteRef/>
      </w:r>
      <w:r w:rsidRPr="00A32B7C">
        <w:rPr>
          <w:rFonts w:asciiTheme="majorBidi" w:hAnsiTheme="majorBidi" w:cstheme="majorBidi"/>
        </w:rPr>
        <w:t xml:space="preserve"> G. W. M. Reynolds, [unsigned], ‘Etiquette for the Millions: No. V.</w:t>
      </w:r>
      <w:r w:rsidRPr="00A32B7C">
        <w:rPr>
          <w:rFonts w:ascii="Times New Roman" w:hAnsi="Times New Roman"/>
        </w:rPr>
        <w:t>—</w:t>
      </w:r>
      <w:r w:rsidRPr="00A32B7C">
        <w:rPr>
          <w:rFonts w:asciiTheme="majorBidi" w:hAnsiTheme="majorBidi" w:cstheme="majorBidi"/>
        </w:rPr>
        <w:t xml:space="preserve">Conversation’, </w:t>
      </w:r>
      <w:r w:rsidRPr="00A32B7C">
        <w:rPr>
          <w:rFonts w:asciiTheme="majorBidi" w:hAnsiTheme="majorBidi" w:cstheme="majorBidi"/>
          <w:i/>
          <w:iCs/>
        </w:rPr>
        <w:t>London Journal</w:t>
      </w:r>
      <w:r w:rsidRPr="00A32B7C">
        <w:rPr>
          <w:rFonts w:asciiTheme="majorBidi" w:hAnsiTheme="majorBidi" w:cstheme="majorBidi"/>
        </w:rPr>
        <w:t>, 15 May 1845, p. 164.</w:t>
      </w:r>
    </w:p>
  </w:footnote>
  <w:footnote w:id="130">
    <w:p w:rsidR="003515E3" w:rsidRPr="00A32B7C" w:rsidRDefault="003515E3" w:rsidP="001151C3">
      <w:pPr>
        <w:pStyle w:val="FootnoteText"/>
        <w:spacing w:after="0" w:line="240" w:lineRule="auto"/>
        <w:rPr>
          <w:rFonts w:asciiTheme="majorBidi" w:hAnsiTheme="majorBidi" w:cstheme="majorBidi"/>
        </w:rPr>
      </w:pPr>
      <w:r w:rsidRPr="00E952AF">
        <w:rPr>
          <w:rStyle w:val="FootnoteReference"/>
          <w:rFonts w:asciiTheme="majorBidi" w:hAnsiTheme="majorBidi" w:cstheme="majorBidi"/>
        </w:rPr>
        <w:footnoteRef/>
      </w:r>
      <w:r w:rsidRPr="00E952AF">
        <w:rPr>
          <w:rFonts w:asciiTheme="majorBidi" w:hAnsiTheme="majorBidi" w:cstheme="majorBidi"/>
        </w:rPr>
        <w:t xml:space="preserve"> G. W. M. Reynolds, ‘Etiquette for the Millions: No. XII.</w:t>
      </w:r>
      <w:r w:rsidRPr="00E952AF">
        <w:rPr>
          <w:rFonts w:ascii="Times New Roman" w:hAnsi="Times New Roman"/>
        </w:rPr>
        <w:t>—</w:t>
      </w:r>
      <w:r w:rsidRPr="00E952AF">
        <w:rPr>
          <w:rFonts w:asciiTheme="majorBidi" w:hAnsiTheme="majorBidi" w:cstheme="majorBidi"/>
        </w:rPr>
        <w:t xml:space="preserve">Habits and Customs’, </w:t>
      </w:r>
      <w:r w:rsidRPr="00E952AF">
        <w:rPr>
          <w:rFonts w:asciiTheme="majorBidi" w:hAnsiTheme="majorBidi" w:cstheme="majorBidi"/>
          <w:i/>
          <w:iCs/>
        </w:rPr>
        <w:t>London Journal</w:t>
      </w:r>
      <w:r w:rsidRPr="00E952AF">
        <w:rPr>
          <w:rFonts w:asciiTheme="majorBidi" w:hAnsiTheme="majorBidi" w:cstheme="majorBidi"/>
        </w:rPr>
        <w:t>, 5 July</w:t>
      </w:r>
      <w:r w:rsidRPr="00A32B7C">
        <w:rPr>
          <w:rFonts w:asciiTheme="majorBidi" w:hAnsiTheme="majorBidi" w:cstheme="majorBidi"/>
        </w:rPr>
        <w:t xml:space="preserve"> 1845, pp. 298</w:t>
      </w:r>
      <w:r w:rsidRPr="00A32B7C">
        <w:rPr>
          <w:rFonts w:ascii="Times New Roman" w:hAnsi="Times New Roman"/>
        </w:rPr>
        <w:t>–</w:t>
      </w:r>
      <w:r w:rsidRPr="00A32B7C">
        <w:rPr>
          <w:rFonts w:asciiTheme="majorBidi" w:hAnsiTheme="majorBidi" w:cstheme="majorBidi"/>
        </w:rPr>
        <w:t>99, (p. 299).</w:t>
      </w:r>
    </w:p>
  </w:footnote>
  <w:footnote w:id="131">
    <w:p w:rsidR="003515E3" w:rsidRPr="00A32B7C" w:rsidRDefault="003515E3" w:rsidP="001151C3">
      <w:pPr>
        <w:pStyle w:val="FootnoteText"/>
        <w:spacing w:after="0" w:line="240" w:lineRule="auto"/>
        <w:rPr>
          <w:rFonts w:asciiTheme="majorBidi" w:hAnsiTheme="majorBidi" w:cstheme="majorBidi"/>
        </w:rPr>
      </w:pPr>
      <w:r w:rsidRPr="00A32B7C">
        <w:rPr>
          <w:rStyle w:val="FootnoteReference"/>
          <w:rFonts w:asciiTheme="majorBidi" w:hAnsiTheme="majorBidi" w:cstheme="majorBidi"/>
        </w:rPr>
        <w:footnoteRef/>
      </w:r>
      <w:r w:rsidRPr="00A32B7C">
        <w:rPr>
          <w:rFonts w:asciiTheme="majorBidi" w:hAnsiTheme="majorBidi" w:cstheme="majorBidi"/>
        </w:rPr>
        <w:t xml:space="preserve"> Anonymous, ‘Notices to Correspondents’, </w:t>
      </w:r>
      <w:r w:rsidRPr="00A32B7C">
        <w:rPr>
          <w:rFonts w:asciiTheme="majorBidi" w:hAnsiTheme="majorBidi" w:cstheme="majorBidi"/>
          <w:i/>
          <w:iCs/>
        </w:rPr>
        <w:t>Reynolds’s Miscellany</w:t>
      </w:r>
      <w:r w:rsidRPr="00A32B7C">
        <w:rPr>
          <w:rFonts w:asciiTheme="majorBidi" w:hAnsiTheme="majorBidi" w:cstheme="majorBidi"/>
        </w:rPr>
        <w:t xml:space="preserve">, 3 October 1851, p. 175.  The full reply is as follows: ‘Well may you exclaim at the scandalous indecencies daily practised amongst the bathers at Ramsgate, and protest against such exhibitions as immodest and demoralizing.  The </w:t>
      </w:r>
      <w:r w:rsidRPr="00A32B7C">
        <w:rPr>
          <w:rFonts w:asciiTheme="majorBidi" w:hAnsiTheme="majorBidi" w:cstheme="majorBidi"/>
          <w:i/>
          <w:iCs/>
        </w:rPr>
        <w:t>sang froid</w:t>
      </w:r>
      <w:r w:rsidRPr="00A32B7C">
        <w:rPr>
          <w:rFonts w:asciiTheme="majorBidi" w:hAnsiTheme="majorBidi" w:cstheme="majorBidi"/>
        </w:rPr>
        <w:t xml:space="preserve"> of the “ladies” whilst undergoing a close inspection from the men is only equalled by the cool impudence with which the latter plant themselves as close as possible to the bathers, and fixing glasses in their eyes, remain quietly and impudently gazing on the female forms all the time they are disporting themselves, and attitudinising in the waters.  You did right in taking your daughter away from a place where such indecency is tolerated.’</w:t>
      </w:r>
    </w:p>
  </w:footnote>
  <w:footnote w:id="132">
    <w:p w:rsidR="003515E3" w:rsidRPr="00A32B7C" w:rsidRDefault="003515E3" w:rsidP="001151C3">
      <w:pPr>
        <w:pStyle w:val="FootnoteText"/>
        <w:spacing w:after="0" w:line="240" w:lineRule="auto"/>
        <w:rPr>
          <w:rFonts w:asciiTheme="majorBidi" w:hAnsiTheme="majorBidi" w:cstheme="majorBidi"/>
        </w:rPr>
      </w:pPr>
      <w:r w:rsidRPr="00A32B7C">
        <w:rPr>
          <w:rStyle w:val="FootnoteReference"/>
          <w:rFonts w:asciiTheme="majorBidi" w:hAnsiTheme="majorBidi" w:cstheme="majorBidi"/>
        </w:rPr>
        <w:footnoteRef/>
      </w:r>
      <w:r w:rsidRPr="00A32B7C">
        <w:rPr>
          <w:rFonts w:asciiTheme="majorBidi" w:hAnsiTheme="majorBidi" w:cstheme="majorBidi"/>
        </w:rPr>
        <w:t xml:space="preserve"> Anonymous, ‘Domestic Economy’, </w:t>
      </w:r>
      <w:r w:rsidRPr="00A32B7C">
        <w:rPr>
          <w:rFonts w:asciiTheme="majorBidi" w:hAnsiTheme="majorBidi" w:cstheme="majorBidi"/>
          <w:i/>
          <w:iCs/>
        </w:rPr>
        <w:t>Reynolds’s Miscellany</w:t>
      </w:r>
      <w:r w:rsidRPr="00A32B7C">
        <w:rPr>
          <w:rFonts w:asciiTheme="majorBidi" w:hAnsiTheme="majorBidi" w:cstheme="majorBidi"/>
        </w:rPr>
        <w:t>, 28 February 1852, p. 88.</w:t>
      </w:r>
      <w:r w:rsidRPr="00A32B7C">
        <w:rPr>
          <w:rFonts w:ascii="Times New Roman" w:hAnsi="Times New Roman"/>
        </w:rPr>
        <w:t xml:space="preserve"> </w:t>
      </w:r>
      <w:r w:rsidRPr="00A32B7C">
        <w:rPr>
          <w:rFonts w:asciiTheme="majorBidi" w:hAnsiTheme="majorBidi" w:cstheme="majorBidi"/>
        </w:rPr>
        <w:t xml:space="preserve"> The article cites an anonymous writer who suggests the household duties for daughters include: ‘doing up your own muslins and laces, taking care of your own chamber, presiding at the breakfast and tea-table, washing up the china there used, arranging the fruit for dessert, trimming the parlour lamps, and many other things, that may be quickly disposed of, and so leave you at leisure for your other employments’.</w:t>
      </w:r>
    </w:p>
  </w:footnote>
  <w:footnote w:id="133">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A reply ‘To Our Male Correspondents’ reads as follows: ‘We would suggest to those amongst our male readers who apply to us for aid in their matrimonial speculations, the advisability of stating in the first place, their means of maintaining a wife, as we find the fairer sex are usually somewhat inquisitive on such score, and a frank admission may save time and trouble to all parties.’  See Anonymous, ‘Notices to Correspondents’, </w:t>
      </w:r>
      <w:r w:rsidRPr="005C73CB">
        <w:rPr>
          <w:rFonts w:ascii="Times New Roman" w:hAnsi="Times New Roman"/>
          <w:i/>
          <w:iCs/>
        </w:rPr>
        <w:t>Reynolds’s Miscellany</w:t>
      </w:r>
      <w:r w:rsidRPr="005C73CB">
        <w:rPr>
          <w:rFonts w:ascii="Times New Roman" w:hAnsi="Times New Roman"/>
        </w:rPr>
        <w:t>, 1 November 1851, p. 239.</w:t>
      </w:r>
    </w:p>
  </w:footnote>
  <w:footnote w:id="134">
    <w:p w:rsidR="003515E3" w:rsidRPr="005C73CB" w:rsidRDefault="003515E3" w:rsidP="001151C3">
      <w:pPr>
        <w:pStyle w:val="FootnoteText"/>
        <w:spacing w:after="0" w:line="240" w:lineRule="auto"/>
        <w:rPr>
          <w:rFonts w:ascii="Times New Roman" w:hAnsi="Times New Roman"/>
          <w:iCs/>
        </w:rPr>
      </w:pPr>
      <w:r w:rsidRPr="005C73CB">
        <w:rPr>
          <w:rStyle w:val="FootnoteReference"/>
          <w:rFonts w:ascii="Times New Roman" w:hAnsi="Times New Roman"/>
        </w:rPr>
        <w:footnoteRef/>
      </w:r>
      <w:r w:rsidRPr="005C73CB">
        <w:rPr>
          <w:rFonts w:ascii="Times New Roman" w:hAnsi="Times New Roman"/>
        </w:rPr>
        <w:t xml:space="preserve"> ‘Popular Journalism and Working-Class Attitudes, 1854–1866’</w:t>
      </w:r>
      <w:r w:rsidRPr="005C73CB">
        <w:rPr>
          <w:rFonts w:ascii="Times New Roman" w:hAnsi="Times New Roman"/>
          <w:iCs/>
        </w:rPr>
        <w:t>, p. 197.</w:t>
      </w:r>
    </w:p>
  </w:footnote>
  <w:footnote w:id="135">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A reply to ‘A WORKING MAN’ in ‘Notices to Correspondents’ suggests the attitudes Reynolds aims to promote: ‘We look upon Friendly Societies as among those institutions, which if formed upon correct principles, and prudently conducted, designed to encourage the industrious classes in frugal and provident habits, and to afford some protection from ordinary casualties incident to all men, but which are felt most severely by persons in humble life.’  See Anonymous, ‘Notices to Correspondents’, </w:t>
      </w:r>
      <w:r w:rsidRPr="005C73CB">
        <w:rPr>
          <w:rFonts w:ascii="Times New Roman" w:hAnsi="Times New Roman"/>
          <w:i/>
          <w:iCs/>
        </w:rPr>
        <w:t>Reynolds’s Miscellany</w:t>
      </w:r>
      <w:r w:rsidRPr="005C73CB">
        <w:rPr>
          <w:rFonts w:ascii="Times New Roman" w:hAnsi="Times New Roman"/>
        </w:rPr>
        <w:t>, 3 October, 1851, p. 335.</w:t>
      </w:r>
    </w:p>
  </w:footnote>
  <w:footnote w:id="136">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For example, a series of advertisements for the English and Cambrian Assurance Society began in </w:t>
      </w:r>
      <w:r w:rsidRPr="005C73CB">
        <w:rPr>
          <w:rFonts w:ascii="Times New Roman" w:hAnsi="Times New Roman"/>
          <w:i/>
          <w:iCs/>
        </w:rPr>
        <w:t>Reynolds’s Miscellany</w:t>
      </w:r>
      <w:r w:rsidRPr="005C73CB">
        <w:rPr>
          <w:rFonts w:ascii="Times New Roman" w:hAnsi="Times New Roman"/>
        </w:rPr>
        <w:t>, 23 November 1850, p. 288.</w:t>
      </w:r>
    </w:p>
  </w:footnote>
  <w:footnote w:id="137">
    <w:p w:rsidR="003515E3" w:rsidRPr="00200909" w:rsidRDefault="003515E3" w:rsidP="001151C3">
      <w:pPr>
        <w:pStyle w:val="FootnoteText"/>
        <w:spacing w:after="0" w:line="240" w:lineRule="auto"/>
        <w:rPr>
          <w:rFonts w:ascii="Times New Roman" w:hAnsi="Times New Roman"/>
          <w:iCs/>
        </w:rPr>
      </w:pPr>
      <w:r w:rsidRPr="005C73CB">
        <w:rPr>
          <w:rStyle w:val="FootnoteReference"/>
          <w:rFonts w:ascii="Times New Roman" w:hAnsi="Times New Roman"/>
        </w:rPr>
        <w:footnoteRef/>
      </w:r>
      <w:r w:rsidRPr="005C73CB">
        <w:rPr>
          <w:rFonts w:ascii="Times New Roman" w:hAnsi="Times New Roman"/>
        </w:rPr>
        <w:t xml:space="preserve"> Berridge writes: ‘Readers of </w:t>
      </w:r>
      <w:r w:rsidRPr="005C73CB">
        <w:rPr>
          <w:rFonts w:ascii="Times New Roman" w:hAnsi="Times New Roman"/>
          <w:i/>
          <w:iCs/>
        </w:rPr>
        <w:t>Reynolds'</w:t>
      </w:r>
      <w:r w:rsidRPr="005C73CB">
        <w:rPr>
          <w:rFonts w:ascii="Times New Roman" w:hAnsi="Times New Roman"/>
        </w:rPr>
        <w:t xml:space="preserve">s paid a tremendous amount of attention to this relatively new possibility; 12.5% of the paper’s advertising content in 1854 dealt with some form of friendly society (excluding loan </w:t>
      </w:r>
      <w:r w:rsidRPr="00200909">
        <w:rPr>
          <w:rFonts w:ascii="Times New Roman" w:hAnsi="Times New Roman"/>
        </w:rPr>
        <w:t>companies, which were analysed separately), over 14% of readers queries asked advice about the reliability and solvency of such institutions - and the paper published a special column of general information, the Friendly Societies Advocate written by 'Unitas’ (Mr. W. Watkins) which accounted for over 2% of non-advertising content.’ See Berridge</w:t>
      </w:r>
      <w:r w:rsidRPr="00200909">
        <w:rPr>
          <w:rFonts w:ascii="Times New Roman" w:hAnsi="Times New Roman"/>
          <w:iCs/>
        </w:rPr>
        <w:t>, I, 199</w:t>
      </w:r>
      <w:r w:rsidRPr="00200909">
        <w:rPr>
          <w:rFonts w:ascii="Times New Roman" w:hAnsi="Times New Roman"/>
        </w:rPr>
        <w:t>–</w:t>
      </w:r>
      <w:r w:rsidRPr="00200909">
        <w:rPr>
          <w:rFonts w:ascii="Times New Roman" w:hAnsi="Times New Roman"/>
          <w:iCs/>
        </w:rPr>
        <w:t xml:space="preserve">200. </w:t>
      </w:r>
    </w:p>
  </w:footnote>
  <w:footnote w:id="138">
    <w:p w:rsidR="003515E3" w:rsidRPr="005C73CB" w:rsidRDefault="003515E3" w:rsidP="001151C3">
      <w:pPr>
        <w:spacing w:after="0" w:line="240" w:lineRule="auto"/>
        <w:rPr>
          <w:rFonts w:ascii="Times New Roman" w:hAnsi="Times New Roman" w:cs="Times New Roman"/>
          <w:sz w:val="20"/>
          <w:szCs w:val="20"/>
        </w:rPr>
      </w:pPr>
      <w:r w:rsidRPr="00200909">
        <w:rPr>
          <w:rStyle w:val="FootnoteReference"/>
          <w:rFonts w:ascii="Times New Roman" w:hAnsi="Times New Roman" w:cs="Times New Roman"/>
          <w:sz w:val="20"/>
          <w:szCs w:val="20"/>
        </w:rPr>
        <w:footnoteRef/>
      </w:r>
      <w:r w:rsidRPr="00200909">
        <w:rPr>
          <w:rFonts w:ascii="Times New Roman" w:hAnsi="Times New Roman" w:cs="Times New Roman"/>
          <w:sz w:val="20"/>
          <w:szCs w:val="20"/>
        </w:rPr>
        <w:t xml:space="preserve"> Prothero, p. 26.</w:t>
      </w:r>
    </w:p>
  </w:footnote>
  <w:footnote w:id="139">
    <w:p w:rsidR="003515E3" w:rsidRPr="005C73CB" w:rsidRDefault="003515E3" w:rsidP="001151C3">
      <w:pPr>
        <w:spacing w:after="0" w:line="240" w:lineRule="auto"/>
        <w:rPr>
          <w:rFonts w:ascii="Times New Roman" w:hAnsi="Times New Roman" w:cs="Times New Roman"/>
          <w:sz w:val="20"/>
          <w:szCs w:val="20"/>
        </w:rPr>
      </w:pPr>
      <w:r w:rsidRPr="005C73CB">
        <w:rPr>
          <w:rStyle w:val="FootnoteReference"/>
          <w:rFonts w:ascii="Times New Roman" w:hAnsi="Times New Roman" w:cs="Times New Roman"/>
          <w:sz w:val="20"/>
          <w:szCs w:val="20"/>
        </w:rPr>
        <w:footnoteRef/>
      </w:r>
      <w:r w:rsidRPr="005C73CB">
        <w:rPr>
          <w:rFonts w:ascii="Times New Roman" w:hAnsi="Times New Roman" w:cs="Times New Roman"/>
          <w:sz w:val="20"/>
          <w:szCs w:val="20"/>
        </w:rPr>
        <w:t xml:space="preserve"> Geoffrey Crossick, ‘The Labour Aristocracy and its Values: A Study of Mid-Victorian Kentish London’, </w:t>
      </w:r>
      <w:r w:rsidRPr="005C73CB">
        <w:rPr>
          <w:rFonts w:ascii="Times New Roman" w:hAnsi="Times New Roman" w:cs="Times New Roman"/>
          <w:i/>
          <w:iCs/>
          <w:sz w:val="20"/>
          <w:szCs w:val="20"/>
        </w:rPr>
        <w:t>Victorian Studies</w:t>
      </w:r>
      <w:r w:rsidRPr="005C73CB">
        <w:rPr>
          <w:rFonts w:ascii="Times New Roman" w:hAnsi="Times New Roman" w:cs="Times New Roman"/>
          <w:sz w:val="20"/>
          <w:szCs w:val="20"/>
        </w:rPr>
        <w:t>, 19.3 (March 1976), 301–328 &lt;</w:t>
      </w:r>
      <w:hyperlink r:id="rId11" w:history="1">
        <w:r w:rsidRPr="005C73CB">
          <w:rPr>
            <w:rStyle w:val="Hyperlink"/>
            <w:rFonts w:ascii="Times New Roman" w:hAnsi="Times New Roman" w:cs="Times New Roman"/>
            <w:color w:val="auto"/>
            <w:sz w:val="20"/>
            <w:szCs w:val="20"/>
            <w:u w:val="none"/>
          </w:rPr>
          <w:t>http://www.jstor.org/stable/3826130</w:t>
        </w:r>
      </w:hyperlink>
      <w:r w:rsidRPr="005C73CB">
        <w:rPr>
          <w:rStyle w:val="Hyperlink"/>
          <w:rFonts w:ascii="Times New Roman" w:hAnsi="Times New Roman" w:cs="Times New Roman"/>
          <w:color w:val="auto"/>
          <w:sz w:val="20"/>
          <w:szCs w:val="20"/>
          <w:u w:val="none"/>
        </w:rPr>
        <w:t>&gt;</w:t>
      </w:r>
      <w:r w:rsidRPr="005C73CB">
        <w:rPr>
          <w:rFonts w:ascii="Times New Roman" w:hAnsi="Times New Roman" w:cs="Times New Roman"/>
          <w:sz w:val="20"/>
          <w:szCs w:val="20"/>
        </w:rPr>
        <w:t xml:space="preserve"> [accessed 7 October 2015] p. 305.</w:t>
      </w:r>
    </w:p>
  </w:footnote>
  <w:footnote w:id="140">
    <w:p w:rsidR="003515E3" w:rsidRPr="00A32B7C" w:rsidRDefault="003515E3" w:rsidP="001151C3">
      <w:pPr>
        <w:spacing w:after="0" w:line="240" w:lineRule="auto"/>
        <w:rPr>
          <w:rFonts w:ascii="Times New Roman" w:hAnsi="Times New Roman" w:cs="Times New Roman"/>
          <w:sz w:val="20"/>
          <w:szCs w:val="20"/>
        </w:rPr>
      </w:pPr>
      <w:r w:rsidRPr="00A32B7C">
        <w:rPr>
          <w:rStyle w:val="FootnoteReference"/>
          <w:rFonts w:ascii="Times New Roman" w:hAnsi="Times New Roman" w:cs="Times New Roman"/>
          <w:sz w:val="20"/>
          <w:szCs w:val="20"/>
        </w:rPr>
        <w:footnoteRef/>
      </w:r>
      <w:r w:rsidRPr="00A32B7C">
        <w:rPr>
          <w:rFonts w:ascii="Times New Roman" w:hAnsi="Times New Roman" w:cs="Times New Roman"/>
          <w:sz w:val="20"/>
          <w:szCs w:val="20"/>
        </w:rPr>
        <w:t xml:space="preserve"> For a discussion of the preparedness to strike in support of working conditions, see Prothero, </w:t>
      </w:r>
      <w:r w:rsidRPr="00A32B7C">
        <w:rPr>
          <w:rFonts w:ascii="Times New Roman" w:hAnsi="Times New Roman" w:cs="Times New Roman"/>
          <w:i/>
          <w:sz w:val="20"/>
          <w:szCs w:val="20"/>
        </w:rPr>
        <w:t>Artisans and Politics in Early Nineteenth-century London</w:t>
      </w:r>
      <w:r w:rsidRPr="00A32B7C">
        <w:rPr>
          <w:rFonts w:ascii="Times New Roman" w:hAnsi="Times New Roman" w:cs="Times New Roman"/>
          <w:sz w:val="20"/>
          <w:szCs w:val="20"/>
        </w:rPr>
        <w:t>, pp. 22–50.</w:t>
      </w:r>
    </w:p>
  </w:footnote>
  <w:footnote w:id="141">
    <w:p w:rsidR="003515E3" w:rsidRPr="00BF37AF" w:rsidRDefault="003515E3" w:rsidP="001151C3">
      <w:pPr>
        <w:pStyle w:val="FootnoteText"/>
        <w:spacing w:after="0" w:line="240" w:lineRule="auto"/>
        <w:rPr>
          <w:rFonts w:asciiTheme="majorBidi" w:hAnsiTheme="majorBidi" w:cstheme="majorBidi"/>
        </w:rPr>
      </w:pPr>
      <w:r w:rsidRPr="00BF37AF">
        <w:rPr>
          <w:rStyle w:val="FootnoteReference"/>
          <w:rFonts w:asciiTheme="majorBidi" w:hAnsiTheme="majorBidi" w:cstheme="majorBidi"/>
        </w:rPr>
        <w:footnoteRef/>
      </w:r>
      <w:r w:rsidRPr="00BF37AF">
        <w:rPr>
          <w:rFonts w:asciiTheme="majorBidi" w:hAnsiTheme="majorBidi" w:cstheme="majorBidi"/>
        </w:rPr>
        <w:t xml:space="preserve"> Gallagher describes how there was a seeming inconsistency in how writers treated providence when the urban environment might negate the idea of a beneficent providence.  See Gallagher, p. 42.</w:t>
      </w:r>
    </w:p>
  </w:footnote>
  <w:footnote w:id="142">
    <w:p w:rsidR="003515E3" w:rsidRPr="00A32B7C" w:rsidRDefault="003515E3" w:rsidP="001151C3">
      <w:pPr>
        <w:pStyle w:val="FootnoteText"/>
        <w:spacing w:after="0" w:line="240" w:lineRule="auto"/>
        <w:rPr>
          <w:rFonts w:asciiTheme="majorBidi" w:hAnsiTheme="majorBidi" w:cstheme="majorBidi"/>
        </w:rPr>
      </w:pPr>
      <w:r w:rsidRPr="00BF37AF">
        <w:rPr>
          <w:rStyle w:val="FootnoteReference"/>
          <w:rFonts w:asciiTheme="majorBidi" w:hAnsiTheme="majorBidi" w:cstheme="majorBidi"/>
        </w:rPr>
        <w:footnoteRef/>
      </w:r>
      <w:r w:rsidRPr="00BF37AF">
        <w:rPr>
          <w:rFonts w:asciiTheme="majorBidi" w:hAnsiTheme="majorBidi" w:cstheme="majorBidi"/>
        </w:rPr>
        <w:t xml:space="preserve"> See Benjamin Disraeli, </w:t>
      </w:r>
      <w:r w:rsidRPr="00BF37AF">
        <w:rPr>
          <w:rFonts w:asciiTheme="majorBidi" w:hAnsiTheme="majorBidi" w:cstheme="majorBidi"/>
          <w:i/>
        </w:rPr>
        <w:t>Sybil or the Two Nations</w:t>
      </w:r>
      <w:r w:rsidRPr="00BF37AF">
        <w:rPr>
          <w:rFonts w:asciiTheme="majorBidi" w:hAnsiTheme="majorBidi" w:cstheme="majorBidi"/>
        </w:rPr>
        <w:t xml:space="preserve">, ed. by Sheila M. Smith (Oxford: Oxford University Press, </w:t>
      </w:r>
      <w:r w:rsidRPr="00056258">
        <w:rPr>
          <w:rFonts w:asciiTheme="majorBidi" w:hAnsiTheme="majorBidi" w:cstheme="majorBidi"/>
        </w:rPr>
        <w:t>1981), pp. 86, 131</w:t>
      </w:r>
      <w:r w:rsidRPr="00056258">
        <w:rPr>
          <w:rFonts w:asciiTheme="majorBidi" w:hAnsiTheme="majorBidi" w:cstheme="majorBidi"/>
          <w:lang w:eastAsia="zh-CN"/>
        </w:rPr>
        <w:t>.</w:t>
      </w:r>
    </w:p>
  </w:footnote>
  <w:footnote w:id="143">
    <w:p w:rsidR="003515E3" w:rsidRPr="00A32B7C" w:rsidRDefault="003515E3" w:rsidP="001151C3">
      <w:pPr>
        <w:spacing w:after="0" w:line="240" w:lineRule="auto"/>
        <w:rPr>
          <w:rFonts w:ascii="Times New Roman" w:hAnsi="Times New Roman" w:cs="Times New Roman"/>
          <w:sz w:val="20"/>
          <w:szCs w:val="20"/>
        </w:rPr>
      </w:pPr>
      <w:r w:rsidRPr="00A32B7C">
        <w:rPr>
          <w:rStyle w:val="FootnoteReference"/>
          <w:rFonts w:ascii="Times New Roman" w:hAnsi="Times New Roman" w:cs="Times New Roman"/>
          <w:sz w:val="20"/>
          <w:szCs w:val="20"/>
        </w:rPr>
        <w:footnoteRef/>
      </w:r>
      <w:r w:rsidRPr="00A32B7C">
        <w:rPr>
          <w:rFonts w:ascii="Times New Roman" w:hAnsi="Times New Roman" w:cs="Times New Roman"/>
          <w:sz w:val="20"/>
          <w:szCs w:val="20"/>
        </w:rPr>
        <w:t xml:space="preserve"> Examples of Reynolds’s portrayal of this aspect of rural life include Mary Price’s descriptions of the inhabitants of Harlesdon Park and Gretna Green.  See </w:t>
      </w:r>
      <w:r w:rsidRPr="00A32B7C">
        <w:rPr>
          <w:rFonts w:ascii="Times New Roman" w:hAnsi="Times New Roman" w:cs="Times New Roman"/>
          <w:i/>
          <w:sz w:val="20"/>
          <w:szCs w:val="20"/>
        </w:rPr>
        <w:t>Mary Price</w:t>
      </w:r>
      <w:r w:rsidRPr="00A32B7C">
        <w:rPr>
          <w:rFonts w:ascii="Times New Roman" w:hAnsi="Times New Roman" w:cs="Times New Roman"/>
          <w:sz w:val="20"/>
          <w:szCs w:val="20"/>
        </w:rPr>
        <w:t xml:space="preserve">, I, p. 98; </w:t>
      </w:r>
      <w:r w:rsidRPr="00A32B7C">
        <w:rPr>
          <w:rFonts w:ascii="Times New Roman" w:hAnsi="Times New Roman" w:cs="Times New Roman"/>
          <w:bCs/>
          <w:sz w:val="20"/>
          <w:szCs w:val="20"/>
        </w:rPr>
        <w:t>II, pp. 128</w:t>
      </w:r>
      <w:r w:rsidRPr="00A32B7C">
        <w:rPr>
          <w:rFonts w:ascii="Times New Roman" w:hAnsi="Times New Roman" w:cs="Times New Roman"/>
          <w:sz w:val="20"/>
          <w:szCs w:val="20"/>
        </w:rPr>
        <w:t>–</w:t>
      </w:r>
      <w:r w:rsidRPr="00A32B7C">
        <w:rPr>
          <w:rFonts w:ascii="Times New Roman" w:hAnsi="Times New Roman" w:cs="Times New Roman"/>
          <w:bCs/>
          <w:sz w:val="20"/>
          <w:szCs w:val="20"/>
        </w:rPr>
        <w:t>31.</w:t>
      </w:r>
    </w:p>
  </w:footnote>
  <w:footnote w:id="144">
    <w:p w:rsidR="003515E3" w:rsidRPr="00A32B7C" w:rsidRDefault="003515E3" w:rsidP="001151C3">
      <w:pPr>
        <w:pStyle w:val="FootnoteText"/>
        <w:spacing w:after="0" w:line="240" w:lineRule="auto"/>
        <w:rPr>
          <w:rFonts w:ascii="Times New Roman" w:hAnsi="Times New Roman"/>
        </w:rPr>
      </w:pPr>
      <w:r w:rsidRPr="00A32B7C">
        <w:rPr>
          <w:rStyle w:val="FootnoteReference"/>
          <w:rFonts w:ascii="Times New Roman" w:hAnsi="Times New Roman"/>
        </w:rPr>
        <w:footnoteRef/>
      </w:r>
      <w:r w:rsidRPr="00A32B7C">
        <w:rPr>
          <w:rFonts w:ascii="Times New Roman" w:hAnsi="Times New Roman"/>
        </w:rPr>
        <w:t xml:space="preserve"> Louis James, ‘Foreword’, </w:t>
      </w:r>
      <w:r w:rsidRPr="00A32B7C">
        <w:rPr>
          <w:rFonts w:ascii="Times New Roman" w:hAnsi="Times New Roman"/>
          <w:i/>
        </w:rPr>
        <w:t>The Mysteries of London</w:t>
      </w:r>
      <w:r w:rsidRPr="00A32B7C">
        <w:rPr>
          <w:rFonts w:ascii="Times New Roman" w:hAnsi="Times New Roman"/>
        </w:rPr>
        <w:t xml:space="preserve"> (Kansas: Valancourt Books, 2013—) I, v-xi, (p. x).</w:t>
      </w:r>
    </w:p>
  </w:footnote>
  <w:footnote w:id="145">
    <w:p w:rsidR="003515E3" w:rsidRPr="00A32B7C" w:rsidRDefault="003515E3" w:rsidP="001151C3">
      <w:pPr>
        <w:tabs>
          <w:tab w:val="left" w:pos="7995"/>
        </w:tabs>
        <w:spacing w:after="0" w:line="240" w:lineRule="auto"/>
        <w:rPr>
          <w:rFonts w:ascii="Times New Roman" w:hAnsi="Times New Roman" w:cs="Times New Roman"/>
          <w:sz w:val="20"/>
          <w:szCs w:val="20"/>
        </w:rPr>
      </w:pPr>
      <w:r w:rsidRPr="00A32B7C">
        <w:rPr>
          <w:rStyle w:val="FootnoteReference"/>
          <w:rFonts w:ascii="Times New Roman" w:hAnsi="Times New Roman" w:cs="Times New Roman"/>
          <w:sz w:val="20"/>
          <w:szCs w:val="20"/>
        </w:rPr>
        <w:footnoteRef/>
      </w:r>
      <w:r w:rsidRPr="00A32B7C">
        <w:rPr>
          <w:rFonts w:ascii="Times New Roman" w:hAnsi="Times New Roman" w:cs="Times New Roman"/>
          <w:bCs/>
          <w:sz w:val="20"/>
          <w:szCs w:val="20"/>
        </w:rPr>
        <w:t xml:space="preserve"> </w:t>
      </w:r>
      <w:r w:rsidRPr="00A32B7C">
        <w:rPr>
          <w:rFonts w:ascii="Times New Roman" w:hAnsi="Times New Roman" w:cs="Times New Roman"/>
          <w:bCs/>
          <w:i/>
          <w:iCs/>
          <w:sz w:val="20"/>
          <w:szCs w:val="20"/>
        </w:rPr>
        <w:t>Steam Packet</w:t>
      </w:r>
      <w:r w:rsidRPr="00A32B7C">
        <w:rPr>
          <w:rFonts w:ascii="Times New Roman" w:hAnsi="Times New Roman" w:cs="Times New Roman"/>
          <w:bCs/>
          <w:sz w:val="20"/>
          <w:szCs w:val="20"/>
        </w:rPr>
        <w:t>, p. 112.</w:t>
      </w:r>
    </w:p>
  </w:footnote>
  <w:footnote w:id="146">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w:t>
      </w:r>
      <w:r w:rsidRPr="005C73CB">
        <w:rPr>
          <w:rFonts w:ascii="Times New Roman" w:hAnsi="Times New Roman"/>
          <w:i/>
        </w:rPr>
        <w:t>Mysteries of London</w:t>
      </w:r>
      <w:r w:rsidRPr="005C73CB">
        <w:rPr>
          <w:rFonts w:ascii="Times New Roman" w:hAnsi="Times New Roman"/>
        </w:rPr>
        <w:t>, III, 219.</w:t>
      </w:r>
    </w:p>
  </w:footnote>
  <w:footnote w:id="147">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w:t>
      </w:r>
      <w:r w:rsidRPr="005C73CB">
        <w:rPr>
          <w:rFonts w:ascii="Times New Roman" w:hAnsi="Times New Roman"/>
          <w:i/>
        </w:rPr>
        <w:t>Mysteries of London</w:t>
      </w:r>
      <w:r w:rsidRPr="005C73CB">
        <w:rPr>
          <w:rFonts w:ascii="Times New Roman" w:hAnsi="Times New Roman"/>
        </w:rPr>
        <w:t>, III, 219.</w:t>
      </w:r>
    </w:p>
  </w:footnote>
  <w:footnote w:id="148">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Reynolds wrote this in the face of overwhelming support for the call due to the lack of a convincing scientific explanation for the potato blight.  See </w:t>
      </w:r>
      <w:r w:rsidRPr="005C73CB">
        <w:rPr>
          <w:rFonts w:ascii="Times New Roman" w:hAnsi="Times New Roman"/>
          <w:bCs/>
        </w:rPr>
        <w:t xml:space="preserve">Peter Gray, ‘National Humiliation and the Great Hunger: Fast and Famine in 1847’, </w:t>
      </w:r>
      <w:r w:rsidRPr="005C73CB">
        <w:rPr>
          <w:rStyle w:val="HTMLCite"/>
          <w:rFonts w:ascii="Times New Roman" w:hAnsi="Times New Roman"/>
        </w:rPr>
        <w:t>Irish Historical Studies</w:t>
      </w:r>
      <w:r w:rsidRPr="005C73CB">
        <w:rPr>
          <w:rFonts w:ascii="Times New Roman" w:hAnsi="Times New Roman"/>
        </w:rPr>
        <w:t>, 32.126 (November 2000), 193–216 &lt;</w:t>
      </w:r>
      <w:hyperlink r:id="rId12" w:history="1">
        <w:r w:rsidRPr="005C73CB">
          <w:rPr>
            <w:rStyle w:val="Hyperlink"/>
            <w:rFonts w:ascii="Times New Roman" w:hAnsi="Times New Roman"/>
            <w:color w:val="auto"/>
            <w:u w:val="none"/>
          </w:rPr>
          <w:t>http://www.jstor.org/stable/30006996</w:t>
        </w:r>
      </w:hyperlink>
      <w:r w:rsidRPr="005C73CB">
        <w:rPr>
          <w:rStyle w:val="Hyperlink"/>
          <w:rFonts w:ascii="Times New Roman" w:hAnsi="Times New Roman"/>
          <w:color w:val="auto"/>
          <w:u w:val="none"/>
        </w:rPr>
        <w:t xml:space="preserve">&gt; </w:t>
      </w:r>
      <w:r w:rsidRPr="005C73CB">
        <w:rPr>
          <w:rFonts w:ascii="Times New Roman" w:hAnsi="Times New Roman"/>
        </w:rPr>
        <w:t xml:space="preserve">[accessed 23 November 2016] (pp. 193–94). </w:t>
      </w:r>
    </w:p>
  </w:footnote>
  <w:footnote w:id="149">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w:t>
      </w:r>
      <w:r w:rsidRPr="005C73CB">
        <w:rPr>
          <w:rFonts w:ascii="Times New Roman" w:hAnsi="Times New Roman"/>
          <w:bCs/>
          <w:i/>
          <w:iCs/>
        </w:rPr>
        <w:t>Grace Darling</w:t>
      </w:r>
      <w:r w:rsidRPr="005C73CB">
        <w:rPr>
          <w:rFonts w:ascii="Times New Roman" w:hAnsi="Times New Roman"/>
          <w:bCs/>
        </w:rPr>
        <w:t>, p. 151.</w:t>
      </w:r>
    </w:p>
  </w:footnote>
  <w:footnote w:id="150">
    <w:p w:rsidR="003515E3" w:rsidRPr="00A32B7C" w:rsidRDefault="003515E3" w:rsidP="001151C3">
      <w:pPr>
        <w:pStyle w:val="FootnoteText"/>
        <w:spacing w:after="0" w:line="240" w:lineRule="auto"/>
        <w:rPr>
          <w:rFonts w:asciiTheme="majorBidi" w:hAnsiTheme="majorBidi" w:cstheme="majorBidi"/>
        </w:rPr>
      </w:pPr>
      <w:r w:rsidRPr="00A32B7C">
        <w:rPr>
          <w:rStyle w:val="FootnoteReference"/>
          <w:rFonts w:asciiTheme="majorBidi" w:hAnsiTheme="majorBidi" w:cstheme="majorBidi"/>
        </w:rPr>
        <w:footnoteRef/>
      </w:r>
      <w:r w:rsidRPr="00A32B7C">
        <w:rPr>
          <w:rFonts w:asciiTheme="majorBidi" w:hAnsiTheme="majorBidi" w:cstheme="majorBidi"/>
        </w:rPr>
        <w:t xml:space="preserve"> Vargish, p. 24.</w:t>
      </w:r>
    </w:p>
  </w:footnote>
  <w:footnote w:id="151">
    <w:p w:rsidR="003515E3" w:rsidRPr="00A32B7C" w:rsidRDefault="003515E3" w:rsidP="001151C3">
      <w:pPr>
        <w:pStyle w:val="FootnoteText"/>
        <w:spacing w:after="0" w:line="240" w:lineRule="auto"/>
        <w:rPr>
          <w:rFonts w:asciiTheme="majorBidi" w:hAnsiTheme="majorBidi" w:cstheme="majorBidi"/>
        </w:rPr>
      </w:pPr>
      <w:r w:rsidRPr="00A32B7C">
        <w:rPr>
          <w:rStyle w:val="FootnoteReference"/>
          <w:rFonts w:asciiTheme="majorBidi" w:hAnsiTheme="majorBidi" w:cstheme="majorBidi"/>
        </w:rPr>
        <w:footnoteRef/>
      </w:r>
      <w:r w:rsidRPr="00A32B7C">
        <w:rPr>
          <w:rFonts w:asciiTheme="majorBidi" w:hAnsiTheme="majorBidi" w:cstheme="majorBidi"/>
        </w:rPr>
        <w:t xml:space="preserve"> </w:t>
      </w:r>
      <w:r w:rsidRPr="00A32B7C">
        <w:rPr>
          <w:rFonts w:asciiTheme="majorBidi" w:hAnsiTheme="majorBidi" w:cstheme="majorBidi"/>
          <w:i/>
        </w:rPr>
        <w:t>Mysteries of London</w:t>
      </w:r>
      <w:r w:rsidRPr="00A32B7C">
        <w:rPr>
          <w:rFonts w:asciiTheme="majorBidi" w:hAnsiTheme="majorBidi" w:cstheme="majorBidi"/>
        </w:rPr>
        <w:t>, I, 128.</w:t>
      </w:r>
    </w:p>
  </w:footnote>
  <w:footnote w:id="152">
    <w:p w:rsidR="003515E3" w:rsidRPr="00A32B7C" w:rsidRDefault="003515E3" w:rsidP="001151C3">
      <w:pPr>
        <w:pStyle w:val="FootnoteText"/>
        <w:spacing w:after="0" w:line="240" w:lineRule="auto"/>
        <w:rPr>
          <w:rFonts w:ascii="Times New Roman" w:hAnsi="Times New Roman"/>
        </w:rPr>
      </w:pPr>
      <w:r w:rsidRPr="00A32B7C">
        <w:rPr>
          <w:rStyle w:val="FootnoteReference"/>
          <w:rFonts w:ascii="Times New Roman" w:hAnsi="Times New Roman"/>
        </w:rPr>
        <w:footnoteRef/>
      </w:r>
      <w:r w:rsidRPr="00A32B7C">
        <w:rPr>
          <w:rFonts w:ascii="Times New Roman" w:hAnsi="Times New Roman"/>
        </w:rPr>
        <w:t xml:space="preserve"> Just beforehand, Tidkins angrily reminds his mother about the insecurity of the room, preparing the reader for Richard’s escape: ‘Did I not tell you a month or more ago that the wall between the hole and the saw-pit in the empty house next door had given away?’.  See </w:t>
      </w:r>
      <w:r w:rsidRPr="00A32B7C">
        <w:rPr>
          <w:rFonts w:ascii="Times New Roman" w:hAnsi="Times New Roman"/>
          <w:i/>
        </w:rPr>
        <w:t>Mysteries of London</w:t>
      </w:r>
      <w:r w:rsidRPr="00A32B7C">
        <w:rPr>
          <w:rFonts w:ascii="Times New Roman" w:hAnsi="Times New Roman"/>
        </w:rPr>
        <w:t>, I, 127.</w:t>
      </w:r>
    </w:p>
  </w:footnote>
  <w:footnote w:id="153">
    <w:p w:rsidR="003515E3" w:rsidRPr="00200909" w:rsidRDefault="003515E3" w:rsidP="001151C3">
      <w:pPr>
        <w:pStyle w:val="FootnoteText"/>
        <w:spacing w:after="0" w:line="240" w:lineRule="auto"/>
        <w:rPr>
          <w:rFonts w:asciiTheme="majorBidi" w:hAnsiTheme="majorBidi" w:cstheme="majorBidi"/>
        </w:rPr>
      </w:pPr>
      <w:r w:rsidRPr="00A32B7C">
        <w:rPr>
          <w:rStyle w:val="FootnoteReference"/>
          <w:rFonts w:asciiTheme="majorBidi" w:hAnsiTheme="majorBidi" w:cstheme="majorBidi"/>
        </w:rPr>
        <w:footnoteRef/>
      </w:r>
      <w:r w:rsidRPr="00A32B7C">
        <w:rPr>
          <w:rFonts w:asciiTheme="majorBidi" w:hAnsiTheme="majorBidi" w:cstheme="majorBidi"/>
        </w:rPr>
        <w:t xml:space="preserve"> Eaton is being poisoned by </w:t>
      </w:r>
      <w:r w:rsidRPr="00200909">
        <w:rPr>
          <w:rFonts w:asciiTheme="majorBidi" w:hAnsiTheme="majorBidi" w:cstheme="majorBidi"/>
        </w:rPr>
        <w:t>his valet William Dudley and his former lover Fernanda Aylmer whom he has jilted.</w:t>
      </w:r>
    </w:p>
  </w:footnote>
  <w:footnote w:id="154">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G. W. M. Reynolds, </w:t>
      </w:r>
      <w:r w:rsidRPr="00200909">
        <w:rPr>
          <w:rFonts w:asciiTheme="majorBidi" w:hAnsiTheme="majorBidi" w:cstheme="majorBidi"/>
          <w:i/>
        </w:rPr>
        <w:t>Mysteries of the Court of London</w:t>
      </w:r>
      <w:r w:rsidRPr="00200909">
        <w:rPr>
          <w:rFonts w:asciiTheme="majorBidi" w:hAnsiTheme="majorBidi" w:cstheme="majorBidi"/>
        </w:rPr>
        <w:t xml:space="preserve">, 8 vols. </w:t>
      </w:r>
      <w:r w:rsidRPr="00200909">
        <w:rPr>
          <w:rFonts w:ascii="Times New Roman" w:hAnsi="Times New Roman"/>
        </w:rPr>
        <w:t>(London: Dicks, 1848–56), I,</w:t>
      </w:r>
      <w:r w:rsidRPr="00200909">
        <w:rPr>
          <w:rFonts w:asciiTheme="majorBidi" w:hAnsiTheme="majorBidi" w:cstheme="majorBidi"/>
        </w:rPr>
        <w:t xml:space="preserve"> 151.</w:t>
      </w:r>
    </w:p>
  </w:footnote>
  <w:footnote w:id="155">
    <w:p w:rsidR="003515E3" w:rsidRPr="00A32B7C"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w:t>
      </w:r>
      <w:r w:rsidRPr="00200909">
        <w:rPr>
          <w:rFonts w:asciiTheme="majorBidi" w:hAnsiTheme="majorBidi" w:cstheme="majorBidi"/>
          <w:i/>
        </w:rPr>
        <w:t>Mysteries of the Court</w:t>
      </w:r>
      <w:r w:rsidRPr="00200909">
        <w:rPr>
          <w:rFonts w:asciiTheme="majorBidi" w:hAnsiTheme="majorBidi" w:cstheme="majorBidi"/>
        </w:rPr>
        <w:t>, I, 151.</w:t>
      </w:r>
    </w:p>
  </w:footnote>
  <w:footnote w:id="156">
    <w:p w:rsidR="003515E3" w:rsidRPr="00A32B7C" w:rsidRDefault="003515E3" w:rsidP="001151C3">
      <w:pPr>
        <w:pStyle w:val="FootnoteText"/>
        <w:spacing w:after="0" w:line="240" w:lineRule="auto"/>
        <w:rPr>
          <w:rFonts w:asciiTheme="majorBidi" w:hAnsiTheme="majorBidi" w:cstheme="majorBidi"/>
        </w:rPr>
      </w:pPr>
      <w:r w:rsidRPr="00A32B7C">
        <w:rPr>
          <w:rStyle w:val="FootnoteReference"/>
          <w:rFonts w:asciiTheme="majorBidi" w:hAnsiTheme="majorBidi" w:cstheme="majorBidi"/>
        </w:rPr>
        <w:footnoteRef/>
      </w:r>
      <w:r w:rsidRPr="00A32B7C">
        <w:rPr>
          <w:rFonts w:asciiTheme="majorBidi" w:hAnsiTheme="majorBidi" w:cstheme="majorBidi"/>
        </w:rPr>
        <w:t xml:space="preserve"> Vargish, p. 24.</w:t>
      </w:r>
    </w:p>
  </w:footnote>
  <w:footnote w:id="157">
    <w:p w:rsidR="003515E3" w:rsidRPr="00200909" w:rsidRDefault="003515E3" w:rsidP="001151C3">
      <w:pPr>
        <w:pStyle w:val="FootnoteText"/>
        <w:spacing w:after="0" w:line="240" w:lineRule="auto"/>
        <w:rPr>
          <w:rFonts w:ascii="Times New Roman" w:hAnsi="Times New Roman"/>
        </w:rPr>
      </w:pPr>
      <w:r w:rsidRPr="00A32B7C">
        <w:rPr>
          <w:rStyle w:val="FootnoteReference"/>
          <w:rFonts w:ascii="Times New Roman" w:hAnsi="Times New Roman"/>
        </w:rPr>
        <w:footnoteRef/>
      </w:r>
      <w:r w:rsidRPr="00A32B7C">
        <w:rPr>
          <w:rFonts w:ascii="Times New Roman" w:hAnsi="Times New Roman"/>
        </w:rPr>
        <w:t xml:space="preserve"> The </w:t>
      </w:r>
      <w:r w:rsidRPr="00A32B7C">
        <w:rPr>
          <w:rFonts w:ascii="Times New Roman" w:hAnsi="Times New Roman"/>
          <w:i/>
        </w:rPr>
        <w:t>Miscellany</w:t>
      </w:r>
      <w:r w:rsidRPr="00A32B7C">
        <w:rPr>
          <w:rFonts w:ascii="Times New Roman" w:hAnsi="Times New Roman"/>
        </w:rPr>
        <w:t xml:space="preserve"> strongly promoted the sciences with two long running series.  The first number contained the start of ‘The Anatomy and Physiology of Ourselves Popularly Considered’ by James Johnson.  See </w:t>
      </w:r>
      <w:r w:rsidRPr="00A32B7C">
        <w:rPr>
          <w:rFonts w:ascii="Times New Roman" w:hAnsi="Times New Roman"/>
          <w:i/>
        </w:rPr>
        <w:t>Reynolds’s Miscellany</w:t>
      </w:r>
      <w:r w:rsidRPr="00A32B7C">
        <w:rPr>
          <w:rFonts w:ascii="Times New Roman" w:hAnsi="Times New Roman"/>
        </w:rPr>
        <w:t xml:space="preserve">, 7 November 1846, pp. 8–10.  The eighth number introduced ‘Popular Papers on Science’ by Anthony Peck, B.A.  See </w:t>
      </w:r>
      <w:r w:rsidRPr="00A32B7C">
        <w:rPr>
          <w:rFonts w:ascii="Times New Roman" w:hAnsi="Times New Roman"/>
          <w:i/>
        </w:rPr>
        <w:t>Reynolds’s Miscellany</w:t>
      </w:r>
      <w:r w:rsidRPr="00A32B7C">
        <w:rPr>
          <w:rFonts w:ascii="Times New Roman" w:hAnsi="Times New Roman"/>
        </w:rPr>
        <w:t xml:space="preserve">, 26 December 1846, pp. 125–26.  The former focused upon human biology and the </w:t>
      </w:r>
      <w:r w:rsidRPr="00200909">
        <w:rPr>
          <w:rFonts w:ascii="Times New Roman" w:hAnsi="Times New Roman"/>
        </w:rPr>
        <w:t>latter upon physics.  The articles of these long running series were detailed and occasionally appeared together in the same number of the journal.</w:t>
      </w:r>
    </w:p>
  </w:footnote>
  <w:footnote w:id="158">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imes New Roman" w:hAnsi="Times New Roman"/>
          <w:i/>
        </w:rPr>
        <w:t>Reynolds’s Miscellany</w:t>
      </w:r>
      <w:r w:rsidRPr="00200909">
        <w:rPr>
          <w:rFonts w:ascii="Times New Roman" w:hAnsi="Times New Roman"/>
        </w:rPr>
        <w:t>, 13 March 1847, p. 296.</w:t>
      </w:r>
    </w:p>
  </w:footnote>
  <w:footnote w:id="159">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w:t>
      </w:r>
      <w:r w:rsidRPr="00200909">
        <w:rPr>
          <w:rFonts w:asciiTheme="majorBidi" w:hAnsiTheme="majorBidi" w:cstheme="majorBidi"/>
          <w:i/>
          <w:iCs/>
        </w:rPr>
        <w:t>Steam Packet</w:t>
      </w:r>
      <w:r w:rsidRPr="00200909">
        <w:rPr>
          <w:rFonts w:asciiTheme="majorBidi" w:hAnsiTheme="majorBidi" w:cstheme="majorBidi"/>
        </w:rPr>
        <w:t>, p. 152.</w:t>
      </w:r>
    </w:p>
  </w:footnote>
  <w:footnote w:id="160">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w:t>
      </w:r>
      <w:r w:rsidRPr="00200909">
        <w:rPr>
          <w:rFonts w:asciiTheme="majorBidi" w:hAnsiTheme="majorBidi" w:cstheme="majorBidi"/>
          <w:i/>
        </w:rPr>
        <w:t>Mysteries of London</w:t>
      </w:r>
      <w:r w:rsidRPr="00200909">
        <w:rPr>
          <w:rFonts w:asciiTheme="majorBidi" w:hAnsiTheme="majorBidi" w:cstheme="majorBidi"/>
        </w:rPr>
        <w:t xml:space="preserve">, II, 206.  Castelcicala is a </w:t>
      </w:r>
      <w:r w:rsidRPr="00200909">
        <w:rPr>
          <w:rFonts w:ascii="Times New Roman" w:hAnsi="Times New Roman"/>
        </w:rPr>
        <w:t>fictional Italian state.</w:t>
      </w:r>
    </w:p>
  </w:footnote>
  <w:footnote w:id="161">
    <w:p w:rsidR="003515E3" w:rsidRPr="00A32B7C"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w:t>
      </w:r>
      <w:r w:rsidRPr="00200909">
        <w:rPr>
          <w:rFonts w:asciiTheme="majorBidi" w:hAnsiTheme="majorBidi" w:cstheme="majorBidi"/>
          <w:i/>
        </w:rPr>
        <w:t>Mysteries of London</w:t>
      </w:r>
      <w:r w:rsidRPr="00200909">
        <w:rPr>
          <w:rFonts w:asciiTheme="majorBidi" w:hAnsiTheme="majorBidi" w:cstheme="majorBidi"/>
        </w:rPr>
        <w:t>, III, 372</w:t>
      </w:r>
      <w:r w:rsidRPr="00200909">
        <w:rPr>
          <w:rFonts w:ascii="Times New Roman" w:hAnsi="Times New Roman"/>
        </w:rPr>
        <w:t>–</w:t>
      </w:r>
      <w:r w:rsidRPr="00200909">
        <w:rPr>
          <w:rFonts w:asciiTheme="majorBidi" w:hAnsiTheme="majorBidi" w:cstheme="majorBidi"/>
        </w:rPr>
        <w:t xml:space="preserve">73.  This change sees Clarence’s wages increase from </w:t>
      </w:r>
      <w:r w:rsidRPr="00200909">
        <w:rPr>
          <w:rFonts w:ascii="Times New Roman" w:hAnsi="Times New Roman"/>
        </w:rPr>
        <w:t>£100 to £400 a year, in addition to which he receives a house rent-free with 300 guineas for furniture.</w:t>
      </w:r>
    </w:p>
  </w:footnote>
  <w:footnote w:id="162">
    <w:p w:rsidR="003515E3" w:rsidRPr="00183548" w:rsidRDefault="003515E3" w:rsidP="001151C3">
      <w:pPr>
        <w:pStyle w:val="FootnoteText"/>
        <w:spacing w:after="0" w:line="240" w:lineRule="auto"/>
        <w:rPr>
          <w:rFonts w:asciiTheme="majorBidi" w:hAnsiTheme="majorBidi" w:cstheme="majorBidi"/>
        </w:rPr>
      </w:pPr>
      <w:r w:rsidRPr="00183548">
        <w:rPr>
          <w:rStyle w:val="FootnoteReference"/>
          <w:rFonts w:asciiTheme="majorBidi" w:hAnsiTheme="majorBidi" w:cstheme="majorBidi"/>
        </w:rPr>
        <w:footnoteRef/>
      </w:r>
      <w:r w:rsidRPr="00183548">
        <w:rPr>
          <w:rFonts w:asciiTheme="majorBidi" w:hAnsiTheme="majorBidi" w:cstheme="majorBidi"/>
        </w:rPr>
        <w:t xml:space="preserve"> </w:t>
      </w:r>
      <w:r w:rsidRPr="00183548">
        <w:rPr>
          <w:rFonts w:asciiTheme="majorBidi" w:hAnsiTheme="majorBidi" w:cstheme="majorBidi"/>
          <w:i/>
        </w:rPr>
        <w:t xml:space="preserve">Mysteries of </w:t>
      </w:r>
      <w:r>
        <w:rPr>
          <w:rFonts w:asciiTheme="majorBidi" w:hAnsiTheme="majorBidi" w:cstheme="majorBidi"/>
          <w:i/>
        </w:rPr>
        <w:t>the Court</w:t>
      </w:r>
      <w:r>
        <w:rPr>
          <w:rFonts w:asciiTheme="majorBidi" w:hAnsiTheme="majorBidi" w:cstheme="majorBidi"/>
        </w:rPr>
        <w:t>,</w:t>
      </w:r>
      <w:r w:rsidRPr="00183548">
        <w:rPr>
          <w:rFonts w:asciiTheme="majorBidi" w:hAnsiTheme="majorBidi" w:cstheme="majorBidi"/>
        </w:rPr>
        <w:t xml:space="preserve"> I</w:t>
      </w:r>
      <w:r>
        <w:rPr>
          <w:rFonts w:asciiTheme="majorBidi" w:hAnsiTheme="majorBidi" w:cstheme="majorBidi"/>
        </w:rPr>
        <w:t>I</w:t>
      </w:r>
      <w:r w:rsidRPr="00183548">
        <w:rPr>
          <w:rFonts w:asciiTheme="majorBidi" w:hAnsiTheme="majorBidi" w:cstheme="majorBidi"/>
        </w:rPr>
        <w:t xml:space="preserve">I, </w:t>
      </w:r>
      <w:r>
        <w:rPr>
          <w:rFonts w:asciiTheme="majorBidi" w:hAnsiTheme="majorBidi" w:cstheme="majorBidi"/>
        </w:rPr>
        <w:t>353</w:t>
      </w:r>
      <w:r w:rsidRPr="00183548">
        <w:rPr>
          <w:rFonts w:asciiTheme="majorBidi" w:hAnsiTheme="majorBidi" w:cstheme="majorBidi"/>
        </w:rPr>
        <w:t>.</w:t>
      </w:r>
    </w:p>
  </w:footnote>
  <w:footnote w:id="163">
    <w:p w:rsidR="003515E3" w:rsidRPr="00200909" w:rsidRDefault="003515E3" w:rsidP="001151C3">
      <w:pPr>
        <w:pStyle w:val="FootnoteText"/>
        <w:spacing w:after="0" w:line="240" w:lineRule="auto"/>
        <w:rPr>
          <w:rFonts w:asciiTheme="majorBidi" w:hAnsiTheme="majorBidi" w:cstheme="majorBidi"/>
        </w:rPr>
      </w:pPr>
      <w:r w:rsidRPr="00A32B7C">
        <w:rPr>
          <w:rStyle w:val="FootnoteReference"/>
          <w:rFonts w:asciiTheme="majorBidi" w:hAnsiTheme="majorBidi" w:cstheme="majorBidi"/>
        </w:rPr>
        <w:footnoteRef/>
      </w:r>
      <w:r w:rsidRPr="00A32B7C">
        <w:rPr>
          <w:rFonts w:asciiTheme="majorBidi" w:hAnsiTheme="majorBidi" w:cstheme="majorBidi"/>
        </w:rPr>
        <w:t xml:space="preserve"> </w:t>
      </w:r>
      <w:r w:rsidRPr="00A32B7C">
        <w:rPr>
          <w:rFonts w:asciiTheme="majorBidi" w:hAnsiTheme="majorBidi" w:cstheme="majorBidi"/>
          <w:i/>
        </w:rPr>
        <w:t xml:space="preserve">Mysteries of </w:t>
      </w:r>
      <w:r w:rsidRPr="00200909">
        <w:rPr>
          <w:rFonts w:asciiTheme="majorBidi" w:hAnsiTheme="majorBidi" w:cstheme="majorBidi"/>
          <w:i/>
        </w:rPr>
        <w:t>London</w:t>
      </w:r>
      <w:r w:rsidRPr="00200909">
        <w:rPr>
          <w:rFonts w:asciiTheme="majorBidi" w:hAnsiTheme="majorBidi" w:cstheme="majorBidi"/>
        </w:rPr>
        <w:t>, II, 424.</w:t>
      </w:r>
    </w:p>
  </w:footnote>
  <w:footnote w:id="164">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heme="majorBidi" w:hAnsiTheme="majorBidi" w:cstheme="majorBidi"/>
        </w:rPr>
        <w:t xml:space="preserve">Helen Hauser, ‘Form and Reform: The “Miscellany Novel”’, </w:t>
      </w:r>
      <w:r w:rsidRPr="00200909">
        <w:rPr>
          <w:rFonts w:asciiTheme="majorBidi" w:hAnsiTheme="majorBidi" w:cstheme="majorBidi"/>
          <w:i/>
          <w:iCs/>
        </w:rPr>
        <w:t>Victorian Literature and Culture</w:t>
      </w:r>
      <w:r w:rsidRPr="00200909">
        <w:rPr>
          <w:rFonts w:asciiTheme="majorBidi" w:hAnsiTheme="majorBidi" w:cstheme="majorBidi"/>
        </w:rPr>
        <w:t>, 41 (2013), 21</w:t>
      </w:r>
      <w:r w:rsidRPr="00200909">
        <w:rPr>
          <w:rFonts w:ascii="Times New Roman" w:hAnsi="Times New Roman"/>
        </w:rPr>
        <w:t>–</w:t>
      </w:r>
      <w:r w:rsidRPr="00200909">
        <w:rPr>
          <w:rFonts w:asciiTheme="majorBidi" w:hAnsiTheme="majorBidi" w:cstheme="majorBidi"/>
        </w:rPr>
        <w:t xml:space="preserve">40 </w:t>
      </w:r>
      <w:r w:rsidRPr="00200909">
        <w:rPr>
          <w:rFonts w:ascii="Times New Roman" w:hAnsi="Times New Roman"/>
        </w:rPr>
        <w:t>&lt;doi: 10.1017/S1060150312000204&gt; (p. 31).</w:t>
      </w:r>
    </w:p>
  </w:footnote>
  <w:footnote w:id="165">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Eugene appears in the first two volumes of </w:t>
      </w:r>
      <w:r w:rsidRPr="00200909">
        <w:rPr>
          <w:rFonts w:asciiTheme="majorBidi" w:hAnsiTheme="majorBidi" w:cstheme="majorBidi"/>
          <w:i/>
        </w:rPr>
        <w:t>The Mysteries of London</w:t>
      </w:r>
      <w:r w:rsidRPr="00200909">
        <w:rPr>
          <w:rFonts w:asciiTheme="majorBidi" w:hAnsiTheme="majorBidi" w:cstheme="majorBidi"/>
        </w:rPr>
        <w:t xml:space="preserve"> as Eugene Markham, </w:t>
      </w:r>
      <w:r w:rsidRPr="00200909">
        <w:rPr>
          <w:rFonts w:ascii="Times New Roman" w:hAnsi="Times New Roman"/>
        </w:rPr>
        <w:t>George Montague</w:t>
      </w:r>
      <w:r w:rsidRPr="00200909">
        <w:rPr>
          <w:rFonts w:asciiTheme="majorBidi" w:hAnsiTheme="majorBidi" w:cstheme="majorBidi"/>
        </w:rPr>
        <w:t xml:space="preserve"> and Montague Greenwood.  For consistency the thesis will refer to him throughout as Eugene Markham.</w:t>
      </w:r>
    </w:p>
  </w:footnote>
  <w:footnote w:id="166">
    <w:p w:rsidR="003515E3" w:rsidRPr="00A32B7C"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John Locke, ‘A Letter Concerning Toleration’, in ‘</w:t>
      </w:r>
      <w:r w:rsidRPr="00200909">
        <w:rPr>
          <w:rFonts w:ascii="Times New Roman" w:hAnsi="Times New Roman"/>
          <w:i/>
        </w:rPr>
        <w:t>John Locke</w:t>
      </w:r>
      <w:r w:rsidRPr="00200909">
        <w:rPr>
          <w:rFonts w:ascii="Times New Roman" w:hAnsi="Times New Roman"/>
          <w:i/>
          <w:iCs/>
        </w:rPr>
        <w:t xml:space="preserve"> A Letter Concerning Toleration</w:t>
      </w:r>
      <w:r w:rsidRPr="00200909">
        <w:rPr>
          <w:rFonts w:ascii="Times New Roman" w:hAnsi="Times New Roman"/>
        </w:rPr>
        <w:t xml:space="preserve"> in Focus’, ed. by John Horton and Susan Mendus (London: Routledge, 1991), pp. 12–66, (p. 39).</w:t>
      </w:r>
    </w:p>
  </w:footnote>
  <w:footnote w:id="167">
    <w:p w:rsidR="003515E3" w:rsidRPr="00200909" w:rsidRDefault="003515E3" w:rsidP="001151C3">
      <w:pPr>
        <w:pStyle w:val="FootnoteText"/>
        <w:spacing w:after="0" w:line="240" w:lineRule="auto"/>
        <w:rPr>
          <w:rFonts w:asciiTheme="majorBidi" w:hAnsiTheme="majorBidi" w:cstheme="majorBidi"/>
        </w:rPr>
      </w:pPr>
      <w:r w:rsidRPr="00A32B7C">
        <w:rPr>
          <w:rStyle w:val="FootnoteReference"/>
          <w:rFonts w:asciiTheme="majorBidi" w:hAnsiTheme="majorBidi" w:cstheme="majorBidi"/>
        </w:rPr>
        <w:footnoteRef/>
      </w:r>
      <w:r w:rsidRPr="00A32B7C">
        <w:rPr>
          <w:rFonts w:asciiTheme="majorBidi" w:hAnsiTheme="majorBidi" w:cstheme="majorBidi"/>
        </w:rPr>
        <w:t xml:space="preserve"> Jews were praised for the admirable </w:t>
      </w:r>
      <w:r w:rsidRPr="00200909">
        <w:rPr>
          <w:rFonts w:asciiTheme="majorBidi" w:hAnsiTheme="majorBidi" w:cstheme="majorBidi"/>
        </w:rPr>
        <w:t>constancy they showed towards their rituals.  See ‘The Character of the Jews’, p. 227.</w:t>
      </w:r>
    </w:p>
  </w:footnote>
  <w:footnote w:id="168">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P. Duvergier, ‘The Anti-Teetotaler’, </w:t>
      </w:r>
      <w:r w:rsidRPr="00200909">
        <w:rPr>
          <w:rFonts w:ascii="Times New Roman" w:hAnsi="Times New Roman"/>
          <w:i/>
        </w:rPr>
        <w:t xml:space="preserve">Teetotaler, </w:t>
      </w:r>
      <w:r w:rsidRPr="00200909">
        <w:rPr>
          <w:rFonts w:ascii="Times New Roman" w:hAnsi="Times New Roman"/>
        </w:rPr>
        <w:t>1 May1841, pp. 10–11.</w:t>
      </w:r>
    </w:p>
  </w:footnote>
  <w:footnote w:id="169">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G. W. M. Reynolds, ‘Lead Article’, </w:t>
      </w:r>
      <w:r w:rsidRPr="00200909">
        <w:rPr>
          <w:rFonts w:ascii="Times New Roman" w:hAnsi="Times New Roman"/>
          <w:i/>
        </w:rPr>
        <w:t xml:space="preserve">Teetotaler, </w:t>
      </w:r>
      <w:r w:rsidRPr="00200909">
        <w:rPr>
          <w:rFonts w:ascii="Times New Roman" w:hAnsi="Times New Roman"/>
        </w:rPr>
        <w:t>15 May1841, p.28.</w:t>
      </w:r>
    </w:p>
  </w:footnote>
  <w:footnote w:id="170">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Anonymous, ‘The National Land Company’, </w:t>
      </w:r>
      <w:r w:rsidRPr="00200909">
        <w:rPr>
          <w:rFonts w:ascii="Times New Roman" w:hAnsi="Times New Roman"/>
          <w:i/>
          <w:iCs/>
        </w:rPr>
        <w:t>Reynolds’s Miscellany</w:t>
      </w:r>
      <w:r w:rsidRPr="00200909">
        <w:rPr>
          <w:rFonts w:ascii="Times New Roman" w:hAnsi="Times New Roman"/>
        </w:rPr>
        <w:t>, 25 September 1847, p. 306.</w:t>
      </w:r>
    </w:p>
  </w:footnote>
  <w:footnote w:id="171">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imes New Roman" w:hAnsi="Times New Roman"/>
          <w:shd w:val="clear" w:color="auto" w:fill="FFFFFF"/>
        </w:rPr>
        <w:t xml:space="preserve">Walmsley was the founder in 1848 of the National Reform Association and a supporter of the forty-shilling freehold movement.  At the time of Reynolds’s collaboration with him, he was MP for Bolton.  See </w:t>
      </w:r>
      <w:r w:rsidRPr="00200909">
        <w:rPr>
          <w:rFonts w:ascii="Times New Roman" w:hAnsi="Times New Roman"/>
          <w:i/>
          <w:iCs/>
        </w:rPr>
        <w:t>Oxford Dictionary of National Biography</w:t>
      </w:r>
      <w:r w:rsidRPr="00200909">
        <w:rPr>
          <w:rFonts w:ascii="Times New Roman" w:hAnsi="Times New Roman"/>
        </w:rPr>
        <w:t xml:space="preserve"> &lt;</w:t>
      </w:r>
      <w:hyperlink r:id="rId13" w:history="1">
        <w:r w:rsidRPr="00200909">
          <w:rPr>
            <w:rStyle w:val="Hyperlink"/>
            <w:rFonts w:ascii="Times New Roman" w:hAnsi="Times New Roman"/>
            <w:color w:val="auto"/>
            <w:u w:val="none"/>
            <w:bdr w:val="none" w:sz="0" w:space="0" w:color="auto" w:frame="1"/>
          </w:rPr>
          <w:t>https://doi.org/10.1093/ref:odnb/28590</w:t>
        </w:r>
      </w:hyperlink>
      <w:r w:rsidRPr="00200909">
        <w:rPr>
          <w:rStyle w:val="Hyperlink"/>
          <w:rFonts w:ascii="Times New Roman" w:hAnsi="Times New Roman"/>
          <w:color w:val="auto"/>
          <w:u w:val="none"/>
        </w:rPr>
        <w:t>&gt;</w:t>
      </w:r>
    </w:p>
  </w:footnote>
  <w:footnote w:id="172">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John Locke, ‘A Letter Concerning Toleration’, in ‘</w:t>
      </w:r>
      <w:r w:rsidRPr="00200909">
        <w:rPr>
          <w:rFonts w:ascii="Times New Roman" w:hAnsi="Times New Roman"/>
          <w:i/>
        </w:rPr>
        <w:t>John Locke</w:t>
      </w:r>
      <w:r w:rsidRPr="00200909">
        <w:rPr>
          <w:rFonts w:ascii="Times New Roman" w:hAnsi="Times New Roman"/>
          <w:i/>
          <w:iCs/>
        </w:rPr>
        <w:t xml:space="preserve"> A Letter Concerning Toleration</w:t>
      </w:r>
      <w:r w:rsidRPr="00200909">
        <w:rPr>
          <w:rFonts w:ascii="Times New Roman" w:hAnsi="Times New Roman"/>
        </w:rPr>
        <w:t xml:space="preserve"> in Focus’, ed. by John Horton and Susan Mendus (London: Routledge, 1991), pp. 12–66, (p. 42).</w:t>
      </w:r>
    </w:p>
  </w:footnote>
  <w:footnote w:id="173">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For example, when he protested ‘amidst much impatience on the part of the meeting, that the aristocracy were more tyrannical and despicable than any in the world, and that one-half of them had obtained their possessions by the prostitution of their female ancestors in the time of Charles II’.  See Anonymous, ‘Public Meeting.  Parliamentary and Financial Reform’, </w:t>
      </w:r>
      <w:r w:rsidRPr="00200909">
        <w:rPr>
          <w:rStyle w:val="mini"/>
          <w:rFonts w:ascii="Times New Roman" w:hAnsi="Times New Roman"/>
          <w:i/>
          <w:iCs/>
        </w:rPr>
        <w:t>Northern Star and National Trades' Journal</w:t>
      </w:r>
      <w:r w:rsidRPr="00200909">
        <w:rPr>
          <w:rStyle w:val="mini"/>
          <w:rFonts w:ascii="Times New Roman" w:hAnsi="Times New Roman"/>
        </w:rPr>
        <w:t xml:space="preserve">, 26 May 1849, </w:t>
      </w:r>
      <w:r w:rsidRPr="00200909">
        <w:rPr>
          <w:rFonts w:ascii="Times New Roman" w:hAnsi="Times New Roman"/>
        </w:rPr>
        <w:t>p. 5.</w:t>
      </w:r>
    </w:p>
  </w:footnote>
  <w:footnote w:id="174">
    <w:p w:rsidR="003515E3" w:rsidRPr="005C73CB"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For example, at the NPFRA Public Conference in April 1850, Reynolds brought forward resolutions to stiffen the association’s pursuit of an extension to the suffrage.  See Anonymous, ‘National Reform Association. Public Conference’, </w:t>
      </w:r>
      <w:r w:rsidRPr="00200909">
        <w:rPr>
          <w:rStyle w:val="mini"/>
          <w:rFonts w:ascii="Times New Roman" w:hAnsi="Times New Roman"/>
          <w:i/>
          <w:iCs/>
        </w:rPr>
        <w:t>Northern Star and National Trades' Journal</w:t>
      </w:r>
      <w:r w:rsidRPr="00200909">
        <w:rPr>
          <w:rStyle w:val="mini"/>
          <w:rFonts w:ascii="Times New Roman" w:hAnsi="Times New Roman"/>
        </w:rPr>
        <w:t xml:space="preserve">, 27 April 1850, </w:t>
      </w:r>
      <w:r w:rsidRPr="00200909">
        <w:rPr>
          <w:rFonts w:ascii="Times New Roman" w:hAnsi="Times New Roman"/>
        </w:rPr>
        <w:t>pp. 7–8 (p. 8).</w:t>
      </w:r>
    </w:p>
  </w:footnote>
  <w:footnote w:id="175">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G. W. M. Reynolds, ‘The Revival of a Working-Class Agitation’, </w:t>
      </w:r>
      <w:r w:rsidRPr="005C73CB">
        <w:rPr>
          <w:rFonts w:ascii="Times New Roman" w:hAnsi="Times New Roman"/>
          <w:i/>
        </w:rPr>
        <w:t>Reynolds’s Political Instructor</w:t>
      </w:r>
      <w:r w:rsidRPr="005C73CB">
        <w:rPr>
          <w:rFonts w:ascii="Times New Roman" w:hAnsi="Times New Roman"/>
        </w:rPr>
        <w:t>, 10 November 1849, pp. 1–2 (p.2).</w:t>
      </w:r>
    </w:p>
  </w:footnote>
  <w:footnote w:id="176">
    <w:p w:rsidR="003515E3" w:rsidRPr="00D2320B" w:rsidRDefault="003515E3" w:rsidP="001151C3">
      <w:pPr>
        <w:spacing w:after="0" w:line="240" w:lineRule="auto"/>
        <w:rPr>
          <w:rFonts w:ascii="Times New Roman" w:hAnsi="Times New Roman" w:cs="Times New Roman"/>
          <w:sz w:val="20"/>
          <w:szCs w:val="20"/>
        </w:rPr>
      </w:pPr>
      <w:r w:rsidRPr="00D2320B">
        <w:rPr>
          <w:rStyle w:val="FootnoteReference"/>
          <w:rFonts w:ascii="Times New Roman" w:hAnsi="Times New Roman" w:cs="Times New Roman"/>
          <w:sz w:val="20"/>
          <w:szCs w:val="20"/>
        </w:rPr>
        <w:footnoteRef/>
      </w:r>
      <w:r w:rsidRPr="00D2320B">
        <w:rPr>
          <w:rFonts w:ascii="Times New Roman" w:hAnsi="Times New Roman" w:cs="Times New Roman"/>
          <w:sz w:val="20"/>
          <w:szCs w:val="20"/>
        </w:rPr>
        <w:t xml:space="preserve"> G. W. M. Reynolds, ‘Three Predictions at London Tavern Meetings’, </w:t>
      </w:r>
      <w:r w:rsidRPr="00D2320B">
        <w:rPr>
          <w:rFonts w:ascii="Times New Roman" w:hAnsi="Times New Roman"/>
          <w:i/>
          <w:sz w:val="20"/>
          <w:szCs w:val="20"/>
        </w:rPr>
        <w:t>Reynolds’s Political Instructor</w:t>
      </w:r>
      <w:r w:rsidRPr="00D2320B">
        <w:rPr>
          <w:rFonts w:ascii="Times New Roman" w:hAnsi="Times New Roman"/>
          <w:sz w:val="20"/>
          <w:szCs w:val="20"/>
        </w:rPr>
        <w:t>, 19 January 1852, p. 82.</w:t>
      </w:r>
    </w:p>
  </w:footnote>
  <w:footnote w:id="177">
    <w:p w:rsidR="003515E3" w:rsidRPr="00D2320B" w:rsidRDefault="003515E3" w:rsidP="001151C3">
      <w:pPr>
        <w:pStyle w:val="FootnoteText"/>
        <w:spacing w:after="0" w:line="240" w:lineRule="auto"/>
        <w:rPr>
          <w:rFonts w:ascii="Times New Roman" w:hAnsi="Times New Roman"/>
        </w:rPr>
      </w:pPr>
      <w:r w:rsidRPr="00D2320B">
        <w:rPr>
          <w:rStyle w:val="FootnoteReference"/>
          <w:rFonts w:ascii="Times New Roman" w:hAnsi="Times New Roman"/>
        </w:rPr>
        <w:footnoteRef/>
      </w:r>
      <w:r w:rsidRPr="00D2320B">
        <w:rPr>
          <w:rFonts w:ascii="Times New Roman" w:hAnsi="Times New Roman"/>
        </w:rPr>
        <w:t xml:space="preserve"> G. W. M. Reynolds and Robert Le Blond, ‘National Parliamentary and Financial Reform Association’, </w:t>
      </w:r>
      <w:r w:rsidRPr="00D2320B">
        <w:rPr>
          <w:rFonts w:ascii="Times New Roman" w:hAnsi="Times New Roman"/>
          <w:i/>
        </w:rPr>
        <w:t>Reynolds’s Political Instructor</w:t>
      </w:r>
      <w:r w:rsidRPr="00D2320B">
        <w:rPr>
          <w:rFonts w:ascii="Times New Roman" w:hAnsi="Times New Roman"/>
        </w:rPr>
        <w:t>, 4 May 1850, p. 206.</w:t>
      </w:r>
    </w:p>
  </w:footnote>
  <w:footnote w:id="178">
    <w:p w:rsidR="003515E3" w:rsidRPr="00D2320B" w:rsidRDefault="003515E3" w:rsidP="001151C3">
      <w:pPr>
        <w:pStyle w:val="FootnoteText"/>
        <w:spacing w:after="0" w:line="240" w:lineRule="auto"/>
        <w:rPr>
          <w:rFonts w:ascii="Times New Roman" w:hAnsi="Times New Roman"/>
        </w:rPr>
      </w:pPr>
      <w:r w:rsidRPr="00D2320B">
        <w:rPr>
          <w:rStyle w:val="FootnoteReference"/>
          <w:rFonts w:ascii="Times New Roman" w:hAnsi="Times New Roman"/>
        </w:rPr>
        <w:footnoteRef/>
      </w:r>
      <w:r w:rsidRPr="00D2320B">
        <w:rPr>
          <w:rFonts w:ascii="Times New Roman" w:hAnsi="Times New Roman"/>
        </w:rPr>
        <w:t xml:space="preserve"> Reynolds resigned from the NPFRA at a meeting held 30 May 1850.  See Anonymous, ‘The Council of the National Parliamentary and Financial Reform Association.  Scandalous Attempt to Betray the Chartist Cause’, </w:t>
      </w:r>
      <w:r w:rsidRPr="00D2320B">
        <w:rPr>
          <w:rFonts w:ascii="Times New Roman" w:hAnsi="Times New Roman"/>
          <w:i/>
          <w:iCs/>
        </w:rPr>
        <w:t>Reynolds’s Weekly Newspaper</w:t>
      </w:r>
      <w:r w:rsidRPr="00D2320B">
        <w:rPr>
          <w:rFonts w:ascii="Times New Roman" w:hAnsi="Times New Roman"/>
        </w:rPr>
        <w:t>, 2 June 1850, p. 1.</w:t>
      </w:r>
    </w:p>
  </w:footnote>
  <w:footnote w:id="179">
    <w:p w:rsidR="003515E3" w:rsidRPr="00D2320B" w:rsidRDefault="003515E3" w:rsidP="001151C3">
      <w:pPr>
        <w:pStyle w:val="FootnoteText"/>
        <w:spacing w:after="0" w:line="240" w:lineRule="auto"/>
        <w:rPr>
          <w:rFonts w:ascii="Times New Roman" w:hAnsi="Times New Roman"/>
        </w:rPr>
      </w:pPr>
      <w:r w:rsidRPr="00D2320B">
        <w:rPr>
          <w:rStyle w:val="FootnoteReference"/>
          <w:rFonts w:ascii="Times New Roman" w:hAnsi="Times New Roman"/>
        </w:rPr>
        <w:footnoteRef/>
      </w:r>
      <w:r w:rsidRPr="00D2320B">
        <w:rPr>
          <w:rFonts w:ascii="Times New Roman" w:hAnsi="Times New Roman"/>
        </w:rPr>
        <w:t xml:space="preserve"> G. W. M. Reynolds, ‘The Exit of the Whigs and the Advent of the Tories’, </w:t>
      </w:r>
      <w:r w:rsidRPr="00D2320B">
        <w:rPr>
          <w:rFonts w:ascii="Times New Roman" w:hAnsi="Times New Roman"/>
          <w:i/>
          <w:iCs/>
        </w:rPr>
        <w:t>Reynolds’s Newspaper</w:t>
      </w:r>
      <w:r w:rsidRPr="00D2320B">
        <w:rPr>
          <w:rFonts w:ascii="Times New Roman" w:hAnsi="Times New Roman"/>
        </w:rPr>
        <w:t>, 29 February 1852, p. 1.</w:t>
      </w:r>
    </w:p>
  </w:footnote>
  <w:footnote w:id="180">
    <w:p w:rsidR="003515E3" w:rsidRPr="00D2320B" w:rsidRDefault="003515E3" w:rsidP="001151C3">
      <w:pPr>
        <w:spacing w:after="0" w:line="240" w:lineRule="auto"/>
        <w:rPr>
          <w:rFonts w:ascii="Times New Roman" w:hAnsi="Times New Roman" w:cs="Times New Roman"/>
          <w:sz w:val="20"/>
          <w:szCs w:val="20"/>
        </w:rPr>
      </w:pPr>
      <w:r w:rsidRPr="00D2320B">
        <w:rPr>
          <w:rStyle w:val="FootnoteReference"/>
          <w:rFonts w:ascii="Times New Roman" w:hAnsi="Times New Roman" w:cs="Times New Roman"/>
          <w:sz w:val="20"/>
          <w:szCs w:val="20"/>
        </w:rPr>
        <w:footnoteRef/>
      </w:r>
      <w:r w:rsidRPr="00D2320B">
        <w:rPr>
          <w:rFonts w:ascii="Times New Roman" w:hAnsi="Times New Roman" w:cs="Times New Roman"/>
          <w:sz w:val="20"/>
          <w:szCs w:val="20"/>
        </w:rPr>
        <w:t xml:space="preserve"> G. W. M. Reynolds, ‘Disraeli’s First Financial Speech’, </w:t>
      </w:r>
      <w:r w:rsidRPr="00D2320B">
        <w:rPr>
          <w:rFonts w:ascii="Times New Roman" w:hAnsi="Times New Roman" w:cs="Times New Roman"/>
          <w:i/>
          <w:iCs/>
          <w:sz w:val="20"/>
          <w:szCs w:val="20"/>
        </w:rPr>
        <w:t>Reynolds’s Newspaper</w:t>
      </w:r>
      <w:r w:rsidRPr="00D2320B">
        <w:rPr>
          <w:rFonts w:ascii="Times New Roman" w:hAnsi="Times New Roman" w:cs="Times New Roman"/>
          <w:sz w:val="20"/>
          <w:szCs w:val="20"/>
        </w:rPr>
        <w:t>, 9 May1852, p. 1.</w:t>
      </w:r>
    </w:p>
  </w:footnote>
  <w:footnote w:id="181">
    <w:p w:rsidR="003515E3" w:rsidRPr="00200909" w:rsidRDefault="003515E3" w:rsidP="001151C3">
      <w:pPr>
        <w:spacing w:after="0" w:line="240" w:lineRule="auto"/>
        <w:rPr>
          <w:rFonts w:ascii="Times New Roman" w:hAnsi="Times New Roman" w:cs="Times New Roman"/>
          <w:sz w:val="20"/>
          <w:szCs w:val="20"/>
        </w:rPr>
      </w:pPr>
      <w:r w:rsidRPr="00D2320B">
        <w:rPr>
          <w:rStyle w:val="FootnoteReference"/>
          <w:rFonts w:ascii="Times New Roman" w:hAnsi="Times New Roman" w:cs="Times New Roman"/>
          <w:sz w:val="20"/>
          <w:szCs w:val="20"/>
        </w:rPr>
        <w:footnoteRef/>
      </w:r>
      <w:r w:rsidRPr="00D2320B">
        <w:rPr>
          <w:rFonts w:ascii="Times New Roman" w:hAnsi="Times New Roman" w:cs="Times New Roman"/>
          <w:sz w:val="20"/>
          <w:szCs w:val="20"/>
        </w:rPr>
        <w:t xml:space="preserve"> Hodgskin wrote: ‘Betwixt him who produces the food and him who produces clothing, betwixt him who makes </w:t>
      </w:r>
      <w:r w:rsidRPr="00200909">
        <w:rPr>
          <w:rFonts w:ascii="Times New Roman" w:hAnsi="Times New Roman" w:cs="Times New Roman"/>
          <w:sz w:val="20"/>
          <w:szCs w:val="20"/>
        </w:rPr>
        <w:t xml:space="preserve">instruments and him who uses them, in steps the capitalist, who neither makes nor uses them , and appropriates to himself the produce of both.  With as niggard a hand as possible he transfers to each a part of the produce of the other, keeping to himself the larger share.  Gradually and successively has he insinuated himself betwixt them, expanding in bulk as he has been nourished by their increasingly productive labours, and separating them so widely from each other that neither can see whence that supply is drawn which each receives through the capitalist.’  See Thomas Hodgskin, </w:t>
      </w:r>
      <w:r w:rsidRPr="00200909">
        <w:rPr>
          <w:rFonts w:ascii="Times New Roman" w:hAnsi="Times New Roman" w:cs="Times New Roman"/>
          <w:i/>
          <w:sz w:val="20"/>
          <w:szCs w:val="20"/>
        </w:rPr>
        <w:t>Labour Defended against the Claims of Capital</w:t>
      </w:r>
      <w:r w:rsidRPr="00200909">
        <w:rPr>
          <w:rFonts w:ascii="Times New Roman" w:hAnsi="Times New Roman" w:cs="Times New Roman"/>
          <w:sz w:val="20"/>
          <w:szCs w:val="20"/>
        </w:rPr>
        <w:t>, revised reprint of 1922 3</w:t>
      </w:r>
      <w:r w:rsidRPr="00200909">
        <w:rPr>
          <w:rFonts w:ascii="Times New Roman" w:hAnsi="Times New Roman" w:cs="Times New Roman"/>
          <w:sz w:val="20"/>
          <w:szCs w:val="20"/>
          <w:vertAlign w:val="superscript"/>
        </w:rPr>
        <w:t>rd</w:t>
      </w:r>
      <w:r w:rsidRPr="00200909">
        <w:rPr>
          <w:rFonts w:ascii="Times New Roman" w:hAnsi="Times New Roman" w:cs="Times New Roman"/>
          <w:sz w:val="20"/>
          <w:szCs w:val="20"/>
        </w:rPr>
        <w:t xml:space="preserve"> edition (London: Hammersmith Bookshop, 1964), pp. 71–72.</w:t>
      </w:r>
    </w:p>
  </w:footnote>
  <w:footnote w:id="182">
    <w:p w:rsidR="003515E3" w:rsidRPr="00200909" w:rsidRDefault="003515E3" w:rsidP="001151C3">
      <w:pPr>
        <w:spacing w:after="0" w:line="240" w:lineRule="auto"/>
        <w:rPr>
          <w:rFonts w:ascii="Times New Roman" w:hAnsi="Times New Roman" w:cs="Times New Roman"/>
          <w:sz w:val="20"/>
          <w:szCs w:val="20"/>
        </w:rPr>
      </w:pPr>
      <w:r w:rsidRPr="00200909">
        <w:rPr>
          <w:rStyle w:val="FootnoteReference"/>
          <w:rFonts w:ascii="Times New Roman" w:hAnsi="Times New Roman" w:cs="Times New Roman"/>
          <w:sz w:val="20"/>
          <w:szCs w:val="20"/>
        </w:rPr>
        <w:footnoteRef/>
      </w:r>
      <w:r w:rsidRPr="00200909">
        <w:rPr>
          <w:rFonts w:ascii="Times New Roman" w:hAnsi="Times New Roman" w:cs="Times New Roman"/>
          <w:sz w:val="20"/>
          <w:szCs w:val="20"/>
        </w:rPr>
        <w:t xml:space="preserve"> Hodgskin, p. 91.</w:t>
      </w:r>
    </w:p>
  </w:footnote>
  <w:footnote w:id="183">
    <w:p w:rsidR="003515E3" w:rsidRPr="00200909" w:rsidRDefault="003515E3" w:rsidP="001151C3">
      <w:pPr>
        <w:spacing w:after="0" w:line="240" w:lineRule="auto"/>
        <w:rPr>
          <w:rFonts w:ascii="Times New Roman" w:hAnsi="Times New Roman" w:cs="Times New Roman"/>
          <w:sz w:val="20"/>
          <w:szCs w:val="20"/>
        </w:rPr>
      </w:pPr>
      <w:r w:rsidRPr="00200909">
        <w:rPr>
          <w:rStyle w:val="FootnoteReference"/>
          <w:rFonts w:ascii="Times New Roman" w:hAnsi="Times New Roman" w:cs="Times New Roman"/>
          <w:sz w:val="20"/>
          <w:szCs w:val="20"/>
        </w:rPr>
        <w:footnoteRef/>
      </w:r>
      <w:r w:rsidRPr="00200909">
        <w:rPr>
          <w:rFonts w:ascii="Times New Roman" w:hAnsi="Times New Roman" w:cs="Times New Roman"/>
          <w:sz w:val="20"/>
          <w:szCs w:val="20"/>
        </w:rPr>
        <w:t xml:space="preserve"> Hodgskin, p. 109.</w:t>
      </w:r>
    </w:p>
  </w:footnote>
  <w:footnote w:id="184">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G. D. H. Cole and A. W. Filson</w:t>
      </w:r>
      <w:r w:rsidRPr="00200909">
        <w:rPr>
          <w:rFonts w:asciiTheme="majorBidi" w:hAnsiTheme="majorBidi" w:cstheme="majorBidi"/>
          <w:i/>
          <w:iCs/>
        </w:rPr>
        <w:t>, British Working Class Movements: Select Documents 1789</w:t>
      </w:r>
      <w:r w:rsidRPr="00200909">
        <w:rPr>
          <w:rFonts w:ascii="Times New Roman" w:hAnsi="Times New Roman"/>
        </w:rPr>
        <w:t>–</w:t>
      </w:r>
      <w:r w:rsidRPr="00200909">
        <w:rPr>
          <w:rFonts w:asciiTheme="majorBidi" w:hAnsiTheme="majorBidi" w:cstheme="majorBidi"/>
          <w:i/>
          <w:iCs/>
        </w:rPr>
        <w:t>1875</w:t>
      </w:r>
      <w:r w:rsidRPr="00200909">
        <w:rPr>
          <w:rFonts w:asciiTheme="majorBidi" w:hAnsiTheme="majorBidi" w:cstheme="majorBidi"/>
        </w:rPr>
        <w:t>, ed. by G. D. H. Cole and A. W. Filson (London: Macmillan, 1951), p. 189.</w:t>
      </w:r>
    </w:p>
  </w:footnote>
  <w:footnote w:id="185">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For a detailed outline of the ideas in this work, see </w:t>
      </w:r>
      <w:r w:rsidRPr="00200909">
        <w:rPr>
          <w:rFonts w:ascii="Times New Roman" w:hAnsi="Times New Roman"/>
        </w:rPr>
        <w:t xml:space="preserve">Richard K. P. Pankhurst, </w:t>
      </w:r>
      <w:r w:rsidRPr="00200909">
        <w:rPr>
          <w:rFonts w:ascii="Times New Roman" w:hAnsi="Times New Roman"/>
          <w:i/>
        </w:rPr>
        <w:t>William Thompson (1775–1833) Britain’s Pioneer Socialist, Feminist, and Co-operato</w:t>
      </w:r>
      <w:r w:rsidRPr="00200909">
        <w:rPr>
          <w:rFonts w:ascii="Times New Roman" w:hAnsi="Times New Roman"/>
        </w:rPr>
        <w:t>r (London: Watts, 1954), pp. 140–52</w:t>
      </w:r>
      <w:r w:rsidRPr="00200909">
        <w:rPr>
          <w:rFonts w:asciiTheme="majorBidi" w:hAnsiTheme="majorBidi" w:cstheme="majorBidi"/>
        </w:rPr>
        <w:t>.</w:t>
      </w:r>
    </w:p>
  </w:footnote>
  <w:footnote w:id="186">
    <w:p w:rsidR="003515E3" w:rsidRPr="00D2320B"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imes New Roman" w:hAnsi="Times New Roman"/>
          <w:bCs/>
        </w:rPr>
        <w:t xml:space="preserve">G. W. M. Reynolds, ‘Letters to the Industrious Classes: Letter I.–General Address’, </w:t>
      </w:r>
      <w:r w:rsidRPr="00200909">
        <w:rPr>
          <w:rFonts w:ascii="Times New Roman" w:hAnsi="Times New Roman"/>
          <w:i/>
        </w:rPr>
        <w:t>Reynolds’s Miscellany</w:t>
      </w:r>
      <w:r w:rsidRPr="00200909">
        <w:rPr>
          <w:rFonts w:ascii="Times New Roman" w:hAnsi="Times New Roman"/>
        </w:rPr>
        <w:t>, 30 January 1847, pp. 199–200 (p. 199).</w:t>
      </w:r>
    </w:p>
  </w:footnote>
  <w:footnote w:id="187">
    <w:p w:rsidR="003515E3" w:rsidRPr="00D2320B" w:rsidRDefault="003515E3" w:rsidP="001151C3">
      <w:pPr>
        <w:pStyle w:val="FootnoteText"/>
        <w:spacing w:after="0" w:line="240" w:lineRule="auto"/>
        <w:rPr>
          <w:rFonts w:ascii="Times New Roman" w:hAnsi="Times New Roman"/>
        </w:rPr>
      </w:pPr>
      <w:r w:rsidRPr="00D2320B">
        <w:rPr>
          <w:rStyle w:val="FootnoteReference"/>
          <w:rFonts w:ascii="Times New Roman" w:hAnsi="Times New Roman"/>
        </w:rPr>
        <w:footnoteRef/>
      </w:r>
      <w:r w:rsidRPr="00D2320B">
        <w:rPr>
          <w:rFonts w:ascii="Times New Roman" w:hAnsi="Times New Roman"/>
        </w:rPr>
        <w:t xml:space="preserve"> </w:t>
      </w:r>
      <w:r w:rsidRPr="00D2320B">
        <w:rPr>
          <w:rFonts w:ascii="Times New Roman" w:hAnsi="Times New Roman"/>
          <w:bCs/>
        </w:rPr>
        <w:t xml:space="preserve">‘Letters to the Industrious Classes: Letter I’, </w:t>
      </w:r>
      <w:r w:rsidRPr="00D2320B">
        <w:rPr>
          <w:rFonts w:ascii="Times New Roman" w:hAnsi="Times New Roman"/>
        </w:rPr>
        <w:t xml:space="preserve">p. 200.  Andrew King cites this passage to suggest ‘Reynolds’s support for the notion of private property and opposition to communism and socialism’.  He also notes an 1849 passage from </w:t>
      </w:r>
      <w:r w:rsidRPr="00D2320B">
        <w:rPr>
          <w:rFonts w:ascii="Times New Roman" w:hAnsi="Times New Roman"/>
          <w:i/>
        </w:rPr>
        <w:t>Reynolds’s Miscellany</w:t>
      </w:r>
      <w:r w:rsidRPr="00D2320B">
        <w:rPr>
          <w:rFonts w:ascii="Times New Roman" w:hAnsi="Times New Roman"/>
        </w:rPr>
        <w:t xml:space="preserve"> used later in this thesis that shows Reynolds dissociating himself from Socialism.  See King, ‘</w:t>
      </w:r>
      <w:r w:rsidRPr="00D2320B">
        <w:rPr>
          <w:rFonts w:ascii="Times New Roman" w:hAnsi="Times New Roman"/>
          <w:i/>
        </w:rPr>
        <w:t>Reynolds’s Miscellany</w:t>
      </w:r>
      <w:r w:rsidRPr="00D2320B">
        <w:rPr>
          <w:rFonts w:ascii="Times New Roman" w:hAnsi="Times New Roman"/>
        </w:rPr>
        <w:t>, 1846</w:t>
      </w:r>
      <w:r w:rsidRPr="00D2320B">
        <w:rPr>
          <w:rFonts w:ascii="Times New Roman" w:hAnsi="Times New Roman"/>
          <w:i/>
        </w:rPr>
        <w:t>–</w:t>
      </w:r>
      <w:r w:rsidRPr="00D2320B">
        <w:rPr>
          <w:rFonts w:ascii="Times New Roman" w:hAnsi="Times New Roman"/>
        </w:rPr>
        <w:t>1849: Advertising Networks and Politics’, pp. 68–69.</w:t>
      </w:r>
    </w:p>
  </w:footnote>
  <w:footnote w:id="188">
    <w:p w:rsidR="003515E3" w:rsidRPr="00627000" w:rsidRDefault="003515E3" w:rsidP="001151C3">
      <w:pPr>
        <w:pStyle w:val="FootnoteText"/>
        <w:spacing w:after="0" w:line="240" w:lineRule="auto"/>
        <w:rPr>
          <w:rFonts w:asciiTheme="majorBidi" w:hAnsiTheme="majorBidi" w:cstheme="majorBidi"/>
        </w:rPr>
      </w:pPr>
      <w:r w:rsidRPr="00627000">
        <w:rPr>
          <w:rStyle w:val="FootnoteReference"/>
          <w:rFonts w:asciiTheme="majorBidi" w:hAnsiTheme="majorBidi" w:cstheme="majorBidi"/>
        </w:rPr>
        <w:footnoteRef/>
      </w:r>
      <w:r w:rsidRPr="00627000">
        <w:rPr>
          <w:rFonts w:asciiTheme="majorBidi" w:hAnsiTheme="majorBidi" w:cstheme="majorBidi"/>
        </w:rPr>
        <w:t xml:space="preserve"> </w:t>
      </w:r>
      <w:r w:rsidRPr="00627000">
        <w:rPr>
          <w:rFonts w:asciiTheme="majorBidi" w:hAnsiTheme="majorBidi" w:cstheme="majorBidi"/>
          <w:i/>
        </w:rPr>
        <w:t>Days of Hogarth</w:t>
      </w:r>
      <w:r w:rsidRPr="00627000">
        <w:rPr>
          <w:rFonts w:asciiTheme="majorBidi" w:hAnsiTheme="majorBidi" w:cstheme="majorBidi"/>
        </w:rPr>
        <w:t>, p. 12.</w:t>
      </w:r>
    </w:p>
  </w:footnote>
  <w:footnote w:id="189">
    <w:p w:rsidR="003515E3" w:rsidRPr="00D2320B" w:rsidRDefault="003515E3" w:rsidP="001151C3">
      <w:pPr>
        <w:tabs>
          <w:tab w:val="left" w:pos="7995"/>
        </w:tabs>
        <w:spacing w:after="0" w:line="240" w:lineRule="auto"/>
        <w:rPr>
          <w:rFonts w:asciiTheme="majorBidi" w:hAnsiTheme="majorBidi" w:cstheme="majorBidi"/>
          <w:sz w:val="20"/>
          <w:szCs w:val="20"/>
        </w:rPr>
      </w:pPr>
      <w:r w:rsidRPr="00D2320B">
        <w:rPr>
          <w:rStyle w:val="FootnoteReference"/>
          <w:rFonts w:asciiTheme="majorBidi" w:hAnsiTheme="majorBidi" w:cstheme="majorBidi"/>
          <w:sz w:val="20"/>
          <w:szCs w:val="20"/>
        </w:rPr>
        <w:footnoteRef/>
      </w:r>
      <w:r w:rsidRPr="00D2320B">
        <w:rPr>
          <w:rFonts w:asciiTheme="majorBidi" w:hAnsiTheme="majorBidi" w:cstheme="majorBidi"/>
          <w:sz w:val="20"/>
          <w:szCs w:val="20"/>
        </w:rPr>
        <w:t xml:space="preserve"> </w:t>
      </w:r>
      <w:r w:rsidRPr="00D2320B">
        <w:rPr>
          <w:rFonts w:ascii="Times New Roman" w:hAnsi="Times New Roman" w:cs="Times New Roman"/>
          <w:bCs/>
          <w:i/>
          <w:iCs/>
          <w:sz w:val="20"/>
          <w:szCs w:val="20"/>
        </w:rPr>
        <w:t>Steam Packet</w:t>
      </w:r>
      <w:r w:rsidRPr="00D2320B">
        <w:rPr>
          <w:rFonts w:asciiTheme="majorBidi" w:hAnsiTheme="majorBidi" w:cstheme="majorBidi"/>
          <w:bCs/>
          <w:sz w:val="20"/>
          <w:szCs w:val="20"/>
        </w:rPr>
        <w:t>, p. 46.</w:t>
      </w:r>
    </w:p>
  </w:footnote>
  <w:footnote w:id="190">
    <w:p w:rsidR="003515E3" w:rsidRPr="00D2320B" w:rsidRDefault="003515E3" w:rsidP="001151C3">
      <w:pPr>
        <w:pStyle w:val="FootnoteText"/>
        <w:spacing w:after="0" w:line="240" w:lineRule="auto"/>
        <w:rPr>
          <w:rFonts w:ascii="Times New Roman" w:hAnsi="Times New Roman"/>
        </w:rPr>
      </w:pPr>
      <w:r w:rsidRPr="00D2320B">
        <w:rPr>
          <w:rStyle w:val="FootnoteReference"/>
          <w:rFonts w:ascii="Times New Roman" w:hAnsi="Times New Roman"/>
        </w:rPr>
        <w:footnoteRef/>
      </w:r>
      <w:r w:rsidRPr="00D2320B">
        <w:rPr>
          <w:rFonts w:ascii="Times New Roman" w:hAnsi="Times New Roman"/>
        </w:rPr>
        <w:t xml:space="preserve"> George W. M. Re</w:t>
      </w:r>
      <w:r w:rsidRPr="00D2320B">
        <w:rPr>
          <w:rFonts w:ascii="Times New Roman" w:hAnsi="Times New Roman"/>
          <w:bCs/>
        </w:rPr>
        <w:t xml:space="preserve">ynolds, </w:t>
      </w:r>
      <w:r w:rsidRPr="00D2320B">
        <w:rPr>
          <w:rFonts w:asciiTheme="majorBidi" w:hAnsiTheme="majorBidi" w:cstheme="majorBidi"/>
          <w:bCs/>
          <w:i/>
          <w:iCs/>
        </w:rPr>
        <w:t>Robert Macaire in England</w:t>
      </w:r>
      <w:r w:rsidRPr="00D2320B">
        <w:rPr>
          <w:rFonts w:asciiTheme="majorBidi" w:hAnsiTheme="majorBidi" w:cstheme="majorBidi"/>
          <w:bCs/>
          <w:iCs/>
        </w:rPr>
        <w:t>, 2</w:t>
      </w:r>
      <w:r w:rsidRPr="00D2320B">
        <w:rPr>
          <w:rFonts w:asciiTheme="majorBidi" w:hAnsiTheme="majorBidi" w:cstheme="majorBidi"/>
          <w:bCs/>
          <w:iCs/>
          <w:vertAlign w:val="superscript"/>
        </w:rPr>
        <w:t>nd</w:t>
      </w:r>
      <w:r w:rsidRPr="00D2320B">
        <w:rPr>
          <w:rFonts w:asciiTheme="majorBidi" w:hAnsiTheme="majorBidi" w:cstheme="majorBidi"/>
          <w:bCs/>
          <w:iCs/>
        </w:rPr>
        <w:t xml:space="preserve"> edn </w:t>
      </w:r>
      <w:r w:rsidRPr="00D2320B">
        <w:rPr>
          <w:rFonts w:asciiTheme="majorBidi" w:hAnsiTheme="majorBidi" w:cstheme="majorBidi"/>
          <w:iCs/>
        </w:rPr>
        <w:t>(London: Tegg, 1845)</w:t>
      </w:r>
      <w:r w:rsidRPr="00D2320B">
        <w:rPr>
          <w:rFonts w:ascii="Times New Roman" w:hAnsi="Times New Roman"/>
        </w:rPr>
        <w:t>, p. 107.</w:t>
      </w:r>
    </w:p>
  </w:footnote>
  <w:footnote w:id="191">
    <w:p w:rsidR="003515E3" w:rsidRPr="00D2320B" w:rsidRDefault="003515E3" w:rsidP="001151C3">
      <w:pPr>
        <w:pStyle w:val="FootnoteText"/>
        <w:spacing w:after="0" w:line="240" w:lineRule="auto"/>
        <w:rPr>
          <w:rFonts w:ascii="Times New Roman" w:hAnsi="Times New Roman"/>
        </w:rPr>
      </w:pPr>
      <w:r w:rsidRPr="00D2320B">
        <w:rPr>
          <w:rStyle w:val="FootnoteReference"/>
          <w:rFonts w:ascii="Times New Roman" w:hAnsi="Times New Roman"/>
        </w:rPr>
        <w:footnoteRef/>
      </w:r>
      <w:r w:rsidRPr="00D2320B">
        <w:rPr>
          <w:rFonts w:ascii="Times New Roman" w:hAnsi="Times New Roman"/>
        </w:rPr>
        <w:t xml:space="preserve"> Norman Russell points to the negative portrayal of the stock market and the role played by jobbers and brokers in various novels from the 1820s through the mid-Victorian period, citing among others. Charles Dickens’s </w:t>
      </w:r>
      <w:r w:rsidRPr="00D2320B">
        <w:rPr>
          <w:rFonts w:ascii="Times New Roman" w:hAnsi="Times New Roman"/>
          <w:i/>
        </w:rPr>
        <w:t>Martin Chuzzlewit</w:t>
      </w:r>
      <w:r w:rsidRPr="00D2320B">
        <w:rPr>
          <w:rFonts w:ascii="Times New Roman" w:hAnsi="Times New Roman"/>
        </w:rPr>
        <w:t xml:space="preserve"> (1842–44), Samuel Warren’s </w:t>
      </w:r>
      <w:r w:rsidRPr="00D2320B">
        <w:rPr>
          <w:rFonts w:ascii="Times New Roman" w:hAnsi="Times New Roman"/>
          <w:i/>
          <w:iCs/>
        </w:rPr>
        <w:t>Passages from the Diary of a Late Physician</w:t>
      </w:r>
      <w:r w:rsidRPr="00D2320B">
        <w:rPr>
          <w:rFonts w:ascii="Times New Roman" w:hAnsi="Times New Roman"/>
        </w:rPr>
        <w:t xml:space="preserve"> (1838) and Anthony Trollope’s </w:t>
      </w:r>
      <w:r w:rsidRPr="00D2320B">
        <w:rPr>
          <w:rFonts w:ascii="Times New Roman" w:hAnsi="Times New Roman"/>
          <w:i/>
          <w:iCs/>
        </w:rPr>
        <w:t>The Way We Live Now</w:t>
      </w:r>
      <w:r w:rsidRPr="00D2320B">
        <w:rPr>
          <w:rFonts w:ascii="Times New Roman" w:hAnsi="Times New Roman"/>
        </w:rPr>
        <w:t xml:space="preserve"> (1875).  Russell takes a more positive view: ‘By the 1840s the profession of stock jobbing had become not only respectable, but essential to the operation of both public and private commerce.’  He notes approvingly Dickens’s portrayal of the stockbroker Wilkins Flasher who despite his vulgar name sells Tony Weller’s holding in the funds in an efficient and business-like manner.  See Norman Russell, </w:t>
      </w:r>
      <w:r w:rsidRPr="00D2320B">
        <w:rPr>
          <w:rFonts w:ascii="Times New Roman" w:hAnsi="Times New Roman"/>
          <w:i/>
        </w:rPr>
        <w:t>The Novelist and Mammon: Literary Responses to the World of Commerce in the Nineteenth Century</w:t>
      </w:r>
      <w:r w:rsidRPr="00D2320B">
        <w:rPr>
          <w:rFonts w:ascii="Times New Roman" w:hAnsi="Times New Roman"/>
        </w:rPr>
        <w:t xml:space="preserve"> (Oxford: Clarendon Press, 1986), pp. 25–42.</w:t>
      </w:r>
    </w:p>
  </w:footnote>
  <w:footnote w:id="192">
    <w:p w:rsidR="003515E3" w:rsidRPr="00317002" w:rsidRDefault="003515E3" w:rsidP="001151C3">
      <w:pPr>
        <w:pStyle w:val="FootnoteText"/>
        <w:spacing w:after="0" w:line="240" w:lineRule="auto"/>
        <w:rPr>
          <w:rFonts w:asciiTheme="majorBidi" w:hAnsiTheme="majorBidi" w:cstheme="majorBidi"/>
        </w:rPr>
      </w:pPr>
      <w:r w:rsidRPr="00D2320B">
        <w:rPr>
          <w:rStyle w:val="FootnoteReference"/>
          <w:rFonts w:asciiTheme="majorBidi" w:hAnsiTheme="majorBidi" w:cstheme="majorBidi"/>
        </w:rPr>
        <w:footnoteRef/>
      </w:r>
      <w:r w:rsidRPr="00D2320B">
        <w:rPr>
          <w:rFonts w:asciiTheme="majorBidi" w:hAnsiTheme="majorBidi" w:cstheme="majorBidi"/>
        </w:rPr>
        <w:t xml:space="preserve"> </w:t>
      </w:r>
      <w:r w:rsidRPr="00D2320B">
        <w:rPr>
          <w:rFonts w:asciiTheme="majorBidi" w:hAnsiTheme="majorBidi" w:cstheme="majorBidi"/>
          <w:i/>
        </w:rPr>
        <w:t>Mysteries of London</w:t>
      </w:r>
      <w:r w:rsidRPr="00D2320B">
        <w:rPr>
          <w:rFonts w:asciiTheme="majorBidi" w:hAnsiTheme="majorBidi" w:cstheme="majorBidi"/>
        </w:rPr>
        <w:t>, II, 95</w:t>
      </w:r>
      <w:r w:rsidRPr="00D2320B">
        <w:rPr>
          <w:rFonts w:ascii="Times New Roman" w:hAnsi="Times New Roman"/>
        </w:rPr>
        <w:t>–</w:t>
      </w:r>
      <w:r w:rsidRPr="00D2320B">
        <w:rPr>
          <w:rFonts w:asciiTheme="majorBidi" w:hAnsiTheme="majorBidi" w:cstheme="majorBidi"/>
        </w:rPr>
        <w:t xml:space="preserve">96.  </w:t>
      </w:r>
      <w:r w:rsidRPr="00317002">
        <w:rPr>
          <w:rFonts w:ascii="Times New Roman" w:hAnsi="Times New Roman"/>
        </w:rPr>
        <w:t xml:space="preserve">In </w:t>
      </w:r>
      <w:r w:rsidRPr="00317002">
        <w:rPr>
          <w:rFonts w:asciiTheme="majorBidi" w:hAnsiTheme="majorBidi" w:cstheme="majorBidi"/>
          <w:bCs/>
          <w:i/>
          <w:iCs/>
        </w:rPr>
        <w:t>Pickwick Abroad</w:t>
      </w:r>
      <w:r w:rsidRPr="00317002">
        <w:rPr>
          <w:rFonts w:ascii="Times New Roman" w:hAnsi="Times New Roman"/>
        </w:rPr>
        <w:t xml:space="preserve"> there is </w:t>
      </w:r>
      <w:r w:rsidRPr="00317002">
        <w:rPr>
          <w:rFonts w:asciiTheme="majorBidi" w:hAnsiTheme="majorBidi" w:cstheme="majorBidi"/>
        </w:rPr>
        <w:t xml:space="preserve">the fraudulent ‘Universal Stone-Expelling and Asphaltum-Substituting Equitable Company’ set up by William Sugden, under the alias of Captain Horatio Clarence Walsingham, and his associates Messrs. Snuffery and Muggins.  See </w:t>
      </w:r>
      <w:r w:rsidRPr="00317002">
        <w:rPr>
          <w:rFonts w:asciiTheme="majorBidi" w:hAnsiTheme="majorBidi" w:cstheme="majorBidi"/>
          <w:bCs/>
          <w:i/>
          <w:iCs/>
        </w:rPr>
        <w:t>Pickwick Abroad</w:t>
      </w:r>
      <w:r w:rsidRPr="00317002">
        <w:rPr>
          <w:rFonts w:asciiTheme="majorBidi" w:hAnsiTheme="majorBidi" w:cstheme="majorBidi"/>
          <w:bCs/>
        </w:rPr>
        <w:t>, pp. 404</w:t>
      </w:r>
      <w:r w:rsidRPr="00317002">
        <w:rPr>
          <w:rFonts w:ascii="Times New Roman" w:hAnsi="Times New Roman"/>
        </w:rPr>
        <w:t>–</w:t>
      </w:r>
      <w:r w:rsidRPr="00317002">
        <w:rPr>
          <w:rFonts w:asciiTheme="majorBidi" w:hAnsiTheme="majorBidi" w:cstheme="majorBidi"/>
          <w:bCs/>
        </w:rPr>
        <w:t>13.</w:t>
      </w:r>
    </w:p>
  </w:footnote>
  <w:footnote w:id="193">
    <w:p w:rsidR="003515E3" w:rsidRPr="00D2320B" w:rsidRDefault="003515E3" w:rsidP="001151C3">
      <w:pPr>
        <w:pStyle w:val="FootnoteText"/>
        <w:spacing w:after="0" w:line="240" w:lineRule="auto"/>
        <w:rPr>
          <w:rFonts w:asciiTheme="majorBidi" w:hAnsiTheme="majorBidi" w:cstheme="majorBidi"/>
        </w:rPr>
      </w:pPr>
      <w:r w:rsidRPr="00D2320B">
        <w:rPr>
          <w:rStyle w:val="FootnoteReference"/>
          <w:rFonts w:asciiTheme="majorBidi" w:hAnsiTheme="majorBidi" w:cstheme="majorBidi"/>
        </w:rPr>
        <w:footnoteRef/>
      </w:r>
      <w:r w:rsidRPr="00D2320B">
        <w:rPr>
          <w:rFonts w:asciiTheme="majorBidi" w:hAnsiTheme="majorBidi" w:cstheme="majorBidi"/>
        </w:rPr>
        <w:t xml:space="preserve"> </w:t>
      </w:r>
      <w:r w:rsidRPr="00D2320B">
        <w:rPr>
          <w:rFonts w:asciiTheme="majorBidi" w:hAnsiTheme="majorBidi" w:cstheme="majorBidi"/>
          <w:i/>
        </w:rPr>
        <w:t>Mysteries of London</w:t>
      </w:r>
      <w:r w:rsidRPr="00D2320B">
        <w:rPr>
          <w:rFonts w:asciiTheme="majorBidi" w:hAnsiTheme="majorBidi" w:cstheme="majorBidi"/>
        </w:rPr>
        <w:t>, I, 163.</w:t>
      </w:r>
    </w:p>
  </w:footnote>
  <w:footnote w:id="194">
    <w:p w:rsidR="003515E3" w:rsidRPr="00D2320B" w:rsidRDefault="003515E3" w:rsidP="001151C3">
      <w:pPr>
        <w:pStyle w:val="FootnoteText"/>
        <w:spacing w:after="0" w:line="240" w:lineRule="auto"/>
        <w:rPr>
          <w:rFonts w:asciiTheme="majorBidi" w:hAnsiTheme="majorBidi" w:cstheme="majorBidi"/>
        </w:rPr>
      </w:pPr>
      <w:r w:rsidRPr="00D2320B">
        <w:rPr>
          <w:rStyle w:val="FootnoteReference"/>
          <w:rFonts w:asciiTheme="majorBidi" w:hAnsiTheme="majorBidi" w:cstheme="majorBidi"/>
        </w:rPr>
        <w:footnoteRef/>
      </w:r>
      <w:r w:rsidRPr="00D2320B">
        <w:rPr>
          <w:rFonts w:asciiTheme="majorBidi" w:hAnsiTheme="majorBidi" w:cstheme="majorBidi"/>
        </w:rPr>
        <w:t xml:space="preserve"> </w:t>
      </w:r>
      <w:r w:rsidRPr="00D2320B">
        <w:rPr>
          <w:rFonts w:asciiTheme="majorBidi" w:hAnsiTheme="majorBidi" w:cstheme="majorBidi"/>
          <w:i/>
        </w:rPr>
        <w:t>Mysteries of London</w:t>
      </w:r>
      <w:r w:rsidRPr="00D2320B">
        <w:rPr>
          <w:rFonts w:asciiTheme="majorBidi" w:hAnsiTheme="majorBidi" w:cstheme="majorBidi"/>
        </w:rPr>
        <w:t>, I, 163.</w:t>
      </w:r>
    </w:p>
  </w:footnote>
  <w:footnote w:id="195">
    <w:p w:rsidR="003515E3" w:rsidRPr="00D2320B" w:rsidRDefault="003515E3" w:rsidP="001151C3">
      <w:pPr>
        <w:pStyle w:val="FootnoteText"/>
        <w:spacing w:after="0" w:line="240" w:lineRule="auto"/>
        <w:rPr>
          <w:rFonts w:asciiTheme="majorBidi" w:hAnsiTheme="majorBidi" w:cstheme="majorBidi"/>
        </w:rPr>
      </w:pPr>
      <w:r w:rsidRPr="00D2320B">
        <w:rPr>
          <w:rStyle w:val="FootnoteReference"/>
          <w:rFonts w:asciiTheme="majorBidi" w:hAnsiTheme="majorBidi" w:cstheme="majorBidi"/>
        </w:rPr>
        <w:footnoteRef/>
      </w:r>
      <w:r w:rsidRPr="00D2320B">
        <w:rPr>
          <w:rFonts w:asciiTheme="majorBidi" w:hAnsiTheme="majorBidi" w:cstheme="majorBidi"/>
        </w:rPr>
        <w:t xml:space="preserve"> Wade outlined these abuses in great detail.  See John Wade, </w:t>
      </w:r>
      <w:r w:rsidRPr="00D2320B">
        <w:rPr>
          <w:rFonts w:asciiTheme="majorBidi" w:hAnsiTheme="majorBidi" w:cstheme="majorBidi"/>
          <w:i/>
        </w:rPr>
        <w:t>The Extraordinary Black Book.  An Exposition of Abuses in Church and State</w:t>
      </w:r>
      <w:r w:rsidRPr="00D2320B">
        <w:rPr>
          <w:rFonts w:asciiTheme="majorBidi" w:hAnsiTheme="majorBidi" w:cstheme="majorBidi"/>
        </w:rPr>
        <w:t xml:space="preserve"> (London: Effingham Wilson, 1832; repr. New York, Kelley, 1970), pp. 479</w:t>
      </w:r>
      <w:r w:rsidRPr="00D2320B">
        <w:rPr>
          <w:rFonts w:ascii="Times New Roman" w:hAnsi="Times New Roman"/>
        </w:rPr>
        <w:t>–</w:t>
      </w:r>
      <w:r w:rsidRPr="00D2320B">
        <w:rPr>
          <w:rFonts w:asciiTheme="majorBidi" w:hAnsiTheme="majorBidi" w:cstheme="majorBidi"/>
        </w:rPr>
        <w:t>504.</w:t>
      </w:r>
    </w:p>
  </w:footnote>
  <w:footnote w:id="196">
    <w:p w:rsidR="003515E3" w:rsidRPr="00D2320B" w:rsidRDefault="003515E3" w:rsidP="001151C3">
      <w:pPr>
        <w:pStyle w:val="FootnoteText"/>
        <w:spacing w:after="0" w:line="240" w:lineRule="auto"/>
        <w:rPr>
          <w:rFonts w:asciiTheme="majorBidi" w:hAnsiTheme="majorBidi" w:cstheme="majorBidi"/>
        </w:rPr>
      </w:pPr>
      <w:r w:rsidRPr="00D2320B">
        <w:rPr>
          <w:rStyle w:val="FootnoteReference"/>
          <w:rFonts w:asciiTheme="majorBidi" w:hAnsiTheme="majorBidi" w:cstheme="majorBidi"/>
        </w:rPr>
        <w:footnoteRef/>
      </w:r>
      <w:r w:rsidRPr="00D2320B">
        <w:rPr>
          <w:rFonts w:asciiTheme="majorBidi" w:hAnsiTheme="majorBidi" w:cstheme="majorBidi"/>
        </w:rPr>
        <w:t xml:space="preserve"> </w:t>
      </w:r>
      <w:r w:rsidRPr="00D2320B">
        <w:rPr>
          <w:rFonts w:asciiTheme="majorBidi" w:hAnsiTheme="majorBidi" w:cstheme="majorBidi"/>
          <w:i/>
        </w:rPr>
        <w:t>Extraordinary Black Book</w:t>
      </w:r>
      <w:r w:rsidRPr="00D2320B">
        <w:rPr>
          <w:rFonts w:asciiTheme="majorBidi" w:hAnsiTheme="majorBidi" w:cstheme="majorBidi"/>
        </w:rPr>
        <w:t xml:space="preserve">, p. 273.  Wade admired Owen for his good intentions, ‘we always respect the motives of men whom we see constantly devoting their means and energies to the good of mankind’, but saw his theories as doomed to failure due to human nature: ‘the claims of merit would not be recognized […] the indolent would reap the rewards of the industrious, the vicious of the more deserving’.  See </w:t>
      </w:r>
      <w:r w:rsidRPr="00D2320B">
        <w:rPr>
          <w:rFonts w:asciiTheme="majorBidi" w:hAnsiTheme="majorBidi" w:cstheme="majorBidi"/>
          <w:i/>
        </w:rPr>
        <w:t>Extraordinary Black Book</w:t>
      </w:r>
      <w:r w:rsidRPr="00D2320B">
        <w:rPr>
          <w:rFonts w:asciiTheme="majorBidi" w:hAnsiTheme="majorBidi" w:cstheme="majorBidi"/>
        </w:rPr>
        <w:t>, pp. 272</w:t>
      </w:r>
      <w:r w:rsidRPr="00D2320B">
        <w:rPr>
          <w:rFonts w:ascii="Times New Roman" w:hAnsi="Times New Roman"/>
        </w:rPr>
        <w:t>–</w:t>
      </w:r>
      <w:r w:rsidRPr="00D2320B">
        <w:rPr>
          <w:rFonts w:asciiTheme="majorBidi" w:hAnsiTheme="majorBidi" w:cstheme="majorBidi"/>
        </w:rPr>
        <w:t>73.</w:t>
      </w:r>
    </w:p>
  </w:footnote>
  <w:footnote w:id="197">
    <w:p w:rsidR="003515E3" w:rsidRPr="00D2320B" w:rsidRDefault="003515E3" w:rsidP="001151C3">
      <w:pPr>
        <w:pStyle w:val="FootnoteText"/>
        <w:spacing w:after="0" w:line="240" w:lineRule="auto"/>
        <w:rPr>
          <w:rFonts w:asciiTheme="majorBidi" w:hAnsiTheme="majorBidi" w:cstheme="majorBidi"/>
        </w:rPr>
      </w:pPr>
      <w:r w:rsidRPr="00D2320B">
        <w:rPr>
          <w:rStyle w:val="FootnoteReference"/>
          <w:rFonts w:asciiTheme="majorBidi" w:hAnsiTheme="majorBidi" w:cstheme="majorBidi"/>
        </w:rPr>
        <w:footnoteRef/>
      </w:r>
      <w:r w:rsidRPr="00D2320B">
        <w:rPr>
          <w:rFonts w:asciiTheme="majorBidi" w:hAnsiTheme="majorBidi" w:cstheme="majorBidi"/>
        </w:rPr>
        <w:t xml:space="preserve"> John Wade, </w:t>
      </w:r>
      <w:r w:rsidRPr="00D2320B">
        <w:rPr>
          <w:rFonts w:asciiTheme="majorBidi" w:hAnsiTheme="majorBidi" w:cstheme="majorBidi"/>
          <w:i/>
        </w:rPr>
        <w:t>History of the Middle and Working Classes</w:t>
      </w:r>
      <w:r w:rsidRPr="00D2320B">
        <w:rPr>
          <w:rFonts w:asciiTheme="majorBidi" w:hAnsiTheme="majorBidi" w:cstheme="majorBidi"/>
        </w:rPr>
        <w:t xml:space="preserve"> (London: Effingham Wilson, 1833; repr. New York, Kelley, 1966), p. 165.</w:t>
      </w:r>
    </w:p>
  </w:footnote>
  <w:footnote w:id="198">
    <w:p w:rsidR="003515E3" w:rsidRPr="00D2320B" w:rsidRDefault="003515E3" w:rsidP="001151C3">
      <w:pPr>
        <w:pStyle w:val="FootnoteText"/>
        <w:spacing w:after="0" w:line="240" w:lineRule="auto"/>
        <w:rPr>
          <w:rFonts w:asciiTheme="majorBidi" w:hAnsiTheme="majorBidi" w:cstheme="majorBidi"/>
        </w:rPr>
      </w:pPr>
      <w:r w:rsidRPr="00D2320B">
        <w:rPr>
          <w:rStyle w:val="FootnoteReference"/>
          <w:rFonts w:asciiTheme="majorBidi" w:hAnsiTheme="majorBidi" w:cstheme="majorBidi"/>
        </w:rPr>
        <w:footnoteRef/>
      </w:r>
      <w:r w:rsidRPr="00D2320B">
        <w:rPr>
          <w:rFonts w:asciiTheme="majorBidi" w:hAnsiTheme="majorBidi" w:cstheme="majorBidi"/>
        </w:rPr>
        <w:t xml:space="preserve"> </w:t>
      </w:r>
      <w:r w:rsidRPr="00D2320B">
        <w:rPr>
          <w:rFonts w:ascii="Times New Roman" w:hAnsi="Times New Roman"/>
        </w:rPr>
        <w:t xml:space="preserve">G. W. M. Reynolds, ‘Lead Article’, </w:t>
      </w:r>
      <w:r w:rsidRPr="00D2320B">
        <w:rPr>
          <w:rFonts w:ascii="Times New Roman" w:hAnsi="Times New Roman"/>
          <w:i/>
        </w:rPr>
        <w:t>Teetotaler,</w:t>
      </w:r>
      <w:r w:rsidRPr="00D2320B">
        <w:rPr>
          <w:rFonts w:ascii="Times New Roman" w:hAnsi="Times New Roman"/>
        </w:rPr>
        <w:t xml:space="preserve"> 19 September 1840, </w:t>
      </w:r>
      <w:r w:rsidRPr="00D2320B">
        <w:rPr>
          <w:rFonts w:asciiTheme="majorBidi" w:hAnsiTheme="majorBidi" w:cstheme="majorBidi"/>
        </w:rPr>
        <w:t>p. 100.</w:t>
      </w:r>
    </w:p>
  </w:footnote>
  <w:footnote w:id="199">
    <w:p w:rsidR="003515E3" w:rsidRPr="00D2320B" w:rsidRDefault="003515E3" w:rsidP="001151C3">
      <w:pPr>
        <w:pStyle w:val="FootnoteText"/>
        <w:spacing w:after="0" w:line="240" w:lineRule="auto"/>
        <w:rPr>
          <w:rFonts w:asciiTheme="majorBidi" w:hAnsiTheme="majorBidi" w:cstheme="majorBidi"/>
        </w:rPr>
      </w:pPr>
      <w:r w:rsidRPr="00D2320B">
        <w:rPr>
          <w:rStyle w:val="FootnoteReference"/>
          <w:rFonts w:asciiTheme="majorBidi" w:hAnsiTheme="majorBidi" w:cstheme="majorBidi"/>
        </w:rPr>
        <w:footnoteRef/>
      </w:r>
      <w:r w:rsidRPr="00D2320B">
        <w:rPr>
          <w:rFonts w:asciiTheme="majorBidi" w:hAnsiTheme="majorBidi" w:cstheme="majorBidi"/>
        </w:rPr>
        <w:t xml:space="preserve"> </w:t>
      </w:r>
      <w:r w:rsidRPr="00D2320B">
        <w:rPr>
          <w:rFonts w:asciiTheme="majorBidi" w:hAnsiTheme="majorBidi" w:cstheme="majorBidi"/>
          <w:i/>
        </w:rPr>
        <w:t>Days of Hogarth</w:t>
      </w:r>
      <w:r w:rsidRPr="00D2320B">
        <w:rPr>
          <w:rFonts w:asciiTheme="majorBidi" w:hAnsiTheme="majorBidi" w:cstheme="majorBidi"/>
        </w:rPr>
        <w:t>, p. 44.</w:t>
      </w:r>
    </w:p>
  </w:footnote>
  <w:footnote w:id="200">
    <w:p w:rsidR="003515E3" w:rsidRPr="00200909" w:rsidRDefault="003515E3" w:rsidP="001151C3">
      <w:pPr>
        <w:pStyle w:val="FootnoteText"/>
        <w:spacing w:after="0" w:line="240" w:lineRule="auto"/>
      </w:pPr>
      <w:r w:rsidRPr="00D2320B">
        <w:rPr>
          <w:rStyle w:val="FootnoteReference"/>
          <w:rFonts w:ascii="Times New Roman" w:hAnsi="Times New Roman"/>
        </w:rPr>
        <w:footnoteRef/>
      </w:r>
      <w:r w:rsidRPr="00D2320B">
        <w:rPr>
          <w:rFonts w:ascii="Times New Roman" w:hAnsi="Times New Roman"/>
        </w:rPr>
        <w:t xml:space="preserve"> </w:t>
      </w:r>
      <w:r w:rsidRPr="00D2320B">
        <w:rPr>
          <w:rFonts w:asciiTheme="majorBidi" w:hAnsiTheme="majorBidi" w:cstheme="majorBidi"/>
        </w:rPr>
        <w:t xml:space="preserve">Anonymous, </w:t>
      </w:r>
      <w:r w:rsidRPr="00D2320B">
        <w:rPr>
          <w:rFonts w:ascii="Times New Roman" w:hAnsi="Times New Roman"/>
        </w:rPr>
        <w:t xml:space="preserve">‘Annual Holiday at Mr. Reynolds’s Establishment’, </w:t>
      </w:r>
      <w:r w:rsidRPr="00D2320B">
        <w:rPr>
          <w:rFonts w:ascii="Times New Roman" w:hAnsi="Times New Roman"/>
          <w:i/>
        </w:rPr>
        <w:t>Reynolds’s Newspaper</w:t>
      </w:r>
      <w:r w:rsidRPr="00D2320B">
        <w:rPr>
          <w:rFonts w:ascii="Times New Roman" w:hAnsi="Times New Roman"/>
        </w:rPr>
        <w:t xml:space="preserve">, 29 June 1851, p. 14.  Reynolds continued by saying he </w:t>
      </w:r>
      <w:r w:rsidRPr="00200909">
        <w:rPr>
          <w:rFonts w:ascii="Times New Roman" w:hAnsi="Times New Roman"/>
        </w:rPr>
        <w:t>hoped to see the time when they all might meet upon that footing of full and perfect equality which would be most conducive to the happiness and prosperity of the world’.</w:t>
      </w:r>
    </w:p>
  </w:footnote>
  <w:footnote w:id="201">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Robert Owen, </w:t>
      </w:r>
      <w:r w:rsidRPr="00200909">
        <w:rPr>
          <w:rFonts w:ascii="Times New Roman" w:hAnsi="Times New Roman"/>
          <w:i/>
        </w:rPr>
        <w:t xml:space="preserve">The Book of the New Moral World, </w:t>
      </w:r>
      <w:r w:rsidRPr="00200909">
        <w:rPr>
          <w:rFonts w:ascii="Times New Roman" w:hAnsi="Times New Roman"/>
        </w:rPr>
        <w:t>7 parts (New York: Kelley, 1970), VII, pp. 48–49.</w:t>
      </w:r>
    </w:p>
  </w:footnote>
  <w:footnote w:id="202">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Owen writes ‘those […] whose activity is directed by the false notions of their forefathers, will of course endeavour to obstruct the change’.  See Robert Owen, ‘A New View of Society; or, Essays on the Principle of the Formation of the Human Character’, in </w:t>
      </w:r>
      <w:r w:rsidRPr="00200909">
        <w:rPr>
          <w:rFonts w:ascii="Times New Roman" w:hAnsi="Times New Roman"/>
          <w:i/>
          <w:iCs/>
        </w:rPr>
        <w:t>A New View of Society and Other Writings</w:t>
      </w:r>
      <w:r w:rsidRPr="00200909">
        <w:rPr>
          <w:rFonts w:ascii="Times New Roman" w:hAnsi="Times New Roman"/>
        </w:rPr>
        <w:t xml:space="preserve"> (London: Dent &amp; Sons, 1966), pp. 3–90 (p.50).</w:t>
      </w:r>
    </w:p>
  </w:footnote>
  <w:footnote w:id="203">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‘A New View of Society’, p. 23.</w:t>
      </w:r>
    </w:p>
  </w:footnote>
  <w:footnote w:id="204">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imes New Roman" w:hAnsi="Times New Roman"/>
          <w:i/>
        </w:rPr>
        <w:t>The Book of the New Moral World</w:t>
      </w:r>
      <w:r w:rsidRPr="00200909">
        <w:rPr>
          <w:rFonts w:ascii="Times New Roman" w:hAnsi="Times New Roman"/>
          <w:iCs/>
        </w:rPr>
        <w:t>, I</w:t>
      </w:r>
      <w:r w:rsidRPr="00200909">
        <w:rPr>
          <w:rFonts w:ascii="Times New Roman" w:hAnsi="Times New Roman"/>
        </w:rPr>
        <w:t>, pp. 5–7.</w:t>
      </w:r>
    </w:p>
  </w:footnote>
  <w:footnote w:id="205">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Anonymous, ‘Socialism, or Mr. Owen’s New Moral World’, </w:t>
      </w:r>
      <w:r w:rsidRPr="00200909">
        <w:rPr>
          <w:rFonts w:ascii="Times New Roman" w:hAnsi="Times New Roman"/>
          <w:i/>
        </w:rPr>
        <w:t>Teetotaler</w:t>
      </w:r>
      <w:r w:rsidRPr="00200909">
        <w:rPr>
          <w:rFonts w:ascii="Times New Roman" w:hAnsi="Times New Roman"/>
        </w:rPr>
        <w:t xml:space="preserve">, 20 February 1841, pp.275–76 (p. 275). </w:t>
      </w:r>
    </w:p>
  </w:footnote>
  <w:footnote w:id="206">
    <w:p w:rsidR="003515E3" w:rsidRPr="002469F4"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Reynolds wrote: ‘The Roman Catholic Teetotal Societies, and the Honourable Orders of Rechabites, have also obtained their due share of attention in the pages of “The Teetotaler.”  We conceive that the former are all, collectively and individually, honoured in the veneration with which the illustrious name of FATHER</w:t>
      </w:r>
      <w:r w:rsidRPr="002469F4">
        <w:rPr>
          <w:rFonts w:ascii="Times New Roman" w:hAnsi="Times New Roman"/>
        </w:rPr>
        <w:t xml:space="preserve"> MATHEW is mentioned; the latter deserve universal commendation for the charitable views which actuate the operations of the Fraternity.’  See ‘Preface’, </w:t>
      </w:r>
      <w:r w:rsidRPr="002469F4">
        <w:rPr>
          <w:rFonts w:ascii="Times New Roman" w:hAnsi="Times New Roman"/>
          <w:i/>
        </w:rPr>
        <w:t>Teetotaler,</w:t>
      </w:r>
      <w:r w:rsidRPr="002469F4">
        <w:rPr>
          <w:rFonts w:ascii="Times New Roman" w:hAnsi="Times New Roman"/>
        </w:rPr>
        <w:t xml:space="preserve"> 17 April 1841, p. ii.</w:t>
      </w:r>
    </w:p>
  </w:footnote>
  <w:footnote w:id="207">
    <w:p w:rsidR="003515E3" w:rsidRPr="002469F4" w:rsidRDefault="003515E3" w:rsidP="001151C3">
      <w:pPr>
        <w:spacing w:after="0" w:line="240" w:lineRule="auto"/>
        <w:rPr>
          <w:rFonts w:ascii="Times New Roman" w:hAnsi="Times New Roman" w:cs="Times New Roman"/>
          <w:sz w:val="20"/>
          <w:szCs w:val="20"/>
        </w:rPr>
      </w:pPr>
      <w:r w:rsidRPr="002469F4">
        <w:rPr>
          <w:rStyle w:val="FootnoteReference"/>
          <w:rFonts w:ascii="Times New Roman" w:hAnsi="Times New Roman" w:cs="Times New Roman"/>
          <w:sz w:val="20"/>
          <w:szCs w:val="20"/>
        </w:rPr>
        <w:footnoteRef/>
      </w:r>
      <w:r w:rsidRPr="002469F4">
        <w:rPr>
          <w:rFonts w:ascii="Times New Roman" w:hAnsi="Times New Roman" w:cs="Times New Roman"/>
          <w:sz w:val="20"/>
          <w:szCs w:val="20"/>
        </w:rPr>
        <w:t xml:space="preserve"> The account given included the following: ‘it was intimated by Captain Trotter that some Socialists had found their way into the park, and were distributing their poisonous tracts.  He said he had the promotion of religion too much at heart to permit such conduct, and he called upon all to point out any socialist who pursued it, that they might be turned quietly out of the park.  The intruders were soon detected, and ejected.  The utmost abhorrence was expressed at their intrusion, and to show their detestation of their detestable principles the tee-totalers tore up their tracts and threw them to the winds.’  See Anonymous, ‘Grand Tee-Total Gala, Held in Dyrham Park, the Seat of Captain Trotter, August 10, 1840’, </w:t>
      </w:r>
      <w:r w:rsidRPr="002469F4">
        <w:rPr>
          <w:rFonts w:ascii="Times New Roman" w:hAnsi="Times New Roman" w:cs="Times New Roman"/>
          <w:i/>
          <w:sz w:val="20"/>
          <w:szCs w:val="20"/>
        </w:rPr>
        <w:t>London Tee-Total Magazine</w:t>
      </w:r>
      <w:r w:rsidRPr="002469F4">
        <w:rPr>
          <w:rFonts w:ascii="Times New Roman" w:hAnsi="Times New Roman" w:cs="Times New Roman"/>
          <w:sz w:val="20"/>
          <w:szCs w:val="20"/>
        </w:rPr>
        <w:t xml:space="preserve">, </w:t>
      </w:r>
      <w:r w:rsidRPr="002469F4">
        <w:rPr>
          <w:rFonts w:ascii="Times New Roman" w:hAnsi="Times New Roman" w:cs="Times New Roman"/>
          <w:i/>
          <w:sz w:val="20"/>
          <w:szCs w:val="20"/>
        </w:rPr>
        <w:t>and Literary Miscellany</w:t>
      </w:r>
      <w:r w:rsidRPr="002469F4">
        <w:rPr>
          <w:rFonts w:ascii="Times New Roman" w:hAnsi="Times New Roman" w:cs="Times New Roman"/>
          <w:sz w:val="20"/>
          <w:szCs w:val="20"/>
        </w:rPr>
        <w:t>, September 1840, pp. 283–90 (p. 286).</w:t>
      </w:r>
    </w:p>
  </w:footnote>
  <w:footnote w:id="208">
    <w:p w:rsidR="003515E3" w:rsidRPr="002469F4" w:rsidRDefault="003515E3" w:rsidP="001151C3">
      <w:pPr>
        <w:pStyle w:val="FootnoteText"/>
        <w:spacing w:after="0" w:line="240" w:lineRule="auto"/>
        <w:rPr>
          <w:rFonts w:ascii="Times New Roman" w:hAnsi="Times New Roman"/>
        </w:rPr>
      </w:pPr>
      <w:r w:rsidRPr="002469F4">
        <w:rPr>
          <w:rStyle w:val="FootnoteReference"/>
          <w:rFonts w:ascii="Times New Roman" w:hAnsi="Times New Roman"/>
        </w:rPr>
        <w:footnoteRef/>
      </w:r>
      <w:r w:rsidRPr="002469F4">
        <w:rPr>
          <w:rFonts w:ascii="Times New Roman" w:hAnsi="Times New Roman"/>
        </w:rPr>
        <w:t xml:space="preserve"> G. W. M. Reynolds, ‘Lead Article’, </w:t>
      </w:r>
      <w:r w:rsidRPr="002469F4">
        <w:rPr>
          <w:rFonts w:ascii="Times New Roman" w:hAnsi="Times New Roman"/>
          <w:i/>
        </w:rPr>
        <w:t>Teetotaler</w:t>
      </w:r>
      <w:r w:rsidRPr="002469F4">
        <w:rPr>
          <w:rFonts w:ascii="Times New Roman" w:hAnsi="Times New Roman"/>
        </w:rPr>
        <w:t>, 23 January 1841, pp. 244–45 (p. 244).</w:t>
      </w:r>
    </w:p>
  </w:footnote>
  <w:footnote w:id="209">
    <w:p w:rsidR="003515E3" w:rsidRPr="002469F4" w:rsidRDefault="003515E3" w:rsidP="001151C3">
      <w:pPr>
        <w:pStyle w:val="FootnoteText"/>
        <w:spacing w:after="0" w:line="240" w:lineRule="auto"/>
        <w:rPr>
          <w:rFonts w:ascii="Times New Roman" w:hAnsi="Times New Roman"/>
        </w:rPr>
      </w:pPr>
      <w:r w:rsidRPr="002469F4">
        <w:rPr>
          <w:rStyle w:val="FootnoteReference"/>
          <w:rFonts w:ascii="Times New Roman" w:hAnsi="Times New Roman"/>
        </w:rPr>
        <w:footnoteRef/>
      </w:r>
      <w:r w:rsidRPr="002469F4">
        <w:rPr>
          <w:rFonts w:ascii="Times New Roman" w:hAnsi="Times New Roman"/>
        </w:rPr>
        <w:t xml:space="preserve"> ‘A World of Which We Had No Conception’, (p. 132).</w:t>
      </w:r>
    </w:p>
  </w:footnote>
  <w:footnote w:id="210">
    <w:p w:rsidR="003515E3" w:rsidRPr="002469F4" w:rsidRDefault="003515E3" w:rsidP="001151C3">
      <w:pPr>
        <w:pStyle w:val="FootnoteText"/>
        <w:spacing w:after="0" w:line="240" w:lineRule="auto"/>
        <w:rPr>
          <w:rFonts w:ascii="Times New Roman" w:hAnsi="Times New Roman"/>
        </w:rPr>
      </w:pPr>
      <w:r w:rsidRPr="002469F4">
        <w:rPr>
          <w:rStyle w:val="FootnoteReference"/>
          <w:rFonts w:ascii="Times New Roman" w:hAnsi="Times New Roman"/>
        </w:rPr>
        <w:footnoteRef/>
      </w:r>
      <w:r w:rsidRPr="002469F4">
        <w:rPr>
          <w:rFonts w:ascii="Times New Roman" w:hAnsi="Times New Roman"/>
        </w:rPr>
        <w:t xml:space="preserve"> The notice for the East London Chartist Temperance Association appears in the ‘Advertisements’ column, </w:t>
      </w:r>
      <w:r w:rsidRPr="002469F4">
        <w:rPr>
          <w:rFonts w:ascii="Times New Roman" w:hAnsi="Times New Roman"/>
          <w:i/>
        </w:rPr>
        <w:t>Teetotaler,</w:t>
      </w:r>
      <w:r w:rsidRPr="002469F4">
        <w:rPr>
          <w:rFonts w:ascii="Times New Roman" w:hAnsi="Times New Roman"/>
        </w:rPr>
        <w:t xml:space="preserve"> 3 October, 1840, p. 119.</w:t>
      </w:r>
    </w:p>
  </w:footnote>
  <w:footnote w:id="211">
    <w:p w:rsidR="003515E3" w:rsidRPr="002469F4" w:rsidRDefault="003515E3" w:rsidP="001151C3">
      <w:pPr>
        <w:pStyle w:val="FootnoteText"/>
        <w:spacing w:after="0" w:line="240" w:lineRule="auto"/>
        <w:rPr>
          <w:rFonts w:ascii="Times New Roman" w:hAnsi="Times New Roman"/>
        </w:rPr>
      </w:pPr>
      <w:r w:rsidRPr="002469F4">
        <w:rPr>
          <w:rStyle w:val="FootnoteReference"/>
          <w:rFonts w:ascii="Times New Roman" w:hAnsi="Times New Roman"/>
        </w:rPr>
        <w:footnoteRef/>
      </w:r>
      <w:r w:rsidRPr="002469F4">
        <w:rPr>
          <w:rFonts w:ascii="Times New Roman" w:hAnsi="Times New Roman"/>
        </w:rPr>
        <w:t xml:space="preserve"> Anonymous, ‘The Chartist Teetotal Associations’, </w:t>
      </w:r>
      <w:r w:rsidRPr="002469F4">
        <w:rPr>
          <w:rFonts w:ascii="Times New Roman" w:hAnsi="Times New Roman"/>
          <w:i/>
        </w:rPr>
        <w:t>Teetotaler</w:t>
      </w:r>
      <w:r w:rsidRPr="002469F4">
        <w:rPr>
          <w:rFonts w:ascii="Times New Roman" w:hAnsi="Times New Roman"/>
        </w:rPr>
        <w:t>, 10 April, 1841, p. 336.</w:t>
      </w:r>
    </w:p>
  </w:footnote>
  <w:footnote w:id="212">
    <w:p w:rsidR="003515E3" w:rsidRPr="002469F4" w:rsidRDefault="003515E3" w:rsidP="001151C3">
      <w:pPr>
        <w:pStyle w:val="FootnoteText"/>
        <w:spacing w:after="0" w:line="240" w:lineRule="auto"/>
        <w:rPr>
          <w:rFonts w:ascii="Times New Roman" w:hAnsi="Times New Roman"/>
        </w:rPr>
      </w:pPr>
      <w:r w:rsidRPr="002469F4">
        <w:rPr>
          <w:rStyle w:val="FootnoteReference"/>
          <w:rFonts w:ascii="Times New Roman" w:hAnsi="Times New Roman"/>
        </w:rPr>
        <w:footnoteRef/>
      </w:r>
      <w:r w:rsidRPr="002469F4">
        <w:rPr>
          <w:rFonts w:ascii="Times New Roman" w:hAnsi="Times New Roman"/>
        </w:rPr>
        <w:t xml:space="preserve"> Anonymous, ‘Report of Teetotal News, Progress, and Meetings’, </w:t>
      </w:r>
      <w:r w:rsidRPr="002469F4">
        <w:rPr>
          <w:rFonts w:ascii="Times New Roman" w:hAnsi="Times New Roman"/>
          <w:i/>
        </w:rPr>
        <w:t>Teetotaler</w:t>
      </w:r>
      <w:r w:rsidRPr="002469F4">
        <w:rPr>
          <w:rFonts w:ascii="Times New Roman" w:hAnsi="Times New Roman"/>
        </w:rPr>
        <w:t>, 5 December 1840, pp. 191–92 (p. 192).</w:t>
      </w:r>
    </w:p>
  </w:footnote>
  <w:footnote w:id="213">
    <w:p w:rsidR="003515E3" w:rsidRPr="002469F4" w:rsidRDefault="003515E3" w:rsidP="001151C3">
      <w:pPr>
        <w:pStyle w:val="FootnoteText"/>
        <w:spacing w:after="0" w:line="240" w:lineRule="auto"/>
        <w:rPr>
          <w:rFonts w:ascii="Times New Roman" w:hAnsi="Times New Roman"/>
        </w:rPr>
      </w:pPr>
      <w:r w:rsidRPr="002469F4">
        <w:rPr>
          <w:rStyle w:val="FootnoteReference"/>
          <w:rFonts w:ascii="Times New Roman" w:hAnsi="Times New Roman"/>
        </w:rPr>
        <w:footnoteRef/>
      </w:r>
      <w:r w:rsidRPr="002469F4">
        <w:rPr>
          <w:rFonts w:ascii="Times New Roman" w:hAnsi="Times New Roman"/>
        </w:rPr>
        <w:t xml:space="preserve"> Henry Vincent, ‘To the Working Men of Great Britain’, </w:t>
      </w:r>
      <w:r w:rsidRPr="002469F4">
        <w:rPr>
          <w:rFonts w:ascii="Times New Roman" w:hAnsi="Times New Roman"/>
          <w:i/>
        </w:rPr>
        <w:t>Northern Star, and Leeds General Advertiser</w:t>
      </w:r>
      <w:r w:rsidRPr="002469F4">
        <w:rPr>
          <w:rFonts w:ascii="Times New Roman" w:hAnsi="Times New Roman"/>
        </w:rPr>
        <w:t>, 28 November 1840, p. 3.</w:t>
      </w:r>
    </w:p>
  </w:footnote>
  <w:footnote w:id="214">
    <w:p w:rsidR="003515E3" w:rsidRPr="002469F4" w:rsidRDefault="003515E3" w:rsidP="001151C3">
      <w:pPr>
        <w:pStyle w:val="FootnoteText"/>
        <w:spacing w:after="0" w:line="240" w:lineRule="auto"/>
        <w:rPr>
          <w:rFonts w:ascii="Times New Roman" w:hAnsi="Times New Roman"/>
        </w:rPr>
      </w:pPr>
      <w:r w:rsidRPr="002469F4">
        <w:rPr>
          <w:rStyle w:val="FootnoteReference"/>
          <w:rFonts w:ascii="Times New Roman" w:hAnsi="Times New Roman"/>
        </w:rPr>
        <w:footnoteRef/>
      </w:r>
      <w:r w:rsidRPr="002469F4">
        <w:rPr>
          <w:rFonts w:ascii="Times New Roman" w:hAnsi="Times New Roman"/>
        </w:rPr>
        <w:t xml:space="preserve"> David Jones, </w:t>
      </w:r>
      <w:r w:rsidRPr="002469F4">
        <w:rPr>
          <w:rFonts w:ascii="Times New Roman" w:hAnsi="Times New Roman"/>
          <w:i/>
        </w:rPr>
        <w:t>Chartism and the Chartists</w:t>
      </w:r>
      <w:r w:rsidRPr="002469F4">
        <w:rPr>
          <w:rFonts w:ascii="Times New Roman" w:hAnsi="Times New Roman"/>
        </w:rPr>
        <w:t xml:space="preserve"> (New York: St Martin’s Press, 1975), p. 53.</w:t>
      </w:r>
    </w:p>
  </w:footnote>
  <w:footnote w:id="215">
    <w:p w:rsidR="003515E3" w:rsidRPr="002469F4" w:rsidRDefault="003515E3" w:rsidP="001151C3">
      <w:pPr>
        <w:pStyle w:val="FootnoteText"/>
        <w:spacing w:after="0" w:line="240" w:lineRule="auto"/>
        <w:rPr>
          <w:rFonts w:ascii="Times New Roman" w:hAnsi="Times New Roman"/>
          <w:lang w:val="fr-FR"/>
        </w:rPr>
      </w:pPr>
      <w:r w:rsidRPr="002469F4">
        <w:rPr>
          <w:rStyle w:val="FootnoteReference"/>
          <w:rFonts w:ascii="Times New Roman" w:hAnsi="Times New Roman"/>
        </w:rPr>
        <w:footnoteRef/>
      </w:r>
      <w:r w:rsidRPr="002469F4">
        <w:rPr>
          <w:rFonts w:ascii="Times New Roman" w:hAnsi="Times New Roman"/>
          <w:lang w:val="fr-FR"/>
        </w:rPr>
        <w:t xml:space="preserve"> G. D. H. Cole, </w:t>
      </w:r>
      <w:r w:rsidRPr="002469F4">
        <w:rPr>
          <w:rFonts w:ascii="Times New Roman" w:hAnsi="Times New Roman"/>
          <w:i/>
          <w:lang w:val="fr-FR"/>
        </w:rPr>
        <w:t>Chartist Portraits</w:t>
      </w:r>
      <w:r w:rsidRPr="002469F4">
        <w:rPr>
          <w:rFonts w:ascii="Times New Roman" w:hAnsi="Times New Roman"/>
          <w:lang w:val="fr-FR"/>
        </w:rPr>
        <w:t xml:space="preserve"> (London, Macmillan, 1941)</w:t>
      </w:r>
      <w:r w:rsidRPr="002469F4">
        <w:rPr>
          <w:rFonts w:ascii="Times New Roman" w:hAnsi="Times New Roman"/>
          <w:i/>
          <w:lang w:val="fr-FR"/>
        </w:rPr>
        <w:t>,</w:t>
      </w:r>
      <w:r w:rsidRPr="002469F4">
        <w:rPr>
          <w:rFonts w:ascii="Times New Roman" w:hAnsi="Times New Roman"/>
          <w:lang w:val="fr-FR"/>
        </w:rPr>
        <w:t xml:space="preserve"> p. 71.</w:t>
      </w:r>
    </w:p>
  </w:footnote>
  <w:footnote w:id="216">
    <w:p w:rsidR="003515E3" w:rsidRPr="00200909" w:rsidRDefault="003515E3" w:rsidP="001151C3">
      <w:pPr>
        <w:pStyle w:val="FootnoteText"/>
        <w:spacing w:after="0" w:line="240" w:lineRule="auto"/>
        <w:rPr>
          <w:rFonts w:ascii="Times New Roman" w:hAnsi="Times New Roman"/>
        </w:rPr>
      </w:pPr>
      <w:r w:rsidRPr="002469F4">
        <w:rPr>
          <w:rStyle w:val="FootnoteReference"/>
          <w:rFonts w:ascii="Times New Roman" w:hAnsi="Times New Roman"/>
        </w:rPr>
        <w:footnoteRef/>
      </w:r>
      <w:r w:rsidRPr="002469F4">
        <w:rPr>
          <w:rFonts w:ascii="Times New Roman" w:hAnsi="Times New Roman"/>
        </w:rPr>
        <w:t xml:space="preserve"> Joseph Rayner Stephens, </w:t>
      </w:r>
      <w:r w:rsidRPr="002469F4">
        <w:rPr>
          <w:rFonts w:ascii="Times New Roman" w:hAnsi="Times New Roman"/>
          <w:i/>
        </w:rPr>
        <w:t>The Political Pulpit,</w:t>
      </w:r>
      <w:r w:rsidRPr="002469F4">
        <w:rPr>
          <w:rFonts w:ascii="Times New Roman" w:hAnsi="Times New Roman"/>
        </w:rPr>
        <w:t xml:space="preserve"> p. 208.  Stephens also challenged t</w:t>
      </w:r>
      <w:r w:rsidRPr="002469F4">
        <w:rPr>
          <w:rFonts w:asciiTheme="majorBidi" w:hAnsiTheme="majorBidi" w:cstheme="majorBidi"/>
          <w:lang w:val="en"/>
        </w:rPr>
        <w:t xml:space="preserve">he legitimacy of parliament: ‘if the </w:t>
      </w:r>
      <w:r w:rsidRPr="00200909">
        <w:rPr>
          <w:rFonts w:asciiTheme="majorBidi" w:hAnsiTheme="majorBidi" w:cstheme="majorBidi"/>
          <w:lang w:val="en"/>
        </w:rPr>
        <w:t>Government will not, or cannot, protect my person or property, then I owe no allegiance to that Government.’ See Stephens, ‘</w:t>
      </w:r>
      <w:r w:rsidRPr="00200909">
        <w:rPr>
          <w:rFonts w:ascii="Times New Roman" w:hAnsi="Times New Roman"/>
        </w:rPr>
        <w:t xml:space="preserve">The Political Pulpit, Numbers 1–13 (1839)’, in </w:t>
      </w:r>
      <w:r w:rsidRPr="00200909">
        <w:rPr>
          <w:rFonts w:ascii="Times New Roman" w:hAnsi="Times New Roman"/>
          <w:i/>
        </w:rPr>
        <w:t>The Chartist Movement in Britain 1838</w:t>
      </w:r>
      <w:r w:rsidRPr="00200909">
        <w:rPr>
          <w:rFonts w:ascii="Times New Roman" w:hAnsi="Times New Roman"/>
        </w:rPr>
        <w:t>–</w:t>
      </w:r>
      <w:r w:rsidRPr="00200909">
        <w:rPr>
          <w:rFonts w:ascii="Times New Roman" w:hAnsi="Times New Roman"/>
          <w:i/>
        </w:rPr>
        <w:t>1850</w:t>
      </w:r>
      <w:r w:rsidRPr="00200909">
        <w:rPr>
          <w:rFonts w:ascii="Times New Roman" w:hAnsi="Times New Roman"/>
        </w:rPr>
        <w:t>, ed. by Gregory Claeys, 6 vols (London: Pickering &amp; Chatto, 2001), I, 197–356 (p. 264).</w:t>
      </w:r>
    </w:p>
  </w:footnote>
  <w:footnote w:id="217">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Anonymous, ‘Public Meeting at Manchester, in Support of the Fund for the Defence of the Rev. J. R. Stephens’, </w:t>
      </w:r>
      <w:r w:rsidRPr="00200909">
        <w:rPr>
          <w:rFonts w:ascii="Times New Roman" w:hAnsi="Times New Roman"/>
          <w:i/>
        </w:rPr>
        <w:t>Northern Star, and Leeds General Advertiser</w:t>
      </w:r>
      <w:r w:rsidRPr="00200909">
        <w:rPr>
          <w:rFonts w:ascii="Times New Roman" w:hAnsi="Times New Roman"/>
        </w:rPr>
        <w:t>, 16 March 1839, p. 1.</w:t>
      </w:r>
    </w:p>
  </w:footnote>
  <w:footnote w:id="218">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Dorothy Thompson, </w:t>
      </w:r>
      <w:r w:rsidRPr="00200909">
        <w:rPr>
          <w:rFonts w:asciiTheme="majorBidi" w:hAnsiTheme="majorBidi" w:cstheme="majorBidi"/>
          <w:i/>
          <w:iCs/>
        </w:rPr>
        <w:t>The Chartists</w:t>
      </w:r>
      <w:r w:rsidRPr="00200909">
        <w:rPr>
          <w:rFonts w:asciiTheme="majorBidi" w:hAnsiTheme="majorBidi" w:cstheme="majorBidi"/>
        </w:rPr>
        <w:t xml:space="preserve"> (London: Temple Smith, 1984), pp. 79</w:t>
      </w:r>
      <w:r w:rsidRPr="00200909">
        <w:rPr>
          <w:rFonts w:ascii="Times New Roman" w:hAnsi="Times New Roman"/>
        </w:rPr>
        <w:t>–</w:t>
      </w:r>
      <w:r w:rsidRPr="00200909">
        <w:rPr>
          <w:rFonts w:asciiTheme="majorBidi" w:hAnsiTheme="majorBidi" w:cstheme="majorBidi"/>
        </w:rPr>
        <w:t>80.</w:t>
      </w:r>
    </w:p>
  </w:footnote>
  <w:footnote w:id="219">
    <w:p w:rsidR="003515E3" w:rsidRPr="002469F4" w:rsidRDefault="003515E3" w:rsidP="001151C3">
      <w:pPr>
        <w:pStyle w:val="FootnoteText"/>
        <w:spacing w:after="0" w:line="240" w:lineRule="auto"/>
        <w:rPr>
          <w:rFonts w:asciiTheme="majorBidi" w:hAnsiTheme="majorBidi" w:cstheme="majorBidi"/>
          <w:lang w:val="it-IT"/>
        </w:rPr>
      </w:pPr>
      <w:r w:rsidRPr="00200909">
        <w:rPr>
          <w:rStyle w:val="FootnoteReference"/>
          <w:rFonts w:asciiTheme="majorBidi" w:hAnsiTheme="majorBidi" w:cstheme="majorBidi"/>
        </w:rPr>
        <w:footnoteRef/>
      </w:r>
      <w:r w:rsidRPr="00200909">
        <w:rPr>
          <w:rFonts w:asciiTheme="majorBidi" w:hAnsiTheme="majorBidi" w:cstheme="majorBidi"/>
          <w:lang w:val="it-IT"/>
        </w:rPr>
        <w:t xml:space="preserve"> G. W. M. Reynolds, </w:t>
      </w:r>
      <w:r w:rsidRPr="00200909">
        <w:rPr>
          <w:rFonts w:asciiTheme="majorBidi" w:hAnsiTheme="majorBidi" w:cstheme="majorBidi"/>
          <w:i/>
          <w:lang w:val="it-IT"/>
        </w:rPr>
        <w:t xml:space="preserve">A </w:t>
      </w:r>
      <w:r w:rsidRPr="00200909">
        <w:rPr>
          <w:rFonts w:asciiTheme="majorBidi" w:hAnsiTheme="majorBidi" w:cstheme="majorBidi"/>
          <w:i/>
          <w:iCs/>
          <w:lang w:val="it-IT"/>
        </w:rPr>
        <w:t>Sequel to Don Juan</w:t>
      </w:r>
      <w:r w:rsidRPr="00200909">
        <w:rPr>
          <w:rFonts w:asciiTheme="majorBidi" w:hAnsiTheme="majorBidi" w:cstheme="majorBidi"/>
          <w:lang w:val="it-IT"/>
        </w:rPr>
        <w:t>, Canto I, verse LXXXVII (London: Paget, 1843), p. 35.</w:t>
      </w:r>
    </w:p>
  </w:footnote>
  <w:footnote w:id="220">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w:t>
      </w:r>
      <w:r w:rsidRPr="00200909">
        <w:rPr>
          <w:rFonts w:asciiTheme="majorBidi" w:hAnsiTheme="majorBidi" w:cstheme="majorBidi"/>
          <w:i/>
          <w:iCs/>
        </w:rPr>
        <w:t>Sequel to Don Juan</w:t>
      </w:r>
      <w:r w:rsidRPr="00200909">
        <w:rPr>
          <w:rFonts w:asciiTheme="majorBidi" w:hAnsiTheme="majorBidi" w:cstheme="majorBidi"/>
        </w:rPr>
        <w:t>, p. 35.</w:t>
      </w:r>
    </w:p>
  </w:footnote>
  <w:footnote w:id="221">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w:t>
      </w:r>
      <w:r w:rsidRPr="00200909">
        <w:rPr>
          <w:rFonts w:asciiTheme="majorBidi" w:hAnsiTheme="majorBidi" w:cstheme="majorBidi"/>
          <w:i/>
          <w:iCs/>
        </w:rPr>
        <w:t>Sequel to Don Juan</w:t>
      </w:r>
      <w:r w:rsidRPr="00200909">
        <w:rPr>
          <w:rFonts w:asciiTheme="majorBidi" w:hAnsiTheme="majorBidi" w:cstheme="majorBidi"/>
        </w:rPr>
        <w:t>, p. 35.</w:t>
      </w:r>
    </w:p>
  </w:footnote>
  <w:footnote w:id="222">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‘Letters to the Working Classes. No. I’, p. 141.</w:t>
      </w:r>
    </w:p>
  </w:footnote>
  <w:footnote w:id="223">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‘Letters to the Working Classes. No. I’, p. 141.</w:t>
      </w:r>
    </w:p>
  </w:footnote>
  <w:footnote w:id="224">
    <w:p w:rsidR="003515E3" w:rsidRPr="002469F4"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Carlyle wrote: ‘What thing has Radicalism obtained for them; what other than shadows of things has it so much as asked for them?  Cheap Justice, Justice to Ireland, Irish Appropriation-Clause, Rate-Paying-Clause, Poor-rate, Church-Rate, Household Suffrage, Ballot-Question “open” or shut: not things but shadows of things; Benthamite formulas; barren as the east-wind!</w:t>
      </w:r>
      <w:r w:rsidRPr="00127961">
        <w:rPr>
          <w:rFonts w:ascii="Times New Roman" w:hAnsi="Times New Roman"/>
        </w:rPr>
        <w:t>’  See Carlyle, p. 224.</w:t>
      </w:r>
    </w:p>
  </w:footnote>
  <w:footnote w:id="225">
    <w:p w:rsidR="003515E3" w:rsidRPr="00200909" w:rsidRDefault="003515E3" w:rsidP="001151C3">
      <w:pPr>
        <w:pStyle w:val="FootnoteText"/>
        <w:spacing w:after="0" w:line="240" w:lineRule="auto"/>
        <w:rPr>
          <w:rFonts w:ascii="Times New Roman" w:hAnsi="Times New Roman"/>
        </w:rPr>
      </w:pPr>
      <w:r w:rsidRPr="002469F4">
        <w:rPr>
          <w:rStyle w:val="FootnoteReference"/>
          <w:rFonts w:ascii="Times New Roman" w:hAnsi="Times New Roman"/>
        </w:rPr>
        <w:footnoteRef/>
      </w:r>
      <w:r w:rsidRPr="002469F4">
        <w:rPr>
          <w:rFonts w:ascii="Times New Roman" w:hAnsi="Times New Roman"/>
        </w:rPr>
        <w:t xml:space="preserve"> </w:t>
      </w:r>
      <w:r w:rsidRPr="00200909">
        <w:rPr>
          <w:rFonts w:ascii="Times New Roman" w:hAnsi="Times New Roman"/>
        </w:rPr>
        <w:t xml:space="preserve">Place wrote to Joseph Hume on 10 February 1840 stating his belief that despite recent setbacks for the more physical-force inclined Chartist leaders the working classes would not consider more moderate strategies: ‘The working people are not in a condition to join in any scheme of the sort, neither will they be so for some time to come.’  See </w:t>
      </w:r>
      <w:r w:rsidRPr="00200909">
        <w:rPr>
          <w:rFonts w:asciiTheme="majorBidi" w:hAnsiTheme="majorBidi" w:cstheme="majorBidi"/>
        </w:rPr>
        <w:t xml:space="preserve">Graham Wallas, </w:t>
      </w:r>
      <w:r w:rsidRPr="00200909">
        <w:rPr>
          <w:rFonts w:asciiTheme="majorBidi" w:hAnsiTheme="majorBidi" w:cstheme="majorBidi"/>
          <w:i/>
        </w:rPr>
        <w:t>The Life of Francis Place 1771</w:t>
      </w:r>
      <w:r w:rsidRPr="00200909">
        <w:rPr>
          <w:rFonts w:ascii="Times New Roman" w:hAnsi="Times New Roman"/>
        </w:rPr>
        <w:t>–</w:t>
      </w:r>
      <w:r w:rsidRPr="00200909">
        <w:rPr>
          <w:rFonts w:asciiTheme="majorBidi" w:hAnsiTheme="majorBidi" w:cstheme="majorBidi"/>
          <w:i/>
        </w:rPr>
        <w:t>1854</w:t>
      </w:r>
      <w:r w:rsidRPr="00200909">
        <w:rPr>
          <w:rFonts w:asciiTheme="majorBidi" w:hAnsiTheme="majorBidi" w:cstheme="majorBidi"/>
        </w:rPr>
        <w:t>, 4</w:t>
      </w:r>
      <w:r w:rsidRPr="00200909">
        <w:rPr>
          <w:rFonts w:asciiTheme="majorBidi" w:hAnsiTheme="majorBidi" w:cstheme="majorBidi"/>
          <w:vertAlign w:val="superscript"/>
        </w:rPr>
        <w:t>th</w:t>
      </w:r>
      <w:r w:rsidRPr="00200909">
        <w:rPr>
          <w:rFonts w:asciiTheme="majorBidi" w:hAnsiTheme="majorBidi" w:cstheme="majorBidi"/>
        </w:rPr>
        <w:t xml:space="preserve"> edn rev. (London: Allen &amp; Unwin, 1925), pp. 377.</w:t>
      </w:r>
    </w:p>
  </w:footnote>
  <w:footnote w:id="226">
    <w:p w:rsidR="003515E3" w:rsidRPr="005C73CB"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Ian Haywood, ‘George W. M. Reynolds and the radicalization of Victorian serial fiction’, </w:t>
      </w:r>
      <w:r w:rsidRPr="00200909">
        <w:rPr>
          <w:rFonts w:ascii="Times New Roman" w:hAnsi="Times New Roman"/>
          <w:i/>
        </w:rPr>
        <w:t>Media History</w:t>
      </w:r>
      <w:r w:rsidRPr="00200909">
        <w:rPr>
          <w:rFonts w:ascii="Times New Roman" w:hAnsi="Times New Roman"/>
        </w:rPr>
        <w:t>, 4.2 (1998), 121–39 &lt;</w:t>
      </w:r>
      <w:hyperlink r:id="rId14" w:history="1">
        <w:r w:rsidRPr="00200909">
          <w:rPr>
            <w:rStyle w:val="Hyperlink"/>
            <w:rFonts w:ascii="Times New Roman" w:hAnsi="Times New Roman"/>
            <w:color w:val="auto"/>
            <w:u w:val="none"/>
          </w:rPr>
          <w:t>https://doi.org/10.1080/13688809809357940</w:t>
        </w:r>
      </w:hyperlink>
      <w:r w:rsidRPr="00200909">
        <w:rPr>
          <w:rFonts w:ascii="Times New Roman" w:hAnsi="Times New Roman"/>
        </w:rPr>
        <w:t xml:space="preserve">&gt; (p. 124).  For Reynolds’s account of his sudden entry into the Chartist movement see ‘Grand Chartist Meeting Convened by the Provisional Committee’, </w:t>
      </w:r>
      <w:r w:rsidRPr="00200909">
        <w:rPr>
          <w:rStyle w:val="mini"/>
          <w:rFonts w:ascii="Times New Roman" w:hAnsi="Times New Roman"/>
          <w:i/>
          <w:iCs/>
        </w:rPr>
        <w:t>Northern Star and National Trades' Journal</w:t>
      </w:r>
      <w:r w:rsidRPr="00200909">
        <w:rPr>
          <w:rStyle w:val="mini"/>
          <w:rFonts w:ascii="Times New Roman" w:hAnsi="Times New Roman"/>
        </w:rPr>
        <w:t xml:space="preserve">, 30 March 1850, </w:t>
      </w:r>
      <w:r w:rsidRPr="00200909">
        <w:rPr>
          <w:rFonts w:ascii="Times New Roman" w:hAnsi="Times New Roman"/>
        </w:rPr>
        <w:t>p. 8.</w:t>
      </w:r>
    </w:p>
  </w:footnote>
  <w:footnote w:id="227">
    <w:p w:rsidR="003515E3" w:rsidRPr="005C73CB" w:rsidRDefault="003515E3" w:rsidP="001151C3">
      <w:pPr>
        <w:pStyle w:val="FootnoteText"/>
        <w:spacing w:after="0" w:line="240" w:lineRule="auto"/>
        <w:rPr>
          <w:rFonts w:ascii="Times New Roman" w:hAnsi="Times New Roman"/>
        </w:rPr>
      </w:pPr>
      <w:r w:rsidRPr="005C73CB">
        <w:rPr>
          <w:rStyle w:val="FootnoteReference"/>
          <w:rFonts w:ascii="Times New Roman" w:hAnsi="Times New Roman"/>
        </w:rPr>
        <w:footnoteRef/>
      </w:r>
      <w:r w:rsidRPr="005C73CB">
        <w:rPr>
          <w:rFonts w:ascii="Times New Roman" w:hAnsi="Times New Roman"/>
        </w:rPr>
        <w:t xml:space="preserve"> Anonymous, ‘Notices to Correspondents’, </w:t>
      </w:r>
      <w:r w:rsidRPr="005C73CB">
        <w:rPr>
          <w:rFonts w:ascii="Times New Roman" w:hAnsi="Times New Roman"/>
          <w:i/>
        </w:rPr>
        <w:t>Reynolds’s Miscellany</w:t>
      </w:r>
      <w:r w:rsidRPr="005C73CB">
        <w:rPr>
          <w:rFonts w:ascii="Times New Roman" w:hAnsi="Times New Roman"/>
        </w:rPr>
        <w:t>, 7 July 1849, pp. 831–32 (p. 832).</w:t>
      </w:r>
    </w:p>
  </w:footnote>
  <w:footnote w:id="228">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w:t>
      </w:r>
      <w:r w:rsidRPr="00200909">
        <w:rPr>
          <w:rFonts w:ascii="Times New Roman" w:hAnsi="Times New Roman"/>
        </w:rPr>
        <w:t>Anonymous, ‘</w:t>
      </w:r>
      <w:r w:rsidRPr="00200909">
        <w:rPr>
          <w:rFonts w:ascii="Times New Roman" w:hAnsi="Times New Roman"/>
          <w:i/>
        </w:rPr>
        <w:t>Mr. Robert Owen</w:t>
      </w:r>
      <w:r w:rsidRPr="00200909">
        <w:rPr>
          <w:rFonts w:ascii="Times New Roman" w:hAnsi="Times New Roman"/>
        </w:rPr>
        <w:t xml:space="preserve">’, </w:t>
      </w:r>
      <w:r w:rsidRPr="00200909">
        <w:rPr>
          <w:rFonts w:ascii="Times New Roman" w:hAnsi="Times New Roman"/>
          <w:i/>
        </w:rPr>
        <w:t>Reynolds’s Political Instructor</w:t>
      </w:r>
      <w:r w:rsidRPr="00200909">
        <w:rPr>
          <w:rFonts w:ascii="Times New Roman" w:hAnsi="Times New Roman"/>
        </w:rPr>
        <w:t>, 9 March 1850, pp. 137–38 (p. 137).</w:t>
      </w:r>
      <w:r w:rsidRPr="00200909">
        <w:rPr>
          <w:rFonts w:asciiTheme="majorBidi" w:hAnsiTheme="majorBidi" w:cstheme="majorBidi"/>
        </w:rPr>
        <w:t xml:space="preserve"> </w:t>
      </w:r>
    </w:p>
  </w:footnote>
  <w:footnote w:id="229">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w:t>
      </w:r>
      <w:r w:rsidRPr="00200909">
        <w:rPr>
          <w:rFonts w:ascii="Times New Roman" w:hAnsi="Times New Roman"/>
        </w:rPr>
        <w:t xml:space="preserve">Thomas Rainford imprisons them in underground dungeons, using a mixture of fear and enticement to make them change their ways.  See </w:t>
      </w:r>
      <w:r w:rsidRPr="00200909">
        <w:rPr>
          <w:rFonts w:ascii="Times New Roman" w:hAnsi="Times New Roman"/>
          <w:i/>
        </w:rPr>
        <w:t>Mysteries of London</w:t>
      </w:r>
      <w:r w:rsidRPr="00200909">
        <w:rPr>
          <w:rFonts w:ascii="Times New Roman" w:hAnsi="Times New Roman"/>
        </w:rPr>
        <w:t>, III, 413–16.</w:t>
      </w:r>
    </w:p>
  </w:footnote>
  <w:footnote w:id="230">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For a summary of the successful conversion of the criminals, see </w:t>
      </w:r>
      <w:r w:rsidRPr="00200909">
        <w:rPr>
          <w:rFonts w:ascii="Times New Roman" w:hAnsi="Times New Roman"/>
          <w:i/>
        </w:rPr>
        <w:t>Mysteries of London</w:t>
      </w:r>
      <w:r w:rsidRPr="00200909">
        <w:rPr>
          <w:rFonts w:ascii="Times New Roman" w:hAnsi="Times New Roman"/>
        </w:rPr>
        <w:t>, IV, 41–43.</w:t>
      </w:r>
    </w:p>
  </w:footnote>
  <w:footnote w:id="231">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G. W. M. Reynolds, ‘The Crime and Profligacy of London’, </w:t>
      </w:r>
      <w:r w:rsidRPr="00200909">
        <w:rPr>
          <w:rFonts w:asciiTheme="majorBidi" w:hAnsiTheme="majorBidi" w:cstheme="majorBidi"/>
          <w:i/>
          <w:iCs/>
        </w:rPr>
        <w:t>Reynolds’s Newspaper</w:t>
      </w:r>
      <w:r w:rsidRPr="00200909">
        <w:rPr>
          <w:rFonts w:asciiTheme="majorBidi" w:hAnsiTheme="majorBidi" w:cstheme="majorBidi"/>
        </w:rPr>
        <w:t xml:space="preserve">, 25 May 1851, p. 1. </w:t>
      </w:r>
    </w:p>
  </w:footnote>
  <w:footnote w:id="232">
    <w:p w:rsidR="003515E3" w:rsidRPr="002469F4"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‘The Crime and Profligacy of London’, p. 1.</w:t>
      </w:r>
    </w:p>
  </w:footnote>
  <w:footnote w:id="233">
    <w:p w:rsidR="003515E3" w:rsidRPr="00200909"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heme="majorBidi" w:hAnsiTheme="majorBidi" w:cstheme="majorBidi"/>
        </w:rPr>
        <w:t xml:space="preserve">G. W. M. Reynolds, </w:t>
      </w:r>
      <w:r w:rsidRPr="00200909">
        <w:rPr>
          <w:rFonts w:ascii="Times New Roman" w:hAnsi="Times New Roman"/>
        </w:rPr>
        <w:t xml:space="preserve">‘Machinery, Manufactures, and Pauperism’, </w:t>
      </w:r>
      <w:r w:rsidRPr="00200909">
        <w:rPr>
          <w:rFonts w:ascii="Times New Roman" w:hAnsi="Times New Roman"/>
          <w:i/>
        </w:rPr>
        <w:t>Reynolds’s Newspaper</w:t>
      </w:r>
      <w:r w:rsidRPr="00200909">
        <w:rPr>
          <w:rFonts w:ascii="Times New Roman" w:hAnsi="Times New Roman"/>
        </w:rPr>
        <w:t>, 23 March 1851, p. 1.</w:t>
      </w:r>
    </w:p>
  </w:footnote>
  <w:footnote w:id="234">
    <w:p w:rsidR="003515E3" w:rsidRPr="00200909"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heme="majorBidi" w:hAnsiTheme="majorBidi" w:cstheme="majorBidi"/>
        </w:rPr>
        <w:t xml:space="preserve">G. W. M. Reynolds, </w:t>
      </w:r>
      <w:r w:rsidRPr="00200909">
        <w:rPr>
          <w:rFonts w:ascii="Times New Roman" w:hAnsi="Times New Roman"/>
        </w:rPr>
        <w:t xml:space="preserve">‘American Republicanism’, </w:t>
      </w:r>
      <w:r w:rsidRPr="00200909">
        <w:rPr>
          <w:rFonts w:ascii="Times New Roman" w:hAnsi="Times New Roman"/>
          <w:i/>
        </w:rPr>
        <w:t>Reynolds’s Newspaper</w:t>
      </w:r>
      <w:r w:rsidRPr="00200909">
        <w:rPr>
          <w:rFonts w:ascii="Times New Roman" w:hAnsi="Times New Roman"/>
        </w:rPr>
        <w:t>, 30 March 1851, p. 1.</w:t>
      </w:r>
    </w:p>
  </w:footnote>
  <w:footnote w:id="235">
    <w:p w:rsidR="003515E3" w:rsidRPr="00200909" w:rsidRDefault="003515E3" w:rsidP="001151C3">
      <w:pPr>
        <w:spacing w:after="0" w:line="240" w:lineRule="auto"/>
        <w:rPr>
          <w:sz w:val="20"/>
          <w:szCs w:val="20"/>
        </w:rPr>
      </w:pPr>
      <w:r w:rsidRPr="00200909">
        <w:rPr>
          <w:rStyle w:val="FootnoteReference"/>
          <w:rFonts w:ascii="Times New Roman" w:hAnsi="Times New Roman"/>
          <w:sz w:val="20"/>
          <w:szCs w:val="20"/>
        </w:rPr>
        <w:footnoteRef/>
      </w:r>
      <w:r w:rsidRPr="00200909">
        <w:rPr>
          <w:rFonts w:ascii="Times New Roman" w:hAnsi="Times New Roman"/>
          <w:sz w:val="20"/>
          <w:szCs w:val="20"/>
        </w:rPr>
        <w:t xml:space="preserve"> O’ Brien wrote the series ‘The Rise, Progress and Phases of Human Slavery: How it came into the World and how it shall be made to go out’.  See </w:t>
      </w:r>
      <w:r w:rsidRPr="00200909">
        <w:rPr>
          <w:rFonts w:asciiTheme="majorBidi" w:hAnsiTheme="majorBidi" w:cstheme="majorBidi"/>
          <w:sz w:val="20"/>
          <w:szCs w:val="20"/>
        </w:rPr>
        <w:t xml:space="preserve">Alfred Plummer, </w:t>
      </w:r>
      <w:r w:rsidRPr="00200909">
        <w:rPr>
          <w:rFonts w:asciiTheme="majorBidi" w:hAnsiTheme="majorBidi" w:cstheme="majorBidi"/>
          <w:i/>
          <w:sz w:val="20"/>
          <w:szCs w:val="20"/>
        </w:rPr>
        <w:t>Bronterre: A Political Biography of Bronterre O’Brien 1804</w:t>
      </w:r>
      <w:r w:rsidRPr="00200909">
        <w:rPr>
          <w:rFonts w:ascii="Times New Roman" w:hAnsi="Times New Roman"/>
          <w:sz w:val="20"/>
          <w:szCs w:val="20"/>
        </w:rPr>
        <w:t>–</w:t>
      </w:r>
      <w:r w:rsidRPr="00200909">
        <w:rPr>
          <w:rFonts w:asciiTheme="majorBidi" w:hAnsiTheme="majorBidi" w:cstheme="majorBidi"/>
          <w:i/>
          <w:sz w:val="20"/>
          <w:szCs w:val="20"/>
        </w:rPr>
        <w:t>1864</w:t>
      </w:r>
      <w:r w:rsidRPr="00200909">
        <w:rPr>
          <w:rFonts w:asciiTheme="majorBidi" w:hAnsiTheme="majorBidi" w:cstheme="majorBidi"/>
          <w:sz w:val="20"/>
          <w:szCs w:val="20"/>
        </w:rPr>
        <w:t xml:space="preserve"> (London: Allen &amp; Unwin, 1971), p. 194.</w:t>
      </w:r>
    </w:p>
  </w:footnote>
  <w:footnote w:id="236">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G. W. M. Reynolds, ‘</w:t>
      </w:r>
      <w:r w:rsidRPr="00200909">
        <w:rPr>
          <w:rFonts w:ascii="Times New Roman" w:hAnsi="Times New Roman"/>
          <w:i/>
        </w:rPr>
        <w:t>Mr. J. Bronterre O’Brien</w:t>
      </w:r>
      <w:r w:rsidRPr="00200909">
        <w:rPr>
          <w:rFonts w:ascii="Times New Roman" w:hAnsi="Times New Roman"/>
        </w:rPr>
        <w:t xml:space="preserve">’, </w:t>
      </w:r>
      <w:r w:rsidRPr="00200909">
        <w:rPr>
          <w:rFonts w:ascii="Times New Roman" w:hAnsi="Times New Roman"/>
          <w:i/>
        </w:rPr>
        <w:t>Reynolds’s Political Instructor</w:t>
      </w:r>
      <w:r w:rsidRPr="00200909">
        <w:rPr>
          <w:rFonts w:ascii="Times New Roman" w:hAnsi="Times New Roman"/>
        </w:rPr>
        <w:t>, 30 March 1850, pp. 161–62 (p. 161).</w:t>
      </w:r>
    </w:p>
  </w:footnote>
  <w:footnote w:id="237">
    <w:p w:rsidR="003515E3" w:rsidRPr="00200909" w:rsidRDefault="003515E3" w:rsidP="001151C3">
      <w:pPr>
        <w:spacing w:after="0" w:line="240" w:lineRule="auto"/>
        <w:rPr>
          <w:sz w:val="20"/>
          <w:szCs w:val="20"/>
        </w:rPr>
      </w:pPr>
      <w:r w:rsidRPr="00200909">
        <w:rPr>
          <w:rStyle w:val="FootnoteReference"/>
          <w:rFonts w:ascii="Times New Roman" w:hAnsi="Times New Roman"/>
          <w:sz w:val="20"/>
          <w:szCs w:val="20"/>
        </w:rPr>
        <w:footnoteRef/>
      </w:r>
      <w:r w:rsidRPr="00200909">
        <w:rPr>
          <w:rFonts w:ascii="Times New Roman" w:hAnsi="Times New Roman"/>
          <w:sz w:val="20"/>
          <w:szCs w:val="20"/>
        </w:rPr>
        <w:t xml:space="preserve"> Plummer</w:t>
      </w:r>
      <w:r w:rsidRPr="00200909">
        <w:rPr>
          <w:rFonts w:asciiTheme="majorBidi" w:hAnsiTheme="majorBidi" w:cstheme="majorBidi"/>
          <w:sz w:val="20"/>
          <w:szCs w:val="20"/>
        </w:rPr>
        <w:t>, p. 179.</w:t>
      </w:r>
    </w:p>
  </w:footnote>
  <w:footnote w:id="238">
    <w:p w:rsidR="003515E3" w:rsidRPr="00200909" w:rsidRDefault="003515E3" w:rsidP="001151C3">
      <w:pPr>
        <w:spacing w:after="0" w:line="240" w:lineRule="auto"/>
        <w:rPr>
          <w:sz w:val="20"/>
          <w:szCs w:val="20"/>
        </w:rPr>
      </w:pPr>
      <w:r w:rsidRPr="00200909">
        <w:rPr>
          <w:rStyle w:val="FootnoteReference"/>
          <w:rFonts w:ascii="Times New Roman" w:hAnsi="Times New Roman"/>
          <w:sz w:val="20"/>
          <w:szCs w:val="20"/>
        </w:rPr>
        <w:footnoteRef/>
      </w:r>
      <w:r w:rsidRPr="00200909">
        <w:rPr>
          <w:rFonts w:ascii="Times New Roman" w:hAnsi="Times New Roman"/>
          <w:sz w:val="20"/>
          <w:szCs w:val="20"/>
        </w:rPr>
        <w:t xml:space="preserve"> </w:t>
      </w:r>
      <w:r w:rsidRPr="00200909">
        <w:rPr>
          <w:rFonts w:asciiTheme="majorBidi" w:hAnsiTheme="majorBidi" w:cstheme="majorBidi"/>
          <w:sz w:val="20"/>
          <w:szCs w:val="20"/>
        </w:rPr>
        <w:t xml:space="preserve">Plummer, p. 182.  </w:t>
      </w:r>
      <w:r w:rsidRPr="00200909">
        <w:rPr>
          <w:rFonts w:ascii="Times New Roman" w:hAnsi="Times New Roman" w:cs="Times New Roman"/>
          <w:bCs/>
          <w:sz w:val="20"/>
          <w:szCs w:val="20"/>
        </w:rPr>
        <w:t xml:space="preserve">O’Brien expressed this attitude in his 1841 election address at Newcastle-upon-Tyne: ‘I hold it to be perfectly just and competent for the legislature to interfere with any and every kind of private property where such interference is required by the public interest, provided always that the parties interfered with be fully indemnified by compensation’.  See </w:t>
      </w:r>
      <w:r w:rsidRPr="00200909">
        <w:rPr>
          <w:rFonts w:asciiTheme="majorBidi" w:hAnsiTheme="majorBidi" w:cstheme="majorBidi"/>
          <w:sz w:val="20"/>
          <w:szCs w:val="20"/>
        </w:rPr>
        <w:t>Plummer, p. 264.</w:t>
      </w:r>
    </w:p>
  </w:footnote>
  <w:footnote w:id="239">
    <w:p w:rsidR="003515E3" w:rsidRPr="002469F4"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heme="majorBidi" w:hAnsiTheme="majorBidi" w:cstheme="majorBidi"/>
        </w:rPr>
        <w:t xml:space="preserve">G. W. M. Reynolds, </w:t>
      </w:r>
      <w:r w:rsidRPr="00200909">
        <w:rPr>
          <w:rFonts w:ascii="Times New Roman" w:hAnsi="Times New Roman"/>
        </w:rPr>
        <w:t xml:space="preserve">‘To the Electors of the Borough of Finsbury’, </w:t>
      </w:r>
      <w:r w:rsidRPr="00200909">
        <w:rPr>
          <w:rFonts w:ascii="Times New Roman" w:hAnsi="Times New Roman"/>
          <w:i/>
        </w:rPr>
        <w:t>Reynolds’s Weekly Newspaper</w:t>
      </w:r>
      <w:r w:rsidRPr="00200909">
        <w:rPr>
          <w:rFonts w:ascii="Times New Roman" w:hAnsi="Times New Roman"/>
        </w:rPr>
        <w:t>, 26 May 1850, p. 1.</w:t>
      </w:r>
    </w:p>
  </w:footnote>
  <w:footnote w:id="240">
    <w:p w:rsidR="003515E3" w:rsidRPr="00200909"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heme="majorBidi" w:hAnsiTheme="majorBidi" w:cstheme="majorBidi"/>
        </w:rPr>
        <w:t xml:space="preserve">G. W. M. Reynolds, </w:t>
      </w:r>
      <w:r w:rsidRPr="00200909">
        <w:rPr>
          <w:rFonts w:ascii="Times New Roman" w:hAnsi="Times New Roman"/>
        </w:rPr>
        <w:t>‘What are we to expect from the Whigs?’,</w:t>
      </w:r>
      <w:r w:rsidRPr="00200909">
        <w:rPr>
          <w:rFonts w:asciiTheme="majorBidi" w:hAnsiTheme="majorBidi" w:cstheme="majorBidi"/>
        </w:rPr>
        <w:t xml:space="preserve"> </w:t>
      </w:r>
      <w:r w:rsidRPr="00200909">
        <w:rPr>
          <w:rFonts w:ascii="Times New Roman" w:hAnsi="Times New Roman"/>
          <w:i/>
          <w:iCs/>
        </w:rPr>
        <w:t>Reynolds’s Newspaper</w:t>
      </w:r>
      <w:r w:rsidRPr="00200909">
        <w:rPr>
          <w:rFonts w:ascii="Times New Roman" w:hAnsi="Times New Roman"/>
        </w:rPr>
        <w:t>, 4 January 1852, p. 1.</w:t>
      </w:r>
    </w:p>
  </w:footnote>
  <w:footnote w:id="241">
    <w:p w:rsidR="003515E3" w:rsidRPr="00200909"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heme="majorBidi" w:hAnsiTheme="majorBidi" w:cstheme="majorBidi"/>
        </w:rPr>
        <w:t xml:space="preserve">G. W. M. Reynolds, </w:t>
      </w:r>
      <w:r w:rsidRPr="00200909">
        <w:rPr>
          <w:rFonts w:ascii="Times New Roman" w:hAnsi="Times New Roman"/>
        </w:rPr>
        <w:t xml:space="preserve">‘The Approaching Session’, </w:t>
      </w:r>
      <w:r w:rsidRPr="00200909">
        <w:rPr>
          <w:rFonts w:ascii="Times New Roman" w:hAnsi="Times New Roman"/>
          <w:i/>
          <w:iCs/>
        </w:rPr>
        <w:t>Reynolds’s Newspaper</w:t>
      </w:r>
      <w:r w:rsidRPr="00200909">
        <w:rPr>
          <w:rFonts w:ascii="Times New Roman" w:hAnsi="Times New Roman"/>
        </w:rPr>
        <w:t>, 18 January 1852, p. 1.</w:t>
      </w:r>
    </w:p>
  </w:footnote>
  <w:footnote w:id="242">
    <w:p w:rsidR="003515E3" w:rsidRPr="00200909"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heme="majorBidi" w:hAnsiTheme="majorBidi" w:cstheme="majorBidi"/>
        </w:rPr>
        <w:t xml:space="preserve">G. W. M. Reynolds, </w:t>
      </w:r>
      <w:r w:rsidRPr="00200909">
        <w:rPr>
          <w:rFonts w:ascii="Times New Roman" w:hAnsi="Times New Roman"/>
        </w:rPr>
        <w:t xml:space="preserve">‘The Peerage and its Privileges’, </w:t>
      </w:r>
      <w:r w:rsidRPr="00200909">
        <w:rPr>
          <w:rFonts w:ascii="Times New Roman" w:hAnsi="Times New Roman"/>
          <w:i/>
          <w:iCs/>
        </w:rPr>
        <w:t>Reynolds’s Newspaper</w:t>
      </w:r>
      <w:r w:rsidRPr="00200909">
        <w:rPr>
          <w:rFonts w:ascii="Times New Roman" w:hAnsi="Times New Roman"/>
        </w:rPr>
        <w:t>, 27 April 1851, p. 1.</w:t>
      </w:r>
    </w:p>
  </w:footnote>
  <w:footnote w:id="243">
    <w:p w:rsidR="003515E3" w:rsidRPr="00200909"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‘Disraeli’s First Financial Speech’, p. 1.</w:t>
      </w:r>
    </w:p>
  </w:footnote>
  <w:footnote w:id="244">
    <w:p w:rsidR="003515E3" w:rsidRPr="00200909"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heme="majorBidi" w:hAnsiTheme="majorBidi" w:cstheme="majorBidi"/>
        </w:rPr>
        <w:t xml:space="preserve">G. W. M. Reynolds, </w:t>
      </w:r>
      <w:r w:rsidRPr="00200909">
        <w:rPr>
          <w:rFonts w:ascii="Times New Roman" w:hAnsi="Times New Roman"/>
        </w:rPr>
        <w:t xml:space="preserve">‘The Approaching Ruin of the Small Traders’, </w:t>
      </w:r>
      <w:r w:rsidRPr="00200909">
        <w:rPr>
          <w:rFonts w:ascii="Times New Roman" w:hAnsi="Times New Roman"/>
          <w:i/>
          <w:iCs/>
        </w:rPr>
        <w:t>Reynolds’s Weekly Newspaper</w:t>
      </w:r>
      <w:r w:rsidRPr="00200909">
        <w:rPr>
          <w:rFonts w:ascii="Times New Roman" w:hAnsi="Times New Roman"/>
        </w:rPr>
        <w:t>, 20 October 1850, p. 1.</w:t>
      </w:r>
    </w:p>
  </w:footnote>
  <w:footnote w:id="245">
    <w:p w:rsidR="003515E3" w:rsidRPr="002469F4"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‘The Approaching Ruin of the Small Traders’, p. 1.</w:t>
      </w:r>
    </w:p>
  </w:footnote>
  <w:footnote w:id="246">
    <w:p w:rsidR="003515E3" w:rsidRPr="00F80408" w:rsidRDefault="003515E3" w:rsidP="001151C3">
      <w:pPr>
        <w:pStyle w:val="FootnoteText"/>
        <w:spacing w:after="0" w:line="240" w:lineRule="auto"/>
      </w:pPr>
      <w:r w:rsidRPr="00F80408">
        <w:rPr>
          <w:rStyle w:val="FootnoteReference"/>
          <w:rFonts w:ascii="Times New Roman" w:hAnsi="Times New Roman"/>
        </w:rPr>
        <w:footnoteRef/>
      </w:r>
      <w:r w:rsidRPr="00F80408">
        <w:rPr>
          <w:rFonts w:ascii="Times New Roman" w:hAnsi="Times New Roman"/>
        </w:rPr>
        <w:t xml:space="preserve"> </w:t>
      </w:r>
      <w:r w:rsidRPr="00F80408">
        <w:rPr>
          <w:rFonts w:ascii="Times New Roman" w:hAnsi="Times New Roman"/>
          <w:i/>
        </w:rPr>
        <w:t>Letter Concerning Toleration</w:t>
      </w:r>
      <w:r w:rsidRPr="00F80408">
        <w:rPr>
          <w:rFonts w:ascii="Times New Roman" w:hAnsi="Times New Roman"/>
        </w:rPr>
        <w:t>, p. 49.</w:t>
      </w:r>
    </w:p>
  </w:footnote>
  <w:footnote w:id="247">
    <w:p w:rsidR="003515E3" w:rsidRPr="00F80408" w:rsidRDefault="003515E3" w:rsidP="001151C3">
      <w:pPr>
        <w:pStyle w:val="FootnoteText"/>
        <w:spacing w:after="0" w:line="240" w:lineRule="auto"/>
      </w:pPr>
      <w:r w:rsidRPr="00F80408">
        <w:rPr>
          <w:rStyle w:val="FootnoteReference"/>
          <w:rFonts w:ascii="Times New Roman" w:hAnsi="Times New Roman"/>
        </w:rPr>
        <w:footnoteRef/>
      </w:r>
      <w:r w:rsidRPr="00F80408">
        <w:rPr>
          <w:rFonts w:ascii="Times New Roman" w:hAnsi="Times New Roman"/>
        </w:rPr>
        <w:t xml:space="preserve"> </w:t>
      </w:r>
      <w:r w:rsidRPr="00F80408">
        <w:rPr>
          <w:rFonts w:asciiTheme="majorBidi" w:hAnsiTheme="majorBidi" w:cstheme="majorBidi"/>
        </w:rPr>
        <w:t xml:space="preserve">G. W. M. Reynolds, </w:t>
      </w:r>
      <w:r w:rsidRPr="00F80408">
        <w:rPr>
          <w:rFonts w:ascii="Times New Roman" w:hAnsi="Times New Roman"/>
        </w:rPr>
        <w:t xml:space="preserve">‘Revolutions: their Causes and their Motives’, </w:t>
      </w:r>
      <w:r w:rsidRPr="00F80408">
        <w:rPr>
          <w:rFonts w:ascii="Times New Roman" w:hAnsi="Times New Roman"/>
          <w:i/>
          <w:iCs/>
        </w:rPr>
        <w:t>Reynolds’s Newspaper</w:t>
      </w:r>
      <w:r w:rsidRPr="00F80408">
        <w:rPr>
          <w:rFonts w:ascii="Times New Roman" w:hAnsi="Times New Roman"/>
        </w:rPr>
        <w:t>, 19 October 1851, p. 1.</w:t>
      </w:r>
    </w:p>
  </w:footnote>
  <w:footnote w:id="248">
    <w:p w:rsidR="003515E3" w:rsidRPr="00F80408" w:rsidRDefault="003515E3" w:rsidP="001151C3">
      <w:pPr>
        <w:pStyle w:val="FootnoteText"/>
        <w:spacing w:after="0" w:line="240" w:lineRule="auto"/>
        <w:rPr>
          <w:rFonts w:ascii="Times New Roman" w:hAnsi="Times New Roman"/>
        </w:rPr>
      </w:pPr>
      <w:r w:rsidRPr="00F80408">
        <w:rPr>
          <w:rStyle w:val="FootnoteReference"/>
          <w:rFonts w:ascii="Times New Roman" w:hAnsi="Times New Roman"/>
        </w:rPr>
        <w:footnoteRef/>
      </w:r>
      <w:r w:rsidRPr="00F80408">
        <w:rPr>
          <w:rFonts w:ascii="Times New Roman" w:hAnsi="Times New Roman"/>
        </w:rPr>
        <w:t xml:space="preserve"> ‘Revolutions: their Causes and their Motives.’ p. 1.</w:t>
      </w:r>
    </w:p>
  </w:footnote>
  <w:footnote w:id="249">
    <w:p w:rsidR="003515E3" w:rsidRPr="00F80408" w:rsidRDefault="003515E3" w:rsidP="001151C3">
      <w:pPr>
        <w:pStyle w:val="FootnoteText"/>
        <w:spacing w:after="0" w:line="240" w:lineRule="auto"/>
        <w:rPr>
          <w:rFonts w:ascii="Times New Roman" w:hAnsi="Times New Roman"/>
        </w:rPr>
      </w:pPr>
      <w:r w:rsidRPr="00F80408">
        <w:rPr>
          <w:rStyle w:val="FootnoteReference"/>
          <w:rFonts w:ascii="Times New Roman" w:hAnsi="Times New Roman"/>
        </w:rPr>
        <w:footnoteRef/>
      </w:r>
      <w:r w:rsidRPr="00F80408">
        <w:rPr>
          <w:rFonts w:ascii="Times New Roman" w:hAnsi="Times New Roman"/>
        </w:rPr>
        <w:t xml:space="preserve"> Anonymous, ‘The Queen, Prince Albert, and their Children’, </w:t>
      </w:r>
      <w:r w:rsidRPr="00F80408">
        <w:rPr>
          <w:rFonts w:ascii="Times New Roman" w:hAnsi="Times New Roman"/>
          <w:i/>
          <w:iCs/>
        </w:rPr>
        <w:t>Reynolds’s Miscellany</w:t>
      </w:r>
      <w:r w:rsidRPr="00F80408">
        <w:rPr>
          <w:rFonts w:ascii="Times New Roman" w:hAnsi="Times New Roman"/>
        </w:rPr>
        <w:t>, 5 December 1946, pp. 73–74 (p. 73).</w:t>
      </w:r>
    </w:p>
  </w:footnote>
  <w:footnote w:id="250">
    <w:p w:rsidR="003515E3" w:rsidRPr="00F80408" w:rsidRDefault="003515E3" w:rsidP="001151C3">
      <w:pPr>
        <w:pStyle w:val="FootnoteText"/>
        <w:spacing w:after="0" w:line="240" w:lineRule="auto"/>
        <w:rPr>
          <w:rFonts w:ascii="Times New Roman" w:hAnsi="Times New Roman"/>
        </w:rPr>
      </w:pPr>
      <w:r w:rsidRPr="00F80408">
        <w:rPr>
          <w:rStyle w:val="FootnoteReference"/>
          <w:rFonts w:ascii="Times New Roman" w:hAnsi="Times New Roman"/>
        </w:rPr>
        <w:footnoteRef/>
      </w:r>
      <w:r w:rsidRPr="00F80408">
        <w:rPr>
          <w:rFonts w:ascii="Times New Roman" w:hAnsi="Times New Roman"/>
        </w:rPr>
        <w:t xml:space="preserve"> </w:t>
      </w:r>
      <w:r w:rsidRPr="00F80408">
        <w:rPr>
          <w:rFonts w:ascii="Times New Roman" w:hAnsi="Times New Roman"/>
          <w:i/>
        </w:rPr>
        <w:t>Mysteries of London</w:t>
      </w:r>
      <w:r w:rsidRPr="00F80408">
        <w:rPr>
          <w:rFonts w:ascii="Times New Roman" w:hAnsi="Times New Roman"/>
        </w:rPr>
        <w:t>, IV, 88.</w:t>
      </w:r>
    </w:p>
  </w:footnote>
  <w:footnote w:id="251">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Anonymous, ‘The Royal Family of Spain’, </w:t>
      </w:r>
      <w:r w:rsidRPr="00200909">
        <w:rPr>
          <w:rFonts w:ascii="Times New Roman" w:hAnsi="Times New Roman"/>
          <w:i/>
          <w:iCs/>
        </w:rPr>
        <w:t>Reynolds’s Miscellany</w:t>
      </w:r>
      <w:r w:rsidRPr="00200909">
        <w:rPr>
          <w:rFonts w:ascii="Times New Roman" w:hAnsi="Times New Roman"/>
        </w:rPr>
        <w:t>, 19 December 1846, pp. 105–06 (p. 106).</w:t>
      </w:r>
    </w:p>
  </w:footnote>
  <w:footnote w:id="252">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‘The Royal Family of Spain’, p. 106.</w:t>
      </w:r>
    </w:p>
  </w:footnote>
  <w:footnote w:id="253">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Anonymous, ‘The Four Leading Conservatives’, </w:t>
      </w:r>
      <w:r w:rsidRPr="00200909">
        <w:rPr>
          <w:rFonts w:ascii="Times New Roman" w:hAnsi="Times New Roman"/>
          <w:i/>
          <w:iCs/>
        </w:rPr>
        <w:t>Reynolds’s Miscellany</w:t>
      </w:r>
      <w:r w:rsidRPr="00200909">
        <w:rPr>
          <w:rFonts w:ascii="Times New Roman" w:hAnsi="Times New Roman"/>
        </w:rPr>
        <w:t xml:space="preserve">, 6 February 1947, p. 217.  A later article discusses other leading political figures in a similar manner.  See Anonymous, ‘Lord Stanley, Mr. Disraeli, and Lord George Bentinck’, </w:t>
      </w:r>
      <w:r w:rsidRPr="00200909">
        <w:rPr>
          <w:rFonts w:ascii="Times New Roman" w:hAnsi="Times New Roman"/>
          <w:i/>
          <w:iCs/>
        </w:rPr>
        <w:t>Reynolds’s Miscellany</w:t>
      </w:r>
      <w:r w:rsidRPr="00200909">
        <w:rPr>
          <w:rFonts w:ascii="Times New Roman" w:hAnsi="Times New Roman"/>
        </w:rPr>
        <w:t>, 24 July 1947, pp. 161–62.</w:t>
      </w:r>
    </w:p>
  </w:footnote>
  <w:footnote w:id="254">
    <w:p w:rsidR="003515E3" w:rsidRPr="00200909"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heme="majorBidi" w:hAnsiTheme="majorBidi" w:cstheme="majorBidi"/>
        </w:rPr>
        <w:t xml:space="preserve">G. W. M. Reynolds, </w:t>
      </w:r>
      <w:r w:rsidRPr="00200909">
        <w:rPr>
          <w:rFonts w:ascii="Times New Roman" w:hAnsi="Times New Roman"/>
        </w:rPr>
        <w:t xml:space="preserve">‘Society and Public Opinion’, </w:t>
      </w:r>
      <w:r w:rsidRPr="00200909">
        <w:rPr>
          <w:rFonts w:ascii="Times New Roman" w:hAnsi="Times New Roman"/>
          <w:i/>
          <w:iCs/>
        </w:rPr>
        <w:t>Reynolds’s Weekly Newspaper</w:t>
      </w:r>
      <w:r w:rsidRPr="00200909">
        <w:rPr>
          <w:rFonts w:ascii="Times New Roman" w:hAnsi="Times New Roman"/>
        </w:rPr>
        <w:t>, 2 June 1850, p. 1.</w:t>
      </w:r>
    </w:p>
  </w:footnote>
  <w:footnote w:id="255">
    <w:p w:rsidR="003515E3" w:rsidRPr="00200909"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‘Society and Public Opinion’, p. 1.</w:t>
      </w:r>
    </w:p>
  </w:footnote>
  <w:footnote w:id="256">
    <w:p w:rsidR="003515E3" w:rsidRPr="00F80408"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heme="majorBidi" w:hAnsiTheme="majorBidi" w:cstheme="majorBidi"/>
        </w:rPr>
        <w:t xml:space="preserve">G. W. M. Reynolds, </w:t>
      </w:r>
      <w:r w:rsidRPr="00200909">
        <w:rPr>
          <w:rFonts w:ascii="Times New Roman" w:hAnsi="Times New Roman"/>
        </w:rPr>
        <w:t xml:space="preserve">‘The Policy of the Upper Classes’, </w:t>
      </w:r>
      <w:r w:rsidRPr="00200909">
        <w:rPr>
          <w:rFonts w:ascii="Times New Roman" w:hAnsi="Times New Roman"/>
          <w:i/>
          <w:iCs/>
        </w:rPr>
        <w:t>Reynolds’s Weekly Newspaper</w:t>
      </w:r>
      <w:r w:rsidRPr="00200909">
        <w:rPr>
          <w:rFonts w:ascii="Times New Roman" w:hAnsi="Times New Roman"/>
        </w:rPr>
        <w:t>, 30 June 1850, p. 1.</w:t>
      </w:r>
    </w:p>
  </w:footnote>
  <w:footnote w:id="257">
    <w:p w:rsidR="003515E3" w:rsidRPr="00F80408" w:rsidRDefault="003515E3" w:rsidP="001151C3">
      <w:pPr>
        <w:pStyle w:val="FootnoteText"/>
        <w:spacing w:after="0" w:line="240" w:lineRule="auto"/>
      </w:pPr>
      <w:r w:rsidRPr="00F80408">
        <w:rPr>
          <w:rStyle w:val="FootnoteReference"/>
          <w:rFonts w:ascii="Times New Roman" w:hAnsi="Times New Roman"/>
        </w:rPr>
        <w:footnoteRef/>
      </w:r>
      <w:r w:rsidRPr="00F80408">
        <w:rPr>
          <w:rFonts w:ascii="Times New Roman" w:hAnsi="Times New Roman"/>
        </w:rPr>
        <w:t xml:space="preserve"> </w:t>
      </w:r>
      <w:r w:rsidRPr="00F80408">
        <w:rPr>
          <w:rFonts w:asciiTheme="majorBidi" w:hAnsiTheme="majorBidi" w:cstheme="majorBidi"/>
        </w:rPr>
        <w:t>G. W. M. Reynolds,</w:t>
      </w:r>
      <w:r w:rsidRPr="00F80408">
        <w:rPr>
          <w:rFonts w:ascii="Times New Roman" w:hAnsi="Times New Roman"/>
          <w:iCs/>
        </w:rPr>
        <w:t xml:space="preserve"> </w:t>
      </w:r>
      <w:r w:rsidRPr="00F80408">
        <w:rPr>
          <w:rFonts w:ascii="Times New Roman" w:hAnsi="Times New Roman"/>
        </w:rPr>
        <w:t xml:space="preserve">‘Freedom’s Boast and Slavery’s Reality’, </w:t>
      </w:r>
      <w:r w:rsidRPr="00F80408">
        <w:rPr>
          <w:rFonts w:ascii="Times New Roman" w:hAnsi="Times New Roman"/>
          <w:i/>
          <w:iCs/>
        </w:rPr>
        <w:t>Reynolds’s Newspaper</w:t>
      </w:r>
      <w:r w:rsidRPr="00F80408">
        <w:rPr>
          <w:rFonts w:ascii="Times New Roman" w:hAnsi="Times New Roman"/>
        </w:rPr>
        <w:t xml:space="preserve">, 21 September 1851, p. 1. </w:t>
      </w:r>
    </w:p>
  </w:footnote>
  <w:footnote w:id="258">
    <w:p w:rsidR="003515E3" w:rsidRPr="00F80408" w:rsidRDefault="003515E3" w:rsidP="001151C3">
      <w:pPr>
        <w:spacing w:after="0" w:line="240" w:lineRule="auto"/>
        <w:rPr>
          <w:sz w:val="20"/>
          <w:szCs w:val="20"/>
        </w:rPr>
      </w:pPr>
      <w:r w:rsidRPr="00F80408">
        <w:rPr>
          <w:rStyle w:val="FootnoteReference"/>
          <w:rFonts w:ascii="Times New Roman" w:hAnsi="Times New Roman"/>
          <w:sz w:val="20"/>
          <w:szCs w:val="20"/>
        </w:rPr>
        <w:footnoteRef/>
      </w:r>
      <w:r w:rsidRPr="00F80408">
        <w:rPr>
          <w:rFonts w:ascii="Times New Roman" w:hAnsi="Times New Roman"/>
          <w:sz w:val="20"/>
          <w:szCs w:val="20"/>
        </w:rPr>
        <w:t xml:space="preserve"> </w:t>
      </w:r>
      <w:r w:rsidRPr="00F80408">
        <w:rPr>
          <w:rFonts w:asciiTheme="majorBidi" w:hAnsiTheme="majorBidi" w:cstheme="majorBidi"/>
          <w:sz w:val="20"/>
          <w:szCs w:val="20"/>
        </w:rPr>
        <w:t xml:space="preserve">G. W. M. Reynolds, </w:t>
      </w:r>
      <w:r w:rsidRPr="00F80408">
        <w:rPr>
          <w:rFonts w:ascii="Times New Roman" w:hAnsi="Times New Roman"/>
          <w:sz w:val="20"/>
          <w:szCs w:val="20"/>
        </w:rPr>
        <w:t>‘How the Social System Works’,</w:t>
      </w:r>
      <w:r w:rsidRPr="00F80408">
        <w:rPr>
          <w:rFonts w:ascii="Times New Roman" w:hAnsi="Times New Roman"/>
          <w:i/>
          <w:iCs/>
          <w:sz w:val="20"/>
          <w:szCs w:val="20"/>
        </w:rPr>
        <w:t xml:space="preserve"> Reynolds’s Newspaper</w:t>
      </w:r>
      <w:r w:rsidRPr="00F80408">
        <w:rPr>
          <w:rFonts w:ascii="Times New Roman" w:hAnsi="Times New Roman"/>
          <w:sz w:val="20"/>
          <w:szCs w:val="20"/>
        </w:rPr>
        <w:t>, 15 June 1851, p. 1.</w:t>
      </w:r>
    </w:p>
  </w:footnote>
  <w:footnote w:id="259">
    <w:p w:rsidR="003515E3" w:rsidRPr="00F80408" w:rsidRDefault="003515E3" w:rsidP="001151C3">
      <w:pPr>
        <w:spacing w:after="0" w:line="240" w:lineRule="auto"/>
        <w:rPr>
          <w:sz w:val="20"/>
          <w:szCs w:val="20"/>
        </w:rPr>
      </w:pPr>
      <w:r w:rsidRPr="00F80408">
        <w:rPr>
          <w:rStyle w:val="FootnoteReference"/>
          <w:rFonts w:ascii="Times New Roman" w:hAnsi="Times New Roman"/>
          <w:sz w:val="20"/>
          <w:szCs w:val="20"/>
        </w:rPr>
        <w:footnoteRef/>
      </w:r>
      <w:r w:rsidRPr="00F80408">
        <w:rPr>
          <w:rFonts w:ascii="Times New Roman" w:hAnsi="Times New Roman"/>
          <w:sz w:val="20"/>
          <w:szCs w:val="20"/>
        </w:rPr>
        <w:t xml:space="preserve"> </w:t>
      </w:r>
      <w:r w:rsidRPr="00F80408">
        <w:rPr>
          <w:rFonts w:asciiTheme="majorBidi" w:hAnsiTheme="majorBidi" w:cstheme="majorBidi"/>
          <w:sz w:val="20"/>
          <w:szCs w:val="20"/>
        </w:rPr>
        <w:t xml:space="preserve">G. W. M. Reynolds, </w:t>
      </w:r>
      <w:r w:rsidRPr="00F80408">
        <w:rPr>
          <w:rFonts w:ascii="Times New Roman" w:hAnsi="Times New Roman"/>
          <w:sz w:val="20"/>
          <w:szCs w:val="20"/>
        </w:rPr>
        <w:t>‘Why England has not but ought to have a Constitution’,</w:t>
      </w:r>
      <w:r w:rsidRPr="00F80408">
        <w:rPr>
          <w:rFonts w:ascii="Times New Roman" w:hAnsi="Times New Roman"/>
          <w:i/>
          <w:iCs/>
          <w:sz w:val="20"/>
          <w:szCs w:val="20"/>
        </w:rPr>
        <w:t xml:space="preserve"> Reynolds’s Newspaper</w:t>
      </w:r>
      <w:r w:rsidRPr="00F80408">
        <w:rPr>
          <w:rFonts w:ascii="Times New Roman" w:hAnsi="Times New Roman"/>
          <w:sz w:val="20"/>
          <w:szCs w:val="20"/>
        </w:rPr>
        <w:t>, 28 March 1852, p. 1.</w:t>
      </w:r>
    </w:p>
  </w:footnote>
  <w:footnote w:id="260">
    <w:p w:rsidR="003515E3" w:rsidRPr="00F80408" w:rsidRDefault="003515E3" w:rsidP="001151C3">
      <w:pPr>
        <w:pStyle w:val="FootnoteText"/>
        <w:spacing w:after="0" w:line="240" w:lineRule="auto"/>
      </w:pPr>
      <w:r w:rsidRPr="00F80408">
        <w:rPr>
          <w:rStyle w:val="FootnoteReference"/>
          <w:rFonts w:ascii="Times New Roman" w:hAnsi="Times New Roman"/>
        </w:rPr>
        <w:footnoteRef/>
      </w:r>
      <w:r w:rsidRPr="00F80408">
        <w:rPr>
          <w:rFonts w:ascii="Times New Roman" w:hAnsi="Times New Roman"/>
        </w:rPr>
        <w:t xml:space="preserve"> </w:t>
      </w:r>
      <w:r w:rsidRPr="00F80408">
        <w:rPr>
          <w:rFonts w:asciiTheme="majorBidi" w:hAnsiTheme="majorBidi" w:cstheme="majorBidi"/>
        </w:rPr>
        <w:t xml:space="preserve">G. W. M. Reynolds, </w:t>
      </w:r>
      <w:r w:rsidRPr="00F80408">
        <w:rPr>
          <w:rFonts w:ascii="Times New Roman" w:hAnsi="Times New Roman"/>
        </w:rPr>
        <w:t>‘Revolutions: their Causes and their Motives’,</w:t>
      </w:r>
      <w:r w:rsidRPr="00F80408">
        <w:rPr>
          <w:rFonts w:ascii="Times New Roman" w:hAnsi="Times New Roman"/>
          <w:i/>
          <w:iCs/>
        </w:rPr>
        <w:t xml:space="preserve"> Reynolds’s Newspaper</w:t>
      </w:r>
      <w:r w:rsidRPr="00F80408">
        <w:rPr>
          <w:rFonts w:ascii="Times New Roman" w:hAnsi="Times New Roman"/>
        </w:rPr>
        <w:t xml:space="preserve">, 19 October 1851, </w:t>
      </w:r>
      <w:r w:rsidRPr="00596950">
        <w:rPr>
          <w:rFonts w:ascii="Times New Roman" w:hAnsi="Times New Roman"/>
        </w:rPr>
        <w:t xml:space="preserve">p. 1.  The article in question was: J. W. Croker, ‘Revolutionary Literature’, </w:t>
      </w:r>
      <w:r w:rsidRPr="00596950">
        <w:rPr>
          <w:rFonts w:ascii="Times New Roman" w:hAnsi="Times New Roman"/>
          <w:i/>
        </w:rPr>
        <w:t>Quarterly Review</w:t>
      </w:r>
      <w:r w:rsidRPr="00596950">
        <w:rPr>
          <w:rFonts w:ascii="Times New Roman" w:hAnsi="Times New Roman"/>
        </w:rPr>
        <w:t>, September 1851, pp. 491–543.  For Croker’s argument against any governmental concessions to the expansion of democracy, see pp. 538–43.</w:t>
      </w:r>
    </w:p>
  </w:footnote>
  <w:footnote w:id="261">
    <w:p w:rsidR="003515E3" w:rsidRPr="00F80408" w:rsidRDefault="003515E3" w:rsidP="001151C3">
      <w:pPr>
        <w:spacing w:after="0" w:line="240" w:lineRule="auto"/>
        <w:rPr>
          <w:sz w:val="20"/>
          <w:szCs w:val="20"/>
        </w:rPr>
      </w:pPr>
      <w:r w:rsidRPr="00F80408">
        <w:rPr>
          <w:rStyle w:val="FootnoteReference"/>
          <w:rFonts w:ascii="Times New Roman" w:hAnsi="Times New Roman"/>
          <w:sz w:val="20"/>
          <w:szCs w:val="20"/>
        </w:rPr>
        <w:footnoteRef/>
      </w:r>
      <w:r w:rsidRPr="00F80408">
        <w:rPr>
          <w:rFonts w:ascii="Times New Roman" w:hAnsi="Times New Roman"/>
          <w:sz w:val="20"/>
          <w:szCs w:val="20"/>
        </w:rPr>
        <w:t xml:space="preserve"> ‘How the Social System Works’, p. 1.</w:t>
      </w:r>
    </w:p>
  </w:footnote>
  <w:footnote w:id="262">
    <w:p w:rsidR="003515E3" w:rsidRPr="00F80408" w:rsidRDefault="003515E3" w:rsidP="001151C3">
      <w:pPr>
        <w:pStyle w:val="FootnoteText"/>
        <w:spacing w:after="0" w:line="240" w:lineRule="auto"/>
      </w:pPr>
      <w:r w:rsidRPr="00F80408">
        <w:rPr>
          <w:rStyle w:val="FootnoteReference"/>
          <w:rFonts w:ascii="Times New Roman" w:hAnsi="Times New Roman"/>
        </w:rPr>
        <w:footnoteRef/>
      </w:r>
      <w:r w:rsidRPr="00F80408">
        <w:rPr>
          <w:rFonts w:ascii="Times New Roman" w:hAnsi="Times New Roman"/>
        </w:rPr>
        <w:t xml:space="preserve"> ‘Revolutions: their Causes and their Motives’, p. 1.</w:t>
      </w:r>
    </w:p>
  </w:footnote>
  <w:footnote w:id="263">
    <w:p w:rsidR="003515E3" w:rsidRPr="00F80408" w:rsidRDefault="003515E3" w:rsidP="001151C3">
      <w:pPr>
        <w:spacing w:after="0" w:line="240" w:lineRule="auto"/>
        <w:rPr>
          <w:sz w:val="20"/>
          <w:szCs w:val="20"/>
        </w:rPr>
      </w:pPr>
      <w:r w:rsidRPr="00F80408">
        <w:rPr>
          <w:rStyle w:val="FootnoteReference"/>
          <w:rFonts w:ascii="Times New Roman" w:hAnsi="Times New Roman"/>
          <w:sz w:val="20"/>
          <w:szCs w:val="20"/>
        </w:rPr>
        <w:footnoteRef/>
      </w:r>
      <w:r w:rsidRPr="00F80408">
        <w:rPr>
          <w:rFonts w:ascii="Times New Roman" w:hAnsi="Times New Roman"/>
          <w:sz w:val="20"/>
          <w:szCs w:val="20"/>
        </w:rPr>
        <w:t xml:space="preserve"> </w:t>
      </w:r>
      <w:r w:rsidRPr="00F80408">
        <w:rPr>
          <w:rFonts w:asciiTheme="majorBidi" w:hAnsiTheme="majorBidi" w:cstheme="majorBidi"/>
          <w:sz w:val="20"/>
          <w:szCs w:val="20"/>
        </w:rPr>
        <w:t>G. W. M. Reynolds,</w:t>
      </w:r>
      <w:r w:rsidRPr="00F80408">
        <w:rPr>
          <w:rFonts w:ascii="Times New Roman" w:hAnsi="Times New Roman"/>
          <w:iCs/>
          <w:sz w:val="20"/>
          <w:szCs w:val="20"/>
        </w:rPr>
        <w:t xml:space="preserve"> </w:t>
      </w:r>
      <w:r w:rsidRPr="00F80408">
        <w:rPr>
          <w:rFonts w:ascii="Times New Roman" w:hAnsi="Times New Roman"/>
          <w:sz w:val="20"/>
          <w:szCs w:val="20"/>
        </w:rPr>
        <w:t xml:space="preserve">‘Capital, Labour, and the Land’, </w:t>
      </w:r>
      <w:r w:rsidRPr="00F80408">
        <w:rPr>
          <w:rFonts w:ascii="Times New Roman" w:hAnsi="Times New Roman"/>
          <w:i/>
          <w:iCs/>
          <w:sz w:val="20"/>
          <w:szCs w:val="20"/>
        </w:rPr>
        <w:t>Reynolds’s Newspaper</w:t>
      </w:r>
      <w:r w:rsidRPr="00F80408">
        <w:rPr>
          <w:rFonts w:ascii="Times New Roman" w:hAnsi="Times New Roman"/>
          <w:sz w:val="20"/>
          <w:szCs w:val="20"/>
        </w:rPr>
        <w:t>, 18 August 1850, p. 1.</w:t>
      </w:r>
    </w:p>
  </w:footnote>
  <w:footnote w:id="264">
    <w:p w:rsidR="003515E3" w:rsidRPr="00F80408" w:rsidRDefault="003515E3" w:rsidP="001151C3">
      <w:pPr>
        <w:spacing w:after="0" w:line="240" w:lineRule="auto"/>
        <w:rPr>
          <w:sz w:val="20"/>
          <w:szCs w:val="20"/>
        </w:rPr>
      </w:pPr>
      <w:r w:rsidRPr="00F80408">
        <w:rPr>
          <w:rStyle w:val="FootnoteReference"/>
          <w:rFonts w:ascii="Times New Roman" w:hAnsi="Times New Roman"/>
          <w:sz w:val="20"/>
          <w:szCs w:val="20"/>
        </w:rPr>
        <w:footnoteRef/>
      </w:r>
      <w:r w:rsidRPr="00F80408">
        <w:rPr>
          <w:rFonts w:ascii="Times New Roman" w:hAnsi="Times New Roman"/>
          <w:sz w:val="20"/>
          <w:szCs w:val="20"/>
        </w:rPr>
        <w:t xml:space="preserve"> </w:t>
      </w:r>
      <w:r w:rsidRPr="00F80408">
        <w:rPr>
          <w:rFonts w:asciiTheme="majorBidi" w:hAnsiTheme="majorBidi" w:cstheme="majorBidi"/>
          <w:sz w:val="20"/>
          <w:szCs w:val="20"/>
        </w:rPr>
        <w:t xml:space="preserve">G. W. M. Reynolds, </w:t>
      </w:r>
      <w:r w:rsidRPr="00F80408">
        <w:rPr>
          <w:rFonts w:ascii="Times New Roman" w:hAnsi="Times New Roman"/>
          <w:sz w:val="20"/>
          <w:szCs w:val="20"/>
        </w:rPr>
        <w:t>‘Our Hereditary Peerage Considered as a National Institution’,</w:t>
      </w:r>
      <w:r w:rsidRPr="00F80408">
        <w:rPr>
          <w:rFonts w:ascii="Times New Roman" w:hAnsi="Times New Roman"/>
          <w:iCs/>
          <w:sz w:val="20"/>
          <w:szCs w:val="20"/>
        </w:rPr>
        <w:t xml:space="preserve"> </w:t>
      </w:r>
      <w:r w:rsidRPr="00F80408">
        <w:rPr>
          <w:rFonts w:ascii="Times New Roman" w:hAnsi="Times New Roman"/>
          <w:i/>
          <w:iCs/>
          <w:sz w:val="20"/>
          <w:szCs w:val="20"/>
        </w:rPr>
        <w:t>Reynolds’s Newspaper</w:t>
      </w:r>
      <w:r w:rsidRPr="00F80408">
        <w:rPr>
          <w:rFonts w:ascii="Times New Roman" w:hAnsi="Times New Roman"/>
          <w:sz w:val="20"/>
          <w:szCs w:val="20"/>
        </w:rPr>
        <w:t>, 9 March 1851, p. 1.</w:t>
      </w:r>
    </w:p>
  </w:footnote>
  <w:footnote w:id="265">
    <w:p w:rsidR="003515E3" w:rsidRPr="00AA1DF4" w:rsidRDefault="003515E3" w:rsidP="001151C3">
      <w:pPr>
        <w:pStyle w:val="FootnoteText"/>
        <w:spacing w:after="0" w:line="240" w:lineRule="auto"/>
        <w:rPr>
          <w:rFonts w:ascii="Times New Roman" w:hAnsi="Times New Roman"/>
        </w:rPr>
      </w:pPr>
      <w:r w:rsidRPr="00AA1DF4">
        <w:rPr>
          <w:rStyle w:val="FootnoteReference"/>
          <w:rFonts w:ascii="Times New Roman" w:hAnsi="Times New Roman"/>
        </w:rPr>
        <w:footnoteRef/>
      </w:r>
      <w:r w:rsidRPr="00AA1DF4">
        <w:rPr>
          <w:rFonts w:ascii="Times New Roman" w:hAnsi="Times New Roman"/>
        </w:rPr>
        <w:t xml:space="preserve"> </w:t>
      </w:r>
      <w:r w:rsidRPr="00AA1DF4">
        <w:rPr>
          <w:rFonts w:asciiTheme="majorBidi" w:hAnsiTheme="majorBidi" w:cstheme="majorBidi"/>
          <w:bCs/>
          <w:i/>
        </w:rPr>
        <w:t>Alfred</w:t>
      </w:r>
      <w:r w:rsidRPr="00AA1DF4">
        <w:rPr>
          <w:rFonts w:asciiTheme="majorBidi" w:hAnsiTheme="majorBidi" w:cstheme="majorBidi"/>
          <w:bCs/>
        </w:rPr>
        <w:t xml:space="preserve">, p. </w:t>
      </w:r>
      <w:r>
        <w:rPr>
          <w:rFonts w:asciiTheme="majorBidi" w:hAnsiTheme="majorBidi" w:cstheme="majorBidi"/>
          <w:bCs/>
        </w:rPr>
        <w:t>17</w:t>
      </w:r>
      <w:r w:rsidRPr="00AA1DF4">
        <w:rPr>
          <w:rFonts w:asciiTheme="majorBidi" w:hAnsiTheme="majorBidi" w:cstheme="majorBidi"/>
          <w:bCs/>
        </w:rPr>
        <w:t>.</w:t>
      </w:r>
    </w:p>
  </w:footnote>
  <w:footnote w:id="266">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For first publication, see G. W. M. Reynolds, ‘Alfred de Rosann; or, the Adventures of a French Gentleman’, </w:t>
      </w:r>
      <w:r w:rsidRPr="00200909">
        <w:rPr>
          <w:rFonts w:ascii="Times New Roman" w:hAnsi="Times New Roman"/>
          <w:i/>
        </w:rPr>
        <w:t>Monthly Magazine</w:t>
      </w:r>
      <w:r w:rsidRPr="00200909">
        <w:rPr>
          <w:rFonts w:ascii="Times New Roman" w:hAnsi="Times New Roman"/>
        </w:rPr>
        <w:t>, July 1838, pp. 1–32 (p. 17).</w:t>
      </w:r>
    </w:p>
  </w:footnote>
  <w:footnote w:id="267">
    <w:p w:rsidR="003515E3" w:rsidRPr="00200909" w:rsidRDefault="003515E3" w:rsidP="001151C3">
      <w:pPr>
        <w:pStyle w:val="FootnoteText"/>
        <w:spacing w:after="0" w:line="240" w:lineRule="auto"/>
        <w:rPr>
          <w:rFonts w:ascii="Times New Roman" w:hAnsi="Times New Roman"/>
        </w:rPr>
      </w:pPr>
      <w:r w:rsidRPr="00200909">
        <w:rPr>
          <w:rStyle w:val="FootnoteReference"/>
          <w:rFonts w:ascii="Times New Roman" w:hAnsi="Times New Roman"/>
        </w:rPr>
        <w:footnoteRef/>
      </w:r>
      <w:r w:rsidRPr="00200909">
        <w:rPr>
          <w:rFonts w:ascii="Times New Roman" w:hAnsi="Times New Roman"/>
        </w:rPr>
        <w:t xml:space="preserve"> ‘Some Thoughts Concerning Education’, pp.102, 112.</w:t>
      </w:r>
    </w:p>
  </w:footnote>
  <w:footnote w:id="268">
    <w:p w:rsidR="003515E3" w:rsidRPr="00200909"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heme="majorBidi" w:hAnsiTheme="majorBidi" w:cstheme="majorBidi"/>
        </w:rPr>
        <w:t>‘</w:t>
      </w:r>
      <w:r w:rsidRPr="00200909">
        <w:rPr>
          <w:rFonts w:ascii="Times New Roman" w:hAnsi="Times New Roman"/>
        </w:rPr>
        <w:t>Why England has not but ought to Have a Constitution’, p. 1.</w:t>
      </w:r>
    </w:p>
  </w:footnote>
  <w:footnote w:id="269">
    <w:p w:rsidR="003515E3" w:rsidRPr="00200909" w:rsidRDefault="003515E3" w:rsidP="001151C3">
      <w:pPr>
        <w:pStyle w:val="FootnoteText"/>
        <w:spacing w:after="0" w:line="240" w:lineRule="auto"/>
        <w:rPr>
          <w:rFonts w:asciiTheme="majorBidi" w:hAnsiTheme="majorBidi" w:cstheme="majorBidi"/>
        </w:rPr>
      </w:pPr>
      <w:r w:rsidRPr="00200909">
        <w:rPr>
          <w:rStyle w:val="FootnoteReference"/>
          <w:rFonts w:asciiTheme="majorBidi" w:hAnsiTheme="majorBidi" w:cstheme="majorBidi"/>
        </w:rPr>
        <w:footnoteRef/>
      </w:r>
      <w:r w:rsidRPr="00200909">
        <w:rPr>
          <w:rFonts w:asciiTheme="majorBidi" w:hAnsiTheme="majorBidi" w:cstheme="majorBidi"/>
        </w:rPr>
        <w:t xml:space="preserve"> Miles Taylor, </w:t>
      </w:r>
      <w:r w:rsidRPr="00200909">
        <w:rPr>
          <w:rFonts w:asciiTheme="majorBidi" w:hAnsiTheme="majorBidi" w:cstheme="majorBidi"/>
          <w:i/>
          <w:iCs/>
        </w:rPr>
        <w:t>The Decline of British Radicalism, 1847</w:t>
      </w:r>
      <w:r w:rsidRPr="00200909">
        <w:rPr>
          <w:rFonts w:ascii="Times New Roman" w:hAnsi="Times New Roman"/>
        </w:rPr>
        <w:t>–</w:t>
      </w:r>
      <w:r w:rsidRPr="00200909">
        <w:rPr>
          <w:rFonts w:asciiTheme="majorBidi" w:hAnsiTheme="majorBidi" w:cstheme="majorBidi"/>
          <w:i/>
          <w:iCs/>
        </w:rPr>
        <w:t>1860</w:t>
      </w:r>
      <w:r w:rsidRPr="00200909">
        <w:rPr>
          <w:rFonts w:asciiTheme="majorBidi" w:hAnsiTheme="majorBidi" w:cstheme="majorBidi"/>
        </w:rPr>
        <w:t xml:space="preserve"> (Oxford: Oxford University Press, 1995), p. 120.</w:t>
      </w:r>
    </w:p>
  </w:footnote>
  <w:footnote w:id="270">
    <w:p w:rsidR="003515E3" w:rsidRPr="00F80408" w:rsidRDefault="003515E3" w:rsidP="001151C3">
      <w:pPr>
        <w:pStyle w:val="FootnoteText"/>
        <w:spacing w:after="0" w:line="240" w:lineRule="auto"/>
      </w:pPr>
      <w:r w:rsidRPr="00200909">
        <w:rPr>
          <w:rStyle w:val="FootnoteReference"/>
          <w:rFonts w:ascii="Times New Roman" w:hAnsi="Times New Roman"/>
        </w:rPr>
        <w:footnoteRef/>
      </w:r>
      <w:r w:rsidRPr="00200909">
        <w:rPr>
          <w:rFonts w:ascii="Times New Roman" w:hAnsi="Times New Roman"/>
        </w:rPr>
        <w:t xml:space="preserve"> </w:t>
      </w:r>
      <w:r w:rsidRPr="00200909">
        <w:rPr>
          <w:rFonts w:asciiTheme="majorBidi" w:hAnsiTheme="majorBidi" w:cstheme="majorBidi"/>
        </w:rPr>
        <w:t xml:space="preserve">G. W. M. Reynolds, </w:t>
      </w:r>
      <w:r w:rsidRPr="00200909">
        <w:rPr>
          <w:rFonts w:ascii="Times New Roman" w:hAnsi="Times New Roman"/>
        </w:rPr>
        <w:t>‘How Labour Can Best Protect Itself’,</w:t>
      </w:r>
      <w:r w:rsidRPr="00200909">
        <w:rPr>
          <w:rFonts w:ascii="Times New Roman" w:hAnsi="Times New Roman"/>
          <w:i/>
          <w:iCs/>
        </w:rPr>
        <w:t xml:space="preserve"> Reynolds’s Newspaper</w:t>
      </w:r>
      <w:r w:rsidRPr="00200909">
        <w:rPr>
          <w:rFonts w:ascii="Times New Roman" w:hAnsi="Times New Roman"/>
        </w:rPr>
        <w:t>, 7 March 1852, p. 1.</w:t>
      </w:r>
    </w:p>
  </w:footnote>
  <w:footnote w:id="271">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rPr>
        <w:t>Fiction for the Working Man 1830 – 1850</w:t>
      </w:r>
      <w:r w:rsidRPr="00D7340C">
        <w:rPr>
          <w:rFonts w:ascii="Times New Roman" w:hAnsi="Times New Roman"/>
        </w:rPr>
        <w:t>, p. 52.</w:t>
      </w:r>
    </w:p>
  </w:footnote>
  <w:footnote w:id="272">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At this time Reynolds had not dedicated himself to cheap fiction.  Early sections of the novel were printed in the </w:t>
      </w:r>
      <w:r w:rsidRPr="00D7340C">
        <w:rPr>
          <w:rFonts w:asciiTheme="majorBidi" w:hAnsiTheme="majorBidi" w:cstheme="majorBidi"/>
          <w:i/>
          <w:iCs/>
        </w:rPr>
        <w:t>Monthly Magazine</w:t>
      </w:r>
      <w:r w:rsidRPr="00D7340C">
        <w:rPr>
          <w:rFonts w:asciiTheme="majorBidi" w:hAnsiTheme="majorBidi" w:cstheme="majorBidi"/>
        </w:rPr>
        <w:t>, the first in December 1837.  During 1838</w:t>
      </w:r>
      <w:r w:rsidRPr="00D7340C">
        <w:rPr>
          <w:rFonts w:ascii="Times New Roman" w:hAnsi="Times New Roman"/>
        </w:rPr>
        <w:t>–39, it was</w:t>
      </w:r>
      <w:r w:rsidRPr="00D7340C">
        <w:rPr>
          <w:rFonts w:asciiTheme="majorBidi" w:hAnsiTheme="majorBidi" w:cstheme="majorBidi"/>
        </w:rPr>
        <w:t xml:space="preserve"> issued in shilling numbers, and published in book form in 1839.</w:t>
      </w:r>
    </w:p>
  </w:footnote>
  <w:footnote w:id="273">
    <w:p w:rsidR="003515E3" w:rsidRPr="000632C9"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xml:space="preserve">, p. 628.  This strongly echoes the final line of Dickens’s original: ‘he [Pickwick] is invariably attended by the faithful Sam, between whom and his master there exists a steady and reciprocal attachment, which nothing but death will sever’. See Charles Dickens, </w:t>
      </w:r>
      <w:r w:rsidRPr="00D7340C">
        <w:rPr>
          <w:rFonts w:ascii="Times New Roman" w:hAnsi="Times New Roman"/>
          <w:bCs/>
          <w:i/>
        </w:rPr>
        <w:t>The Posthumous Papers of the Pickwick Club</w:t>
      </w:r>
      <w:r w:rsidRPr="00D7340C">
        <w:rPr>
          <w:rFonts w:asciiTheme="majorBidi" w:hAnsiTheme="majorBidi" w:cstheme="majorBidi"/>
        </w:rPr>
        <w:t>, ed. by James Kinsley (Oxford: Clarendon Press, 1986), p. 877.</w:t>
      </w:r>
    </w:p>
  </w:footnote>
  <w:footnote w:id="274">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Doreen Massey, </w:t>
      </w:r>
      <w:r w:rsidRPr="00D7340C">
        <w:rPr>
          <w:rFonts w:asciiTheme="majorBidi" w:hAnsiTheme="majorBidi" w:cstheme="majorBidi"/>
          <w:i/>
          <w:iCs/>
        </w:rPr>
        <w:t>Spatial Division of Labour.  Social Structures and the Geography of Production</w:t>
      </w:r>
      <w:r w:rsidRPr="00D7340C">
        <w:rPr>
          <w:rFonts w:asciiTheme="majorBidi" w:hAnsiTheme="majorBidi" w:cstheme="majorBidi"/>
        </w:rPr>
        <w:t>, 2</w:t>
      </w:r>
      <w:r w:rsidRPr="00D7340C">
        <w:rPr>
          <w:rFonts w:asciiTheme="majorBidi" w:hAnsiTheme="majorBidi" w:cstheme="majorBidi"/>
          <w:vertAlign w:val="superscript"/>
        </w:rPr>
        <w:t>nd</w:t>
      </w:r>
      <w:r w:rsidRPr="00D7340C">
        <w:rPr>
          <w:rFonts w:asciiTheme="majorBidi" w:hAnsiTheme="majorBidi" w:cstheme="majorBidi"/>
        </w:rPr>
        <w:t xml:space="preserve"> edn (Houndmills: Macmillan, 1995), pp. 1, 3.</w:t>
      </w:r>
    </w:p>
  </w:footnote>
  <w:footnote w:id="275">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The reference to Pickwick’s Toryism is contained in the head notes to Chapter XVIII.  See </w:t>
      </w:r>
      <w:r w:rsidRPr="00D7340C">
        <w:rPr>
          <w:rFonts w:asciiTheme="majorBidi" w:hAnsiTheme="majorBidi" w:cstheme="majorBidi"/>
          <w:i/>
          <w:iCs/>
        </w:rPr>
        <w:t>Pickwick Abroad</w:t>
      </w:r>
      <w:r w:rsidRPr="00D7340C">
        <w:rPr>
          <w:rFonts w:asciiTheme="majorBidi" w:hAnsiTheme="majorBidi" w:cstheme="majorBidi"/>
        </w:rPr>
        <w:t>, p. 137.</w:t>
      </w:r>
    </w:p>
  </w:footnote>
  <w:footnote w:id="276">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111.</w:t>
      </w:r>
    </w:p>
  </w:footnote>
  <w:footnote w:id="277">
    <w:p w:rsidR="003515E3" w:rsidRPr="00601E64"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Pickwick’s sense of rank extends to pride in his own reputation as when he reflects that ‘he himself was no inconsiderable ornament to the nation whose Ambassador had honoured him with his notice’.  See </w:t>
      </w:r>
      <w:r w:rsidRPr="00D7340C">
        <w:rPr>
          <w:rFonts w:asciiTheme="majorBidi" w:hAnsiTheme="majorBidi" w:cstheme="majorBidi"/>
          <w:i/>
          <w:iCs/>
        </w:rPr>
        <w:t>Pickwick Abroad</w:t>
      </w:r>
      <w:r w:rsidRPr="00D7340C">
        <w:rPr>
          <w:rFonts w:asciiTheme="majorBidi" w:hAnsiTheme="majorBidi" w:cstheme="majorBidi"/>
        </w:rPr>
        <w:t>, p. 115.</w:t>
      </w:r>
    </w:p>
  </w:footnote>
  <w:footnote w:id="278">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352.</w:t>
      </w:r>
    </w:p>
  </w:footnote>
  <w:footnote w:id="279">
    <w:p w:rsidR="003515E3" w:rsidRPr="00D7340C" w:rsidRDefault="003515E3" w:rsidP="00C73A2E">
      <w:pPr>
        <w:spacing w:after="0" w:line="240" w:lineRule="auto"/>
        <w:rPr>
          <w:rFonts w:ascii="Times New Roman" w:hAnsi="Times New Roman" w:cs="Times New Roman"/>
          <w:sz w:val="20"/>
          <w:szCs w:val="20"/>
        </w:rPr>
      </w:pPr>
      <w:r w:rsidRPr="00D7340C">
        <w:rPr>
          <w:rStyle w:val="FootnoteReference"/>
          <w:rFonts w:ascii="Times New Roman" w:hAnsi="Times New Roman"/>
        </w:rPr>
        <w:footnoteRef/>
      </w:r>
      <w:r w:rsidRPr="00D7340C">
        <w:rPr>
          <w:rFonts w:ascii="Times New Roman" w:hAnsi="Times New Roman" w:cs="Times New Roman"/>
          <w:sz w:val="20"/>
          <w:szCs w:val="20"/>
        </w:rPr>
        <w:t xml:space="preserve"> The use of dress and manner to demonstrate independence, particularly among the urban working classes, was portrayed by other writers. Disraeli has the flamboyant Mick Radley known as Dandy Mick: ‘His long, loose, white trousers gave him height; he had no waistcoat, but a pink silk handkerchief was  twisted carelessly round his neck, and fastened with a large pin, which, whatever were its materials, had unquestionably a gorgeous appearance.  A loose frock-coat of a coarse white cloth, and fastened by one button round his waist, completed his habiliments, with the addition of the covering to his head, a high-crowned dark-brown hat’.  See </w:t>
      </w:r>
      <w:r w:rsidRPr="00D7340C">
        <w:rPr>
          <w:rFonts w:ascii="Times New Roman" w:hAnsi="Times New Roman" w:cs="Times New Roman"/>
          <w:i/>
          <w:iCs/>
          <w:sz w:val="20"/>
          <w:szCs w:val="20"/>
        </w:rPr>
        <w:t xml:space="preserve">Sybil </w:t>
      </w:r>
      <w:r w:rsidRPr="00D7340C">
        <w:rPr>
          <w:rFonts w:ascii="Times New Roman" w:hAnsi="Times New Roman" w:cs="Times New Roman"/>
          <w:iCs/>
          <w:sz w:val="20"/>
          <w:szCs w:val="20"/>
        </w:rPr>
        <w:t>p. 87.</w:t>
      </w:r>
    </w:p>
  </w:footnote>
  <w:footnote w:id="280">
    <w:p w:rsidR="003515E3" w:rsidRPr="005D5F78"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Pear uses the example ‘It’s not cricket’ and continues: ‘Significantly the working classes do not use the phrase ironically if at all: they are interested in cricket much less than football.’  See T. H. </w:t>
      </w:r>
      <w:r w:rsidRPr="00D7340C">
        <w:rPr>
          <w:rFonts w:ascii="Times New Roman" w:hAnsi="Times New Roman"/>
          <w:bCs/>
        </w:rPr>
        <w:t xml:space="preserve">Pear, </w:t>
      </w:r>
      <w:r w:rsidRPr="00D7340C">
        <w:rPr>
          <w:rFonts w:ascii="Times New Roman" w:hAnsi="Times New Roman"/>
          <w:bCs/>
          <w:i/>
          <w:iCs/>
        </w:rPr>
        <w:t>English Social Differences</w:t>
      </w:r>
      <w:r w:rsidRPr="00D7340C">
        <w:rPr>
          <w:rFonts w:ascii="Times New Roman" w:hAnsi="Times New Roman"/>
          <w:bCs/>
        </w:rPr>
        <w:t xml:space="preserve"> (London: Allen and Unwin, 1955), p. 243.</w:t>
      </w:r>
    </w:p>
  </w:footnote>
  <w:footnote w:id="281">
    <w:p w:rsidR="003515E3" w:rsidRPr="00B500B5" w:rsidRDefault="003515E3" w:rsidP="00C73A2E">
      <w:pPr>
        <w:pStyle w:val="FootnoteText"/>
        <w:spacing w:after="0" w:line="240" w:lineRule="auto"/>
        <w:rPr>
          <w:rFonts w:asciiTheme="majorBidi" w:hAnsiTheme="majorBidi" w:cstheme="majorBidi"/>
        </w:rPr>
      </w:pPr>
      <w:r w:rsidRPr="00B500B5">
        <w:rPr>
          <w:rStyle w:val="FootnoteReference"/>
          <w:rFonts w:asciiTheme="majorBidi" w:hAnsiTheme="majorBidi" w:cstheme="majorBidi"/>
        </w:rPr>
        <w:footnoteRef/>
      </w:r>
      <w:r w:rsidRPr="00B500B5">
        <w:rPr>
          <w:rFonts w:asciiTheme="majorBidi" w:hAnsiTheme="majorBidi" w:cstheme="majorBidi"/>
        </w:rPr>
        <w:t xml:space="preserve"> For a discussion of the working-class aspects of the speech of Dickens’s Sam Weller, see Raymond Chapman, </w:t>
      </w:r>
      <w:r w:rsidRPr="00B500B5">
        <w:rPr>
          <w:rFonts w:asciiTheme="majorBidi" w:hAnsiTheme="majorBidi" w:cstheme="majorBidi"/>
          <w:i/>
          <w:iCs/>
        </w:rPr>
        <w:t>Forms of Speech in Victorian Fiction</w:t>
      </w:r>
      <w:r w:rsidRPr="00B500B5">
        <w:rPr>
          <w:rFonts w:asciiTheme="majorBidi" w:hAnsiTheme="majorBidi" w:cstheme="majorBidi"/>
        </w:rPr>
        <w:t xml:space="preserve"> (Harlow: Longman Group UK Limited, 1994), pp.43</w:t>
      </w:r>
      <w:r w:rsidRPr="00B500B5">
        <w:rPr>
          <w:rFonts w:ascii="Times New Roman" w:hAnsi="Times New Roman"/>
        </w:rPr>
        <w:t>–</w:t>
      </w:r>
      <w:r w:rsidRPr="00B500B5">
        <w:rPr>
          <w:rFonts w:asciiTheme="majorBidi" w:hAnsiTheme="majorBidi" w:cstheme="majorBidi"/>
        </w:rPr>
        <w:t xml:space="preserve">44; and G. L. </w:t>
      </w:r>
      <w:r w:rsidRPr="00B500B5">
        <w:rPr>
          <w:rFonts w:asciiTheme="majorBidi" w:hAnsiTheme="majorBidi" w:cstheme="majorBidi"/>
          <w:bCs/>
        </w:rPr>
        <w:t xml:space="preserve">Brook, </w:t>
      </w:r>
      <w:r w:rsidRPr="00B500B5">
        <w:rPr>
          <w:rFonts w:asciiTheme="majorBidi" w:hAnsiTheme="majorBidi" w:cstheme="majorBidi"/>
          <w:bCs/>
          <w:i/>
          <w:iCs/>
        </w:rPr>
        <w:t>The Language of Dickens</w:t>
      </w:r>
      <w:r w:rsidRPr="00B500B5">
        <w:rPr>
          <w:rFonts w:asciiTheme="majorBidi" w:hAnsiTheme="majorBidi" w:cstheme="majorBidi"/>
          <w:bCs/>
        </w:rPr>
        <w:t xml:space="preserve"> (London: Deutsch, 1970), pp. 153</w:t>
      </w:r>
      <w:r w:rsidRPr="00B500B5">
        <w:rPr>
          <w:rFonts w:ascii="Times New Roman" w:hAnsi="Times New Roman"/>
        </w:rPr>
        <w:t>–</w:t>
      </w:r>
      <w:r w:rsidRPr="00B500B5">
        <w:rPr>
          <w:rFonts w:asciiTheme="majorBidi" w:hAnsiTheme="majorBidi" w:cstheme="majorBidi"/>
          <w:bCs/>
        </w:rPr>
        <w:t>56, 177</w:t>
      </w:r>
      <w:r w:rsidRPr="00B500B5">
        <w:rPr>
          <w:rFonts w:asciiTheme="majorBidi" w:hAnsiTheme="majorBidi" w:cstheme="majorBidi"/>
        </w:rPr>
        <w:t>.</w:t>
      </w:r>
    </w:p>
  </w:footnote>
  <w:footnote w:id="282">
    <w:p w:rsidR="003515E3" w:rsidRPr="00B500B5" w:rsidRDefault="003515E3" w:rsidP="00C73A2E">
      <w:pPr>
        <w:spacing w:after="0" w:line="240" w:lineRule="auto"/>
        <w:rPr>
          <w:rFonts w:asciiTheme="majorBidi" w:hAnsiTheme="majorBidi" w:cstheme="majorBidi"/>
          <w:sz w:val="20"/>
          <w:szCs w:val="20"/>
        </w:rPr>
      </w:pPr>
      <w:r w:rsidRPr="00B500B5">
        <w:rPr>
          <w:rStyle w:val="FootnoteReference"/>
          <w:rFonts w:asciiTheme="majorBidi" w:hAnsiTheme="majorBidi" w:cstheme="majorBidi"/>
          <w:sz w:val="20"/>
          <w:szCs w:val="20"/>
        </w:rPr>
        <w:footnoteRef/>
      </w:r>
      <w:r w:rsidRPr="00B500B5">
        <w:rPr>
          <w:rFonts w:asciiTheme="majorBidi" w:hAnsiTheme="majorBidi" w:cstheme="majorBidi"/>
          <w:sz w:val="20"/>
          <w:szCs w:val="20"/>
        </w:rPr>
        <w:t xml:space="preserve"> </w:t>
      </w:r>
      <w:r w:rsidRPr="00E7336B">
        <w:rPr>
          <w:rFonts w:asciiTheme="majorBidi" w:hAnsiTheme="majorBidi" w:cstheme="majorBidi"/>
          <w:bCs/>
          <w:iCs/>
          <w:sz w:val="20"/>
          <w:szCs w:val="20"/>
        </w:rPr>
        <w:t>Brook</w:t>
      </w:r>
      <w:r w:rsidRPr="00E7336B">
        <w:rPr>
          <w:rFonts w:asciiTheme="majorBidi" w:hAnsiTheme="majorBidi" w:cstheme="majorBidi"/>
          <w:bCs/>
          <w:sz w:val="20"/>
          <w:szCs w:val="20"/>
        </w:rPr>
        <w:t>, pp</w:t>
      </w:r>
      <w:r w:rsidRPr="00B500B5">
        <w:rPr>
          <w:rFonts w:asciiTheme="majorBidi" w:hAnsiTheme="majorBidi" w:cstheme="majorBidi"/>
          <w:bCs/>
          <w:sz w:val="20"/>
          <w:szCs w:val="20"/>
        </w:rPr>
        <w:t>. 153</w:t>
      </w:r>
      <w:r w:rsidRPr="00B500B5">
        <w:rPr>
          <w:rFonts w:ascii="Times New Roman" w:hAnsi="Times New Roman"/>
          <w:sz w:val="20"/>
          <w:szCs w:val="20"/>
        </w:rPr>
        <w:t>–</w:t>
      </w:r>
      <w:r w:rsidRPr="00B500B5">
        <w:rPr>
          <w:rFonts w:asciiTheme="majorBidi" w:hAnsiTheme="majorBidi" w:cstheme="majorBidi"/>
          <w:bCs/>
          <w:sz w:val="20"/>
          <w:szCs w:val="20"/>
        </w:rPr>
        <w:t>54.</w:t>
      </w:r>
    </w:p>
  </w:footnote>
  <w:footnote w:id="283">
    <w:p w:rsidR="003515E3" w:rsidRPr="00B500B5" w:rsidRDefault="003515E3" w:rsidP="00C73A2E">
      <w:pPr>
        <w:pStyle w:val="FootnoteText"/>
        <w:spacing w:after="0" w:line="240" w:lineRule="auto"/>
        <w:rPr>
          <w:rFonts w:asciiTheme="majorBidi" w:hAnsiTheme="majorBidi" w:cstheme="majorBidi"/>
        </w:rPr>
      </w:pPr>
      <w:r w:rsidRPr="00B500B5">
        <w:rPr>
          <w:rStyle w:val="FootnoteReference"/>
          <w:rFonts w:asciiTheme="majorBidi" w:hAnsiTheme="majorBidi" w:cstheme="majorBidi"/>
        </w:rPr>
        <w:footnoteRef/>
      </w:r>
      <w:r w:rsidRPr="00B500B5">
        <w:rPr>
          <w:rFonts w:asciiTheme="majorBidi" w:hAnsiTheme="majorBidi" w:cstheme="majorBidi"/>
        </w:rPr>
        <w:t xml:space="preserve"> John Betjeman wrote of the Wellerism: ‘It is unsubtle but it is quick […] It exposes humbug, but it is rarely satirical, at the most it is heavily sarcastic.’ See John </w:t>
      </w:r>
      <w:r w:rsidRPr="00B500B5">
        <w:rPr>
          <w:rFonts w:asciiTheme="majorBidi" w:hAnsiTheme="majorBidi" w:cstheme="majorBidi"/>
          <w:bCs/>
        </w:rPr>
        <w:t xml:space="preserve">Betjeman, ‘Samuel Weller’ in </w:t>
      </w:r>
      <w:r w:rsidRPr="00B500B5">
        <w:rPr>
          <w:rFonts w:asciiTheme="majorBidi" w:hAnsiTheme="majorBidi" w:cstheme="majorBidi"/>
          <w:bCs/>
          <w:i/>
          <w:iCs/>
        </w:rPr>
        <w:t>A Pickwick Portrait Gallery from the Pens of Divers Admirers of the Illustrious Members of the Pickwick Club Their Friends and Enemies</w:t>
      </w:r>
      <w:r w:rsidRPr="00B500B5">
        <w:rPr>
          <w:rFonts w:asciiTheme="majorBidi" w:hAnsiTheme="majorBidi" w:cstheme="majorBidi"/>
          <w:bCs/>
        </w:rPr>
        <w:t>, ed. by Alfred Noyes (London: Chapman &amp; Hall, 1936), pp. 69</w:t>
      </w:r>
      <w:r w:rsidRPr="00B500B5">
        <w:rPr>
          <w:rFonts w:ascii="Times New Roman" w:hAnsi="Times New Roman"/>
        </w:rPr>
        <w:t>–</w:t>
      </w:r>
      <w:r w:rsidRPr="00B500B5">
        <w:rPr>
          <w:rFonts w:asciiTheme="majorBidi" w:hAnsiTheme="majorBidi" w:cstheme="majorBidi"/>
          <w:bCs/>
        </w:rPr>
        <w:t>81 (p. 76).</w:t>
      </w:r>
    </w:p>
  </w:footnote>
  <w:footnote w:id="284">
    <w:p w:rsidR="003515E3" w:rsidRPr="00601E64" w:rsidRDefault="003515E3" w:rsidP="00C73A2E">
      <w:pPr>
        <w:pStyle w:val="FootnoteText"/>
        <w:spacing w:after="0" w:line="240" w:lineRule="auto"/>
        <w:rPr>
          <w:rFonts w:asciiTheme="majorBidi" w:hAnsiTheme="majorBidi" w:cstheme="majorBidi"/>
        </w:rPr>
      </w:pPr>
      <w:r w:rsidRPr="00B500B5">
        <w:rPr>
          <w:rStyle w:val="FootnoteReference"/>
          <w:rFonts w:asciiTheme="majorBidi" w:hAnsiTheme="majorBidi" w:cstheme="majorBidi"/>
        </w:rPr>
        <w:footnoteRef/>
      </w:r>
      <w:r w:rsidRPr="00B500B5">
        <w:rPr>
          <w:rFonts w:asciiTheme="majorBidi" w:hAnsiTheme="majorBidi" w:cstheme="majorBidi"/>
        </w:rPr>
        <w:t xml:space="preserve"> </w:t>
      </w:r>
      <w:r w:rsidRPr="00B500B5">
        <w:rPr>
          <w:rFonts w:asciiTheme="majorBidi" w:hAnsiTheme="majorBidi" w:cstheme="majorBidi"/>
          <w:i/>
          <w:iCs/>
        </w:rPr>
        <w:t>Pickwick Abroad</w:t>
      </w:r>
      <w:r w:rsidRPr="00B500B5">
        <w:rPr>
          <w:rFonts w:asciiTheme="majorBidi" w:hAnsiTheme="majorBidi" w:cstheme="majorBidi"/>
        </w:rPr>
        <w:t>, pp. 473</w:t>
      </w:r>
      <w:r w:rsidRPr="00B500B5">
        <w:rPr>
          <w:rFonts w:ascii="Times New Roman" w:hAnsi="Times New Roman"/>
        </w:rPr>
        <w:t>–</w:t>
      </w:r>
      <w:r w:rsidRPr="00B500B5">
        <w:rPr>
          <w:rFonts w:asciiTheme="majorBidi" w:hAnsiTheme="majorBidi" w:cstheme="majorBidi"/>
        </w:rPr>
        <w:t>74.</w:t>
      </w:r>
    </w:p>
  </w:footnote>
  <w:footnote w:id="285">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474.</w:t>
      </w:r>
    </w:p>
  </w:footnote>
  <w:footnote w:id="286">
    <w:p w:rsidR="003515E3" w:rsidRPr="00601E64"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474.</w:t>
      </w:r>
    </w:p>
  </w:footnote>
  <w:footnote w:id="287">
    <w:p w:rsidR="003515E3" w:rsidRPr="00D7340C" w:rsidRDefault="003515E3" w:rsidP="00C73A2E">
      <w:pPr>
        <w:spacing w:after="0" w:line="240" w:lineRule="auto"/>
        <w:rPr>
          <w:rFonts w:asciiTheme="majorBidi" w:hAnsiTheme="majorBidi" w:cstheme="majorBidi"/>
          <w:sz w:val="20"/>
          <w:szCs w:val="20"/>
        </w:rPr>
      </w:pPr>
      <w:r w:rsidRPr="00D7340C">
        <w:rPr>
          <w:rStyle w:val="FootnoteReference"/>
          <w:rFonts w:asciiTheme="majorBidi" w:hAnsiTheme="majorBidi" w:cstheme="majorBidi"/>
        </w:rPr>
        <w:footnoteRef/>
      </w:r>
      <w:r w:rsidRPr="00D7340C">
        <w:rPr>
          <w:rFonts w:asciiTheme="majorBidi" w:hAnsiTheme="majorBidi" w:cstheme="majorBidi"/>
          <w:sz w:val="20"/>
          <w:szCs w:val="20"/>
        </w:rPr>
        <w:t xml:space="preserve"> </w:t>
      </w:r>
      <w:r w:rsidRPr="00D7340C">
        <w:rPr>
          <w:rFonts w:asciiTheme="majorBidi" w:hAnsiTheme="majorBidi" w:cstheme="majorBidi"/>
          <w:i/>
          <w:iCs/>
          <w:sz w:val="20"/>
          <w:szCs w:val="20"/>
        </w:rPr>
        <w:t>Pickwick Abroad</w:t>
      </w:r>
      <w:r w:rsidRPr="00D7340C">
        <w:rPr>
          <w:rFonts w:asciiTheme="majorBidi" w:hAnsiTheme="majorBidi" w:cstheme="majorBidi"/>
          <w:sz w:val="20"/>
          <w:szCs w:val="20"/>
        </w:rPr>
        <w:t>, p. 259.</w:t>
      </w:r>
    </w:p>
  </w:footnote>
  <w:footnote w:id="288">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490.</w:t>
      </w:r>
    </w:p>
  </w:footnote>
  <w:footnote w:id="289">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491.</w:t>
      </w:r>
    </w:p>
  </w:footnote>
  <w:footnote w:id="290">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492.</w:t>
      </w:r>
    </w:p>
  </w:footnote>
  <w:footnote w:id="291">
    <w:p w:rsidR="003515E3" w:rsidRPr="00601E64"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44.</w:t>
      </w:r>
    </w:p>
  </w:footnote>
  <w:footnote w:id="292">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44.</w:t>
      </w:r>
    </w:p>
  </w:footnote>
  <w:footnote w:id="293">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104.</w:t>
      </w:r>
    </w:p>
  </w:footnote>
  <w:footnote w:id="294">
    <w:p w:rsidR="003515E3" w:rsidRPr="00601E64"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120.</w:t>
      </w:r>
    </w:p>
  </w:footnote>
  <w:footnote w:id="295">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127.</w:t>
      </w:r>
    </w:p>
  </w:footnote>
  <w:footnote w:id="296">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Reynolds uses this term for a front page address attacking aristocratic treatment of servants and tenants.  See G. W. M. Reynolds, ‘Lord Londonderry’s Ukase to his Vassals’, </w:t>
      </w:r>
      <w:r w:rsidRPr="00D7340C">
        <w:rPr>
          <w:rFonts w:asciiTheme="majorBidi" w:hAnsiTheme="majorBidi" w:cstheme="majorBidi"/>
          <w:i/>
        </w:rPr>
        <w:t>Reynolds’s Newspaper</w:t>
      </w:r>
      <w:r w:rsidRPr="00D7340C">
        <w:rPr>
          <w:rFonts w:asciiTheme="majorBidi" w:hAnsiTheme="majorBidi" w:cstheme="majorBidi"/>
        </w:rPr>
        <w:t>, 26 October 1851, p. 1.</w:t>
      </w:r>
    </w:p>
  </w:footnote>
  <w:footnote w:id="297">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101.</w:t>
      </w:r>
    </w:p>
  </w:footnote>
  <w:footnote w:id="298">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181.</w:t>
      </w:r>
    </w:p>
  </w:footnote>
  <w:footnote w:id="299">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134.</w:t>
      </w:r>
    </w:p>
  </w:footnote>
  <w:footnote w:id="300">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158.</w:t>
      </w:r>
    </w:p>
  </w:footnote>
  <w:footnote w:id="301">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194.</w:t>
      </w:r>
    </w:p>
  </w:footnote>
  <w:footnote w:id="302">
    <w:p w:rsidR="003515E3" w:rsidRPr="00601E64"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‘“Is it in poetry again?” enquired Mr. Winkle, with evident signs of satiety of that article’.  See </w:t>
      </w:r>
      <w:r w:rsidRPr="00D7340C">
        <w:rPr>
          <w:rFonts w:asciiTheme="majorBidi" w:hAnsiTheme="majorBidi" w:cstheme="majorBidi"/>
          <w:i/>
          <w:iCs/>
        </w:rPr>
        <w:t>Pickwick Abroad</w:t>
      </w:r>
      <w:r w:rsidRPr="00D7340C">
        <w:rPr>
          <w:rFonts w:asciiTheme="majorBidi" w:hAnsiTheme="majorBidi" w:cstheme="majorBidi"/>
        </w:rPr>
        <w:t>, p. 194.</w:t>
      </w:r>
    </w:p>
  </w:footnote>
  <w:footnote w:id="303">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136.</w:t>
      </w:r>
    </w:p>
  </w:footnote>
  <w:footnote w:id="304">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Reynolds echoes Dickens’s presentation of Tupman’s romance with the foolish spinster Rachael Wardle in the bower scene at Dingley Dell.  See</w:t>
      </w:r>
      <w:r w:rsidRPr="00D7340C">
        <w:rPr>
          <w:rFonts w:asciiTheme="majorBidi" w:hAnsiTheme="majorBidi" w:cstheme="majorBidi"/>
          <w:i/>
        </w:rPr>
        <w:t xml:space="preserve"> Pickwick Papers, </w:t>
      </w:r>
      <w:r w:rsidRPr="00D7340C">
        <w:rPr>
          <w:rFonts w:asciiTheme="majorBidi" w:hAnsiTheme="majorBidi" w:cstheme="majorBidi"/>
        </w:rPr>
        <w:t>pp.109</w:t>
      </w:r>
      <w:r w:rsidRPr="00D7340C">
        <w:rPr>
          <w:rFonts w:ascii="Times New Roman" w:hAnsi="Times New Roman"/>
        </w:rPr>
        <w:t>–</w:t>
      </w:r>
      <w:r w:rsidRPr="00D7340C">
        <w:rPr>
          <w:rFonts w:asciiTheme="majorBidi" w:hAnsiTheme="majorBidi" w:cstheme="majorBidi"/>
        </w:rPr>
        <w:t>14.</w:t>
      </w:r>
    </w:p>
  </w:footnote>
  <w:footnote w:id="305">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262.</w:t>
      </w:r>
    </w:p>
  </w:footnote>
  <w:footnote w:id="306">
    <w:p w:rsidR="003515E3" w:rsidRPr="00312418"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imes New Roman" w:hAnsi="Times New Roman"/>
        </w:rPr>
        <w:t xml:space="preserve">In this case, Sam’s assumption proves correct when Siffkin elopes with and then marries Pickwick’s fiancée, Sophia Weston.  See </w:t>
      </w:r>
      <w:r w:rsidRPr="00D7340C">
        <w:rPr>
          <w:rFonts w:asciiTheme="majorBidi" w:hAnsiTheme="majorBidi" w:cstheme="majorBidi"/>
          <w:i/>
          <w:iCs/>
        </w:rPr>
        <w:t>Pickwick Abroad</w:t>
      </w:r>
      <w:r w:rsidRPr="00D7340C">
        <w:rPr>
          <w:rFonts w:asciiTheme="majorBidi" w:hAnsiTheme="majorBidi" w:cstheme="majorBidi"/>
        </w:rPr>
        <w:t>, pp. 382</w:t>
      </w:r>
      <w:r w:rsidRPr="00D7340C">
        <w:rPr>
          <w:rFonts w:ascii="Times New Roman" w:hAnsi="Times New Roman"/>
        </w:rPr>
        <w:t>–83</w:t>
      </w:r>
      <w:r w:rsidRPr="00D7340C">
        <w:rPr>
          <w:rFonts w:asciiTheme="majorBidi" w:hAnsiTheme="majorBidi" w:cstheme="majorBidi"/>
        </w:rPr>
        <w:t>.</w:t>
      </w:r>
    </w:p>
  </w:footnote>
  <w:footnote w:id="307">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259.</w:t>
      </w:r>
    </w:p>
  </w:footnote>
  <w:footnote w:id="308">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260.</w:t>
      </w:r>
    </w:p>
  </w:footnote>
  <w:footnote w:id="309">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pp. 129</w:t>
      </w:r>
      <w:r w:rsidRPr="00D7340C">
        <w:rPr>
          <w:rFonts w:ascii="Times New Roman" w:hAnsi="Times New Roman"/>
        </w:rPr>
        <w:t>–34</w:t>
      </w:r>
      <w:r w:rsidRPr="00D7340C">
        <w:rPr>
          <w:rFonts w:asciiTheme="majorBidi" w:hAnsiTheme="majorBidi" w:cstheme="majorBidi"/>
        </w:rPr>
        <w:t>.</w:t>
      </w:r>
    </w:p>
  </w:footnote>
  <w:footnote w:id="310">
    <w:p w:rsidR="003515E3" w:rsidRPr="00601E64"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486.</w:t>
      </w:r>
    </w:p>
  </w:footnote>
  <w:footnote w:id="311">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509.</w:t>
      </w:r>
    </w:p>
  </w:footnote>
  <w:footnote w:id="312">
    <w:p w:rsidR="003515E3" w:rsidRPr="00601E64"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Venit fortis</w:t>
      </w:r>
      <w:r w:rsidRPr="00D7340C">
        <w:rPr>
          <w:rFonts w:ascii="Times New Roman" w:hAnsi="Times New Roman"/>
        </w:rPr>
        <w:t>—</w:t>
      </w:r>
      <w:r w:rsidRPr="00D7340C">
        <w:rPr>
          <w:rFonts w:asciiTheme="majorBidi" w:hAnsiTheme="majorBidi" w:cstheme="majorBidi"/>
        </w:rPr>
        <w:t xml:space="preserve">he comes it strong,” whispered Mr. Chitty to Mr. Pickwick: “but he’s a splendid fellow, I can assure you.”’ See </w:t>
      </w:r>
      <w:r w:rsidRPr="00D7340C">
        <w:rPr>
          <w:rFonts w:asciiTheme="majorBidi" w:hAnsiTheme="majorBidi" w:cstheme="majorBidi"/>
          <w:i/>
          <w:iCs/>
        </w:rPr>
        <w:t>Pickwick Abroad</w:t>
      </w:r>
      <w:r w:rsidRPr="00D7340C">
        <w:rPr>
          <w:rFonts w:asciiTheme="majorBidi" w:hAnsiTheme="majorBidi" w:cstheme="majorBidi"/>
        </w:rPr>
        <w:t>, p. 510.</w:t>
      </w:r>
    </w:p>
  </w:footnote>
  <w:footnote w:id="313">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399.</w:t>
      </w:r>
    </w:p>
  </w:footnote>
  <w:footnote w:id="314">
    <w:p w:rsidR="003515E3" w:rsidRPr="00601E64"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483.</w:t>
      </w:r>
    </w:p>
  </w:footnote>
  <w:footnote w:id="315">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The man is William Sugden, who during the novel assumes the names of Adolphus Crashem and Captain Walsingham.</w:t>
      </w:r>
    </w:p>
  </w:footnote>
  <w:footnote w:id="316">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121.</w:t>
      </w:r>
    </w:p>
  </w:footnote>
  <w:footnote w:id="317">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201.</w:t>
      </w:r>
    </w:p>
  </w:footnote>
  <w:footnote w:id="318">
    <w:p w:rsidR="003515E3" w:rsidRPr="00601E64"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201.</w:t>
      </w:r>
    </w:p>
  </w:footnote>
  <w:footnote w:id="319">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xml:space="preserve">, p. 406.  At this point Sugden is </w:t>
      </w:r>
      <w:r w:rsidRPr="00D7340C">
        <w:rPr>
          <w:rFonts w:ascii="Times New Roman" w:hAnsi="Times New Roman"/>
        </w:rPr>
        <w:t>masquerading under the pseudonym Captain Walsingham.</w:t>
      </w:r>
    </w:p>
  </w:footnote>
  <w:footnote w:id="320">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xml:space="preserve">, p. 412.  The New Saint Pelagie is the Debtors’ Prison of Paris, also referred to as the New Prison.  See </w:t>
      </w:r>
      <w:r w:rsidRPr="00D7340C">
        <w:rPr>
          <w:rFonts w:asciiTheme="majorBidi" w:hAnsiTheme="majorBidi" w:cstheme="majorBidi"/>
          <w:i/>
          <w:iCs/>
        </w:rPr>
        <w:t>Pickwick Abroad</w:t>
      </w:r>
      <w:r w:rsidRPr="00D7340C">
        <w:rPr>
          <w:rFonts w:asciiTheme="majorBidi" w:hAnsiTheme="majorBidi" w:cstheme="majorBidi"/>
        </w:rPr>
        <w:t>, pp. 71</w:t>
      </w:r>
      <w:r w:rsidRPr="00D7340C">
        <w:rPr>
          <w:rFonts w:ascii="Times New Roman" w:hAnsi="Times New Roman"/>
        </w:rPr>
        <w:t>–72.</w:t>
      </w:r>
    </w:p>
  </w:footnote>
  <w:footnote w:id="321">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412</w:t>
      </w:r>
      <w:r w:rsidRPr="00D7340C">
        <w:rPr>
          <w:rFonts w:ascii="Times New Roman" w:hAnsi="Times New Roman"/>
        </w:rPr>
        <w:t>–</w:t>
      </w:r>
      <w:r w:rsidRPr="00D7340C">
        <w:rPr>
          <w:rFonts w:asciiTheme="majorBidi" w:hAnsiTheme="majorBidi" w:cstheme="majorBidi"/>
        </w:rPr>
        <w:t>13.</w:t>
      </w:r>
    </w:p>
  </w:footnote>
  <w:footnote w:id="322">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412.</w:t>
      </w:r>
    </w:p>
  </w:footnote>
  <w:footnote w:id="323">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413.</w:t>
      </w:r>
    </w:p>
  </w:footnote>
  <w:footnote w:id="324">
    <w:p w:rsidR="003515E3" w:rsidRPr="00601E64"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pp. 402.</w:t>
      </w:r>
    </w:p>
  </w:footnote>
  <w:footnote w:id="325">
    <w:p w:rsidR="003515E3" w:rsidRPr="00D7340C" w:rsidRDefault="003515E3" w:rsidP="00C73A2E">
      <w:pPr>
        <w:pStyle w:val="FootnoteText"/>
        <w:spacing w:after="0" w:line="240" w:lineRule="auto"/>
        <w:rPr>
          <w:rFonts w:asciiTheme="majorBidi" w:hAnsiTheme="majorBidi" w:cstheme="majorBidi"/>
        </w:rPr>
      </w:pPr>
      <w:r w:rsidRPr="00601E64">
        <w:rPr>
          <w:rStyle w:val="FootnoteReference"/>
          <w:rFonts w:asciiTheme="majorBidi" w:hAnsiTheme="majorBidi" w:cstheme="majorBidi"/>
        </w:rPr>
        <w:footnoteRef/>
      </w:r>
      <w:r w:rsidRPr="00601E64">
        <w:rPr>
          <w:rFonts w:asciiTheme="majorBidi" w:hAnsiTheme="majorBidi" w:cstheme="majorBidi"/>
        </w:rPr>
        <w:t xml:space="preserve"> Pickwick attends as a ‘Traveller’ adorned with an incongruous mixture of clothing from different parts of the </w:t>
      </w:r>
      <w:r w:rsidRPr="00D7340C">
        <w:rPr>
          <w:rFonts w:asciiTheme="majorBidi" w:hAnsiTheme="majorBidi" w:cstheme="majorBidi"/>
        </w:rPr>
        <w:t xml:space="preserve">world.  Tupman is dressed as Cupid, ‘The God of Love’, Snodgrass is Pegasus the winged horse and Winkle is the sporting character, Nimrod.  See </w:t>
      </w:r>
      <w:r w:rsidRPr="00D7340C">
        <w:rPr>
          <w:rFonts w:asciiTheme="majorBidi" w:hAnsiTheme="majorBidi" w:cstheme="majorBidi"/>
          <w:i/>
          <w:iCs/>
        </w:rPr>
        <w:t>Pickwick Abroad</w:t>
      </w:r>
      <w:r w:rsidRPr="00D7340C">
        <w:rPr>
          <w:rFonts w:asciiTheme="majorBidi" w:hAnsiTheme="majorBidi" w:cstheme="majorBidi"/>
        </w:rPr>
        <w:t>, pp. 395</w:t>
      </w:r>
      <w:r w:rsidRPr="00D7340C">
        <w:rPr>
          <w:rFonts w:ascii="Times New Roman" w:hAnsi="Times New Roman"/>
        </w:rPr>
        <w:t>–</w:t>
      </w:r>
      <w:r w:rsidRPr="00D7340C">
        <w:rPr>
          <w:rFonts w:asciiTheme="majorBidi" w:hAnsiTheme="majorBidi" w:cstheme="majorBidi"/>
        </w:rPr>
        <w:t>97.</w:t>
      </w:r>
    </w:p>
  </w:footnote>
  <w:footnote w:id="326">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pp. 402</w:t>
      </w:r>
      <w:r w:rsidRPr="00D7340C">
        <w:rPr>
          <w:rFonts w:ascii="Times New Roman" w:hAnsi="Times New Roman"/>
        </w:rPr>
        <w:t>–</w:t>
      </w:r>
      <w:r w:rsidRPr="00D7340C">
        <w:rPr>
          <w:rFonts w:asciiTheme="majorBidi" w:hAnsiTheme="majorBidi" w:cstheme="majorBidi"/>
        </w:rPr>
        <w:t>03.</w:t>
      </w:r>
    </w:p>
  </w:footnote>
  <w:footnote w:id="327">
    <w:p w:rsidR="003515E3" w:rsidRPr="00601E64"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pp. 151</w:t>
      </w:r>
      <w:r w:rsidRPr="00D7340C">
        <w:rPr>
          <w:rFonts w:ascii="Times New Roman" w:hAnsi="Times New Roman"/>
        </w:rPr>
        <w:t>–</w:t>
      </w:r>
      <w:r w:rsidRPr="00D7340C">
        <w:rPr>
          <w:rFonts w:asciiTheme="majorBidi" w:hAnsiTheme="majorBidi" w:cstheme="majorBidi"/>
        </w:rPr>
        <w:t>52.</w:t>
      </w:r>
    </w:p>
  </w:footnote>
  <w:footnote w:id="328">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476.</w:t>
      </w:r>
    </w:p>
  </w:footnote>
  <w:footnote w:id="329">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477.</w:t>
      </w:r>
    </w:p>
  </w:footnote>
  <w:footnote w:id="330">
    <w:p w:rsidR="003515E3" w:rsidRPr="00601E64"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478.</w:t>
      </w:r>
    </w:p>
  </w:footnote>
  <w:footnote w:id="331">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275.</w:t>
      </w:r>
    </w:p>
  </w:footnote>
  <w:footnote w:id="332">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294.</w:t>
      </w:r>
    </w:p>
  </w:footnote>
  <w:footnote w:id="333">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486.</w:t>
      </w:r>
    </w:p>
  </w:footnote>
  <w:footnote w:id="334">
    <w:p w:rsidR="003515E3" w:rsidRPr="00601E64"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604.</w:t>
      </w:r>
    </w:p>
  </w:footnote>
  <w:footnote w:id="335">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232.</w:t>
      </w:r>
    </w:p>
  </w:footnote>
  <w:footnote w:id="336">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imes New Roman" w:hAnsi="Times New Roman"/>
        </w:rPr>
        <w:footnoteRef/>
      </w:r>
      <w:r w:rsidRPr="00D7340C">
        <w:rPr>
          <w:rFonts w:ascii="Times New Roman" w:hAnsi="Times New Roman"/>
        </w:rPr>
        <w:t xml:space="preserve"> The novel tends to confirm Sam’s views on the question.  The reliable Inspector Dumont refers to the dangerous classes of Paris who thrive on this paternalism: ‘the beggars have their </w:t>
      </w:r>
      <w:r w:rsidRPr="00D7340C">
        <w:rPr>
          <w:rFonts w:ascii="Times New Roman" w:hAnsi="Times New Roman"/>
          <w:i/>
        </w:rPr>
        <w:t>rendez-vous</w:t>
      </w:r>
      <w:r w:rsidRPr="00D7340C">
        <w:rPr>
          <w:rFonts w:ascii="Times New Roman" w:hAnsi="Times New Roman"/>
        </w:rPr>
        <w:t xml:space="preserve">, their inns, their lodging-houses, and their magnificent suppers: they subscribe to pay for concerts of music and for dancing girls; and those who give the alms of charity to the poor in the street, are often deceived as to the purport to which their coin is destined’.  Like Sam, he feels, ‘it is only the idle, the worthless, or the proud that will not work!’. </w:t>
      </w:r>
      <w:r w:rsidRPr="00D7340C">
        <w:rPr>
          <w:rFonts w:asciiTheme="majorBidi" w:hAnsiTheme="majorBidi" w:cstheme="majorBidi"/>
        </w:rPr>
        <w:t xml:space="preserve">Later </w:t>
      </w:r>
      <w:r w:rsidRPr="00D7340C">
        <w:rPr>
          <w:rFonts w:ascii="Times New Roman" w:hAnsi="Times New Roman"/>
        </w:rPr>
        <w:t xml:space="preserve">Pickwick is fooled by sturdy beggars on his return to England.  See </w:t>
      </w:r>
      <w:r w:rsidRPr="00D7340C">
        <w:rPr>
          <w:rFonts w:asciiTheme="majorBidi" w:hAnsiTheme="majorBidi" w:cstheme="majorBidi"/>
          <w:i/>
          <w:iCs/>
        </w:rPr>
        <w:t>Pickwick Abroad</w:t>
      </w:r>
      <w:r w:rsidRPr="00D7340C">
        <w:rPr>
          <w:rFonts w:asciiTheme="majorBidi" w:hAnsiTheme="majorBidi" w:cstheme="majorBidi"/>
        </w:rPr>
        <w:t>, pp. 596, 622.</w:t>
      </w:r>
    </w:p>
  </w:footnote>
  <w:footnote w:id="337">
    <w:p w:rsidR="003515E3" w:rsidRPr="008974F0"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pp. 126</w:t>
      </w:r>
      <w:r w:rsidRPr="00D7340C">
        <w:rPr>
          <w:rFonts w:ascii="Times New Roman" w:hAnsi="Times New Roman"/>
        </w:rPr>
        <w:t>–</w:t>
      </w:r>
      <w:r w:rsidRPr="00D7340C">
        <w:rPr>
          <w:rFonts w:asciiTheme="majorBidi" w:hAnsiTheme="majorBidi" w:cstheme="majorBidi"/>
        </w:rPr>
        <w:t>27.</w:t>
      </w:r>
    </w:p>
  </w:footnote>
  <w:footnote w:id="338">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262.</w:t>
      </w:r>
    </w:p>
  </w:footnote>
  <w:footnote w:id="339">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266.</w:t>
      </w:r>
    </w:p>
  </w:footnote>
  <w:footnote w:id="340">
    <w:p w:rsidR="003515E3" w:rsidRPr="00601E64"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260.</w:t>
      </w:r>
    </w:p>
  </w:footnote>
  <w:footnote w:id="341">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260.</w:t>
      </w:r>
    </w:p>
  </w:footnote>
  <w:footnote w:id="342">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135.</w:t>
      </w:r>
    </w:p>
  </w:footnote>
  <w:footnote w:id="343">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192.</w:t>
      </w:r>
    </w:p>
  </w:footnote>
  <w:footnote w:id="344">
    <w:p w:rsidR="003515E3" w:rsidRPr="00601E64"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Pickwick reinforces the sense of his determination with the following strident statement: ‘But were it as far as Jerusalem, I must be there in four-and-twenty hours at the outside’. See </w:t>
      </w:r>
      <w:r w:rsidRPr="00D7340C">
        <w:rPr>
          <w:rFonts w:ascii="Times New Roman" w:hAnsi="Times New Roman"/>
          <w:i/>
          <w:iCs/>
        </w:rPr>
        <w:t>Pickwick Abroad</w:t>
      </w:r>
      <w:r w:rsidRPr="00D7340C">
        <w:rPr>
          <w:rFonts w:ascii="Times New Roman" w:hAnsi="Times New Roman"/>
        </w:rPr>
        <w:t>, p. 192.</w:t>
      </w:r>
    </w:p>
  </w:footnote>
  <w:footnote w:id="345">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192.</w:t>
      </w:r>
    </w:p>
  </w:footnote>
  <w:footnote w:id="346">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192.</w:t>
      </w:r>
    </w:p>
  </w:footnote>
  <w:footnote w:id="347">
    <w:p w:rsidR="003515E3" w:rsidRPr="008E1AA2" w:rsidRDefault="003515E3" w:rsidP="00C73A2E">
      <w:pPr>
        <w:pStyle w:val="FootnoteText"/>
        <w:spacing w:after="0" w:line="240" w:lineRule="auto"/>
        <w:rPr>
          <w:rFonts w:ascii="Times New Roman" w:hAnsi="Times New Roman"/>
        </w:rPr>
      </w:pPr>
      <w:r w:rsidRPr="008E1AA2">
        <w:rPr>
          <w:rStyle w:val="FootnoteReference"/>
          <w:rFonts w:ascii="Times New Roman" w:hAnsi="Times New Roman"/>
        </w:rPr>
        <w:footnoteRef/>
      </w:r>
      <w:r w:rsidRPr="008E1AA2">
        <w:rPr>
          <w:rFonts w:ascii="Times New Roman" w:hAnsi="Times New Roman"/>
        </w:rPr>
        <w:t xml:space="preserve"> </w:t>
      </w:r>
      <w:r w:rsidRPr="008E1AA2">
        <w:rPr>
          <w:rFonts w:ascii="Times New Roman" w:hAnsi="Times New Roman"/>
          <w:i/>
          <w:iCs/>
        </w:rPr>
        <w:t>Pickwick Abroad</w:t>
      </w:r>
      <w:r w:rsidRPr="008E1AA2">
        <w:rPr>
          <w:rFonts w:ascii="Times New Roman" w:hAnsi="Times New Roman"/>
        </w:rPr>
        <w:t>, p. 192.</w:t>
      </w:r>
    </w:p>
  </w:footnote>
  <w:footnote w:id="348">
    <w:p w:rsidR="003515E3" w:rsidRPr="008E1AA2" w:rsidRDefault="003515E3" w:rsidP="00C73A2E">
      <w:pPr>
        <w:pStyle w:val="FootnoteText"/>
        <w:spacing w:after="0" w:line="240" w:lineRule="auto"/>
        <w:rPr>
          <w:rFonts w:ascii="Times New Roman" w:hAnsi="Times New Roman"/>
        </w:rPr>
      </w:pPr>
      <w:r w:rsidRPr="008E1AA2">
        <w:rPr>
          <w:rStyle w:val="FootnoteReference"/>
          <w:rFonts w:ascii="Times New Roman" w:hAnsi="Times New Roman"/>
        </w:rPr>
        <w:footnoteRef/>
      </w:r>
      <w:r w:rsidRPr="008E1AA2">
        <w:rPr>
          <w:rFonts w:ascii="Times New Roman" w:hAnsi="Times New Roman"/>
        </w:rPr>
        <w:t xml:space="preserve"> </w:t>
      </w:r>
      <w:r w:rsidRPr="008E1AA2">
        <w:rPr>
          <w:rFonts w:ascii="Times New Roman" w:hAnsi="Times New Roman"/>
          <w:i/>
          <w:iCs/>
        </w:rPr>
        <w:t>Pickwick Abroad</w:t>
      </w:r>
      <w:r w:rsidRPr="008E1AA2">
        <w:rPr>
          <w:rFonts w:ascii="Times New Roman" w:hAnsi="Times New Roman"/>
        </w:rPr>
        <w:t>, p. 386.</w:t>
      </w:r>
    </w:p>
  </w:footnote>
  <w:footnote w:id="349">
    <w:p w:rsidR="003515E3" w:rsidRPr="008E1AA2" w:rsidRDefault="003515E3" w:rsidP="00C73A2E">
      <w:pPr>
        <w:pStyle w:val="FootnoteText"/>
        <w:spacing w:after="0" w:line="240" w:lineRule="auto"/>
        <w:rPr>
          <w:rFonts w:ascii="Times New Roman" w:hAnsi="Times New Roman"/>
        </w:rPr>
      </w:pPr>
      <w:r w:rsidRPr="008E1AA2">
        <w:rPr>
          <w:rStyle w:val="FootnoteReference"/>
          <w:rFonts w:ascii="Times New Roman" w:hAnsi="Times New Roman"/>
        </w:rPr>
        <w:footnoteRef/>
      </w:r>
      <w:r w:rsidRPr="008E1AA2">
        <w:rPr>
          <w:rFonts w:ascii="Times New Roman" w:hAnsi="Times New Roman"/>
        </w:rPr>
        <w:t xml:space="preserve"> </w:t>
      </w:r>
      <w:r w:rsidRPr="008E1AA2">
        <w:rPr>
          <w:rFonts w:ascii="Times New Roman" w:hAnsi="Times New Roman"/>
          <w:i/>
          <w:iCs/>
        </w:rPr>
        <w:t>Pickwick Abroad</w:t>
      </w:r>
      <w:r w:rsidRPr="008E1AA2">
        <w:rPr>
          <w:rFonts w:ascii="Times New Roman" w:hAnsi="Times New Roman"/>
        </w:rPr>
        <w:t>, p. 385.</w:t>
      </w:r>
    </w:p>
  </w:footnote>
  <w:footnote w:id="350">
    <w:p w:rsidR="003515E3" w:rsidRPr="008E1AA2" w:rsidRDefault="003515E3" w:rsidP="00C73A2E">
      <w:pPr>
        <w:pStyle w:val="FootnoteText"/>
        <w:spacing w:after="0" w:line="240" w:lineRule="auto"/>
        <w:rPr>
          <w:rFonts w:ascii="Times New Roman" w:hAnsi="Times New Roman"/>
          <w:b/>
          <w:bCs/>
        </w:rPr>
      </w:pPr>
      <w:r w:rsidRPr="004C1CC5">
        <w:rPr>
          <w:rStyle w:val="FootnoteReference"/>
          <w:rFonts w:ascii="Times New Roman" w:hAnsi="Times New Roman"/>
          <w:bCs/>
        </w:rPr>
        <w:footnoteRef/>
      </w:r>
      <w:r w:rsidRPr="004C1CC5">
        <w:rPr>
          <w:rFonts w:ascii="Times New Roman" w:hAnsi="Times New Roman"/>
          <w:bCs/>
        </w:rPr>
        <w:t xml:space="preserve"> </w:t>
      </w:r>
      <w:r w:rsidRPr="004C1CC5">
        <w:rPr>
          <w:rStyle w:val="Strong"/>
          <w:rFonts w:ascii="Times New Roman" w:hAnsi="Times New Roman"/>
          <w:b w:val="0"/>
        </w:rPr>
        <w:t>Irene Wiltshire, ‘</w:t>
      </w:r>
      <w:r w:rsidRPr="008E1AA2">
        <w:rPr>
          <w:rStyle w:val="Strong"/>
          <w:rFonts w:ascii="Times New Roman" w:hAnsi="Times New Roman"/>
          <w:b w:val="0"/>
          <w:i/>
          <w:iCs/>
        </w:rPr>
        <w:t>Pickwick</w:t>
      </w:r>
      <w:r w:rsidRPr="008E1AA2">
        <w:rPr>
          <w:rStyle w:val="Strong"/>
          <w:rFonts w:ascii="Times New Roman" w:hAnsi="Times New Roman"/>
          <w:b w:val="0"/>
        </w:rPr>
        <w:t xml:space="preserve"> and the pirates’, </w:t>
      </w:r>
      <w:r w:rsidRPr="008E1AA2">
        <w:rPr>
          <w:rStyle w:val="Strong"/>
          <w:rFonts w:ascii="Times New Roman" w:hAnsi="Times New Roman"/>
          <w:b w:val="0"/>
          <w:i/>
        </w:rPr>
        <w:t>Dickensian</w:t>
      </w:r>
      <w:r w:rsidRPr="008E1AA2">
        <w:rPr>
          <w:rStyle w:val="Strong"/>
          <w:rFonts w:ascii="Times New Roman" w:hAnsi="Times New Roman"/>
          <w:b w:val="0"/>
        </w:rPr>
        <w:t>, 102.1 (Spring 2006), 32</w:t>
      </w:r>
      <w:r w:rsidRPr="008E1AA2">
        <w:rPr>
          <w:rFonts w:ascii="Times New Roman" w:hAnsi="Times New Roman"/>
          <w:b/>
        </w:rPr>
        <w:t>–</w:t>
      </w:r>
      <w:r w:rsidRPr="008E1AA2">
        <w:rPr>
          <w:rStyle w:val="Strong"/>
          <w:rFonts w:ascii="Times New Roman" w:hAnsi="Times New Roman"/>
          <w:b w:val="0"/>
        </w:rPr>
        <w:t>44 (p. 36).</w:t>
      </w:r>
    </w:p>
  </w:footnote>
  <w:footnote w:id="351">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254.</w:t>
      </w:r>
    </w:p>
  </w:footnote>
  <w:footnote w:id="352">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Reynolds writes: </w:t>
      </w:r>
      <w:r w:rsidRPr="00D7340C">
        <w:rPr>
          <w:rFonts w:asciiTheme="majorBidi" w:hAnsiTheme="majorBidi" w:cstheme="majorBidi"/>
          <w:lang w:val="en"/>
        </w:rPr>
        <w:t xml:space="preserve">‘From my own personal experience, resulting from nearly a ten years’ residence amongst the French, I can answer for their hospitality, their kindness to foreigners, and the advantages which an Englishman may enjoy form  procuring from the government authorised letters of domiciliation in the country: and I venture to assert, without fear of contradiction, that there is no nation in the universe where a citizen or a foreigner enjoys more real liberty than in France, provided political pursuits be not allowed to form a portion of his avocations.’  See </w:t>
      </w:r>
      <w:r w:rsidRPr="00D7340C">
        <w:rPr>
          <w:rFonts w:asciiTheme="majorBidi" w:hAnsiTheme="majorBidi" w:cstheme="majorBidi"/>
          <w:i/>
          <w:iCs/>
        </w:rPr>
        <w:t>Pickwick Abroad</w:t>
      </w:r>
      <w:r w:rsidRPr="00D7340C">
        <w:rPr>
          <w:rFonts w:asciiTheme="majorBidi" w:hAnsiTheme="majorBidi" w:cstheme="majorBidi"/>
        </w:rPr>
        <w:t>, p. vii.</w:t>
      </w:r>
    </w:p>
  </w:footnote>
  <w:footnote w:id="353">
    <w:p w:rsidR="003515E3" w:rsidRPr="00601E64"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14.</w:t>
      </w:r>
    </w:p>
  </w:footnote>
  <w:footnote w:id="354">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68.</w:t>
      </w:r>
    </w:p>
  </w:footnote>
  <w:footnote w:id="355">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26.</w:t>
      </w:r>
    </w:p>
  </w:footnote>
  <w:footnote w:id="356">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44.</w:t>
      </w:r>
    </w:p>
  </w:footnote>
  <w:footnote w:id="357">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62.</w:t>
      </w:r>
    </w:p>
  </w:footnote>
  <w:footnote w:id="358">
    <w:p w:rsidR="003515E3" w:rsidRPr="00601E64"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w:t>
      </w:r>
      <w:r w:rsidRPr="00D7340C">
        <w:rPr>
          <w:rFonts w:ascii="Times New Roman" w:hAnsi="Times New Roman"/>
          <w:i/>
          <w:iCs/>
        </w:rPr>
        <w:t>Pickwick Abroad</w:t>
      </w:r>
      <w:r w:rsidRPr="00D7340C">
        <w:rPr>
          <w:rFonts w:ascii="Times New Roman" w:hAnsi="Times New Roman"/>
        </w:rPr>
        <w:t>, p. 62.</w:t>
      </w:r>
    </w:p>
  </w:footnote>
  <w:footnote w:id="359">
    <w:p w:rsidR="003515E3" w:rsidRPr="00D7340C" w:rsidRDefault="003515E3" w:rsidP="00C73A2E">
      <w:pPr>
        <w:spacing w:after="0" w:line="240" w:lineRule="auto"/>
        <w:rPr>
          <w:rFonts w:ascii="Times New Roman" w:hAnsi="Times New Roman" w:cs="Times New Roman"/>
          <w:sz w:val="20"/>
          <w:szCs w:val="20"/>
        </w:rPr>
      </w:pPr>
      <w:r w:rsidRPr="00D7340C">
        <w:rPr>
          <w:rStyle w:val="FootnoteReference"/>
          <w:rFonts w:ascii="Times New Roman" w:hAnsi="Times New Roman"/>
        </w:rPr>
        <w:footnoteRef/>
      </w:r>
      <w:r w:rsidRPr="00D7340C">
        <w:rPr>
          <w:rFonts w:ascii="Times New Roman" w:hAnsi="Times New Roman" w:cs="Times New Roman"/>
          <w:sz w:val="20"/>
          <w:szCs w:val="20"/>
        </w:rPr>
        <w:t xml:space="preserve"> </w:t>
      </w:r>
      <w:r w:rsidRPr="00D7340C">
        <w:rPr>
          <w:rFonts w:ascii="Times New Roman" w:hAnsi="Times New Roman" w:cs="Times New Roman"/>
          <w:bCs/>
          <w:sz w:val="20"/>
          <w:szCs w:val="20"/>
        </w:rPr>
        <w:t>Pilbeam, after describing the modest changes to France’s system of government, comments it was the Chamber of Peers that witnessed the most outstanding transformation in the structure of Parliament with the ‘principle of hereditary succession to the chamber […] replaced by life peerages in 1831.’  See Pilbeam, pp. 86</w:t>
      </w:r>
      <w:r w:rsidRPr="00D7340C">
        <w:rPr>
          <w:rFonts w:ascii="Times New Roman" w:hAnsi="Times New Roman"/>
          <w:sz w:val="20"/>
          <w:szCs w:val="20"/>
        </w:rPr>
        <w:t>–</w:t>
      </w:r>
      <w:r w:rsidRPr="00D7340C">
        <w:rPr>
          <w:rFonts w:ascii="Times New Roman" w:hAnsi="Times New Roman" w:cs="Times New Roman"/>
          <w:bCs/>
          <w:sz w:val="20"/>
          <w:szCs w:val="20"/>
        </w:rPr>
        <w:t>88.</w:t>
      </w:r>
    </w:p>
  </w:footnote>
  <w:footnote w:id="360">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128.</w:t>
      </w:r>
    </w:p>
  </w:footnote>
  <w:footnote w:id="361">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222.</w:t>
      </w:r>
    </w:p>
  </w:footnote>
  <w:footnote w:id="362">
    <w:p w:rsidR="003515E3" w:rsidRPr="00315305"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505.</w:t>
      </w:r>
    </w:p>
  </w:footnote>
  <w:footnote w:id="363">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The Fieschi assassination attempt occurred on 28 July 1835.  See T. E. B. Howarth, </w:t>
      </w:r>
      <w:r w:rsidRPr="00D7340C">
        <w:rPr>
          <w:rFonts w:ascii="Times New Roman" w:hAnsi="Times New Roman"/>
          <w:i/>
        </w:rPr>
        <w:t>Citizen-King The Life of Louis Philippe King of the French</w:t>
      </w:r>
      <w:r w:rsidRPr="00D7340C">
        <w:rPr>
          <w:rFonts w:ascii="Times New Roman" w:hAnsi="Times New Roman"/>
        </w:rPr>
        <w:t xml:space="preserve"> (London: Eyre &amp; Spottiswoode, 1961), p. 231.</w:t>
      </w:r>
    </w:p>
  </w:footnote>
  <w:footnote w:id="364">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426.</w:t>
      </w:r>
    </w:p>
  </w:footnote>
  <w:footnote w:id="365">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Sam is speaking during 1835.  For the chronology of the narrative, his words could refer to 1831, when Birmingham was garrisoned by Scots Greys.  </w:t>
      </w:r>
      <w:r w:rsidRPr="00D7340C">
        <w:rPr>
          <w:rFonts w:ascii="Times New Roman" w:hAnsi="Times New Roman"/>
        </w:rPr>
        <w:t xml:space="preserve">See Alexander Somerville, </w:t>
      </w:r>
      <w:r w:rsidRPr="00D7340C">
        <w:rPr>
          <w:rFonts w:ascii="Times New Roman" w:hAnsi="Times New Roman"/>
          <w:i/>
          <w:iCs/>
        </w:rPr>
        <w:t>The Autobiography of a Working Man</w:t>
      </w:r>
      <w:r w:rsidRPr="00D7340C">
        <w:rPr>
          <w:rFonts w:ascii="Times New Roman" w:hAnsi="Times New Roman"/>
        </w:rPr>
        <w:t>, ed. by John Carswell (London: Turnstile Press, 1951), pp. 156–60.</w:t>
      </w:r>
    </w:p>
  </w:footnote>
  <w:footnote w:id="366">
    <w:p w:rsidR="003515E3" w:rsidRPr="00601E64"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427.</w:t>
      </w:r>
    </w:p>
  </w:footnote>
  <w:footnote w:id="367">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Sam is described as follows when Pickwick first meets him cleaning boots at the ‘White Hart’: </w:t>
      </w:r>
      <w:r w:rsidRPr="00D7340C">
        <w:rPr>
          <w:rFonts w:ascii="Times New Roman" w:hAnsi="Times New Roman"/>
          <w:bCs/>
        </w:rPr>
        <w:t>‘He was habited in a course-striped waistcoat, with black calico sleeves, and blue glass buttons: drab breeches and leggings.  A bright red handkerchief was wound in a very loose and unstudied style round his neck, and an old white hat was carelessly thrown on one side of his head.’</w:t>
      </w:r>
      <w:r w:rsidRPr="00D7340C">
        <w:rPr>
          <w:rFonts w:asciiTheme="majorBidi" w:hAnsiTheme="majorBidi" w:cstheme="majorBidi"/>
        </w:rPr>
        <w:t xml:space="preserve">  See</w:t>
      </w:r>
      <w:r w:rsidRPr="00D7340C">
        <w:rPr>
          <w:rFonts w:asciiTheme="majorBidi" w:hAnsiTheme="majorBidi" w:cstheme="majorBidi"/>
          <w:i/>
        </w:rPr>
        <w:t xml:space="preserve"> Pickwick Papers, </w:t>
      </w:r>
      <w:r w:rsidRPr="00D7340C">
        <w:rPr>
          <w:rFonts w:asciiTheme="majorBidi" w:hAnsiTheme="majorBidi" w:cstheme="majorBidi"/>
        </w:rPr>
        <w:t>p.137.</w:t>
      </w:r>
    </w:p>
  </w:footnote>
  <w:footnote w:id="368">
    <w:p w:rsidR="003515E3" w:rsidRPr="00601E64"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429.</w:t>
      </w:r>
    </w:p>
  </w:footnote>
  <w:footnote w:id="369">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rPr>
        <w:t xml:space="preserve"> </w:t>
      </w:r>
      <w:r w:rsidRPr="00D7340C">
        <w:rPr>
          <w:rFonts w:asciiTheme="majorBidi" w:hAnsiTheme="majorBidi" w:cstheme="majorBidi"/>
          <w:i/>
          <w:iCs/>
        </w:rPr>
        <w:t>Pickwick Abroad</w:t>
      </w:r>
      <w:r w:rsidRPr="00D7340C">
        <w:rPr>
          <w:rFonts w:asciiTheme="majorBidi" w:hAnsiTheme="majorBidi" w:cstheme="majorBidi"/>
        </w:rPr>
        <w:t>, p. 430.</w:t>
      </w:r>
    </w:p>
  </w:footnote>
  <w:footnote w:id="370">
    <w:p w:rsidR="003515E3" w:rsidRPr="00D7340C" w:rsidRDefault="003515E3" w:rsidP="00C73A2E">
      <w:pPr>
        <w:pStyle w:val="FootnoteText"/>
        <w:spacing w:after="0" w:line="240" w:lineRule="auto"/>
        <w:rPr>
          <w:rFonts w:ascii="Times New Roman" w:hAnsi="Times New Roman"/>
        </w:rPr>
      </w:pPr>
      <w:r w:rsidRPr="00D7340C">
        <w:rPr>
          <w:rStyle w:val="FootnoteReference"/>
          <w:rFonts w:ascii="Times New Roman" w:hAnsi="Times New Roman"/>
        </w:rPr>
        <w:footnoteRef/>
      </w:r>
      <w:r w:rsidRPr="00D7340C">
        <w:rPr>
          <w:rFonts w:ascii="Times New Roman" w:hAnsi="Times New Roman"/>
        </w:rPr>
        <w:t xml:space="preserve"> Tom Gibbins displays these attitudes in his dispute with a Frenchman: ‘‘It’s all very well, my dear Frog,’ said Mr. Thomas Gibbins, who had listened very attentively to this lengthy tirade; ‘but I denies the logic o’ them argiments as you so facetiously brought for’ard.  I denies ’em in total, as they says in Latin; and I shouldn’t be an Englishman if I didn’t stick up for the langvidge and the roast beef of old England, vith the ale and gin, till all’s blue.  Vhere do ye see so many vorkuses, I’d like to know?  Vhere is there sich a glorious aristocracy wot lives upon the fat of the land, and does no work neither?  Ain’t it a blessin’ to see the thousands o’ beggars there is about the streets, every one on ’em making his five bob a day reg’lar, according to calkilation?   Vy, you don’t see never a beggar in all this here unsociable country!  Every von’s obleeged to work here, </w:t>
      </w:r>
      <w:r w:rsidRPr="00D7340C">
        <w:rPr>
          <w:rFonts w:ascii="Times New Roman" w:hAnsi="Times New Roman"/>
          <w:i/>
          <w:iCs/>
        </w:rPr>
        <w:t>nollens</w:t>
      </w:r>
      <w:r w:rsidRPr="00D7340C">
        <w:rPr>
          <w:rFonts w:ascii="Times New Roman" w:hAnsi="Times New Roman"/>
        </w:rPr>
        <w:t xml:space="preserve">, </w:t>
      </w:r>
      <w:r w:rsidRPr="00D7340C">
        <w:rPr>
          <w:rFonts w:ascii="Times New Roman" w:hAnsi="Times New Roman"/>
          <w:i/>
          <w:iCs/>
        </w:rPr>
        <w:t>wollens</w:t>
      </w:r>
      <w:r w:rsidRPr="00D7340C">
        <w:rPr>
          <w:rFonts w:ascii="Times New Roman" w:hAnsi="Times New Roman"/>
        </w:rPr>
        <w:t>, as the captain says.  Give me England for ever! And here’s a health to her with a emphasis!’’.  See</w:t>
      </w:r>
      <w:r w:rsidRPr="00D7340C">
        <w:rPr>
          <w:rFonts w:ascii="Times New Roman" w:hAnsi="Times New Roman"/>
          <w:bCs/>
        </w:rPr>
        <w:t xml:space="preserve"> </w:t>
      </w:r>
      <w:r w:rsidRPr="00D7340C">
        <w:rPr>
          <w:rFonts w:ascii="Times New Roman" w:hAnsi="Times New Roman"/>
          <w:bCs/>
          <w:i/>
          <w:iCs/>
        </w:rPr>
        <w:t>Steam Packet</w:t>
      </w:r>
      <w:r w:rsidRPr="00D7340C">
        <w:rPr>
          <w:rFonts w:ascii="Times New Roman" w:hAnsi="Times New Roman"/>
          <w:bCs/>
        </w:rPr>
        <w:t>, p. 138.</w:t>
      </w:r>
    </w:p>
  </w:footnote>
  <w:footnote w:id="371">
    <w:p w:rsidR="003515E3" w:rsidRPr="00D7340C" w:rsidRDefault="003515E3" w:rsidP="00C73A2E">
      <w:pPr>
        <w:spacing w:after="0" w:line="240" w:lineRule="auto"/>
        <w:rPr>
          <w:rFonts w:asciiTheme="majorBidi" w:hAnsiTheme="majorBidi" w:cstheme="majorBidi"/>
          <w:sz w:val="20"/>
          <w:szCs w:val="20"/>
        </w:rPr>
      </w:pPr>
      <w:r w:rsidRPr="00D7340C">
        <w:rPr>
          <w:rStyle w:val="FootnoteReference"/>
          <w:rFonts w:asciiTheme="majorBidi" w:hAnsiTheme="majorBidi" w:cstheme="majorBidi"/>
        </w:rPr>
        <w:footnoteRef/>
      </w:r>
      <w:r w:rsidRPr="00D7340C">
        <w:rPr>
          <w:rFonts w:asciiTheme="majorBidi" w:hAnsiTheme="majorBidi" w:cstheme="majorBidi"/>
          <w:sz w:val="20"/>
          <w:szCs w:val="20"/>
        </w:rPr>
        <w:t xml:space="preserve"> </w:t>
      </w:r>
      <w:r w:rsidRPr="00D7340C">
        <w:rPr>
          <w:rFonts w:asciiTheme="majorBidi" w:hAnsiTheme="majorBidi" w:cstheme="majorBidi"/>
          <w:bCs/>
          <w:i/>
          <w:iCs/>
          <w:sz w:val="20"/>
          <w:szCs w:val="20"/>
        </w:rPr>
        <w:t>Steam Packet</w:t>
      </w:r>
      <w:r w:rsidRPr="00D7340C">
        <w:rPr>
          <w:rFonts w:asciiTheme="majorBidi" w:hAnsiTheme="majorBidi" w:cstheme="majorBidi"/>
          <w:bCs/>
          <w:sz w:val="20"/>
          <w:szCs w:val="20"/>
        </w:rPr>
        <w:t>, p.29.</w:t>
      </w:r>
    </w:p>
  </w:footnote>
  <w:footnote w:id="372">
    <w:p w:rsidR="003515E3" w:rsidRPr="004C1CC5" w:rsidRDefault="003515E3" w:rsidP="00C73A2E">
      <w:pPr>
        <w:spacing w:after="0" w:line="240" w:lineRule="auto"/>
        <w:rPr>
          <w:rFonts w:asciiTheme="majorBidi" w:hAnsiTheme="majorBidi" w:cstheme="majorBidi"/>
          <w:sz w:val="20"/>
          <w:szCs w:val="20"/>
        </w:rPr>
      </w:pPr>
      <w:r w:rsidRPr="004C1CC5">
        <w:rPr>
          <w:rStyle w:val="FootnoteReference"/>
          <w:rFonts w:asciiTheme="majorBidi" w:hAnsiTheme="majorBidi" w:cstheme="majorBidi"/>
          <w:sz w:val="20"/>
          <w:szCs w:val="20"/>
        </w:rPr>
        <w:footnoteRef/>
      </w:r>
      <w:r w:rsidRPr="004C1CC5">
        <w:rPr>
          <w:rFonts w:asciiTheme="majorBidi" w:hAnsiTheme="majorBidi" w:cstheme="majorBidi"/>
          <w:sz w:val="20"/>
          <w:szCs w:val="20"/>
        </w:rPr>
        <w:t xml:space="preserve"> </w:t>
      </w:r>
      <w:r w:rsidRPr="004C1CC5">
        <w:rPr>
          <w:rFonts w:asciiTheme="majorBidi" w:hAnsiTheme="majorBidi" w:cstheme="majorBidi"/>
          <w:bCs/>
          <w:i/>
          <w:iCs/>
          <w:sz w:val="20"/>
          <w:szCs w:val="20"/>
        </w:rPr>
        <w:t>Steam Packet</w:t>
      </w:r>
      <w:r w:rsidRPr="004C1CC5">
        <w:rPr>
          <w:rFonts w:asciiTheme="majorBidi" w:hAnsiTheme="majorBidi" w:cstheme="majorBidi"/>
          <w:bCs/>
          <w:sz w:val="20"/>
          <w:szCs w:val="20"/>
        </w:rPr>
        <w:t>, p. 99.</w:t>
      </w:r>
    </w:p>
  </w:footnote>
  <w:footnote w:id="373">
    <w:p w:rsidR="003515E3" w:rsidRPr="004C1CC5" w:rsidRDefault="003515E3" w:rsidP="00C73A2E">
      <w:pPr>
        <w:spacing w:after="0" w:line="240" w:lineRule="auto"/>
        <w:rPr>
          <w:rFonts w:asciiTheme="majorBidi" w:hAnsiTheme="majorBidi" w:cstheme="majorBidi"/>
          <w:sz w:val="20"/>
          <w:szCs w:val="20"/>
        </w:rPr>
      </w:pPr>
      <w:r w:rsidRPr="004C1CC5">
        <w:rPr>
          <w:rStyle w:val="FootnoteReference"/>
          <w:rFonts w:asciiTheme="majorBidi" w:hAnsiTheme="majorBidi" w:cstheme="majorBidi"/>
          <w:sz w:val="20"/>
          <w:szCs w:val="20"/>
        </w:rPr>
        <w:footnoteRef/>
      </w:r>
      <w:r w:rsidRPr="004C1CC5">
        <w:rPr>
          <w:rFonts w:asciiTheme="majorBidi" w:hAnsiTheme="majorBidi" w:cstheme="majorBidi"/>
          <w:sz w:val="20"/>
          <w:szCs w:val="20"/>
        </w:rPr>
        <w:t xml:space="preserve"> For the full scene of the kitchen party, see </w:t>
      </w:r>
      <w:r w:rsidRPr="004C1CC5">
        <w:rPr>
          <w:rFonts w:asciiTheme="majorBidi" w:hAnsiTheme="majorBidi" w:cstheme="majorBidi"/>
          <w:bCs/>
          <w:i/>
          <w:iCs/>
          <w:sz w:val="20"/>
          <w:szCs w:val="20"/>
        </w:rPr>
        <w:t>Steam Packet</w:t>
      </w:r>
      <w:r w:rsidRPr="004C1CC5">
        <w:rPr>
          <w:rFonts w:asciiTheme="majorBidi" w:hAnsiTheme="majorBidi" w:cstheme="majorBidi"/>
          <w:bCs/>
          <w:sz w:val="20"/>
          <w:szCs w:val="20"/>
        </w:rPr>
        <w:t>, pp. 67</w:t>
      </w:r>
      <w:r w:rsidRPr="004C1CC5">
        <w:rPr>
          <w:rFonts w:ascii="Times New Roman" w:hAnsi="Times New Roman"/>
          <w:sz w:val="20"/>
          <w:szCs w:val="20"/>
        </w:rPr>
        <w:t>–</w:t>
      </w:r>
      <w:r w:rsidRPr="004C1CC5">
        <w:rPr>
          <w:rFonts w:asciiTheme="majorBidi" w:hAnsiTheme="majorBidi" w:cstheme="majorBidi"/>
          <w:bCs/>
          <w:sz w:val="20"/>
          <w:szCs w:val="20"/>
        </w:rPr>
        <w:t>72.</w:t>
      </w:r>
    </w:p>
  </w:footnote>
  <w:footnote w:id="374">
    <w:p w:rsidR="003515E3" w:rsidRPr="004C1CC5" w:rsidRDefault="003515E3" w:rsidP="00C73A2E">
      <w:pPr>
        <w:pStyle w:val="FootnoteText"/>
        <w:spacing w:after="0" w:line="240" w:lineRule="auto"/>
        <w:rPr>
          <w:rFonts w:asciiTheme="majorBidi" w:hAnsiTheme="majorBidi" w:cstheme="majorBidi"/>
        </w:rPr>
      </w:pPr>
      <w:r w:rsidRPr="004C1CC5">
        <w:rPr>
          <w:rStyle w:val="FootnoteReference"/>
          <w:rFonts w:asciiTheme="majorBidi" w:hAnsiTheme="majorBidi" w:cstheme="majorBidi"/>
        </w:rPr>
        <w:footnoteRef/>
      </w:r>
      <w:r w:rsidRPr="004C1CC5">
        <w:rPr>
          <w:rFonts w:asciiTheme="majorBidi" w:hAnsiTheme="majorBidi" w:cstheme="majorBidi"/>
        </w:rPr>
        <w:t xml:space="preserve"> Doreen Massey, </w:t>
      </w:r>
      <w:r w:rsidRPr="00D91FA9">
        <w:rPr>
          <w:rFonts w:asciiTheme="majorBidi" w:hAnsiTheme="majorBidi" w:cstheme="majorBidi"/>
          <w:i/>
        </w:rPr>
        <w:t>Space, Place and Gender</w:t>
      </w:r>
      <w:r w:rsidRPr="004C1CC5">
        <w:rPr>
          <w:rFonts w:asciiTheme="majorBidi" w:hAnsiTheme="majorBidi" w:cstheme="majorBidi"/>
        </w:rPr>
        <w:t xml:space="preserve"> (Cambridge: Polity Press, 1994), p. 3.</w:t>
      </w:r>
    </w:p>
  </w:footnote>
  <w:footnote w:id="375">
    <w:p w:rsidR="003515E3" w:rsidRPr="00D7340C" w:rsidRDefault="003515E3" w:rsidP="00C73A2E">
      <w:pPr>
        <w:pStyle w:val="FootnoteText"/>
        <w:spacing w:after="0" w:line="240" w:lineRule="auto"/>
        <w:rPr>
          <w:rFonts w:asciiTheme="majorBidi" w:hAnsiTheme="majorBidi" w:cstheme="majorBidi"/>
        </w:rPr>
      </w:pPr>
      <w:r w:rsidRPr="004C1CC5">
        <w:rPr>
          <w:rStyle w:val="FootnoteReference"/>
          <w:rFonts w:asciiTheme="majorBidi" w:hAnsiTheme="majorBidi" w:cstheme="majorBidi"/>
        </w:rPr>
        <w:footnoteRef/>
      </w:r>
      <w:r w:rsidRPr="004C1CC5">
        <w:rPr>
          <w:rFonts w:asciiTheme="majorBidi" w:hAnsiTheme="majorBidi" w:cstheme="majorBidi"/>
        </w:rPr>
        <w:t xml:space="preserve"> </w:t>
      </w:r>
      <w:r w:rsidRPr="004C1CC5">
        <w:rPr>
          <w:rFonts w:asciiTheme="majorBidi" w:hAnsiTheme="majorBidi" w:cstheme="majorBidi"/>
          <w:i/>
          <w:iCs/>
        </w:rPr>
        <w:t>Pickwick Abroad</w:t>
      </w:r>
      <w:r w:rsidRPr="004C1CC5">
        <w:rPr>
          <w:rFonts w:asciiTheme="majorBidi" w:hAnsiTheme="majorBidi" w:cstheme="majorBidi"/>
        </w:rPr>
        <w:t>, p. 533.</w:t>
      </w:r>
    </w:p>
  </w:footnote>
  <w:footnote w:id="376">
    <w:p w:rsidR="003515E3" w:rsidRPr="00D7340C" w:rsidRDefault="003515E3" w:rsidP="00C73A2E">
      <w:pPr>
        <w:pStyle w:val="FootnoteText"/>
        <w:spacing w:after="0" w:line="240" w:lineRule="auto"/>
        <w:rPr>
          <w:rFonts w:asciiTheme="majorBidi" w:hAnsiTheme="majorBidi" w:cstheme="majorBidi"/>
        </w:rPr>
      </w:pPr>
      <w:r w:rsidRPr="00D7340C">
        <w:rPr>
          <w:rStyle w:val="FootnoteReference"/>
          <w:rFonts w:asciiTheme="majorBidi" w:hAnsiTheme="majorBidi" w:cstheme="majorBidi"/>
        </w:rPr>
        <w:footnoteRef/>
      </w:r>
      <w:r w:rsidRPr="00D7340C">
        <w:rPr>
          <w:rFonts w:asciiTheme="majorBidi" w:hAnsiTheme="majorBidi" w:cstheme="majorBidi"/>
          <w:bCs/>
        </w:rPr>
        <w:t xml:space="preserve"> </w:t>
      </w:r>
      <w:r w:rsidRPr="00D7340C">
        <w:rPr>
          <w:rFonts w:asciiTheme="majorBidi" w:hAnsiTheme="majorBidi" w:cstheme="majorBidi"/>
          <w:i/>
          <w:iCs/>
        </w:rPr>
        <w:t>Pickwick Abroad</w:t>
      </w:r>
      <w:r w:rsidRPr="00D7340C">
        <w:rPr>
          <w:rFonts w:asciiTheme="majorBidi" w:hAnsiTheme="majorBidi" w:cstheme="majorBidi"/>
        </w:rPr>
        <w:t>, p. 513.</w:t>
      </w:r>
    </w:p>
  </w:footnote>
  <w:footnote w:id="377">
    <w:p w:rsidR="003515E3" w:rsidRPr="00DF5511" w:rsidRDefault="003515E3" w:rsidP="00C76704">
      <w:pPr>
        <w:pStyle w:val="FootnoteText"/>
        <w:spacing w:after="0" w:line="240" w:lineRule="auto"/>
        <w:rPr>
          <w:rFonts w:asciiTheme="majorBidi" w:hAnsiTheme="majorBidi" w:cstheme="majorBidi"/>
        </w:rPr>
      </w:pPr>
      <w:r w:rsidRPr="00DF5511">
        <w:rPr>
          <w:rStyle w:val="FootnoteReference"/>
          <w:rFonts w:asciiTheme="majorBidi" w:hAnsiTheme="majorBidi" w:cstheme="majorBidi"/>
        </w:rPr>
        <w:footnoteRef/>
      </w:r>
      <w:r w:rsidRPr="00DF5511">
        <w:rPr>
          <w:rFonts w:asciiTheme="majorBidi" w:hAnsiTheme="majorBidi" w:cstheme="majorBidi"/>
        </w:rPr>
        <w:t xml:space="preserve"> </w:t>
      </w:r>
      <w:r w:rsidRPr="00DF5511">
        <w:rPr>
          <w:rFonts w:asciiTheme="majorBidi" w:hAnsiTheme="majorBidi" w:cstheme="majorBidi"/>
          <w:i/>
          <w:iCs/>
        </w:rPr>
        <w:t>Pickwick Abroad</w:t>
      </w:r>
      <w:r w:rsidRPr="00DF5511">
        <w:rPr>
          <w:rFonts w:asciiTheme="majorBidi" w:hAnsiTheme="majorBidi" w:cstheme="majorBidi"/>
        </w:rPr>
        <w:t>, p. 258.</w:t>
      </w:r>
    </w:p>
  </w:footnote>
  <w:footnote w:id="378">
    <w:p w:rsidR="003515E3" w:rsidRPr="00DF5511" w:rsidRDefault="003515E3" w:rsidP="00C76704">
      <w:pPr>
        <w:pStyle w:val="FootnoteText"/>
        <w:spacing w:after="0" w:line="240" w:lineRule="auto"/>
        <w:rPr>
          <w:rFonts w:asciiTheme="majorBidi" w:hAnsiTheme="majorBidi" w:cstheme="majorBidi"/>
        </w:rPr>
      </w:pPr>
      <w:r w:rsidRPr="00DF5511">
        <w:rPr>
          <w:rStyle w:val="FootnoteReference"/>
          <w:rFonts w:asciiTheme="majorBidi" w:hAnsiTheme="majorBidi" w:cstheme="majorBidi"/>
        </w:rPr>
        <w:footnoteRef/>
      </w:r>
      <w:r w:rsidRPr="00DF5511">
        <w:rPr>
          <w:rFonts w:asciiTheme="majorBidi" w:hAnsiTheme="majorBidi" w:cstheme="majorBidi"/>
        </w:rPr>
        <w:t xml:space="preserve"> </w:t>
      </w:r>
      <w:r w:rsidRPr="00DF5511">
        <w:rPr>
          <w:rFonts w:asciiTheme="majorBidi" w:hAnsiTheme="majorBidi" w:cstheme="majorBidi"/>
          <w:i/>
          <w:iCs/>
        </w:rPr>
        <w:t>Pickwick Abroad</w:t>
      </w:r>
      <w:r w:rsidRPr="00DF5511">
        <w:rPr>
          <w:rFonts w:asciiTheme="majorBidi" w:hAnsiTheme="majorBidi" w:cstheme="majorBidi"/>
        </w:rPr>
        <w:t>, p. 258.</w:t>
      </w:r>
    </w:p>
  </w:footnote>
  <w:footnote w:id="379">
    <w:p w:rsidR="003515E3" w:rsidRPr="00DF5511" w:rsidRDefault="003515E3" w:rsidP="00C76704">
      <w:pPr>
        <w:pStyle w:val="FootnoteText"/>
        <w:spacing w:after="0" w:line="240" w:lineRule="auto"/>
        <w:rPr>
          <w:rFonts w:asciiTheme="majorBidi" w:hAnsiTheme="majorBidi" w:cstheme="majorBidi"/>
        </w:rPr>
      </w:pPr>
      <w:r w:rsidRPr="00DF5511">
        <w:rPr>
          <w:rStyle w:val="FootnoteReference"/>
          <w:rFonts w:asciiTheme="majorBidi" w:hAnsiTheme="majorBidi" w:cstheme="majorBidi"/>
        </w:rPr>
        <w:footnoteRef/>
      </w:r>
      <w:r w:rsidRPr="00DF5511">
        <w:rPr>
          <w:rFonts w:asciiTheme="majorBidi" w:hAnsiTheme="majorBidi" w:cstheme="majorBidi"/>
        </w:rPr>
        <w:t xml:space="preserve"> </w:t>
      </w:r>
      <w:r w:rsidRPr="00DF5511">
        <w:rPr>
          <w:rFonts w:asciiTheme="majorBidi" w:hAnsiTheme="majorBidi" w:cstheme="majorBidi"/>
          <w:i/>
          <w:iCs/>
        </w:rPr>
        <w:t>Pickwick Abroad</w:t>
      </w:r>
      <w:r w:rsidRPr="00DF5511">
        <w:rPr>
          <w:rFonts w:asciiTheme="majorBidi" w:hAnsiTheme="majorBidi" w:cstheme="majorBidi"/>
        </w:rPr>
        <w:t>, p. 258.</w:t>
      </w:r>
    </w:p>
  </w:footnote>
  <w:footnote w:id="380">
    <w:p w:rsidR="003515E3" w:rsidRPr="00DF5511" w:rsidRDefault="003515E3" w:rsidP="00C76704">
      <w:pPr>
        <w:pStyle w:val="FootnoteText"/>
        <w:spacing w:after="0" w:line="240" w:lineRule="auto"/>
        <w:rPr>
          <w:rFonts w:asciiTheme="majorBidi" w:hAnsiTheme="majorBidi" w:cstheme="majorBidi"/>
        </w:rPr>
      </w:pPr>
      <w:r w:rsidRPr="00DF5511">
        <w:rPr>
          <w:rStyle w:val="FootnoteReference"/>
          <w:rFonts w:asciiTheme="majorBidi" w:hAnsiTheme="majorBidi" w:cstheme="majorBidi"/>
        </w:rPr>
        <w:footnoteRef/>
      </w:r>
      <w:r w:rsidRPr="00DF5511">
        <w:rPr>
          <w:rFonts w:asciiTheme="majorBidi" w:hAnsiTheme="majorBidi" w:cstheme="majorBidi"/>
        </w:rPr>
        <w:t xml:space="preserve"> </w:t>
      </w:r>
      <w:r w:rsidRPr="00DF5511">
        <w:rPr>
          <w:rFonts w:asciiTheme="majorBidi" w:hAnsiTheme="majorBidi" w:cstheme="majorBidi"/>
          <w:i/>
          <w:iCs/>
        </w:rPr>
        <w:t>Pickwick Abroad</w:t>
      </w:r>
      <w:r w:rsidRPr="00DF5511">
        <w:rPr>
          <w:rFonts w:asciiTheme="majorBidi" w:hAnsiTheme="majorBidi" w:cstheme="majorBidi"/>
        </w:rPr>
        <w:t>, p. 259.</w:t>
      </w:r>
    </w:p>
  </w:footnote>
  <w:footnote w:id="381">
    <w:p w:rsidR="003515E3" w:rsidRPr="00DF5511" w:rsidRDefault="003515E3" w:rsidP="00C76704">
      <w:pPr>
        <w:pStyle w:val="FootnoteText"/>
        <w:spacing w:after="0" w:line="240" w:lineRule="auto"/>
        <w:rPr>
          <w:rFonts w:asciiTheme="majorBidi" w:hAnsiTheme="majorBidi" w:cstheme="majorBidi"/>
        </w:rPr>
      </w:pPr>
      <w:r w:rsidRPr="00DF5511">
        <w:rPr>
          <w:rStyle w:val="FootnoteReference"/>
          <w:rFonts w:asciiTheme="majorBidi" w:hAnsiTheme="majorBidi" w:cstheme="majorBidi"/>
        </w:rPr>
        <w:footnoteRef/>
      </w:r>
      <w:r w:rsidRPr="00DF5511">
        <w:rPr>
          <w:rFonts w:asciiTheme="majorBidi" w:hAnsiTheme="majorBidi" w:cstheme="majorBidi"/>
        </w:rPr>
        <w:t xml:space="preserve"> </w:t>
      </w:r>
      <w:r w:rsidRPr="00DF5511">
        <w:rPr>
          <w:rFonts w:asciiTheme="majorBidi" w:hAnsiTheme="majorBidi" w:cstheme="majorBidi"/>
          <w:i/>
          <w:iCs/>
        </w:rPr>
        <w:t>Pickwick Abroad</w:t>
      </w:r>
      <w:r w:rsidRPr="00DF5511">
        <w:rPr>
          <w:rFonts w:asciiTheme="majorBidi" w:hAnsiTheme="majorBidi" w:cstheme="majorBidi"/>
        </w:rPr>
        <w:t>, p. 225.</w:t>
      </w:r>
    </w:p>
  </w:footnote>
  <w:footnote w:id="382">
    <w:p w:rsidR="003515E3" w:rsidRPr="00DF5511" w:rsidRDefault="003515E3" w:rsidP="00C76704">
      <w:pPr>
        <w:pStyle w:val="FootnoteText"/>
        <w:spacing w:after="0" w:line="240" w:lineRule="auto"/>
        <w:rPr>
          <w:rFonts w:asciiTheme="majorBidi" w:hAnsiTheme="majorBidi" w:cstheme="majorBidi"/>
        </w:rPr>
      </w:pPr>
      <w:r w:rsidRPr="00DF5511">
        <w:rPr>
          <w:rStyle w:val="FootnoteReference"/>
          <w:rFonts w:asciiTheme="majorBidi" w:hAnsiTheme="majorBidi" w:cstheme="majorBidi"/>
        </w:rPr>
        <w:footnoteRef/>
      </w:r>
      <w:r w:rsidRPr="00DF5511">
        <w:rPr>
          <w:rFonts w:asciiTheme="majorBidi" w:hAnsiTheme="majorBidi" w:cstheme="majorBidi"/>
        </w:rPr>
        <w:t xml:space="preserve"> </w:t>
      </w:r>
      <w:r w:rsidRPr="00DF5511">
        <w:rPr>
          <w:rFonts w:asciiTheme="majorBidi" w:hAnsiTheme="majorBidi" w:cstheme="majorBidi"/>
          <w:i/>
          <w:iCs/>
        </w:rPr>
        <w:t>Pickwick Abroad</w:t>
      </w:r>
      <w:r w:rsidRPr="00DF5511">
        <w:rPr>
          <w:rFonts w:asciiTheme="majorBidi" w:hAnsiTheme="majorBidi" w:cstheme="majorBidi"/>
        </w:rPr>
        <w:t>, p. 497.</w:t>
      </w:r>
    </w:p>
  </w:footnote>
  <w:footnote w:id="383">
    <w:p w:rsidR="003515E3" w:rsidRPr="00DF5511" w:rsidRDefault="003515E3" w:rsidP="00C76704">
      <w:pPr>
        <w:pStyle w:val="FootnoteText"/>
        <w:spacing w:after="0" w:line="240" w:lineRule="auto"/>
        <w:rPr>
          <w:rFonts w:asciiTheme="majorBidi" w:hAnsiTheme="majorBidi" w:cstheme="majorBidi"/>
        </w:rPr>
      </w:pPr>
      <w:r w:rsidRPr="00DF5511">
        <w:rPr>
          <w:rStyle w:val="FootnoteReference"/>
          <w:rFonts w:asciiTheme="majorBidi" w:hAnsiTheme="majorBidi" w:cstheme="majorBidi"/>
        </w:rPr>
        <w:footnoteRef/>
      </w:r>
      <w:r w:rsidRPr="00DF5511">
        <w:rPr>
          <w:rFonts w:asciiTheme="majorBidi" w:hAnsiTheme="majorBidi" w:cstheme="majorBidi"/>
        </w:rPr>
        <w:t xml:space="preserve"> </w:t>
      </w:r>
      <w:r w:rsidRPr="00DF5511">
        <w:rPr>
          <w:rFonts w:asciiTheme="majorBidi" w:hAnsiTheme="majorBidi" w:cstheme="majorBidi"/>
          <w:i/>
          <w:iCs/>
        </w:rPr>
        <w:t>Pickwick Abroad</w:t>
      </w:r>
      <w:r w:rsidRPr="00DF5511">
        <w:rPr>
          <w:rFonts w:asciiTheme="majorBidi" w:hAnsiTheme="majorBidi" w:cstheme="majorBidi"/>
        </w:rPr>
        <w:t>, p. 418.</w:t>
      </w:r>
    </w:p>
  </w:footnote>
  <w:footnote w:id="384">
    <w:p w:rsidR="003515E3" w:rsidRPr="00DF5511" w:rsidRDefault="003515E3" w:rsidP="00C76704">
      <w:pPr>
        <w:pStyle w:val="FootnoteText"/>
        <w:spacing w:after="0" w:line="240" w:lineRule="auto"/>
        <w:rPr>
          <w:rFonts w:asciiTheme="majorBidi" w:hAnsiTheme="majorBidi" w:cstheme="majorBidi"/>
        </w:rPr>
      </w:pPr>
      <w:r w:rsidRPr="00DF5511">
        <w:rPr>
          <w:rStyle w:val="FootnoteReference"/>
          <w:rFonts w:asciiTheme="majorBidi" w:hAnsiTheme="majorBidi" w:cstheme="majorBidi"/>
        </w:rPr>
        <w:footnoteRef/>
      </w:r>
      <w:r w:rsidRPr="00DF5511">
        <w:rPr>
          <w:rFonts w:asciiTheme="majorBidi" w:hAnsiTheme="majorBidi" w:cstheme="majorBidi"/>
        </w:rPr>
        <w:t xml:space="preserve"> </w:t>
      </w:r>
      <w:r w:rsidRPr="00DF5511">
        <w:rPr>
          <w:rFonts w:asciiTheme="majorBidi" w:hAnsiTheme="majorBidi" w:cstheme="majorBidi"/>
          <w:i/>
          <w:iCs/>
        </w:rPr>
        <w:t>Pickwick Abroad</w:t>
      </w:r>
      <w:r w:rsidRPr="00DF5511">
        <w:rPr>
          <w:rFonts w:asciiTheme="majorBidi" w:hAnsiTheme="majorBidi" w:cstheme="majorBidi"/>
        </w:rPr>
        <w:t>, p. 419.</w:t>
      </w:r>
    </w:p>
  </w:footnote>
  <w:footnote w:id="385">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IV, 155.</w:t>
      </w:r>
    </w:p>
  </w:footnote>
  <w:footnote w:id="386">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IV, 155.</w:t>
      </w:r>
    </w:p>
  </w:footnote>
  <w:footnote w:id="387">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IV, 157.</w:t>
      </w:r>
    </w:p>
  </w:footnote>
  <w:footnote w:id="388">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Joseph Wilmot</w:t>
      </w:r>
      <w:r w:rsidRPr="00DF5511">
        <w:rPr>
          <w:rFonts w:ascii="Times New Roman" w:hAnsi="Times New Roman"/>
        </w:rPr>
        <w:t>, I, 316.</w:t>
      </w:r>
    </w:p>
  </w:footnote>
  <w:footnote w:id="389">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Later, she </w:t>
      </w:r>
      <w:r w:rsidRPr="00DF5511">
        <w:rPr>
          <w:rFonts w:asciiTheme="majorBidi" w:hAnsiTheme="majorBidi" w:cstheme="majorBidi"/>
          <w:bCs/>
        </w:rPr>
        <w:t xml:space="preserve">slopes off to the pub under the guise she has gone to see that her ‘dear childers’ have had their tea. See </w:t>
      </w:r>
      <w:r w:rsidRPr="00DF5511">
        <w:rPr>
          <w:rFonts w:ascii="Times New Roman" w:hAnsi="Times New Roman"/>
          <w:i/>
        </w:rPr>
        <w:t>Joseph Wilmot</w:t>
      </w:r>
      <w:r w:rsidRPr="00DF5511">
        <w:rPr>
          <w:rFonts w:ascii="Times New Roman" w:hAnsi="Times New Roman"/>
        </w:rPr>
        <w:t>, I, 331.</w:t>
      </w:r>
    </w:p>
  </w:footnote>
  <w:footnote w:id="390">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The association with cat meat was a well-used comic trope for the adulteration of food as when</w:t>
      </w:r>
      <w:r>
        <w:rPr>
          <w:rFonts w:ascii="Times New Roman" w:hAnsi="Times New Roman"/>
        </w:rPr>
        <w:t xml:space="preserve"> Dickens’s</w:t>
      </w:r>
      <w:r w:rsidRPr="00DF5511">
        <w:rPr>
          <w:rFonts w:ascii="Times New Roman" w:hAnsi="Times New Roman"/>
        </w:rPr>
        <w:t xml:space="preserve"> Sam Weller recalls a comment he made to a pie-man ‘What a number o’ cats you keep, Mr. Brooks.’  See </w:t>
      </w:r>
      <w:r w:rsidRPr="00DF5511">
        <w:rPr>
          <w:rFonts w:ascii="Times New Roman" w:hAnsi="Times New Roman"/>
          <w:i/>
          <w:iCs/>
        </w:rPr>
        <w:t>Pickwick Papers</w:t>
      </w:r>
      <w:r w:rsidRPr="00DF5511">
        <w:rPr>
          <w:rFonts w:ascii="Times New Roman" w:hAnsi="Times New Roman"/>
        </w:rPr>
        <w:t>, p. 278</w:t>
      </w:r>
      <w:r w:rsidRPr="00F64163">
        <w:rPr>
          <w:rFonts w:ascii="Times New Roman" w:hAnsi="Times New Roman"/>
        </w:rPr>
        <w:t xml:space="preserve">.  As referenced in Chapter 2 above, Reynolds’s Sam makes a similar observation to Pickwick: ‘it’s a thing I can’t a-bear to do, but I must, as the sassage-maker observed ven he cut up his fav’rite tom-cat’.  See </w:t>
      </w:r>
      <w:r w:rsidRPr="00F64163">
        <w:rPr>
          <w:rFonts w:asciiTheme="majorBidi" w:hAnsiTheme="majorBidi" w:cstheme="majorBidi"/>
          <w:i/>
          <w:iCs/>
        </w:rPr>
        <w:t>Pickwick Abroad</w:t>
      </w:r>
      <w:r w:rsidRPr="00F64163">
        <w:rPr>
          <w:rFonts w:asciiTheme="majorBidi" w:hAnsiTheme="majorBidi" w:cstheme="majorBidi"/>
        </w:rPr>
        <w:t>, p. 128.</w:t>
      </w:r>
    </w:p>
  </w:footnote>
  <w:footnote w:id="391">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Joseph Wilmot</w:t>
      </w:r>
      <w:r w:rsidRPr="00DF5511">
        <w:rPr>
          <w:rFonts w:ascii="Times New Roman" w:hAnsi="Times New Roman"/>
        </w:rPr>
        <w:t>, I, 316.</w:t>
      </w:r>
    </w:p>
  </w:footnote>
  <w:footnote w:id="392">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Joseph Wilmot</w:t>
      </w:r>
      <w:r w:rsidRPr="00DF5511">
        <w:rPr>
          <w:rFonts w:ascii="Times New Roman" w:hAnsi="Times New Roman"/>
        </w:rPr>
        <w:t>, I, 316.</w:t>
      </w:r>
    </w:p>
  </w:footnote>
  <w:footnote w:id="393">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Joseph Wilmot</w:t>
      </w:r>
      <w:r w:rsidRPr="00DF5511">
        <w:rPr>
          <w:rFonts w:ascii="Times New Roman" w:hAnsi="Times New Roman"/>
        </w:rPr>
        <w:t>, I, 319.</w:t>
      </w:r>
    </w:p>
  </w:footnote>
  <w:footnote w:id="394">
    <w:p w:rsidR="003515E3" w:rsidRPr="00DF5511" w:rsidRDefault="003515E3" w:rsidP="00C76704">
      <w:pPr>
        <w:pStyle w:val="FootnoteText"/>
        <w:spacing w:after="0" w:line="240" w:lineRule="auto"/>
        <w:rPr>
          <w:rFonts w:asciiTheme="majorBidi" w:hAnsiTheme="majorBidi" w:cstheme="majorBidi"/>
        </w:rPr>
      </w:pPr>
      <w:r w:rsidRPr="00DF5511">
        <w:rPr>
          <w:rStyle w:val="FootnoteReference"/>
          <w:rFonts w:asciiTheme="majorBidi" w:hAnsiTheme="majorBidi" w:cstheme="majorBidi"/>
        </w:rPr>
        <w:footnoteRef/>
      </w:r>
      <w:r w:rsidRPr="00DF5511">
        <w:rPr>
          <w:rFonts w:asciiTheme="majorBidi" w:hAnsiTheme="majorBidi" w:cstheme="majorBidi"/>
        </w:rPr>
        <w:t xml:space="preserve"> </w:t>
      </w:r>
      <w:r w:rsidRPr="00DF5511">
        <w:rPr>
          <w:rFonts w:asciiTheme="majorBidi" w:hAnsiTheme="majorBidi" w:cstheme="majorBidi"/>
          <w:i/>
          <w:iCs/>
        </w:rPr>
        <w:t>Pickwick Abroad</w:t>
      </w:r>
      <w:r w:rsidRPr="00DF5511">
        <w:rPr>
          <w:rFonts w:asciiTheme="majorBidi" w:hAnsiTheme="majorBidi" w:cstheme="majorBidi"/>
        </w:rPr>
        <w:t>, p. 455.</w:t>
      </w:r>
    </w:p>
  </w:footnote>
  <w:footnote w:id="395">
    <w:p w:rsidR="003515E3" w:rsidRPr="00DF5511" w:rsidRDefault="003515E3" w:rsidP="00C76704">
      <w:pPr>
        <w:pStyle w:val="FootnoteText"/>
        <w:spacing w:after="0" w:line="240" w:lineRule="auto"/>
        <w:rPr>
          <w:rFonts w:asciiTheme="majorBidi" w:hAnsiTheme="majorBidi" w:cstheme="majorBidi"/>
        </w:rPr>
      </w:pPr>
      <w:r w:rsidRPr="00DF5511">
        <w:rPr>
          <w:rStyle w:val="FootnoteReference"/>
          <w:rFonts w:asciiTheme="majorBidi" w:hAnsiTheme="majorBidi" w:cstheme="majorBidi"/>
        </w:rPr>
        <w:footnoteRef/>
      </w:r>
      <w:r w:rsidRPr="00DF5511">
        <w:rPr>
          <w:rFonts w:asciiTheme="majorBidi" w:hAnsiTheme="majorBidi" w:cstheme="majorBidi"/>
        </w:rPr>
        <w:t xml:space="preserve"> </w:t>
      </w:r>
      <w:r w:rsidRPr="00DF5511">
        <w:rPr>
          <w:rFonts w:asciiTheme="majorBidi" w:hAnsiTheme="majorBidi" w:cstheme="majorBidi"/>
          <w:i/>
          <w:iCs/>
        </w:rPr>
        <w:t>Pickwick Abroad</w:t>
      </w:r>
      <w:r w:rsidRPr="00DF5511">
        <w:rPr>
          <w:rFonts w:asciiTheme="majorBidi" w:hAnsiTheme="majorBidi" w:cstheme="majorBidi"/>
        </w:rPr>
        <w:t>, p. 455.</w:t>
      </w:r>
    </w:p>
  </w:footnote>
  <w:footnote w:id="396">
    <w:p w:rsidR="003515E3" w:rsidRPr="00DF5511" w:rsidRDefault="003515E3" w:rsidP="00C76704">
      <w:pPr>
        <w:pStyle w:val="FootnoteText"/>
        <w:spacing w:after="0" w:line="240" w:lineRule="auto"/>
        <w:rPr>
          <w:rFonts w:ascii="Times New Roman" w:hAnsi="Times New Roman"/>
        </w:rPr>
      </w:pPr>
      <w:r w:rsidRPr="00CD6967">
        <w:rPr>
          <w:rStyle w:val="FootnoteReference"/>
          <w:rFonts w:ascii="Times New Roman" w:hAnsi="Times New Roman"/>
        </w:rPr>
        <w:footnoteRef/>
      </w:r>
      <w:r w:rsidRPr="00CD6967">
        <w:rPr>
          <w:rFonts w:ascii="Times New Roman" w:hAnsi="Times New Roman"/>
        </w:rPr>
        <w:t xml:space="preserve"> ‘Charity and Humour’, p. 360.</w:t>
      </w:r>
    </w:p>
  </w:footnote>
  <w:footnote w:id="397">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The same rowdiness occurs in the </w:t>
      </w:r>
      <w:r w:rsidRPr="00DF5511">
        <w:rPr>
          <w:rFonts w:ascii="Times New Roman" w:hAnsi="Times New Roman"/>
          <w:i/>
        </w:rPr>
        <w:t>Mysteries of London</w:t>
      </w:r>
      <w:r w:rsidRPr="00DF5511">
        <w:rPr>
          <w:rFonts w:ascii="Times New Roman" w:hAnsi="Times New Roman"/>
        </w:rPr>
        <w:t xml:space="preserve"> at the opening night of Richard Markham’s play.  Despite having enjoyed the performance, on hearing he is a convicted forger, the less respectable elements of the audience decide to have a ‘lark’, hurling benches at the stage, more severe damage only prevented when police arrive to restore order. </w:t>
      </w:r>
      <w:r>
        <w:rPr>
          <w:rFonts w:ascii="Times New Roman" w:hAnsi="Times New Roman"/>
        </w:rPr>
        <w:t xml:space="preserve"> </w:t>
      </w:r>
      <w:r w:rsidRPr="00DF5511">
        <w:rPr>
          <w:rFonts w:ascii="Times New Roman" w:hAnsi="Times New Roman"/>
        </w:rPr>
        <w:t xml:space="preserve">See </w:t>
      </w:r>
      <w:r w:rsidRPr="00DF5511">
        <w:rPr>
          <w:rFonts w:ascii="Times New Roman" w:hAnsi="Times New Roman"/>
          <w:i/>
          <w:iCs/>
        </w:rPr>
        <w:t>Mysteries of London</w:t>
      </w:r>
      <w:r w:rsidRPr="00DF5511">
        <w:rPr>
          <w:rFonts w:ascii="Times New Roman" w:hAnsi="Times New Roman"/>
        </w:rPr>
        <w:t>, I, 276.</w:t>
      </w:r>
    </w:p>
  </w:footnote>
  <w:footnote w:id="398">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Ellen Bayuk Rosenman, ‘The Virtue of Illegitimacy: Inheritance and Belonging in </w:t>
      </w:r>
      <w:r w:rsidRPr="00DF5511">
        <w:rPr>
          <w:rFonts w:ascii="Times New Roman" w:hAnsi="Times New Roman"/>
          <w:i/>
          <w:iCs/>
        </w:rPr>
        <w:t>The Dark Woman</w:t>
      </w:r>
      <w:r w:rsidRPr="00DF5511">
        <w:rPr>
          <w:rFonts w:ascii="Times New Roman" w:hAnsi="Times New Roman"/>
        </w:rPr>
        <w:t xml:space="preserve"> and </w:t>
      </w:r>
      <w:r w:rsidRPr="00DF5511">
        <w:rPr>
          <w:rFonts w:ascii="Times New Roman" w:hAnsi="Times New Roman"/>
          <w:i/>
          <w:iCs/>
        </w:rPr>
        <w:t>Mary Price</w:t>
      </w:r>
      <w:r w:rsidRPr="00DF5511">
        <w:rPr>
          <w:rFonts w:ascii="Times New Roman" w:hAnsi="Times New Roman"/>
        </w:rPr>
        <w:t xml:space="preserve">’, in </w:t>
      </w:r>
      <w:r w:rsidRPr="00DF5511">
        <w:rPr>
          <w:rFonts w:ascii="Times New Roman" w:hAnsi="Times New Roman"/>
          <w:i/>
        </w:rPr>
        <w:t>G. W. M. Reynolds: Nineteenth-Century Fiction, Politics, and the Press</w:t>
      </w:r>
      <w:r w:rsidRPr="00DF5511">
        <w:rPr>
          <w:rFonts w:ascii="Times New Roman" w:hAnsi="Times New Roman"/>
        </w:rPr>
        <w:t>, ed. by Humpherys and James, pp. 213–26 (p. 213).</w:t>
      </w:r>
    </w:p>
  </w:footnote>
  <w:footnote w:id="399">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Michael H. Shirley, ‘G. W. M. Reynolds, </w:t>
      </w:r>
      <w:r w:rsidRPr="00DF5511">
        <w:rPr>
          <w:rFonts w:ascii="Times New Roman" w:hAnsi="Times New Roman"/>
          <w:i/>
        </w:rPr>
        <w:t>Reynolds’s Newspaper</w:t>
      </w:r>
      <w:r w:rsidRPr="00DF5511">
        <w:rPr>
          <w:rFonts w:ascii="Times New Roman" w:hAnsi="Times New Roman"/>
        </w:rPr>
        <w:t xml:space="preserve"> and Popular Politics’, in </w:t>
      </w:r>
      <w:r w:rsidRPr="00DF5511">
        <w:rPr>
          <w:rFonts w:ascii="Times New Roman" w:hAnsi="Times New Roman"/>
          <w:i/>
        </w:rPr>
        <w:t>G. W. M. Reynolds: Nineteenth-Century Fiction, Politics, and the Press</w:t>
      </w:r>
      <w:r w:rsidRPr="00DF5511">
        <w:rPr>
          <w:rFonts w:ascii="Times New Roman" w:hAnsi="Times New Roman"/>
        </w:rPr>
        <w:t>, ed. by Humpherys and James, pp. 75–89 (p. 86).</w:t>
      </w:r>
    </w:p>
  </w:footnote>
  <w:footnote w:id="400">
    <w:p w:rsidR="003515E3" w:rsidRPr="00DF5511" w:rsidRDefault="003515E3" w:rsidP="00C76704">
      <w:pPr>
        <w:tabs>
          <w:tab w:val="left" w:pos="7995"/>
        </w:tabs>
        <w:spacing w:after="0" w:line="240" w:lineRule="auto"/>
        <w:rPr>
          <w:rFonts w:ascii="Times New Roman" w:hAnsi="Times New Roman" w:cs="Times New Roman"/>
          <w:sz w:val="20"/>
          <w:szCs w:val="20"/>
        </w:rPr>
      </w:pPr>
      <w:r w:rsidRPr="00DF5511">
        <w:rPr>
          <w:rStyle w:val="FootnoteReference"/>
          <w:rFonts w:ascii="Times New Roman" w:hAnsi="Times New Roman" w:cs="Times New Roman"/>
          <w:sz w:val="20"/>
          <w:szCs w:val="20"/>
        </w:rPr>
        <w:footnoteRef/>
      </w:r>
      <w:r w:rsidRPr="00DF5511">
        <w:rPr>
          <w:rFonts w:ascii="Times New Roman" w:hAnsi="Times New Roman" w:cs="Times New Roman"/>
          <w:sz w:val="20"/>
          <w:szCs w:val="20"/>
        </w:rPr>
        <w:t xml:space="preserve"> </w:t>
      </w:r>
      <w:r w:rsidRPr="00DF5511">
        <w:rPr>
          <w:rFonts w:ascii="Times New Roman" w:hAnsi="Times New Roman" w:cs="Times New Roman"/>
          <w:bCs/>
          <w:i/>
          <w:iCs/>
          <w:sz w:val="20"/>
          <w:szCs w:val="20"/>
        </w:rPr>
        <w:t>Steam Packet</w:t>
      </w:r>
      <w:r w:rsidRPr="00DF5511">
        <w:rPr>
          <w:rFonts w:ascii="Times New Roman" w:hAnsi="Times New Roman" w:cs="Times New Roman"/>
          <w:bCs/>
          <w:sz w:val="20"/>
          <w:szCs w:val="20"/>
        </w:rPr>
        <w:t>, p. 176.</w:t>
      </w:r>
    </w:p>
  </w:footnote>
  <w:footnote w:id="401">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John Wilson Ross, ‘The Influence of Cheap Literature’, </w:t>
      </w:r>
      <w:r w:rsidRPr="00DF5511">
        <w:rPr>
          <w:rFonts w:ascii="Times New Roman" w:hAnsi="Times New Roman"/>
          <w:i/>
          <w:iCs/>
        </w:rPr>
        <w:t>London Journal</w:t>
      </w:r>
      <w:r w:rsidRPr="00DF5511">
        <w:rPr>
          <w:rFonts w:ascii="Times New Roman" w:hAnsi="Times New Roman"/>
        </w:rPr>
        <w:t>, 19 April 1845, p. 115.  The article appeared while Reynolds was editor.</w:t>
      </w:r>
    </w:p>
  </w:footnote>
  <w:footnote w:id="402">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II, 71.</w:t>
      </w:r>
    </w:p>
  </w:footnote>
  <w:footnote w:id="403">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261.</w:t>
      </w:r>
    </w:p>
  </w:footnote>
  <w:footnote w:id="404">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259.</w:t>
      </w:r>
    </w:p>
  </w:footnote>
  <w:footnote w:id="405">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260.</w:t>
      </w:r>
    </w:p>
  </w:footnote>
  <w:footnote w:id="406">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261.</w:t>
      </w:r>
    </w:p>
  </w:footnote>
  <w:footnote w:id="407">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As an engraver, Pocock was vital in the production of their forged banknotes.</w:t>
      </w:r>
    </w:p>
  </w:footnote>
  <w:footnote w:id="408">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 121.</w:t>
      </w:r>
    </w:p>
  </w:footnote>
  <w:footnote w:id="409">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 119.</w:t>
      </w:r>
    </w:p>
  </w:footnote>
  <w:footnote w:id="410">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 119.</w:t>
      </w:r>
    </w:p>
  </w:footnote>
  <w:footnote w:id="411">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 119.</w:t>
      </w:r>
    </w:p>
  </w:footnote>
  <w:footnote w:id="412">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 121.</w:t>
      </w:r>
    </w:p>
  </w:footnote>
  <w:footnote w:id="413">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120.</w:t>
      </w:r>
    </w:p>
  </w:footnote>
  <w:footnote w:id="414">
    <w:p w:rsidR="003515E3" w:rsidRPr="00DF5511" w:rsidRDefault="003515E3" w:rsidP="00C76704">
      <w:pPr>
        <w:spacing w:after="0" w:line="240" w:lineRule="auto"/>
        <w:rPr>
          <w:sz w:val="20"/>
          <w:szCs w:val="20"/>
        </w:rPr>
      </w:pPr>
      <w:r w:rsidRPr="00DF5511">
        <w:rPr>
          <w:rStyle w:val="FootnoteReference"/>
          <w:rFonts w:ascii="Times New Roman" w:hAnsi="Times New Roman"/>
          <w:sz w:val="20"/>
          <w:szCs w:val="20"/>
        </w:rPr>
        <w:footnoteRef/>
      </w:r>
      <w:r w:rsidRPr="00DF5511">
        <w:rPr>
          <w:rFonts w:ascii="Times New Roman" w:hAnsi="Times New Roman" w:cs="Times New Roman"/>
          <w:sz w:val="20"/>
          <w:szCs w:val="20"/>
        </w:rPr>
        <w:t xml:space="preserve"> ‘Some Thoughts Concerning Education’, p. 108.</w:t>
      </w:r>
    </w:p>
  </w:footnote>
  <w:footnote w:id="415">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120.</w:t>
      </w:r>
    </w:p>
  </w:footnote>
  <w:footnote w:id="416">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121.</w:t>
      </w:r>
    </w:p>
  </w:footnote>
  <w:footnote w:id="417">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122.</w:t>
      </w:r>
    </w:p>
  </w:footnote>
  <w:footnote w:id="418">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122.</w:t>
      </w:r>
    </w:p>
  </w:footnote>
  <w:footnote w:id="419">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123.</w:t>
      </w:r>
    </w:p>
  </w:footnote>
  <w:footnote w:id="420">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xml:space="preserve">, I, 122.  Later in the scene, Octavius Lapwing’s valet attests how he also is prepared to go along with his master’s villainy.  See </w:t>
      </w:r>
      <w:r w:rsidRPr="00DF5511">
        <w:rPr>
          <w:rFonts w:ascii="Times New Roman" w:hAnsi="Times New Roman"/>
          <w:i/>
          <w:iCs/>
        </w:rPr>
        <w:t>Mary Price</w:t>
      </w:r>
      <w:r w:rsidRPr="00DF5511">
        <w:rPr>
          <w:rFonts w:ascii="Times New Roman" w:hAnsi="Times New Roman"/>
        </w:rPr>
        <w:t>, I, 122–23.</w:t>
      </w:r>
    </w:p>
  </w:footnote>
  <w:footnote w:id="421">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Frank E. Huggett, </w:t>
      </w:r>
      <w:r w:rsidRPr="00DF5511">
        <w:rPr>
          <w:rFonts w:ascii="Times New Roman" w:hAnsi="Times New Roman"/>
          <w:i/>
          <w:iCs/>
        </w:rPr>
        <w:t>Life Below Stairs: Domestic Servants in England from Victorian Times</w:t>
      </w:r>
      <w:r w:rsidRPr="00DF5511">
        <w:rPr>
          <w:rFonts w:ascii="Times New Roman" w:hAnsi="Times New Roman"/>
          <w:iCs/>
        </w:rPr>
        <w:t xml:space="preserve"> </w:t>
      </w:r>
      <w:r w:rsidRPr="00DF5511">
        <w:rPr>
          <w:rFonts w:ascii="Times New Roman" w:hAnsi="Times New Roman"/>
        </w:rPr>
        <w:t xml:space="preserve">(London: Murray, 1977), p. 46.  For Thackeray’s use of the term </w:t>
      </w:r>
      <w:r w:rsidRPr="00DF5511">
        <w:rPr>
          <w:rFonts w:ascii="Times New Roman" w:hAnsi="Times New Roman"/>
          <w:bCs/>
        </w:rPr>
        <w:t xml:space="preserve">‘the awful kitchen inquisition’, see </w:t>
      </w:r>
      <w:r w:rsidRPr="00DF5511">
        <w:rPr>
          <w:rFonts w:asciiTheme="majorBidi" w:hAnsiTheme="majorBidi" w:cstheme="majorBidi"/>
        </w:rPr>
        <w:t xml:space="preserve">William Makepeace Thackeray, </w:t>
      </w:r>
      <w:r w:rsidRPr="00DF5511">
        <w:rPr>
          <w:rFonts w:ascii="Times New Roman" w:hAnsi="Times New Roman"/>
          <w:bCs/>
          <w:i/>
        </w:rPr>
        <w:t>Vanity Fair: A Novel Without a Hero</w:t>
      </w:r>
      <w:r w:rsidRPr="00DF5511">
        <w:rPr>
          <w:rFonts w:ascii="Times New Roman" w:hAnsi="Times New Roman"/>
          <w:bCs/>
        </w:rPr>
        <w:t xml:space="preserve"> (Oxford: Oxford University Press, 1983) p. 561.</w:t>
      </w:r>
    </w:p>
  </w:footnote>
  <w:footnote w:id="422">
    <w:p w:rsidR="003515E3" w:rsidRPr="00FF4DA5" w:rsidRDefault="003515E3" w:rsidP="00C76704">
      <w:pPr>
        <w:pStyle w:val="FootnoteText"/>
        <w:spacing w:after="0" w:line="240" w:lineRule="auto"/>
        <w:rPr>
          <w:rFonts w:ascii="Times New Roman" w:hAnsi="Times New Roman"/>
        </w:rPr>
      </w:pPr>
      <w:r w:rsidRPr="00FF4DA5">
        <w:rPr>
          <w:rStyle w:val="FootnoteReference"/>
          <w:rFonts w:ascii="Times New Roman" w:hAnsi="Times New Roman"/>
        </w:rPr>
        <w:footnoteRef/>
      </w:r>
      <w:r w:rsidRPr="00FF4DA5">
        <w:rPr>
          <w:rFonts w:ascii="Times New Roman" w:hAnsi="Times New Roman"/>
        </w:rPr>
        <w:t xml:space="preserve"> </w:t>
      </w:r>
      <w:r w:rsidRPr="00FF4DA5">
        <w:rPr>
          <w:rFonts w:asciiTheme="majorBidi" w:hAnsiTheme="majorBidi" w:cstheme="majorBidi"/>
          <w:bCs/>
          <w:i/>
        </w:rPr>
        <w:t>Alfred</w:t>
      </w:r>
      <w:r w:rsidRPr="00FF4DA5">
        <w:rPr>
          <w:rFonts w:asciiTheme="majorBidi" w:hAnsiTheme="majorBidi" w:cstheme="majorBidi"/>
          <w:bCs/>
        </w:rPr>
        <w:t>, p. 15.</w:t>
      </w:r>
    </w:p>
  </w:footnote>
  <w:footnote w:id="423">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31.</w:t>
      </w:r>
    </w:p>
  </w:footnote>
  <w:footnote w:id="424">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31.</w:t>
      </w:r>
    </w:p>
  </w:footnote>
  <w:footnote w:id="425">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III, 315.</w:t>
      </w:r>
    </w:p>
  </w:footnote>
  <w:footnote w:id="426">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III, 316.</w:t>
      </w:r>
    </w:p>
  </w:footnote>
  <w:footnote w:id="427">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III, 316.</w:t>
      </w:r>
    </w:p>
  </w:footnote>
  <w:footnote w:id="428">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II, 302.</w:t>
      </w:r>
    </w:p>
  </w:footnote>
  <w:footnote w:id="429">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III, 387.</w:t>
      </w:r>
    </w:p>
  </w:footnote>
  <w:footnote w:id="430">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heme="majorBidi" w:hAnsiTheme="majorBidi" w:cstheme="majorBidi"/>
        </w:rPr>
        <w:t xml:space="preserve">Mrs Pitkin, the nurse at Charter </w:t>
      </w:r>
      <w:r w:rsidRPr="00CD6967">
        <w:rPr>
          <w:rFonts w:asciiTheme="majorBidi" w:hAnsiTheme="majorBidi" w:cstheme="majorBidi"/>
        </w:rPr>
        <w:t>House, a charitable institution for men over fifty, is similarly insolent, treating inmates with contempt, as when she says she will prepare</w:t>
      </w:r>
      <w:r w:rsidRPr="00DF5511">
        <w:rPr>
          <w:rFonts w:asciiTheme="majorBidi" w:hAnsiTheme="majorBidi" w:cstheme="majorBidi"/>
        </w:rPr>
        <w:t xml:space="preserve"> Mr Scales’s already late dinner only to then visit the public house with a friend.  See </w:t>
      </w:r>
      <w:r w:rsidRPr="00DF5511">
        <w:rPr>
          <w:rFonts w:ascii="Times New Roman" w:hAnsi="Times New Roman"/>
          <w:i/>
        </w:rPr>
        <w:t>Mysteries of London</w:t>
      </w:r>
      <w:r w:rsidRPr="00DF5511">
        <w:rPr>
          <w:rFonts w:ascii="Times New Roman" w:hAnsi="Times New Roman"/>
        </w:rPr>
        <w:t>, IV, 164–68.</w:t>
      </w:r>
    </w:p>
  </w:footnote>
  <w:footnote w:id="431">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III, 389.</w:t>
      </w:r>
    </w:p>
  </w:footnote>
  <w:footnote w:id="432">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II, 405.</w:t>
      </w:r>
    </w:p>
  </w:footnote>
  <w:footnote w:id="433">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II, 406.</w:t>
      </w:r>
    </w:p>
  </w:footnote>
  <w:footnote w:id="434">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II, 407.</w:t>
      </w:r>
    </w:p>
  </w:footnote>
  <w:footnote w:id="435">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heme="majorBidi" w:hAnsiTheme="majorBidi" w:cstheme="majorBidi"/>
        </w:rPr>
        <w:t xml:space="preserve">Thomas Beames, </w:t>
      </w:r>
      <w:r w:rsidRPr="00DF5511">
        <w:rPr>
          <w:rFonts w:asciiTheme="majorBidi" w:hAnsiTheme="majorBidi" w:cstheme="majorBidi"/>
          <w:i/>
          <w:iCs/>
        </w:rPr>
        <w:t>The Rookeries of London</w:t>
      </w:r>
      <w:r w:rsidRPr="00DF5511">
        <w:rPr>
          <w:rFonts w:asciiTheme="majorBidi" w:hAnsiTheme="majorBidi" w:cstheme="majorBidi"/>
        </w:rPr>
        <w:t>, 2</w:t>
      </w:r>
      <w:r w:rsidRPr="00DF5511">
        <w:rPr>
          <w:rFonts w:asciiTheme="majorBidi" w:hAnsiTheme="majorBidi" w:cstheme="majorBidi"/>
          <w:vertAlign w:val="superscript"/>
        </w:rPr>
        <w:t>nd</w:t>
      </w:r>
      <w:r w:rsidRPr="00DF5511">
        <w:rPr>
          <w:rFonts w:asciiTheme="majorBidi" w:hAnsiTheme="majorBidi" w:cstheme="majorBidi"/>
        </w:rPr>
        <w:t xml:space="preserve"> edn (London: Thomas Bosworth, 1860; repr. </w:t>
      </w:r>
      <w:r w:rsidRPr="005B0EFB">
        <w:rPr>
          <w:rFonts w:asciiTheme="majorBidi" w:hAnsiTheme="majorBidi" w:cstheme="majorBidi"/>
        </w:rPr>
        <w:t>London: Cass,</w:t>
      </w:r>
      <w:r w:rsidRPr="00DF5511">
        <w:rPr>
          <w:rFonts w:asciiTheme="majorBidi" w:hAnsiTheme="majorBidi" w:cstheme="majorBidi"/>
        </w:rPr>
        <w:t xml:space="preserve"> 1970), p. 3</w:t>
      </w:r>
      <w:r w:rsidRPr="00DF5511">
        <w:rPr>
          <w:rFonts w:ascii="Times New Roman" w:hAnsi="Times New Roman"/>
        </w:rPr>
        <w:t>.</w:t>
      </w:r>
    </w:p>
  </w:footnote>
  <w:footnote w:id="436">
    <w:p w:rsidR="003515E3" w:rsidRPr="00DF5511" w:rsidRDefault="003515E3" w:rsidP="00C76704">
      <w:pPr>
        <w:pStyle w:val="FootnoteText"/>
        <w:spacing w:after="0" w:line="240" w:lineRule="auto"/>
        <w:rPr>
          <w:rFonts w:ascii="Times New Roman" w:hAnsi="Times New Roman"/>
        </w:rPr>
      </w:pPr>
      <w:r w:rsidRPr="00CD6967">
        <w:rPr>
          <w:rStyle w:val="FootnoteReference"/>
          <w:rFonts w:ascii="Times New Roman" w:hAnsi="Times New Roman"/>
        </w:rPr>
        <w:footnoteRef/>
      </w:r>
      <w:r w:rsidRPr="00CD6967">
        <w:rPr>
          <w:rFonts w:ascii="Times New Roman" w:hAnsi="Times New Roman"/>
        </w:rPr>
        <w:t xml:space="preserve"> See Hartcup, pp. 41–64.</w:t>
      </w:r>
    </w:p>
  </w:footnote>
  <w:footnote w:id="437">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Anonymous, ‘Notices to Correspondents’, </w:t>
      </w:r>
      <w:r w:rsidRPr="00DF5511">
        <w:rPr>
          <w:rFonts w:ascii="Times New Roman" w:hAnsi="Times New Roman"/>
          <w:i/>
        </w:rPr>
        <w:t>Reynolds’s Miscellany</w:t>
      </w:r>
      <w:r w:rsidRPr="00DF5511">
        <w:rPr>
          <w:rFonts w:ascii="Times New Roman" w:hAnsi="Times New Roman"/>
        </w:rPr>
        <w:t>, 20 July, 1850, p. 416.</w:t>
      </w:r>
    </w:p>
  </w:footnote>
  <w:footnote w:id="438">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M</w:t>
      </w:r>
      <w:r w:rsidRPr="00DF5511">
        <w:rPr>
          <w:rFonts w:ascii="Times New Roman" w:hAnsi="Times New Roman"/>
          <w:i/>
        </w:rPr>
        <w:t>ysteries of London</w:t>
      </w:r>
      <w:r w:rsidRPr="00DF5511">
        <w:rPr>
          <w:rFonts w:ascii="Times New Roman" w:hAnsi="Times New Roman"/>
        </w:rPr>
        <w:t>, III, 312.</w:t>
      </w:r>
    </w:p>
  </w:footnote>
  <w:footnote w:id="439">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CD6967">
        <w:rPr>
          <w:rFonts w:asciiTheme="majorBidi" w:hAnsiTheme="majorBidi" w:cstheme="majorBidi"/>
        </w:rPr>
        <w:t>Whittingham and Suggett, the</w:t>
      </w:r>
      <w:r w:rsidRPr="00DF5511">
        <w:rPr>
          <w:rFonts w:asciiTheme="majorBidi" w:hAnsiTheme="majorBidi" w:cstheme="majorBidi"/>
        </w:rPr>
        <w:t xml:space="preserve"> ‘</w:t>
      </w:r>
      <w:r w:rsidRPr="00DF5511">
        <w:rPr>
          <w:rFonts w:asciiTheme="majorBidi" w:hAnsiTheme="majorBidi" w:cstheme="majorBidi"/>
          <w:i/>
          <w:iCs/>
        </w:rPr>
        <w:t>valet de chambre</w:t>
      </w:r>
      <w:r w:rsidRPr="00DF5511">
        <w:rPr>
          <w:rFonts w:asciiTheme="majorBidi" w:hAnsiTheme="majorBidi" w:cstheme="majorBidi"/>
        </w:rPr>
        <w:t xml:space="preserve"> about the person of the Honourable Arthur Chichester’ meet at the </w:t>
      </w:r>
      <w:r w:rsidRPr="00DF5511">
        <w:rPr>
          <w:rFonts w:asciiTheme="majorBidi" w:hAnsiTheme="majorBidi" w:cstheme="majorBidi"/>
          <w:iCs/>
        </w:rPr>
        <w:t>Servants’ Arms</w:t>
      </w:r>
      <w:r w:rsidRPr="00DF5511">
        <w:rPr>
          <w:rFonts w:asciiTheme="majorBidi" w:hAnsiTheme="majorBidi" w:cstheme="majorBidi"/>
        </w:rPr>
        <w:t xml:space="preserve"> public house to dine with acquaintances and all imitate the manner of their masters and discuss their rights in a very grade-conscious manner.  See</w:t>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 27.</w:t>
      </w:r>
    </w:p>
  </w:footnote>
  <w:footnote w:id="440">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bCs/>
        </w:rPr>
        <w:t xml:space="preserve">Ralf Dahrendorf, </w:t>
      </w:r>
      <w:r w:rsidRPr="00DF5511">
        <w:rPr>
          <w:rFonts w:ascii="Times New Roman" w:hAnsi="Times New Roman"/>
          <w:bCs/>
          <w:i/>
        </w:rPr>
        <w:t>Conflict after Class: New Perspectives on the Theory of Social and Political Conflict</w:t>
      </w:r>
      <w:r w:rsidRPr="00DF5511">
        <w:rPr>
          <w:rFonts w:ascii="Times New Roman" w:hAnsi="Times New Roman"/>
          <w:bCs/>
        </w:rPr>
        <w:t xml:space="preserve"> (London: Longmans, Green, 1967), p. 13.  Dahrendorf directed these comments primarily to the period after Reynolds was writing, when he felt the extreme polarisation between industrial worker and factory owner that existed during the mid-nineteenth century had diminished. </w:t>
      </w:r>
    </w:p>
  </w:footnote>
  <w:footnote w:id="441">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63.</w:t>
      </w:r>
    </w:p>
  </w:footnote>
  <w:footnote w:id="442">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II, 116.</w:t>
      </w:r>
    </w:p>
  </w:footnote>
  <w:footnote w:id="443">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II, 116.</w:t>
      </w:r>
    </w:p>
  </w:footnote>
  <w:footnote w:id="444">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II, 116.</w:t>
      </w:r>
    </w:p>
  </w:footnote>
  <w:footnote w:id="445">
    <w:p w:rsidR="003515E3" w:rsidRPr="00DF5511" w:rsidRDefault="003515E3" w:rsidP="00C76704">
      <w:pPr>
        <w:spacing w:after="0" w:line="240" w:lineRule="auto"/>
        <w:rPr>
          <w:rFonts w:asciiTheme="majorBidi" w:hAnsiTheme="majorBidi" w:cstheme="majorBidi"/>
          <w:sz w:val="20"/>
          <w:szCs w:val="20"/>
        </w:rPr>
      </w:pPr>
      <w:r w:rsidRPr="00DF5511">
        <w:rPr>
          <w:rStyle w:val="FootnoteReference"/>
          <w:rFonts w:asciiTheme="majorBidi" w:hAnsiTheme="majorBidi" w:cstheme="majorBidi"/>
          <w:sz w:val="20"/>
          <w:szCs w:val="20"/>
        </w:rPr>
        <w:footnoteRef/>
      </w:r>
      <w:r w:rsidRPr="00DF5511">
        <w:rPr>
          <w:rFonts w:asciiTheme="majorBidi" w:hAnsiTheme="majorBidi" w:cstheme="majorBidi"/>
          <w:sz w:val="20"/>
          <w:szCs w:val="20"/>
        </w:rPr>
        <w:t xml:space="preserve"> Reynolds suggests an example of how this sense of rank operates in the shop environment with the treatment of the seamstress Virginia Mordaunt when she encounters the forewoman, Miss Dulcimer, a ‘petticoat-authority’ </w:t>
      </w:r>
      <w:r w:rsidRPr="008406DB">
        <w:rPr>
          <w:rFonts w:asciiTheme="majorBidi" w:hAnsiTheme="majorBidi" w:cstheme="majorBidi"/>
          <w:sz w:val="20"/>
          <w:szCs w:val="20"/>
        </w:rPr>
        <w:t>in Madame du Plessey’s millinery establishment</w:t>
      </w:r>
      <w:r w:rsidRPr="00DF5511">
        <w:rPr>
          <w:rFonts w:asciiTheme="majorBidi" w:hAnsiTheme="majorBidi" w:cstheme="majorBidi"/>
          <w:sz w:val="20"/>
          <w:szCs w:val="20"/>
        </w:rPr>
        <w:t xml:space="preserve">.  See </w:t>
      </w:r>
      <w:r w:rsidRPr="00DF5511">
        <w:rPr>
          <w:rFonts w:asciiTheme="majorBidi" w:hAnsiTheme="majorBidi" w:cstheme="majorBidi"/>
          <w:i/>
          <w:iCs/>
          <w:sz w:val="20"/>
          <w:szCs w:val="20"/>
        </w:rPr>
        <w:t>Seamstress</w:t>
      </w:r>
      <w:r w:rsidRPr="00DF5511">
        <w:rPr>
          <w:rFonts w:asciiTheme="majorBidi" w:hAnsiTheme="majorBidi" w:cstheme="majorBidi"/>
          <w:sz w:val="20"/>
          <w:szCs w:val="20"/>
        </w:rPr>
        <w:t>, p. 9.</w:t>
      </w:r>
    </w:p>
  </w:footnote>
  <w:footnote w:id="446">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II, 120.</w:t>
      </w:r>
    </w:p>
  </w:footnote>
  <w:footnote w:id="447">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heme="majorBidi" w:hAnsiTheme="majorBidi" w:cstheme="majorBidi"/>
        </w:rPr>
        <w:t>Jessica is only one of many portrayed as covering their spitefulness behind a mask of moral concern.  Martha Slingsby’s housekeeper,</w:t>
      </w:r>
      <w:r w:rsidRPr="00DF5511">
        <w:rPr>
          <w:rFonts w:ascii="Times New Roman" w:hAnsi="Times New Roman"/>
        </w:rPr>
        <w:t xml:space="preserve"> Magdalen, </w:t>
      </w:r>
      <w:r w:rsidRPr="00DF5511">
        <w:rPr>
          <w:rFonts w:asciiTheme="majorBidi" w:hAnsiTheme="majorBidi" w:cstheme="majorBidi"/>
        </w:rPr>
        <w:t xml:space="preserve">reveals the scullion girl is pregnant resulting in her dismissal, although penniless and without family; while </w:t>
      </w:r>
      <w:r w:rsidRPr="00DF5511">
        <w:rPr>
          <w:rFonts w:ascii="Times New Roman" w:hAnsi="Times New Roman"/>
        </w:rPr>
        <w:t xml:space="preserve">John Jeffreys and a servant maid are betrayed for their relationship by the housekeeper in Brook Street, Holborn leading to their dismissal.  See </w:t>
      </w:r>
      <w:r w:rsidRPr="00DF5511">
        <w:rPr>
          <w:rFonts w:ascii="Times New Roman" w:hAnsi="Times New Roman"/>
          <w:i/>
        </w:rPr>
        <w:t>Mysteries of London</w:t>
      </w:r>
      <w:r w:rsidRPr="00DF5511">
        <w:rPr>
          <w:rFonts w:ascii="Times New Roman" w:hAnsi="Times New Roman"/>
        </w:rPr>
        <w:t>, III, 98, 305.</w:t>
      </w:r>
    </w:p>
  </w:footnote>
  <w:footnote w:id="448">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39.</w:t>
      </w:r>
    </w:p>
  </w:footnote>
  <w:footnote w:id="449">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Days of Hogarth</w:t>
      </w:r>
      <w:r w:rsidRPr="00DF5511">
        <w:rPr>
          <w:rFonts w:ascii="Times New Roman" w:hAnsi="Times New Roman"/>
        </w:rPr>
        <w:t>, pp. 12–13.</w:t>
      </w:r>
    </w:p>
  </w:footnote>
  <w:footnote w:id="450">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Days of Hogarth</w:t>
      </w:r>
      <w:r w:rsidRPr="00DF5511">
        <w:rPr>
          <w:rFonts w:ascii="Times New Roman" w:hAnsi="Times New Roman"/>
        </w:rPr>
        <w:t>, p. 13.</w:t>
      </w:r>
    </w:p>
  </w:footnote>
  <w:footnote w:id="451">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Days of Hogarth</w:t>
      </w:r>
      <w:r w:rsidRPr="00DF5511">
        <w:rPr>
          <w:rFonts w:ascii="Times New Roman" w:hAnsi="Times New Roman"/>
        </w:rPr>
        <w:t>, p. 13.</w:t>
      </w:r>
    </w:p>
  </w:footnote>
  <w:footnote w:id="452">
    <w:p w:rsidR="003515E3" w:rsidRPr="00DF5511" w:rsidRDefault="003515E3" w:rsidP="00C76704">
      <w:pPr>
        <w:pStyle w:val="FootnoteText"/>
        <w:spacing w:after="0" w:line="240" w:lineRule="auto"/>
        <w:rPr>
          <w:rFonts w:ascii="Times New Roman" w:hAnsi="Times New Roman"/>
        </w:rPr>
      </w:pPr>
      <w:r w:rsidRPr="009C1E3B">
        <w:rPr>
          <w:rStyle w:val="FootnoteReference"/>
          <w:rFonts w:ascii="Times New Roman" w:hAnsi="Times New Roman"/>
        </w:rPr>
        <w:footnoteRef/>
      </w:r>
      <w:r w:rsidRPr="009C1E3B">
        <w:rPr>
          <w:rFonts w:ascii="Times New Roman" w:hAnsi="Times New Roman"/>
        </w:rPr>
        <w:t xml:space="preserve"> Reynolds comments: ‘The case was the more lamentable, inasmuch as Mr. West had received this youth into his establishment, as an apprentice, without the usual premium.’  See </w:t>
      </w:r>
      <w:r w:rsidRPr="009C1E3B">
        <w:rPr>
          <w:rFonts w:ascii="Times New Roman" w:hAnsi="Times New Roman"/>
          <w:i/>
        </w:rPr>
        <w:t>Days of Hogarth</w:t>
      </w:r>
      <w:r w:rsidRPr="009C1E3B">
        <w:rPr>
          <w:rFonts w:ascii="Times New Roman" w:hAnsi="Times New Roman"/>
        </w:rPr>
        <w:t>, p. 13.</w:t>
      </w:r>
    </w:p>
  </w:footnote>
  <w:footnote w:id="453">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II, 66.</w:t>
      </w:r>
    </w:p>
  </w:footnote>
  <w:footnote w:id="454">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II, 64.</w:t>
      </w:r>
    </w:p>
  </w:footnote>
  <w:footnote w:id="455">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II, 65.</w:t>
      </w:r>
    </w:p>
  </w:footnote>
  <w:footnote w:id="456">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III, 63.</w:t>
      </w:r>
    </w:p>
  </w:footnote>
  <w:footnote w:id="457">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II, 142.</w:t>
      </w:r>
    </w:p>
  </w:footnote>
  <w:footnote w:id="458">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 xml:space="preserve">Condition of the Working-Class in England, </w:t>
      </w:r>
      <w:r w:rsidRPr="00DF5511">
        <w:rPr>
          <w:rFonts w:ascii="Times New Roman" w:hAnsi="Times New Roman"/>
        </w:rPr>
        <w:t>p. 221.</w:t>
      </w:r>
    </w:p>
  </w:footnote>
  <w:footnote w:id="459">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 xml:space="preserve">Condition of the Working-Class in England, </w:t>
      </w:r>
      <w:r w:rsidRPr="00DF5511">
        <w:rPr>
          <w:rFonts w:ascii="Times New Roman" w:hAnsi="Times New Roman"/>
        </w:rPr>
        <w:t>pp. 221–22.</w:t>
      </w:r>
    </w:p>
  </w:footnote>
  <w:footnote w:id="460">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65.</w:t>
      </w:r>
    </w:p>
  </w:footnote>
  <w:footnote w:id="461">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65.</w:t>
      </w:r>
    </w:p>
  </w:footnote>
  <w:footnote w:id="462">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rPr>
        <w:t>Mysteries of London</w:t>
      </w:r>
      <w:r w:rsidRPr="00DF5511">
        <w:rPr>
          <w:rFonts w:ascii="Times New Roman" w:hAnsi="Times New Roman"/>
        </w:rPr>
        <w:t>, I, 323–24.</w:t>
      </w:r>
    </w:p>
  </w:footnote>
  <w:footnote w:id="463">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With regard to large households, Reynolds reflected a view held by contemporaries.  Henry Mayhew wrote, ‘It occasionally happens servants are in league with thieves, and give them information as to the hour when to come, and the easiest way to break in […] Sometimes servants basely admit the thieves into the premises to steal, and give them impressions of the keys’.  See Henry Mayhew, </w:t>
      </w:r>
      <w:r w:rsidRPr="00DF5511">
        <w:rPr>
          <w:rFonts w:ascii="Times New Roman" w:hAnsi="Times New Roman"/>
          <w:i/>
        </w:rPr>
        <w:t>London Labour and the London Poor</w:t>
      </w:r>
      <w:r w:rsidRPr="00DF5511">
        <w:rPr>
          <w:rFonts w:ascii="Times New Roman" w:hAnsi="Times New Roman"/>
        </w:rPr>
        <w:t>, IV, 335.</w:t>
      </w:r>
    </w:p>
  </w:footnote>
  <w:footnote w:id="464">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Soldier’s Wife</w:t>
      </w:r>
      <w:r w:rsidRPr="00DF5511">
        <w:rPr>
          <w:rFonts w:ascii="Times New Roman" w:hAnsi="Times New Roman"/>
        </w:rPr>
        <w:t>, p. 85.</w:t>
      </w:r>
    </w:p>
  </w:footnote>
  <w:footnote w:id="465">
    <w:p w:rsidR="003515E3" w:rsidRPr="00DF5511" w:rsidRDefault="003515E3" w:rsidP="00C76704">
      <w:pPr>
        <w:pStyle w:val="FootnoteText"/>
        <w:spacing w:after="0" w:line="240" w:lineRule="auto"/>
        <w:rPr>
          <w:rFonts w:ascii="Times New Roman" w:hAnsi="Times New Roman"/>
        </w:rPr>
      </w:pPr>
      <w:r w:rsidRPr="00595B7B">
        <w:rPr>
          <w:rStyle w:val="FootnoteReference"/>
          <w:rFonts w:ascii="Times New Roman" w:hAnsi="Times New Roman"/>
        </w:rPr>
        <w:footnoteRef/>
      </w:r>
      <w:r w:rsidRPr="00595B7B">
        <w:rPr>
          <w:rFonts w:ascii="Times New Roman" w:hAnsi="Times New Roman"/>
        </w:rPr>
        <w:t xml:space="preserve"> In a chapter entitled ‘The Black Chamber’, Reynolds expressed dismay at the opening of private mail by government officials in the General Post Office, St Martin’s-le-Grand, presenting it as a dangerous</w:t>
      </w:r>
      <w:r w:rsidRPr="00DF5511">
        <w:rPr>
          <w:rFonts w:ascii="Times New Roman" w:hAnsi="Times New Roman"/>
        </w:rPr>
        <w:t xml:space="preserve"> encroachment upon personal liberty by the state.  See </w:t>
      </w:r>
      <w:r w:rsidRPr="00DF5511">
        <w:rPr>
          <w:rFonts w:ascii="Times New Roman" w:hAnsi="Times New Roman"/>
          <w:i/>
          <w:iCs/>
        </w:rPr>
        <w:t>Mysteries of London</w:t>
      </w:r>
      <w:r w:rsidRPr="00DF5511">
        <w:rPr>
          <w:rFonts w:ascii="Times New Roman" w:hAnsi="Times New Roman"/>
        </w:rPr>
        <w:t>, I, 75–78.</w:t>
      </w:r>
    </w:p>
  </w:footnote>
  <w:footnote w:id="466">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Soldier’s Wife</w:t>
      </w:r>
      <w:r w:rsidRPr="00DF5511">
        <w:rPr>
          <w:rFonts w:ascii="Times New Roman" w:hAnsi="Times New Roman"/>
        </w:rPr>
        <w:t>, p. 134.</w:t>
      </w:r>
    </w:p>
  </w:footnote>
  <w:footnote w:id="467">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Soldier’s Wife</w:t>
      </w:r>
      <w:r w:rsidRPr="00DF5511">
        <w:rPr>
          <w:rFonts w:ascii="Times New Roman" w:hAnsi="Times New Roman"/>
        </w:rPr>
        <w:t>, p. 143.</w:t>
      </w:r>
    </w:p>
  </w:footnote>
  <w:footnote w:id="468">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Soldier’s Wife</w:t>
      </w:r>
      <w:r w:rsidRPr="00DF5511">
        <w:rPr>
          <w:rFonts w:ascii="Times New Roman" w:hAnsi="Times New Roman"/>
        </w:rPr>
        <w:t>, p. 144.</w:t>
      </w:r>
    </w:p>
  </w:footnote>
  <w:footnote w:id="469">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Soldier’s Wife</w:t>
      </w:r>
      <w:r w:rsidRPr="00DF5511">
        <w:rPr>
          <w:rFonts w:ascii="Times New Roman" w:hAnsi="Times New Roman"/>
        </w:rPr>
        <w:t>, p. 143.</w:t>
      </w:r>
    </w:p>
  </w:footnote>
  <w:footnote w:id="470">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Soldier’s Wife</w:t>
      </w:r>
      <w:r w:rsidRPr="00DF5511">
        <w:rPr>
          <w:rFonts w:ascii="Times New Roman" w:hAnsi="Times New Roman"/>
        </w:rPr>
        <w:t>, p. 144.</w:t>
      </w:r>
    </w:p>
  </w:footnote>
  <w:footnote w:id="471">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Soldier’s Wife</w:t>
      </w:r>
      <w:r w:rsidRPr="00DF5511">
        <w:rPr>
          <w:rFonts w:ascii="Times New Roman" w:hAnsi="Times New Roman"/>
        </w:rPr>
        <w:t>, p. 144.</w:t>
      </w:r>
    </w:p>
  </w:footnote>
  <w:footnote w:id="472">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Soldier’s Wife</w:t>
      </w:r>
      <w:r w:rsidRPr="00DF5511">
        <w:rPr>
          <w:rFonts w:ascii="Times New Roman" w:hAnsi="Times New Roman"/>
        </w:rPr>
        <w:t>, p. 171.</w:t>
      </w:r>
    </w:p>
  </w:footnote>
  <w:footnote w:id="473">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Soldier’s Wife</w:t>
      </w:r>
      <w:r w:rsidRPr="00DF5511">
        <w:rPr>
          <w:rFonts w:ascii="Times New Roman" w:hAnsi="Times New Roman"/>
        </w:rPr>
        <w:t>, p. 1</w:t>
      </w:r>
      <w:r>
        <w:rPr>
          <w:rFonts w:ascii="Times New Roman" w:hAnsi="Times New Roman"/>
        </w:rPr>
        <w:t>98</w:t>
      </w:r>
      <w:r w:rsidRPr="00DF5511">
        <w:rPr>
          <w:rFonts w:ascii="Times New Roman" w:hAnsi="Times New Roman"/>
        </w:rPr>
        <w:t>.</w:t>
      </w:r>
    </w:p>
  </w:footnote>
  <w:footnote w:id="474">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Soldier’s Wife</w:t>
      </w:r>
      <w:r w:rsidRPr="00DF5511">
        <w:rPr>
          <w:rFonts w:ascii="Times New Roman" w:hAnsi="Times New Roman"/>
        </w:rPr>
        <w:t>, p. 1</w:t>
      </w:r>
      <w:r>
        <w:rPr>
          <w:rFonts w:ascii="Times New Roman" w:hAnsi="Times New Roman"/>
        </w:rPr>
        <w:t>98</w:t>
      </w:r>
      <w:r w:rsidRPr="00DF5511">
        <w:rPr>
          <w:rFonts w:ascii="Times New Roman" w:hAnsi="Times New Roman"/>
        </w:rPr>
        <w:t>.</w:t>
      </w:r>
    </w:p>
  </w:footnote>
  <w:footnote w:id="475">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Neale, p. 133.</w:t>
      </w:r>
    </w:p>
  </w:footnote>
  <w:footnote w:id="476">
    <w:p w:rsidR="003515E3" w:rsidRPr="00DF5511" w:rsidRDefault="003515E3" w:rsidP="00C76704">
      <w:pPr>
        <w:pStyle w:val="FootnoteText"/>
        <w:spacing w:after="0" w:line="240" w:lineRule="auto"/>
        <w:rPr>
          <w:rFonts w:ascii="Times New Roman" w:hAnsi="Times New Roman"/>
        </w:rPr>
      </w:pPr>
      <w:r w:rsidRPr="005F1F7C">
        <w:rPr>
          <w:rStyle w:val="FootnoteReference"/>
          <w:rFonts w:ascii="Times New Roman" w:hAnsi="Times New Roman"/>
        </w:rPr>
        <w:footnoteRef/>
      </w:r>
      <w:r w:rsidRPr="005F1F7C">
        <w:rPr>
          <w:rFonts w:ascii="Times New Roman" w:hAnsi="Times New Roman"/>
        </w:rPr>
        <w:t xml:space="preserve"> Mrs Hale is mother to the novel’s heroine, Margaret, and wife to Richard Hale, a clergyman whose dissenting views result in the family having to leave southern Helstone and move north to industrial Milton.</w:t>
      </w:r>
    </w:p>
  </w:footnote>
  <w:footnote w:id="477">
    <w:p w:rsidR="003515E3" w:rsidRPr="00DF5511" w:rsidRDefault="003515E3" w:rsidP="00C76704">
      <w:pPr>
        <w:spacing w:after="0" w:line="240" w:lineRule="auto"/>
        <w:rPr>
          <w:rFonts w:ascii="Times New Roman" w:hAnsi="Times New Roman" w:cs="Times New Roman"/>
          <w:sz w:val="20"/>
          <w:szCs w:val="20"/>
        </w:rPr>
      </w:pPr>
      <w:r w:rsidRPr="00DF5511">
        <w:rPr>
          <w:rStyle w:val="FootnoteReference"/>
          <w:rFonts w:ascii="Times New Roman" w:hAnsi="Times New Roman" w:cs="Times New Roman"/>
          <w:sz w:val="20"/>
          <w:szCs w:val="20"/>
        </w:rPr>
        <w:footnoteRef/>
      </w:r>
      <w:r w:rsidRPr="00DF5511">
        <w:rPr>
          <w:rFonts w:ascii="Times New Roman" w:hAnsi="Times New Roman" w:cs="Times New Roman"/>
          <w:sz w:val="20"/>
          <w:szCs w:val="20"/>
        </w:rPr>
        <w:t xml:space="preserve"> </w:t>
      </w:r>
      <w:r w:rsidRPr="00DF5511">
        <w:rPr>
          <w:rFonts w:ascii="Times New Roman" w:hAnsi="Times New Roman" w:cs="Times New Roman"/>
          <w:i/>
          <w:sz w:val="20"/>
          <w:szCs w:val="20"/>
        </w:rPr>
        <w:t>North and South</w:t>
      </w:r>
      <w:r w:rsidRPr="00DF5511">
        <w:rPr>
          <w:rFonts w:ascii="Times New Roman" w:hAnsi="Times New Roman" w:cs="Times New Roman"/>
          <w:sz w:val="20"/>
          <w:szCs w:val="20"/>
        </w:rPr>
        <w:t>, p. 70.</w:t>
      </w:r>
    </w:p>
  </w:footnote>
  <w:footnote w:id="478">
    <w:p w:rsidR="003515E3" w:rsidRPr="00DF5511" w:rsidRDefault="003515E3" w:rsidP="00C76704">
      <w:pPr>
        <w:spacing w:after="0" w:line="240" w:lineRule="auto"/>
        <w:rPr>
          <w:rFonts w:ascii="Times New Roman" w:hAnsi="Times New Roman" w:cs="Times New Roman"/>
          <w:sz w:val="20"/>
          <w:szCs w:val="20"/>
        </w:rPr>
      </w:pPr>
      <w:r w:rsidRPr="00DF5511">
        <w:rPr>
          <w:rStyle w:val="FootnoteReference"/>
          <w:rFonts w:ascii="Times New Roman" w:hAnsi="Times New Roman" w:cs="Times New Roman"/>
          <w:sz w:val="20"/>
          <w:szCs w:val="20"/>
        </w:rPr>
        <w:footnoteRef/>
      </w:r>
      <w:r w:rsidRPr="00DF5511">
        <w:rPr>
          <w:rFonts w:ascii="Times New Roman" w:hAnsi="Times New Roman" w:cs="Times New Roman"/>
          <w:sz w:val="20"/>
          <w:szCs w:val="20"/>
        </w:rPr>
        <w:t xml:space="preserve"> </w:t>
      </w:r>
      <w:r w:rsidRPr="00DF5511">
        <w:rPr>
          <w:rFonts w:ascii="Times New Roman" w:hAnsi="Times New Roman" w:cs="Times New Roman"/>
          <w:i/>
          <w:sz w:val="20"/>
          <w:szCs w:val="20"/>
        </w:rPr>
        <w:t>North and South</w:t>
      </w:r>
      <w:r w:rsidRPr="00DF5511">
        <w:rPr>
          <w:rFonts w:ascii="Times New Roman" w:hAnsi="Times New Roman" w:cs="Times New Roman"/>
          <w:sz w:val="20"/>
          <w:szCs w:val="20"/>
        </w:rPr>
        <w:t>, p. 70.</w:t>
      </w:r>
    </w:p>
  </w:footnote>
  <w:footnote w:id="479">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5F1F7C">
        <w:rPr>
          <w:rFonts w:ascii="Times New Roman" w:hAnsi="Times New Roman"/>
        </w:rPr>
        <w:t>Huggett notes that Lancashire girls preferred to work in cotton mills where wages</w:t>
      </w:r>
      <w:r w:rsidRPr="00DF5511">
        <w:rPr>
          <w:rFonts w:ascii="Times New Roman" w:hAnsi="Times New Roman"/>
        </w:rPr>
        <w:t xml:space="preserve"> were higher and ‘even more important, the sense of personal freedom and independence, much greater’.  See</w:t>
      </w:r>
      <w:r>
        <w:rPr>
          <w:rFonts w:ascii="Times New Roman" w:hAnsi="Times New Roman"/>
        </w:rPr>
        <w:t xml:space="preserve"> </w:t>
      </w:r>
      <w:r w:rsidRPr="00CD6967">
        <w:rPr>
          <w:rFonts w:ascii="Times New Roman" w:hAnsi="Times New Roman"/>
        </w:rPr>
        <w:t>Huggett, p. 70</w:t>
      </w:r>
      <w:r w:rsidRPr="00DF5511">
        <w:rPr>
          <w:rFonts w:ascii="Times New Roman" w:hAnsi="Times New Roman"/>
        </w:rPr>
        <w:t>.</w:t>
      </w:r>
    </w:p>
  </w:footnote>
  <w:footnote w:id="480">
    <w:p w:rsidR="003515E3" w:rsidRPr="00DF5511" w:rsidRDefault="003515E3" w:rsidP="00C76704">
      <w:pPr>
        <w:spacing w:after="0" w:line="240" w:lineRule="auto"/>
        <w:rPr>
          <w:rFonts w:ascii="Times New Roman" w:hAnsi="Times New Roman" w:cs="Times New Roman"/>
          <w:sz w:val="20"/>
          <w:szCs w:val="20"/>
        </w:rPr>
      </w:pPr>
      <w:r w:rsidRPr="00DF5511">
        <w:rPr>
          <w:rStyle w:val="FootnoteReference"/>
          <w:rFonts w:ascii="Times New Roman" w:hAnsi="Times New Roman" w:cs="Times New Roman"/>
          <w:sz w:val="20"/>
          <w:szCs w:val="20"/>
        </w:rPr>
        <w:footnoteRef/>
      </w:r>
      <w:r w:rsidRPr="00DF5511">
        <w:rPr>
          <w:rFonts w:ascii="Times New Roman" w:hAnsi="Times New Roman" w:cs="Times New Roman"/>
          <w:sz w:val="20"/>
          <w:szCs w:val="20"/>
        </w:rPr>
        <w:t xml:space="preserve"> </w:t>
      </w:r>
      <w:r w:rsidRPr="00DF5511">
        <w:rPr>
          <w:rFonts w:ascii="Times New Roman" w:hAnsi="Times New Roman" w:cs="Times New Roman"/>
          <w:i/>
          <w:sz w:val="20"/>
          <w:szCs w:val="20"/>
        </w:rPr>
        <w:t>North and South</w:t>
      </w:r>
      <w:r w:rsidRPr="00DF5511">
        <w:rPr>
          <w:rFonts w:ascii="Times New Roman" w:hAnsi="Times New Roman" w:cs="Times New Roman"/>
          <w:sz w:val="20"/>
          <w:szCs w:val="20"/>
        </w:rPr>
        <w:t>, p. 71.</w:t>
      </w:r>
    </w:p>
  </w:footnote>
  <w:footnote w:id="481">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 64–65.</w:t>
      </w:r>
    </w:p>
  </w:footnote>
  <w:footnote w:id="482">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He tells Bowline that the cook has scarlet fever; to Mildmay he claims the Archbishop of Canterbury and a coterie of Church dignitaries are in deep consultation with the Squire and must remain undisturbed.  See </w:t>
      </w:r>
      <w:r w:rsidRPr="00DF5511">
        <w:rPr>
          <w:rFonts w:ascii="Times New Roman" w:hAnsi="Times New Roman"/>
          <w:i/>
          <w:iCs/>
        </w:rPr>
        <w:t>Mary Price</w:t>
      </w:r>
      <w:r w:rsidRPr="00DF5511">
        <w:rPr>
          <w:rFonts w:ascii="Times New Roman" w:hAnsi="Times New Roman"/>
        </w:rPr>
        <w:t>, II, 7–8, 13–14.</w:t>
      </w:r>
    </w:p>
  </w:footnote>
  <w:footnote w:id="483">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II, 24–25.</w:t>
      </w:r>
    </w:p>
  </w:footnote>
  <w:footnote w:id="484">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II, 29.</w:t>
      </w:r>
    </w:p>
  </w:footnote>
  <w:footnote w:id="485">
    <w:p w:rsidR="003515E3" w:rsidRPr="00DF5511" w:rsidRDefault="003515E3" w:rsidP="00C76704">
      <w:pPr>
        <w:pStyle w:val="FootnoteText"/>
        <w:spacing w:after="0" w:line="240" w:lineRule="auto"/>
        <w:rPr>
          <w:rFonts w:ascii="Times New Roman" w:hAnsi="Times New Roman"/>
        </w:rPr>
      </w:pPr>
      <w:r w:rsidRPr="00DF5511">
        <w:rPr>
          <w:rStyle w:val="FootnoteReference"/>
          <w:rFonts w:ascii="Times New Roman" w:hAnsi="Times New Roman"/>
        </w:rPr>
        <w:footnoteRef/>
      </w:r>
      <w:r w:rsidRPr="00DF5511">
        <w:rPr>
          <w:rFonts w:ascii="Times New Roman" w:hAnsi="Times New Roman"/>
        </w:rPr>
        <w:t xml:space="preserve"> </w:t>
      </w:r>
      <w:r w:rsidRPr="00DF5511">
        <w:rPr>
          <w:rFonts w:ascii="Times New Roman" w:hAnsi="Times New Roman"/>
          <w:i/>
          <w:iCs/>
        </w:rPr>
        <w:t>Mary Price</w:t>
      </w:r>
      <w:r w:rsidRPr="00DF5511">
        <w:rPr>
          <w:rFonts w:ascii="Times New Roman" w:hAnsi="Times New Roman"/>
        </w:rPr>
        <w:t>, II, 26.</w:t>
      </w:r>
    </w:p>
  </w:footnote>
  <w:footnote w:id="486">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These illustrations include Ellen Monroe modelling for a statuary and Lady Cecilia Harborough posing as a semi-naked statue.  See </w:t>
      </w:r>
      <w:r w:rsidRPr="00446D6F">
        <w:rPr>
          <w:rFonts w:ascii="Times New Roman" w:hAnsi="Times New Roman"/>
          <w:i/>
        </w:rPr>
        <w:t>Mysteries of London</w:t>
      </w:r>
      <w:r w:rsidRPr="00446D6F">
        <w:rPr>
          <w:rFonts w:ascii="Times New Roman" w:hAnsi="Times New Roman"/>
        </w:rPr>
        <w:t>, I, 169, 393.</w:t>
      </w:r>
    </w:p>
  </w:footnote>
  <w:footnote w:id="487">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Showalter, pp. 59</w:t>
      </w:r>
      <w:r w:rsidRPr="00446D6F">
        <w:rPr>
          <w:rFonts w:ascii="Times New Roman" w:hAnsi="Times New Roman"/>
          <w:color w:val="000000"/>
        </w:rPr>
        <w:t>–</w:t>
      </w:r>
      <w:r w:rsidRPr="00446D6F">
        <w:rPr>
          <w:rFonts w:ascii="Times New Roman" w:hAnsi="Times New Roman"/>
        </w:rPr>
        <w:t>60.</w:t>
      </w:r>
    </w:p>
  </w:footnote>
  <w:footnote w:id="488">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Showalter, p. 55.  An example might be seen in the work of James Cowles Prichard (1786–1848), physician and ethnologist.</w:t>
      </w:r>
      <w:r w:rsidRPr="00446D6F">
        <w:rPr>
          <w:rFonts w:ascii="Times New Roman" w:hAnsi="Times New Roman"/>
          <w:color w:val="000000"/>
        </w:rPr>
        <w:t xml:space="preserve"> &lt;</w:t>
      </w:r>
      <w:hyperlink r:id="rId15" w:history="1">
        <w:r w:rsidRPr="00446D6F">
          <w:rPr>
            <w:rStyle w:val="Hyperlink"/>
            <w:rFonts w:ascii="Times New Roman" w:hAnsi="Times New Roman"/>
          </w:rPr>
          <w:t>https://doi.org/10.1093/ref:odnb/22776</w:t>
        </w:r>
      </w:hyperlink>
      <w:r w:rsidRPr="00446D6F">
        <w:rPr>
          <w:rFonts w:ascii="Times New Roman" w:hAnsi="Times New Roman"/>
          <w:color w:val="000000"/>
        </w:rPr>
        <w:t xml:space="preserve">&gt;.  </w:t>
      </w:r>
      <w:r w:rsidRPr="00446D6F">
        <w:rPr>
          <w:rFonts w:ascii="Times New Roman" w:hAnsi="Times New Roman"/>
        </w:rPr>
        <w:t xml:space="preserve">Chapter 8 of his treatise on insanity entitled ‘Of Puerperal Madness’ discusses the ‘mania’ surrounding childbirth that might lead to temporary and possibly permanent insanity.  See James Cowles Prichard, </w:t>
      </w:r>
      <w:r w:rsidRPr="00446D6F">
        <w:rPr>
          <w:rFonts w:ascii="Times New Roman" w:hAnsi="Times New Roman"/>
          <w:i/>
        </w:rPr>
        <w:t>A Treatise on Insanity, and other Disorders Affecting the Mind</w:t>
      </w:r>
      <w:r w:rsidRPr="00446D6F">
        <w:rPr>
          <w:rFonts w:ascii="Times New Roman" w:hAnsi="Times New Roman"/>
        </w:rPr>
        <w:t xml:space="preserve"> (London: Sherwood, Gilbert, and Piper, 1835), pp. 306–17.</w:t>
      </w:r>
    </w:p>
  </w:footnote>
  <w:footnote w:id="489">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Showalter, pp. 55, 73.</w:t>
      </w:r>
    </w:p>
  </w:footnote>
  <w:footnote w:id="490">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xml:space="preserve">, III, 293.  Reynolds had earlier written: ‘I do not believe that the mind of woman is constitutionally weaker than that of man: I maintain that if it possessed the same opportunities of development, it would be equally powerful.’  See </w:t>
      </w:r>
      <w:r w:rsidRPr="00E16A3F">
        <w:rPr>
          <w:rFonts w:ascii="Times New Roman" w:hAnsi="Times New Roman"/>
          <w:i/>
        </w:rPr>
        <w:t>Grace Darling</w:t>
      </w:r>
      <w:r w:rsidRPr="00E16A3F">
        <w:rPr>
          <w:rFonts w:ascii="Times New Roman" w:hAnsi="Times New Roman"/>
        </w:rPr>
        <w:t>, p. vi.</w:t>
      </w:r>
    </w:p>
  </w:footnote>
  <w:footnote w:id="491">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In contrast, a footnote to the poem </w:t>
      </w:r>
      <w:r w:rsidRPr="00E16A3F">
        <w:rPr>
          <w:rFonts w:ascii="Times New Roman" w:hAnsi="Times New Roman"/>
          <w:i/>
        </w:rPr>
        <w:t>A Sequel to Don Juan</w:t>
      </w:r>
      <w:r w:rsidRPr="00E16A3F">
        <w:rPr>
          <w:rFonts w:ascii="Times New Roman" w:hAnsi="Times New Roman"/>
        </w:rPr>
        <w:t xml:space="preserve"> (1843) expressed less open-mindedness.  When e</w:t>
      </w:r>
      <w:r w:rsidRPr="00E16A3F">
        <w:rPr>
          <w:rFonts w:ascii="Times New Roman" w:hAnsi="Times New Roman"/>
          <w:bCs/>
        </w:rPr>
        <w:t xml:space="preserve">xplaining a reference to how ‘Humbug’ has placed Victoria on the throne Reynolds writes: ‘No personal disrespect is here intended towards Victoria: the author is merely alluding to the office, and not to the individual; and he is also anxious to express his unmitigated disgust at the laws which allow a female to reign over the country.’ See </w:t>
      </w:r>
      <w:r w:rsidRPr="00E16A3F">
        <w:rPr>
          <w:rFonts w:ascii="Times New Roman" w:hAnsi="Times New Roman"/>
          <w:bCs/>
          <w:i/>
        </w:rPr>
        <w:t>Sequel to</w:t>
      </w:r>
      <w:r w:rsidRPr="00E16A3F">
        <w:rPr>
          <w:rFonts w:ascii="Times New Roman" w:hAnsi="Times New Roman"/>
          <w:bCs/>
        </w:rPr>
        <w:t xml:space="preserve"> </w:t>
      </w:r>
      <w:r w:rsidRPr="00E16A3F">
        <w:rPr>
          <w:rFonts w:ascii="Times New Roman" w:hAnsi="Times New Roman"/>
          <w:bCs/>
          <w:i/>
        </w:rPr>
        <w:t>Don Juan</w:t>
      </w:r>
      <w:r w:rsidRPr="00E16A3F">
        <w:rPr>
          <w:rFonts w:ascii="Times New Roman" w:hAnsi="Times New Roman"/>
          <w:bCs/>
        </w:rPr>
        <w:t>, p. 35.</w:t>
      </w:r>
    </w:p>
  </w:footnote>
  <w:footnote w:id="492">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Nancy Armstrong, </w:t>
      </w:r>
      <w:r w:rsidRPr="00E16A3F">
        <w:rPr>
          <w:rFonts w:ascii="Times New Roman" w:hAnsi="Times New Roman"/>
          <w:i/>
        </w:rPr>
        <w:t>Desire and Domestic Fiction: A Political History of the Novel</w:t>
      </w:r>
      <w:r w:rsidRPr="00E16A3F">
        <w:rPr>
          <w:rFonts w:ascii="Times New Roman" w:hAnsi="Times New Roman"/>
        </w:rPr>
        <w:t xml:space="preserve"> (New York: Oxford University Press, 1987), p. 60.</w:t>
      </w:r>
    </w:p>
  </w:footnote>
  <w:footnote w:id="493">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iCs/>
        </w:rPr>
        <w:t>Soldier’s Wife</w:t>
      </w:r>
      <w:r w:rsidRPr="00E16A3F">
        <w:rPr>
          <w:rFonts w:ascii="Times New Roman" w:hAnsi="Times New Roman"/>
        </w:rPr>
        <w:t>, p. 64.</w:t>
      </w:r>
    </w:p>
  </w:footnote>
  <w:footnote w:id="494">
    <w:p w:rsidR="003515E3" w:rsidRPr="00A533A5"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iCs/>
        </w:rPr>
        <w:t>Soldier’s Wife</w:t>
      </w:r>
      <w:r w:rsidRPr="00E16A3F">
        <w:rPr>
          <w:rFonts w:ascii="Times New Roman" w:hAnsi="Times New Roman"/>
        </w:rPr>
        <w:t>, p. 81.</w:t>
      </w:r>
    </w:p>
  </w:footnote>
  <w:footnote w:id="495">
    <w:p w:rsidR="003515E3" w:rsidRPr="00446D6F" w:rsidRDefault="003515E3" w:rsidP="00BA19FC">
      <w:pPr>
        <w:spacing w:after="0" w:line="240" w:lineRule="auto"/>
        <w:rPr>
          <w:rFonts w:ascii="Times New Roman" w:hAnsi="Times New Roman" w:cs="Times New Roman"/>
          <w:sz w:val="20"/>
          <w:szCs w:val="20"/>
        </w:rPr>
      </w:pPr>
      <w:r w:rsidRPr="00446D6F">
        <w:rPr>
          <w:rStyle w:val="FootnoteReference"/>
          <w:rFonts w:ascii="Times New Roman" w:hAnsi="Times New Roman"/>
        </w:rPr>
        <w:footnoteRef/>
      </w:r>
      <w:r w:rsidRPr="00446D6F">
        <w:rPr>
          <w:rFonts w:ascii="Times New Roman" w:hAnsi="Times New Roman" w:cs="Times New Roman"/>
          <w:sz w:val="20"/>
          <w:szCs w:val="20"/>
        </w:rPr>
        <w:t xml:space="preserve"> Sandra M. Gilbert and Susan Gubar, </w:t>
      </w:r>
      <w:r w:rsidRPr="00446D6F">
        <w:rPr>
          <w:rFonts w:ascii="Times New Roman" w:hAnsi="Times New Roman" w:cs="Times New Roman"/>
          <w:i/>
          <w:sz w:val="20"/>
          <w:szCs w:val="20"/>
        </w:rPr>
        <w:t>The Madwoman in the Attic: The Woman Writer and the Nineteenth-Century Literary Imagination</w:t>
      </w:r>
      <w:r w:rsidRPr="00446D6F">
        <w:rPr>
          <w:rFonts w:ascii="Times New Roman" w:hAnsi="Times New Roman" w:cs="Times New Roman"/>
          <w:sz w:val="20"/>
          <w:szCs w:val="20"/>
        </w:rPr>
        <w:t>, 2</w:t>
      </w:r>
      <w:r w:rsidRPr="00446D6F">
        <w:rPr>
          <w:rFonts w:ascii="Times New Roman" w:hAnsi="Times New Roman" w:cs="Times New Roman"/>
          <w:sz w:val="20"/>
          <w:szCs w:val="20"/>
          <w:vertAlign w:val="superscript"/>
        </w:rPr>
        <w:t>nd</w:t>
      </w:r>
      <w:r w:rsidRPr="00446D6F">
        <w:rPr>
          <w:rFonts w:ascii="Times New Roman" w:hAnsi="Times New Roman" w:cs="Times New Roman"/>
          <w:sz w:val="20"/>
          <w:szCs w:val="20"/>
        </w:rPr>
        <w:t xml:space="preserve"> edn (New Haven: Yale University Press, 2000), p. 29.</w:t>
      </w:r>
    </w:p>
  </w:footnote>
  <w:footnote w:id="496">
    <w:p w:rsidR="003515E3" w:rsidRPr="00446D6F" w:rsidRDefault="003515E3" w:rsidP="00BA19FC">
      <w:pPr>
        <w:spacing w:after="0" w:line="240" w:lineRule="auto"/>
        <w:rPr>
          <w:rFonts w:ascii="Times New Roman" w:hAnsi="Times New Roman"/>
          <w:sz w:val="20"/>
          <w:szCs w:val="20"/>
        </w:rPr>
      </w:pPr>
      <w:r w:rsidRPr="00446D6F">
        <w:rPr>
          <w:rStyle w:val="FootnoteReference"/>
          <w:rFonts w:ascii="Times New Roman" w:hAnsi="Times New Roman"/>
        </w:rPr>
        <w:footnoteRef/>
      </w:r>
      <w:r w:rsidRPr="00446D6F">
        <w:rPr>
          <w:rFonts w:ascii="Times New Roman" w:hAnsi="Times New Roman" w:cs="Times New Roman"/>
          <w:sz w:val="20"/>
          <w:szCs w:val="20"/>
        </w:rPr>
        <w:t xml:space="preserve"> Small suggests ‘</w:t>
      </w:r>
      <w:r w:rsidRPr="00446D6F">
        <w:rPr>
          <w:rFonts w:ascii="Times New Roman" w:eastAsia="Times New Roman" w:hAnsi="Times New Roman" w:cs="Times New Roman"/>
          <w:color w:val="000000"/>
          <w:sz w:val="20"/>
          <w:szCs w:val="20"/>
        </w:rPr>
        <w:t xml:space="preserve">it was not until the massive incidence of shell-shock in the First World War that hysteria ceased to be thought of as an essentially female condition’.  See Small </w:t>
      </w:r>
      <w:r w:rsidRPr="00446D6F">
        <w:rPr>
          <w:rFonts w:ascii="Times New Roman" w:hAnsi="Times New Roman"/>
          <w:sz w:val="20"/>
          <w:szCs w:val="20"/>
        </w:rPr>
        <w:t>p. 17.</w:t>
      </w:r>
    </w:p>
  </w:footnote>
  <w:footnote w:id="497">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heme="majorBidi" w:hAnsiTheme="majorBidi" w:cstheme="majorBidi"/>
        </w:rPr>
        <w:t xml:space="preserve">Small, </w:t>
      </w:r>
      <w:r w:rsidRPr="00446D6F">
        <w:rPr>
          <w:rFonts w:ascii="Times New Roman" w:hAnsi="Times New Roman"/>
        </w:rPr>
        <w:t>pp. 17</w:t>
      </w:r>
      <w:r w:rsidRPr="00446D6F">
        <w:rPr>
          <w:rFonts w:ascii="Times New Roman" w:hAnsi="Times New Roman"/>
          <w:color w:val="000000"/>
        </w:rPr>
        <w:t>–</w:t>
      </w:r>
      <w:r w:rsidRPr="00446D6F">
        <w:rPr>
          <w:rFonts w:ascii="Times New Roman" w:hAnsi="Times New Roman"/>
        </w:rPr>
        <w:t>18.</w:t>
      </w:r>
    </w:p>
  </w:footnote>
  <w:footnote w:id="498">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rPr>
        <w:t>Mysteries of London</w:t>
      </w:r>
      <w:r w:rsidRPr="00446D6F">
        <w:rPr>
          <w:rFonts w:ascii="Times New Roman" w:hAnsi="Times New Roman"/>
        </w:rPr>
        <w:t>, I, 64</w:t>
      </w:r>
      <w:r w:rsidRPr="00446D6F">
        <w:rPr>
          <w:rFonts w:ascii="Times New Roman" w:hAnsi="Times New Roman"/>
          <w:color w:val="000000"/>
        </w:rPr>
        <w:t>–</w:t>
      </w:r>
      <w:r w:rsidRPr="00446D6F">
        <w:rPr>
          <w:rFonts w:ascii="Times New Roman" w:hAnsi="Times New Roman"/>
        </w:rPr>
        <w:t>66.</w:t>
      </w:r>
    </w:p>
  </w:footnote>
  <w:footnote w:id="499">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Arlington’s father commits suicide after being swindled by Eugene Markham when under his pseudonym George Montague.  Left penniless, Diana becomes Eugene’s mistress until he deserts her.  ‘Polite’ society rejects her attempt to find a respectable position, so driven by poverty she joins Harborough in defrauding wealthy young men such as Richard Markham.  See </w:t>
      </w:r>
      <w:r w:rsidRPr="00E16A3F">
        <w:rPr>
          <w:rFonts w:ascii="Times New Roman" w:hAnsi="Times New Roman"/>
          <w:i/>
        </w:rPr>
        <w:t>Mysteries of London</w:t>
      </w:r>
      <w:r w:rsidRPr="00E16A3F">
        <w:rPr>
          <w:rFonts w:ascii="Times New Roman" w:hAnsi="Times New Roman"/>
        </w:rPr>
        <w:t>, I, 26</w:t>
      </w:r>
      <w:r w:rsidRPr="00E16A3F">
        <w:rPr>
          <w:rFonts w:ascii="Times New Roman" w:hAnsi="Times New Roman"/>
          <w:color w:val="000000"/>
        </w:rPr>
        <w:t>–</w:t>
      </w:r>
      <w:r w:rsidRPr="00E16A3F">
        <w:rPr>
          <w:rFonts w:ascii="Times New Roman" w:hAnsi="Times New Roman"/>
        </w:rPr>
        <w:t>27.</w:t>
      </w:r>
    </w:p>
  </w:footnote>
  <w:footnote w:id="500">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 66.</w:t>
      </w:r>
    </w:p>
  </w:footnote>
  <w:footnote w:id="501">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Reynolds presents Letitia’s murky rise from a miserable attic in St Giles.  Personal beauty and ‘easy virtue’ help her to wheedle herself into ‘that sort of society at the West End which may be described as ‘not over particular’’.  See </w:t>
      </w:r>
      <w:r w:rsidRPr="00E16A3F">
        <w:rPr>
          <w:rFonts w:ascii="Times New Roman" w:hAnsi="Times New Roman"/>
          <w:i/>
        </w:rPr>
        <w:t>Mysteries of the Court</w:t>
      </w:r>
      <w:r w:rsidRPr="00E16A3F">
        <w:rPr>
          <w:rFonts w:ascii="Times New Roman" w:hAnsi="Times New Roman"/>
        </w:rPr>
        <w:t>, I, 56.  At the same time she maintains a steady and loyal relationship with Tim Meagles.</w:t>
      </w:r>
    </w:p>
  </w:footnote>
  <w:footnote w:id="502">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Sir Rupert voices their arrangement as being to follow their own ‘inclinations, whims and caprices, without reference to the ties which bind us, or the vows which we pledged’.  See </w:t>
      </w:r>
      <w:r w:rsidRPr="00E16A3F">
        <w:rPr>
          <w:rFonts w:ascii="Times New Roman" w:hAnsi="Times New Roman"/>
          <w:i/>
        </w:rPr>
        <w:t>Mysteries of London</w:t>
      </w:r>
      <w:r w:rsidRPr="00E16A3F">
        <w:rPr>
          <w:rFonts w:ascii="Times New Roman" w:hAnsi="Times New Roman"/>
        </w:rPr>
        <w:t>, I, 376.</w:t>
      </w:r>
    </w:p>
  </w:footnote>
  <w:footnote w:id="503">
    <w:p w:rsidR="003515E3" w:rsidRPr="00446D6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III, 319.</w:t>
      </w:r>
      <w:r w:rsidRPr="00446D6F">
        <w:rPr>
          <w:rFonts w:ascii="Times New Roman" w:hAnsi="Times New Roman"/>
        </w:rPr>
        <w:t xml:space="preserve"> </w:t>
      </w:r>
    </w:p>
  </w:footnote>
  <w:footnote w:id="504">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Quoted in </w:t>
      </w:r>
      <w:r w:rsidRPr="00E16A3F">
        <w:rPr>
          <w:rFonts w:ascii="Times New Roman" w:hAnsi="Times New Roman"/>
          <w:i/>
        </w:rPr>
        <w:t>Mysteries of London</w:t>
      </w:r>
      <w:r w:rsidRPr="00E16A3F">
        <w:rPr>
          <w:rFonts w:ascii="Times New Roman" w:hAnsi="Times New Roman"/>
        </w:rPr>
        <w:t xml:space="preserve">, III, 320.  See W. A. Miles, </w:t>
      </w:r>
      <w:r w:rsidRPr="00E16A3F">
        <w:rPr>
          <w:rFonts w:ascii="Times New Roman" w:hAnsi="Times New Roman"/>
          <w:i/>
        </w:rPr>
        <w:t>Poverty, Mendicity and Crime</w:t>
      </w:r>
      <w:r w:rsidRPr="00E16A3F">
        <w:rPr>
          <w:rFonts w:ascii="Times New Roman" w:hAnsi="Times New Roman"/>
        </w:rPr>
        <w:t xml:space="preserve"> (London: Shaw and Sons, 1839), p. 15.</w:t>
      </w:r>
    </w:p>
  </w:footnote>
  <w:footnote w:id="505">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 205.</w:t>
      </w:r>
    </w:p>
  </w:footnote>
  <w:footnote w:id="506">
    <w:p w:rsidR="003515E3" w:rsidRPr="001840D3"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IV, 77.</w:t>
      </w:r>
    </w:p>
  </w:footnote>
  <w:footnote w:id="507">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rPr>
        <w:t>Mysteries of London</w:t>
      </w:r>
      <w:r w:rsidRPr="00446D6F">
        <w:rPr>
          <w:rFonts w:ascii="Times New Roman" w:hAnsi="Times New Roman"/>
        </w:rPr>
        <w:t>, I, 174.</w:t>
      </w:r>
    </w:p>
  </w:footnote>
  <w:footnote w:id="508">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rPr>
        <w:t>Mysteries of London</w:t>
      </w:r>
      <w:r w:rsidRPr="00446D6F">
        <w:rPr>
          <w:rFonts w:ascii="Times New Roman" w:hAnsi="Times New Roman"/>
        </w:rPr>
        <w:t>, I, 175.</w:t>
      </w:r>
    </w:p>
  </w:footnote>
  <w:footnote w:id="509">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Juliet John sees the passage rather differently: ‘This paragraph is out of keeping with the majority of the narrative’.  See Juliet John, ‘Reynolds’s Mysteries and Popular Culture’, in </w:t>
      </w:r>
      <w:r w:rsidRPr="00446D6F">
        <w:rPr>
          <w:rFonts w:ascii="Times New Roman" w:hAnsi="Times New Roman"/>
          <w:i/>
        </w:rPr>
        <w:t>G. W. M. Reynolds: Nineteenth-Century Fiction, Politics, and the Press</w:t>
      </w:r>
      <w:r w:rsidRPr="00446D6F">
        <w:rPr>
          <w:rFonts w:ascii="Times New Roman" w:hAnsi="Times New Roman"/>
        </w:rPr>
        <w:t>, ed. by Humpherys and James, pp. 163</w:t>
      </w:r>
      <w:r w:rsidRPr="00446D6F">
        <w:rPr>
          <w:rFonts w:ascii="Times New Roman" w:hAnsi="Times New Roman"/>
          <w:color w:val="000000"/>
        </w:rPr>
        <w:t>–</w:t>
      </w:r>
      <w:r w:rsidRPr="00446D6F">
        <w:rPr>
          <w:rFonts w:ascii="Times New Roman" w:hAnsi="Times New Roman"/>
        </w:rPr>
        <w:t>77 (p. 171).</w:t>
      </w:r>
    </w:p>
  </w:footnote>
  <w:footnote w:id="510">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 175.</w:t>
      </w:r>
    </w:p>
  </w:footnote>
  <w:footnote w:id="511">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 218.</w:t>
      </w:r>
    </w:p>
  </w:footnote>
  <w:footnote w:id="512">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 218.</w:t>
      </w:r>
    </w:p>
  </w:footnote>
  <w:footnote w:id="513">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 218.</w:t>
      </w:r>
    </w:p>
  </w:footnote>
  <w:footnote w:id="514">
    <w:p w:rsidR="003515E3" w:rsidRPr="00491F84"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 219.</w:t>
      </w:r>
    </w:p>
  </w:footnote>
  <w:footnote w:id="515">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xml:space="preserve"> I,</w:t>
      </w:r>
      <w:r w:rsidRPr="00E16A3F">
        <w:rPr>
          <w:rFonts w:ascii="Times New Roman" w:hAnsi="Times New Roman"/>
          <w:color w:val="FF0000"/>
        </w:rPr>
        <w:t xml:space="preserve"> </w:t>
      </w:r>
      <w:r w:rsidRPr="00E16A3F">
        <w:rPr>
          <w:rFonts w:ascii="Times New Roman" w:hAnsi="Times New Roman"/>
        </w:rPr>
        <w:t>266.</w:t>
      </w:r>
    </w:p>
  </w:footnote>
  <w:footnote w:id="516">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 268.</w:t>
      </w:r>
    </w:p>
  </w:footnote>
  <w:footnote w:id="517">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 268.</w:t>
      </w:r>
    </w:p>
  </w:footnote>
  <w:footnote w:id="518">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II, 25</w:t>
      </w:r>
      <w:r w:rsidRPr="00E16A3F">
        <w:rPr>
          <w:rFonts w:ascii="Times New Roman" w:hAnsi="Times New Roman"/>
          <w:color w:val="000000"/>
        </w:rPr>
        <w:t>–</w:t>
      </w:r>
      <w:r w:rsidRPr="00E16A3F">
        <w:rPr>
          <w:rFonts w:ascii="Times New Roman" w:hAnsi="Times New Roman"/>
        </w:rPr>
        <w:t>26.</w:t>
      </w:r>
    </w:p>
  </w:footnote>
  <w:footnote w:id="519">
    <w:p w:rsidR="003515E3" w:rsidRPr="00446D6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II, 26.</w:t>
      </w:r>
    </w:p>
  </w:footnote>
  <w:footnote w:id="520">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For the two meetings, see </w:t>
      </w:r>
      <w:r w:rsidRPr="00E16A3F">
        <w:rPr>
          <w:rFonts w:ascii="Times New Roman" w:hAnsi="Times New Roman"/>
          <w:i/>
          <w:iCs/>
        </w:rPr>
        <w:t>Seamstress</w:t>
      </w:r>
      <w:r w:rsidRPr="00E16A3F">
        <w:rPr>
          <w:rFonts w:ascii="Times New Roman" w:hAnsi="Times New Roman"/>
        </w:rPr>
        <w:t>, pp. 18–21, 39–44.</w:t>
      </w:r>
    </w:p>
  </w:footnote>
  <w:footnote w:id="521">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iCs/>
        </w:rPr>
        <w:t>Seamstress</w:t>
      </w:r>
      <w:r w:rsidRPr="00E16A3F">
        <w:rPr>
          <w:rFonts w:ascii="Times New Roman" w:hAnsi="Times New Roman"/>
        </w:rPr>
        <w:t>, p. 19.</w:t>
      </w:r>
    </w:p>
  </w:footnote>
  <w:footnote w:id="522">
    <w:p w:rsidR="003515E3" w:rsidRPr="00446D6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Reynolds wrote two articles for the </w:t>
      </w:r>
      <w:r w:rsidRPr="00E16A3F">
        <w:rPr>
          <w:rFonts w:ascii="Times New Roman" w:hAnsi="Times New Roman"/>
          <w:i/>
        </w:rPr>
        <w:t>Political Instructor</w:t>
      </w:r>
      <w:r w:rsidRPr="00E16A3F">
        <w:rPr>
          <w:rFonts w:ascii="Times New Roman" w:hAnsi="Times New Roman"/>
        </w:rPr>
        <w:t xml:space="preserve"> attacking Sidney Herbert’s female emigration scheme which especially targeted needlewomen.  The first accused it as being typical of those ‘pseudo- charities’ that under the guise of philanthropic gestures refused to find space in the nation’s economy for industrious females and would not resolve the resulting social problems by paring the enormous pension list. See G. W. M. Reynolds, ‘A Warning to the Needlewomen and Slopworkers’, </w:t>
      </w:r>
      <w:r w:rsidRPr="00E16A3F">
        <w:rPr>
          <w:rFonts w:ascii="Times New Roman" w:hAnsi="Times New Roman"/>
          <w:i/>
        </w:rPr>
        <w:t>Reynolds’s Political Instructor</w:t>
      </w:r>
      <w:r w:rsidRPr="00E16A3F">
        <w:rPr>
          <w:rFonts w:ascii="Times New Roman" w:hAnsi="Times New Roman"/>
        </w:rPr>
        <w:t xml:space="preserve">, 5 January 1850, pp. 66–67.  The second pointed to the severe competition for female positions due to their being disproportionately attracted to London in the hope of obtaining a livelihood.  See G. W. M. Reynolds, ‘A Few More Words of Warning to the Needlewomen and Slopworkers’, </w:t>
      </w:r>
      <w:r w:rsidRPr="00E16A3F">
        <w:rPr>
          <w:rFonts w:ascii="Times New Roman" w:hAnsi="Times New Roman"/>
          <w:i/>
        </w:rPr>
        <w:t>Reynolds’s Political Instructor</w:t>
      </w:r>
      <w:r w:rsidRPr="00E16A3F">
        <w:rPr>
          <w:rFonts w:ascii="Times New Roman" w:hAnsi="Times New Roman"/>
        </w:rPr>
        <w:t>, 12 January</w:t>
      </w:r>
      <w:r w:rsidRPr="00446D6F">
        <w:rPr>
          <w:rFonts w:ascii="Times New Roman" w:hAnsi="Times New Roman"/>
        </w:rPr>
        <w:t xml:space="preserve"> 1850, p. 74.</w:t>
      </w:r>
    </w:p>
  </w:footnote>
  <w:footnote w:id="523">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Ian Haywood, </w:t>
      </w:r>
      <w:r w:rsidRPr="00446D6F">
        <w:rPr>
          <w:rFonts w:ascii="Times New Roman" w:hAnsi="Times New Roman"/>
          <w:i/>
        </w:rPr>
        <w:t>The Revolution in Popular Literature: Print, Politics and the People, 1790</w:t>
      </w:r>
      <w:r w:rsidRPr="00446D6F">
        <w:rPr>
          <w:rFonts w:ascii="Times New Roman" w:hAnsi="Times New Roman"/>
          <w:color w:val="000000"/>
        </w:rPr>
        <w:t>–</w:t>
      </w:r>
      <w:r w:rsidRPr="00446D6F">
        <w:rPr>
          <w:rFonts w:ascii="Times New Roman" w:hAnsi="Times New Roman"/>
          <w:i/>
        </w:rPr>
        <w:t>1860</w:t>
      </w:r>
      <w:r w:rsidRPr="00446D6F">
        <w:rPr>
          <w:rFonts w:ascii="Times New Roman" w:hAnsi="Times New Roman"/>
        </w:rPr>
        <w:t xml:space="preserve"> (Cambridge: Cambridge University Press, 2004), p. 212</w:t>
      </w:r>
      <w:r w:rsidRPr="00446D6F">
        <w:rPr>
          <w:rFonts w:ascii="Times New Roman" w:hAnsi="Times New Roman"/>
          <w:i/>
        </w:rPr>
        <w:t>.</w:t>
      </w:r>
    </w:p>
  </w:footnote>
  <w:footnote w:id="524">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Seamstress</w:t>
      </w:r>
      <w:r w:rsidRPr="00446D6F">
        <w:rPr>
          <w:rFonts w:ascii="Times New Roman" w:hAnsi="Times New Roman"/>
        </w:rPr>
        <w:t>, p. 19.</w:t>
      </w:r>
    </w:p>
  </w:footnote>
  <w:footnote w:id="525">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Seamstress</w:t>
      </w:r>
      <w:r w:rsidRPr="00446D6F">
        <w:rPr>
          <w:rFonts w:ascii="Times New Roman" w:hAnsi="Times New Roman"/>
        </w:rPr>
        <w:t>, p. 20.</w:t>
      </w:r>
    </w:p>
  </w:footnote>
  <w:footnote w:id="526">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Seamstress</w:t>
      </w:r>
      <w:r w:rsidRPr="00446D6F">
        <w:rPr>
          <w:rFonts w:ascii="Times New Roman" w:hAnsi="Times New Roman"/>
        </w:rPr>
        <w:t>, p. 20.</w:t>
      </w:r>
    </w:p>
  </w:footnote>
  <w:footnote w:id="527">
    <w:p w:rsidR="003515E3" w:rsidRPr="0069287D" w:rsidRDefault="003515E3" w:rsidP="00BA19FC">
      <w:pPr>
        <w:pStyle w:val="FootnoteText"/>
        <w:spacing w:after="0" w:line="240" w:lineRule="auto"/>
        <w:rPr>
          <w:rFonts w:ascii="Times New Roman" w:hAnsi="Times New Roman"/>
        </w:rPr>
      </w:pPr>
      <w:r w:rsidRPr="0069287D">
        <w:rPr>
          <w:rStyle w:val="FootnoteReference"/>
          <w:rFonts w:ascii="Times New Roman" w:hAnsi="Times New Roman"/>
        </w:rPr>
        <w:footnoteRef/>
      </w:r>
      <w:r w:rsidRPr="0069287D">
        <w:rPr>
          <w:rFonts w:ascii="Times New Roman" w:hAnsi="Times New Roman"/>
        </w:rPr>
        <w:t xml:space="preserve"> </w:t>
      </w:r>
      <w:r w:rsidRPr="0069287D">
        <w:rPr>
          <w:rFonts w:ascii="Times New Roman" w:hAnsi="Times New Roman"/>
          <w:i/>
          <w:iCs/>
        </w:rPr>
        <w:t>Seamstress</w:t>
      </w:r>
      <w:r w:rsidRPr="0069287D">
        <w:rPr>
          <w:rFonts w:ascii="Times New Roman" w:hAnsi="Times New Roman"/>
        </w:rPr>
        <w:t xml:space="preserve">, p. </w:t>
      </w:r>
      <w:r>
        <w:rPr>
          <w:rFonts w:ascii="Times New Roman" w:hAnsi="Times New Roman"/>
        </w:rPr>
        <w:t>39</w:t>
      </w:r>
      <w:r w:rsidRPr="0069287D">
        <w:rPr>
          <w:rFonts w:ascii="Times New Roman" w:hAnsi="Times New Roman"/>
        </w:rPr>
        <w:t>.</w:t>
      </w:r>
    </w:p>
  </w:footnote>
  <w:footnote w:id="528">
    <w:p w:rsidR="003515E3" w:rsidRPr="00E52822" w:rsidRDefault="003515E3" w:rsidP="00BA19FC">
      <w:pPr>
        <w:pStyle w:val="FootnoteText"/>
        <w:spacing w:after="0" w:line="240" w:lineRule="auto"/>
        <w:rPr>
          <w:rFonts w:ascii="Times New Roman" w:hAnsi="Times New Roman"/>
        </w:rPr>
      </w:pPr>
      <w:r w:rsidRPr="00E52822">
        <w:rPr>
          <w:rStyle w:val="FootnoteReference"/>
          <w:rFonts w:ascii="Times New Roman" w:hAnsi="Times New Roman"/>
        </w:rPr>
        <w:footnoteRef/>
      </w:r>
      <w:r w:rsidRPr="00E52822">
        <w:rPr>
          <w:rFonts w:ascii="Times New Roman" w:hAnsi="Times New Roman"/>
        </w:rPr>
        <w:t xml:space="preserve"> </w:t>
      </w:r>
      <w:r w:rsidRPr="00E52822">
        <w:rPr>
          <w:rFonts w:ascii="Times New Roman" w:hAnsi="Times New Roman"/>
          <w:i/>
          <w:iCs/>
        </w:rPr>
        <w:t>Seamstress</w:t>
      </w:r>
      <w:r w:rsidRPr="00E52822">
        <w:rPr>
          <w:rFonts w:ascii="Times New Roman" w:hAnsi="Times New Roman"/>
        </w:rPr>
        <w:t>, p. 44.</w:t>
      </w:r>
    </w:p>
  </w:footnote>
  <w:footnote w:id="529">
    <w:p w:rsidR="003515E3" w:rsidRPr="00E52822" w:rsidRDefault="003515E3" w:rsidP="00BA19FC">
      <w:pPr>
        <w:pStyle w:val="FootnoteText"/>
        <w:spacing w:after="0" w:line="240" w:lineRule="auto"/>
        <w:rPr>
          <w:rFonts w:ascii="Times New Roman" w:hAnsi="Times New Roman"/>
        </w:rPr>
      </w:pPr>
      <w:r w:rsidRPr="00E52822">
        <w:rPr>
          <w:rStyle w:val="FootnoteReference"/>
          <w:rFonts w:ascii="Times New Roman" w:hAnsi="Times New Roman"/>
        </w:rPr>
        <w:footnoteRef/>
      </w:r>
      <w:r w:rsidRPr="00E52822">
        <w:rPr>
          <w:rFonts w:ascii="Times New Roman" w:hAnsi="Times New Roman"/>
        </w:rPr>
        <w:t xml:space="preserve"> </w:t>
      </w:r>
      <w:r w:rsidRPr="00E52822">
        <w:rPr>
          <w:rFonts w:ascii="Times New Roman" w:hAnsi="Times New Roman"/>
          <w:i/>
          <w:iCs/>
        </w:rPr>
        <w:t>Seamstress</w:t>
      </w:r>
      <w:r w:rsidRPr="00E52822">
        <w:rPr>
          <w:rFonts w:ascii="Times New Roman" w:hAnsi="Times New Roman"/>
        </w:rPr>
        <w:t>, p. 44.</w:t>
      </w:r>
    </w:p>
  </w:footnote>
  <w:footnote w:id="530">
    <w:p w:rsidR="003515E3" w:rsidRPr="00E52822" w:rsidRDefault="003515E3" w:rsidP="00BA19FC">
      <w:pPr>
        <w:pStyle w:val="FootnoteText"/>
        <w:spacing w:after="0" w:line="240" w:lineRule="auto"/>
        <w:rPr>
          <w:rFonts w:ascii="Times New Roman" w:hAnsi="Times New Roman"/>
        </w:rPr>
      </w:pPr>
      <w:r w:rsidRPr="00E52822">
        <w:rPr>
          <w:rStyle w:val="FootnoteReference"/>
          <w:rFonts w:ascii="Times New Roman" w:hAnsi="Times New Roman"/>
        </w:rPr>
        <w:footnoteRef/>
      </w:r>
      <w:r w:rsidRPr="00E52822">
        <w:rPr>
          <w:rFonts w:ascii="Times New Roman" w:hAnsi="Times New Roman"/>
        </w:rPr>
        <w:t xml:space="preserve"> </w:t>
      </w:r>
      <w:r w:rsidRPr="00E52822">
        <w:rPr>
          <w:rFonts w:ascii="Times New Roman" w:hAnsi="Times New Roman"/>
          <w:i/>
          <w:iCs/>
        </w:rPr>
        <w:t>Seamstress</w:t>
      </w:r>
      <w:r w:rsidRPr="00E52822">
        <w:rPr>
          <w:rFonts w:ascii="Times New Roman" w:hAnsi="Times New Roman"/>
        </w:rPr>
        <w:t>, p. 44.</w:t>
      </w:r>
    </w:p>
  </w:footnote>
  <w:footnote w:id="531">
    <w:p w:rsidR="003515E3" w:rsidRPr="0069287D" w:rsidRDefault="003515E3" w:rsidP="00BA19FC">
      <w:pPr>
        <w:pStyle w:val="FootnoteText"/>
        <w:spacing w:after="0" w:line="240" w:lineRule="auto"/>
        <w:rPr>
          <w:rFonts w:ascii="Times New Roman" w:hAnsi="Times New Roman"/>
        </w:rPr>
      </w:pPr>
      <w:r w:rsidRPr="00FA58D5">
        <w:rPr>
          <w:rStyle w:val="FootnoteReference"/>
          <w:rFonts w:ascii="Times New Roman" w:hAnsi="Times New Roman"/>
        </w:rPr>
        <w:footnoteRef/>
      </w:r>
      <w:r w:rsidRPr="00FA58D5">
        <w:rPr>
          <w:rFonts w:ascii="Times New Roman" w:hAnsi="Times New Roman"/>
        </w:rPr>
        <w:t xml:space="preserve"> </w:t>
      </w:r>
      <w:r w:rsidRPr="00FA58D5">
        <w:rPr>
          <w:rFonts w:ascii="Times New Roman" w:hAnsi="Times New Roman"/>
          <w:i/>
          <w:iCs/>
        </w:rPr>
        <w:t>Seamstress</w:t>
      </w:r>
      <w:r w:rsidRPr="00FA58D5">
        <w:rPr>
          <w:rFonts w:ascii="Times New Roman" w:hAnsi="Times New Roman"/>
        </w:rPr>
        <w:t>, p. 4</w:t>
      </w:r>
      <w:r>
        <w:rPr>
          <w:rFonts w:ascii="Times New Roman" w:hAnsi="Times New Roman"/>
        </w:rPr>
        <w:t>2</w:t>
      </w:r>
      <w:r w:rsidRPr="00FA58D5">
        <w:rPr>
          <w:rFonts w:ascii="Times New Roman" w:hAnsi="Times New Roman"/>
        </w:rPr>
        <w:t>.</w:t>
      </w:r>
    </w:p>
  </w:footnote>
  <w:footnote w:id="532">
    <w:p w:rsidR="003515E3" w:rsidRPr="00CE0A43" w:rsidRDefault="003515E3" w:rsidP="00BA19FC">
      <w:pPr>
        <w:pStyle w:val="FootnoteText"/>
        <w:spacing w:after="0" w:line="240" w:lineRule="auto"/>
        <w:rPr>
          <w:rFonts w:ascii="Times New Roman" w:hAnsi="Times New Roman"/>
        </w:rPr>
      </w:pPr>
      <w:r w:rsidRPr="00CE0A43">
        <w:rPr>
          <w:rStyle w:val="FootnoteReference"/>
          <w:rFonts w:ascii="Times New Roman" w:hAnsi="Times New Roman"/>
        </w:rPr>
        <w:footnoteRef/>
      </w:r>
      <w:r w:rsidRPr="00CE0A43">
        <w:rPr>
          <w:rFonts w:ascii="Times New Roman" w:hAnsi="Times New Roman"/>
        </w:rPr>
        <w:t xml:space="preserve"> </w:t>
      </w:r>
      <w:r w:rsidRPr="00CE0A43">
        <w:rPr>
          <w:rFonts w:ascii="Times New Roman" w:hAnsi="Times New Roman"/>
          <w:i/>
          <w:iCs/>
        </w:rPr>
        <w:t>Seamstress</w:t>
      </w:r>
      <w:r w:rsidRPr="00CE0A43">
        <w:rPr>
          <w:rFonts w:ascii="Times New Roman" w:hAnsi="Times New Roman"/>
        </w:rPr>
        <w:t>, p. 44.</w:t>
      </w:r>
    </w:p>
  </w:footnote>
  <w:footnote w:id="533">
    <w:p w:rsidR="003515E3" w:rsidRPr="0069287D" w:rsidRDefault="003515E3" w:rsidP="00BA19FC">
      <w:pPr>
        <w:pStyle w:val="FootnoteText"/>
        <w:spacing w:after="0" w:line="240" w:lineRule="auto"/>
        <w:rPr>
          <w:rFonts w:ascii="Times New Roman" w:hAnsi="Times New Roman"/>
        </w:rPr>
      </w:pPr>
      <w:r w:rsidRPr="00FA58D5">
        <w:rPr>
          <w:rStyle w:val="FootnoteReference"/>
          <w:rFonts w:ascii="Times New Roman" w:hAnsi="Times New Roman"/>
        </w:rPr>
        <w:footnoteRef/>
      </w:r>
      <w:r w:rsidRPr="00FA58D5">
        <w:rPr>
          <w:rFonts w:ascii="Times New Roman" w:hAnsi="Times New Roman"/>
        </w:rPr>
        <w:t xml:space="preserve"> </w:t>
      </w:r>
      <w:r w:rsidRPr="00FA58D5">
        <w:rPr>
          <w:rFonts w:ascii="Times New Roman" w:hAnsi="Times New Roman"/>
          <w:i/>
          <w:iCs/>
        </w:rPr>
        <w:t>Seamstress</w:t>
      </w:r>
      <w:r w:rsidRPr="00FA58D5">
        <w:rPr>
          <w:rFonts w:ascii="Times New Roman" w:hAnsi="Times New Roman"/>
        </w:rPr>
        <w:t>, p. 43.</w:t>
      </w:r>
    </w:p>
  </w:footnote>
  <w:footnote w:id="534">
    <w:p w:rsidR="003515E3" w:rsidRPr="0069287D" w:rsidRDefault="003515E3" w:rsidP="00BA19FC">
      <w:pPr>
        <w:pStyle w:val="FootnoteText"/>
        <w:spacing w:after="0" w:line="240" w:lineRule="auto"/>
        <w:rPr>
          <w:rFonts w:ascii="Times New Roman" w:hAnsi="Times New Roman"/>
        </w:rPr>
      </w:pPr>
      <w:r w:rsidRPr="0069287D">
        <w:rPr>
          <w:rStyle w:val="FootnoteReference"/>
          <w:rFonts w:ascii="Times New Roman" w:hAnsi="Times New Roman"/>
        </w:rPr>
        <w:footnoteRef/>
      </w:r>
      <w:r w:rsidRPr="0069287D">
        <w:rPr>
          <w:rFonts w:ascii="Times New Roman" w:hAnsi="Times New Roman"/>
        </w:rPr>
        <w:t xml:space="preserve"> </w:t>
      </w:r>
      <w:r w:rsidRPr="000B1B41">
        <w:rPr>
          <w:rFonts w:ascii="Times New Roman" w:hAnsi="Times New Roman"/>
          <w:i/>
          <w:iCs/>
        </w:rPr>
        <w:t>Seamstress</w:t>
      </w:r>
      <w:r w:rsidRPr="000B1B41">
        <w:rPr>
          <w:rFonts w:ascii="Times New Roman" w:hAnsi="Times New Roman"/>
        </w:rPr>
        <w:t>, p. 39.</w:t>
      </w:r>
    </w:p>
  </w:footnote>
  <w:footnote w:id="535">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Julia knows him as Charles Osmond, whereas Virginia knows him only as Charles.</w:t>
      </w:r>
    </w:p>
  </w:footnote>
  <w:footnote w:id="536">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Graham Law, ‘Reynolds’s ‘Memoirs’ Series and ‘The Literature of the Kitchen’’, in </w:t>
      </w:r>
      <w:r w:rsidRPr="00E16A3F">
        <w:rPr>
          <w:rFonts w:ascii="Times New Roman" w:hAnsi="Times New Roman"/>
          <w:i/>
        </w:rPr>
        <w:t>G. W. M. Reynolds: Nineteenth-Century Fiction, Politics, and the Press</w:t>
      </w:r>
      <w:r w:rsidRPr="00E16A3F">
        <w:rPr>
          <w:rFonts w:ascii="Times New Roman" w:hAnsi="Times New Roman"/>
        </w:rPr>
        <w:t>, ed. by Humpherys and James, pp. 201–12 (p. 210).</w:t>
      </w:r>
    </w:p>
  </w:footnote>
  <w:footnote w:id="537">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iCs/>
        </w:rPr>
        <w:t>Mary Price</w:t>
      </w:r>
      <w:r w:rsidRPr="00E16A3F">
        <w:rPr>
          <w:rFonts w:ascii="Times New Roman" w:hAnsi="Times New Roman"/>
        </w:rPr>
        <w:t>, I, 4.</w:t>
      </w:r>
    </w:p>
  </w:footnote>
  <w:footnote w:id="538">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iCs/>
        </w:rPr>
        <w:t>Mary Price</w:t>
      </w:r>
      <w:r w:rsidRPr="00E16A3F">
        <w:rPr>
          <w:rFonts w:ascii="Times New Roman" w:hAnsi="Times New Roman"/>
        </w:rPr>
        <w:t>, I, 11.</w:t>
      </w:r>
    </w:p>
  </w:footnote>
  <w:footnote w:id="539">
    <w:p w:rsidR="003515E3" w:rsidRPr="00446D6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iCs/>
        </w:rPr>
        <w:t>Mary Price</w:t>
      </w:r>
      <w:r w:rsidRPr="00E16A3F">
        <w:rPr>
          <w:rFonts w:ascii="Times New Roman" w:hAnsi="Times New Roman"/>
        </w:rPr>
        <w:t>, I. 227.</w:t>
      </w:r>
    </w:p>
  </w:footnote>
  <w:footnote w:id="540">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Mary Price</w:t>
      </w:r>
      <w:r w:rsidRPr="00446D6F">
        <w:rPr>
          <w:rFonts w:ascii="Times New Roman" w:hAnsi="Times New Roman"/>
        </w:rPr>
        <w:t>, I. 227.</w:t>
      </w:r>
    </w:p>
  </w:footnote>
  <w:footnote w:id="541">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Mary Price</w:t>
      </w:r>
      <w:r w:rsidRPr="00446D6F">
        <w:rPr>
          <w:rFonts w:ascii="Times New Roman" w:hAnsi="Times New Roman"/>
        </w:rPr>
        <w:t>, I,</w:t>
      </w:r>
      <w:r w:rsidRPr="00446D6F">
        <w:rPr>
          <w:rFonts w:ascii="Times New Roman" w:hAnsi="Times New Roman"/>
          <w:color w:val="FF0000"/>
        </w:rPr>
        <w:t xml:space="preserve"> </w:t>
      </w:r>
      <w:r w:rsidRPr="00446D6F">
        <w:rPr>
          <w:rFonts w:ascii="Times New Roman" w:hAnsi="Times New Roman"/>
        </w:rPr>
        <w:t>239.</w:t>
      </w:r>
    </w:p>
  </w:footnote>
  <w:footnote w:id="542">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Mary Price</w:t>
      </w:r>
      <w:r w:rsidRPr="00446D6F">
        <w:rPr>
          <w:rFonts w:ascii="Times New Roman" w:hAnsi="Times New Roman"/>
        </w:rPr>
        <w:t>, I,</w:t>
      </w:r>
      <w:r w:rsidRPr="00446D6F">
        <w:rPr>
          <w:rFonts w:ascii="Times New Roman" w:hAnsi="Times New Roman"/>
          <w:color w:val="FF0000"/>
        </w:rPr>
        <w:t xml:space="preserve"> </w:t>
      </w:r>
      <w:r w:rsidRPr="00446D6F">
        <w:rPr>
          <w:rFonts w:ascii="Times New Roman" w:hAnsi="Times New Roman"/>
        </w:rPr>
        <w:t>400.</w:t>
      </w:r>
    </w:p>
  </w:footnote>
  <w:footnote w:id="543">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Mary Price</w:t>
      </w:r>
      <w:r w:rsidRPr="00446D6F">
        <w:rPr>
          <w:rFonts w:ascii="Times New Roman" w:hAnsi="Times New Roman"/>
        </w:rPr>
        <w:t>, II. 90.</w:t>
      </w:r>
    </w:p>
  </w:footnote>
  <w:footnote w:id="544">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Edgar signals his forward manner when seeing Mary for the first time, looking at her closely and calling her ‘an uncommon fine girl’.  See </w:t>
      </w:r>
      <w:r w:rsidRPr="00446D6F">
        <w:rPr>
          <w:rFonts w:ascii="Times New Roman" w:hAnsi="Times New Roman"/>
          <w:i/>
          <w:iCs/>
        </w:rPr>
        <w:t>Mary Price</w:t>
      </w:r>
      <w:r w:rsidRPr="00446D6F">
        <w:rPr>
          <w:rFonts w:ascii="Times New Roman" w:hAnsi="Times New Roman"/>
        </w:rPr>
        <w:t>, II,</w:t>
      </w:r>
      <w:r w:rsidRPr="00446D6F">
        <w:rPr>
          <w:rFonts w:ascii="Times New Roman" w:hAnsi="Times New Roman"/>
          <w:color w:val="FF0000"/>
        </w:rPr>
        <w:t xml:space="preserve"> </w:t>
      </w:r>
      <w:r w:rsidRPr="00446D6F">
        <w:rPr>
          <w:rFonts w:ascii="Times New Roman" w:hAnsi="Times New Roman"/>
        </w:rPr>
        <w:t>88.</w:t>
      </w:r>
    </w:p>
  </w:footnote>
  <w:footnote w:id="545">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Mary Price</w:t>
      </w:r>
      <w:r w:rsidRPr="00446D6F">
        <w:rPr>
          <w:rFonts w:ascii="Times New Roman" w:hAnsi="Times New Roman"/>
        </w:rPr>
        <w:t>, II, 96.</w:t>
      </w:r>
    </w:p>
  </w:footnote>
  <w:footnote w:id="546">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Mary Price</w:t>
      </w:r>
      <w:r w:rsidRPr="00446D6F">
        <w:rPr>
          <w:rFonts w:ascii="Times New Roman" w:hAnsi="Times New Roman"/>
        </w:rPr>
        <w:t>, II, 93</w:t>
      </w:r>
      <w:r w:rsidRPr="00446D6F">
        <w:rPr>
          <w:rFonts w:ascii="Times New Roman" w:hAnsi="Times New Roman"/>
          <w:color w:val="000000"/>
        </w:rPr>
        <w:t>–</w:t>
      </w:r>
      <w:r w:rsidRPr="00446D6F">
        <w:rPr>
          <w:rFonts w:ascii="Times New Roman" w:hAnsi="Times New Roman"/>
        </w:rPr>
        <w:t>94.</w:t>
      </w:r>
    </w:p>
  </w:footnote>
  <w:footnote w:id="547">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Mary Price</w:t>
      </w:r>
      <w:r w:rsidRPr="00446D6F">
        <w:rPr>
          <w:rFonts w:ascii="Times New Roman" w:hAnsi="Times New Roman"/>
        </w:rPr>
        <w:t>, II, 149.</w:t>
      </w:r>
    </w:p>
  </w:footnote>
  <w:footnote w:id="548">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Mary Price</w:t>
      </w:r>
      <w:r w:rsidRPr="00446D6F">
        <w:rPr>
          <w:rFonts w:ascii="Times New Roman" w:hAnsi="Times New Roman"/>
        </w:rPr>
        <w:t>, II, 150.</w:t>
      </w:r>
    </w:p>
  </w:footnote>
  <w:footnote w:id="549">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The letter that Sarah believes concerns an illicit affair Edgar is having contains details of ‘a purely business matter’.  See </w:t>
      </w:r>
      <w:r w:rsidRPr="00446D6F">
        <w:rPr>
          <w:rFonts w:ascii="Times New Roman" w:hAnsi="Times New Roman"/>
          <w:i/>
          <w:iCs/>
        </w:rPr>
        <w:t>Mary Price</w:t>
      </w:r>
      <w:r w:rsidRPr="00446D6F">
        <w:rPr>
          <w:rFonts w:ascii="Times New Roman" w:hAnsi="Times New Roman"/>
        </w:rPr>
        <w:t>, II, 176.</w:t>
      </w:r>
    </w:p>
  </w:footnote>
  <w:footnote w:id="550">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Mary Price</w:t>
      </w:r>
      <w:r w:rsidRPr="00446D6F">
        <w:rPr>
          <w:rFonts w:ascii="Times New Roman" w:hAnsi="Times New Roman"/>
        </w:rPr>
        <w:t>, II, 176.</w:t>
      </w:r>
    </w:p>
  </w:footnote>
  <w:footnote w:id="551">
    <w:p w:rsidR="003515E3" w:rsidRPr="001227E8" w:rsidRDefault="003515E3" w:rsidP="00BA19FC">
      <w:pPr>
        <w:pStyle w:val="FootnoteText"/>
        <w:spacing w:after="0" w:line="240" w:lineRule="auto"/>
        <w:rPr>
          <w:rFonts w:ascii="Times New Roman" w:hAnsi="Times New Roman"/>
        </w:rPr>
      </w:pPr>
      <w:r w:rsidRPr="001227E8">
        <w:rPr>
          <w:rStyle w:val="FootnoteReference"/>
          <w:rFonts w:ascii="Times New Roman" w:hAnsi="Times New Roman"/>
        </w:rPr>
        <w:footnoteRef/>
      </w:r>
      <w:r w:rsidRPr="001227E8">
        <w:rPr>
          <w:rFonts w:ascii="Times New Roman" w:hAnsi="Times New Roman"/>
        </w:rPr>
        <w:t xml:space="preserve"> </w:t>
      </w:r>
      <w:r w:rsidRPr="001227E8">
        <w:rPr>
          <w:rFonts w:ascii="Times New Roman" w:hAnsi="Times New Roman"/>
          <w:i/>
          <w:iCs/>
        </w:rPr>
        <w:t>Mary Price</w:t>
      </w:r>
      <w:r w:rsidRPr="001227E8">
        <w:rPr>
          <w:rFonts w:ascii="Times New Roman" w:hAnsi="Times New Roman"/>
        </w:rPr>
        <w:t>, II, 150.</w:t>
      </w:r>
    </w:p>
  </w:footnote>
  <w:footnote w:id="552">
    <w:p w:rsidR="003515E3" w:rsidRPr="0069287D" w:rsidRDefault="003515E3" w:rsidP="00BA19FC">
      <w:pPr>
        <w:pStyle w:val="FootnoteText"/>
        <w:spacing w:after="0" w:line="240" w:lineRule="auto"/>
        <w:rPr>
          <w:rFonts w:ascii="Times New Roman" w:hAnsi="Times New Roman"/>
        </w:rPr>
      </w:pPr>
      <w:r w:rsidRPr="001227E8">
        <w:rPr>
          <w:rStyle w:val="FootnoteReference"/>
          <w:rFonts w:ascii="Times New Roman" w:hAnsi="Times New Roman"/>
        </w:rPr>
        <w:footnoteRef/>
      </w:r>
      <w:r w:rsidRPr="001227E8">
        <w:rPr>
          <w:rFonts w:ascii="Times New Roman" w:hAnsi="Times New Roman"/>
        </w:rPr>
        <w:t xml:space="preserve"> </w:t>
      </w:r>
      <w:r w:rsidRPr="001227E8">
        <w:rPr>
          <w:rFonts w:ascii="Times New Roman" w:hAnsi="Times New Roman"/>
          <w:i/>
          <w:iCs/>
        </w:rPr>
        <w:t>Mary Price</w:t>
      </w:r>
      <w:r w:rsidRPr="001227E8">
        <w:rPr>
          <w:rFonts w:ascii="Times New Roman" w:hAnsi="Times New Roman"/>
        </w:rPr>
        <w:t>, II, 176.</w:t>
      </w:r>
    </w:p>
  </w:footnote>
  <w:footnote w:id="553">
    <w:p w:rsidR="003515E3" w:rsidRPr="00CE6BDB" w:rsidRDefault="003515E3" w:rsidP="00BA19FC">
      <w:pPr>
        <w:pStyle w:val="FootnoteText"/>
        <w:spacing w:after="0" w:line="240" w:lineRule="auto"/>
        <w:rPr>
          <w:rFonts w:ascii="Times New Roman" w:hAnsi="Times New Roman"/>
        </w:rPr>
      </w:pPr>
      <w:r w:rsidRPr="00CE6BDB">
        <w:rPr>
          <w:rStyle w:val="FootnoteReference"/>
          <w:rFonts w:ascii="Times New Roman" w:hAnsi="Times New Roman"/>
        </w:rPr>
        <w:footnoteRef/>
      </w:r>
      <w:r w:rsidRPr="00CE6BDB">
        <w:rPr>
          <w:rFonts w:ascii="Times New Roman" w:hAnsi="Times New Roman"/>
        </w:rPr>
        <w:t xml:space="preserve"> </w:t>
      </w:r>
      <w:r w:rsidRPr="00CE6BDB">
        <w:rPr>
          <w:rFonts w:ascii="Times New Roman" w:hAnsi="Times New Roman"/>
          <w:i/>
          <w:iCs/>
        </w:rPr>
        <w:t>Mary Price</w:t>
      </w:r>
      <w:r w:rsidRPr="00CE6BDB">
        <w:rPr>
          <w:rFonts w:ascii="Times New Roman" w:hAnsi="Times New Roman"/>
        </w:rPr>
        <w:t>, II, 183.</w:t>
      </w:r>
    </w:p>
  </w:footnote>
  <w:footnote w:id="554">
    <w:p w:rsidR="003515E3" w:rsidRPr="00CE6BDB" w:rsidRDefault="003515E3" w:rsidP="00BA19FC">
      <w:pPr>
        <w:pStyle w:val="FootnoteText"/>
        <w:spacing w:after="0" w:line="240" w:lineRule="auto"/>
        <w:rPr>
          <w:rFonts w:ascii="Times New Roman" w:hAnsi="Times New Roman"/>
        </w:rPr>
      </w:pPr>
      <w:r w:rsidRPr="00CE6BDB">
        <w:rPr>
          <w:rStyle w:val="FootnoteReference"/>
          <w:rFonts w:ascii="Times New Roman" w:hAnsi="Times New Roman"/>
        </w:rPr>
        <w:footnoteRef/>
      </w:r>
      <w:r w:rsidRPr="00CE6BDB">
        <w:rPr>
          <w:rFonts w:ascii="Times New Roman" w:hAnsi="Times New Roman"/>
        </w:rPr>
        <w:t xml:space="preserve"> </w:t>
      </w:r>
      <w:r w:rsidRPr="00CE6BDB">
        <w:rPr>
          <w:rFonts w:ascii="Times New Roman" w:hAnsi="Times New Roman"/>
          <w:i/>
          <w:iCs/>
        </w:rPr>
        <w:t>Mary Price</w:t>
      </w:r>
      <w:r w:rsidRPr="00CE6BDB">
        <w:rPr>
          <w:rFonts w:ascii="Times New Roman" w:hAnsi="Times New Roman"/>
        </w:rPr>
        <w:t>, II, 260.</w:t>
      </w:r>
    </w:p>
  </w:footnote>
  <w:footnote w:id="555">
    <w:p w:rsidR="003515E3" w:rsidRPr="0069287D" w:rsidRDefault="003515E3" w:rsidP="00BA19FC">
      <w:pPr>
        <w:pStyle w:val="FootnoteText"/>
        <w:spacing w:after="0" w:line="240" w:lineRule="auto"/>
        <w:rPr>
          <w:rFonts w:ascii="Times New Roman" w:hAnsi="Times New Roman"/>
        </w:rPr>
      </w:pPr>
      <w:r w:rsidRPr="00CE6BDB">
        <w:rPr>
          <w:rStyle w:val="FootnoteReference"/>
          <w:rFonts w:ascii="Times New Roman" w:hAnsi="Times New Roman"/>
        </w:rPr>
        <w:footnoteRef/>
      </w:r>
      <w:r w:rsidRPr="00CE6BDB">
        <w:rPr>
          <w:rFonts w:ascii="Times New Roman" w:hAnsi="Times New Roman"/>
        </w:rPr>
        <w:t xml:space="preserve"> </w:t>
      </w:r>
      <w:r w:rsidRPr="00CE6BDB">
        <w:rPr>
          <w:rFonts w:ascii="Times New Roman" w:hAnsi="Times New Roman"/>
          <w:i/>
          <w:iCs/>
        </w:rPr>
        <w:t>Mary Price</w:t>
      </w:r>
      <w:r w:rsidRPr="00CE6BDB">
        <w:rPr>
          <w:rFonts w:ascii="Times New Roman" w:hAnsi="Times New Roman"/>
        </w:rPr>
        <w:t>, I,</w:t>
      </w:r>
      <w:r w:rsidRPr="00CE6BDB">
        <w:rPr>
          <w:rFonts w:ascii="Times New Roman" w:hAnsi="Times New Roman"/>
          <w:color w:val="FF0000"/>
        </w:rPr>
        <w:t xml:space="preserve"> </w:t>
      </w:r>
      <w:r w:rsidRPr="00CE6BDB">
        <w:rPr>
          <w:rFonts w:ascii="Times New Roman" w:hAnsi="Times New Roman"/>
        </w:rPr>
        <w:t>304.</w:t>
      </w:r>
    </w:p>
  </w:footnote>
  <w:footnote w:id="556">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iCs/>
        </w:rPr>
        <w:t>Mary Price</w:t>
      </w:r>
      <w:r w:rsidRPr="00E16A3F">
        <w:rPr>
          <w:rFonts w:ascii="Times New Roman" w:hAnsi="Times New Roman"/>
        </w:rPr>
        <w:t>, II, 339</w:t>
      </w:r>
      <w:r w:rsidRPr="00E16A3F">
        <w:rPr>
          <w:rFonts w:ascii="Times New Roman" w:hAnsi="Times New Roman"/>
          <w:color w:val="000000"/>
        </w:rPr>
        <w:t>–</w:t>
      </w:r>
      <w:r w:rsidRPr="00E16A3F">
        <w:rPr>
          <w:rFonts w:ascii="Times New Roman" w:hAnsi="Times New Roman"/>
        </w:rPr>
        <w:t>40.</w:t>
      </w:r>
    </w:p>
  </w:footnote>
  <w:footnote w:id="557">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iCs/>
        </w:rPr>
        <w:t>Mary Price</w:t>
      </w:r>
      <w:r w:rsidRPr="00E16A3F">
        <w:rPr>
          <w:rFonts w:ascii="Times New Roman" w:hAnsi="Times New Roman"/>
        </w:rPr>
        <w:t>, II, 363.</w:t>
      </w:r>
    </w:p>
  </w:footnote>
  <w:footnote w:id="558">
    <w:p w:rsidR="003515E3" w:rsidRPr="00446D6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iCs/>
        </w:rPr>
        <w:t>Joseph Wilmot</w:t>
      </w:r>
      <w:r w:rsidRPr="00E16A3F">
        <w:rPr>
          <w:rFonts w:ascii="Times New Roman" w:hAnsi="Times New Roman"/>
        </w:rPr>
        <w:t>, I, 84.</w:t>
      </w:r>
    </w:p>
  </w:footnote>
  <w:footnote w:id="559">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Joseph Wilmot</w:t>
      </w:r>
      <w:r w:rsidRPr="00446D6F">
        <w:rPr>
          <w:rFonts w:ascii="Times New Roman" w:hAnsi="Times New Roman"/>
        </w:rPr>
        <w:t>, I, 86.</w:t>
      </w:r>
    </w:p>
  </w:footnote>
  <w:footnote w:id="560">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Joseph Wilmot</w:t>
      </w:r>
      <w:r w:rsidRPr="00446D6F">
        <w:rPr>
          <w:rFonts w:ascii="Times New Roman" w:hAnsi="Times New Roman"/>
        </w:rPr>
        <w:t>, I, 95.</w:t>
      </w:r>
    </w:p>
  </w:footnote>
  <w:footnote w:id="561">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Joseph Wilmot</w:t>
      </w:r>
      <w:r w:rsidRPr="00446D6F">
        <w:rPr>
          <w:rFonts w:ascii="Times New Roman" w:hAnsi="Times New Roman"/>
        </w:rPr>
        <w:t>, I, 100</w:t>
      </w:r>
      <w:r w:rsidRPr="00446D6F">
        <w:rPr>
          <w:rFonts w:ascii="Times New Roman" w:hAnsi="Times New Roman"/>
          <w:color w:val="000000"/>
        </w:rPr>
        <w:t>–</w:t>
      </w:r>
      <w:r w:rsidRPr="00446D6F">
        <w:rPr>
          <w:rFonts w:ascii="Times New Roman" w:hAnsi="Times New Roman"/>
        </w:rPr>
        <w:t>02.</w:t>
      </w:r>
    </w:p>
  </w:footnote>
  <w:footnote w:id="562">
    <w:p w:rsidR="003515E3" w:rsidRPr="00446D6F" w:rsidRDefault="003515E3" w:rsidP="00BA19FC">
      <w:pPr>
        <w:pStyle w:val="FootnoteText"/>
        <w:spacing w:after="0" w:line="240" w:lineRule="auto"/>
        <w:rPr>
          <w:rFonts w:ascii="Times New Roman" w:hAnsi="Times New Roman"/>
        </w:rPr>
      </w:pPr>
      <w:r w:rsidRPr="00446D6F">
        <w:rPr>
          <w:rStyle w:val="FootnoteReference"/>
          <w:rFonts w:ascii="Times New Roman" w:hAnsi="Times New Roman"/>
        </w:rPr>
        <w:footnoteRef/>
      </w:r>
      <w:r w:rsidRPr="00446D6F">
        <w:rPr>
          <w:rFonts w:ascii="Times New Roman" w:hAnsi="Times New Roman"/>
        </w:rPr>
        <w:t xml:space="preserve"> </w:t>
      </w:r>
      <w:r w:rsidRPr="00446D6F">
        <w:rPr>
          <w:rFonts w:ascii="Times New Roman" w:hAnsi="Times New Roman"/>
          <w:i/>
          <w:iCs/>
        </w:rPr>
        <w:t>Seamstress</w:t>
      </w:r>
      <w:r w:rsidRPr="00446D6F">
        <w:rPr>
          <w:rFonts w:ascii="Times New Roman" w:hAnsi="Times New Roman"/>
        </w:rPr>
        <w:t>, p. 4.</w:t>
      </w:r>
    </w:p>
  </w:footnote>
  <w:footnote w:id="563">
    <w:p w:rsidR="003515E3" w:rsidRPr="0069287D" w:rsidRDefault="003515E3" w:rsidP="00BA19FC">
      <w:pPr>
        <w:pStyle w:val="FootnoteText"/>
        <w:spacing w:after="0" w:line="240" w:lineRule="auto"/>
        <w:rPr>
          <w:rFonts w:ascii="Times New Roman" w:hAnsi="Times New Roman"/>
        </w:rPr>
      </w:pPr>
      <w:r w:rsidRPr="009A44BB">
        <w:rPr>
          <w:rStyle w:val="FootnoteReference"/>
          <w:rFonts w:ascii="Times New Roman" w:hAnsi="Times New Roman"/>
        </w:rPr>
        <w:footnoteRef/>
      </w:r>
      <w:r w:rsidRPr="009A44BB">
        <w:rPr>
          <w:rFonts w:ascii="Times New Roman" w:hAnsi="Times New Roman"/>
        </w:rPr>
        <w:t xml:space="preserve"> </w:t>
      </w:r>
      <w:r w:rsidRPr="009A44BB">
        <w:rPr>
          <w:rFonts w:ascii="Times New Roman" w:hAnsi="Times New Roman"/>
          <w:i/>
          <w:iCs/>
        </w:rPr>
        <w:t>Seamstress</w:t>
      </w:r>
      <w:r w:rsidRPr="009A44BB">
        <w:rPr>
          <w:rFonts w:ascii="Times New Roman" w:hAnsi="Times New Roman"/>
        </w:rPr>
        <w:t>, p. 4.</w:t>
      </w:r>
    </w:p>
  </w:footnote>
  <w:footnote w:id="564">
    <w:p w:rsidR="003515E3" w:rsidRPr="0069287D" w:rsidRDefault="003515E3" w:rsidP="00BA19FC">
      <w:pPr>
        <w:pStyle w:val="FootnoteText"/>
        <w:spacing w:after="0" w:line="240" w:lineRule="auto"/>
        <w:rPr>
          <w:rFonts w:ascii="Times New Roman" w:hAnsi="Times New Roman"/>
        </w:rPr>
      </w:pPr>
      <w:r w:rsidRPr="009A44BB">
        <w:rPr>
          <w:rStyle w:val="FootnoteReference"/>
          <w:rFonts w:ascii="Times New Roman" w:hAnsi="Times New Roman"/>
        </w:rPr>
        <w:footnoteRef/>
      </w:r>
      <w:r w:rsidRPr="009A44BB">
        <w:rPr>
          <w:rFonts w:ascii="Times New Roman" w:hAnsi="Times New Roman"/>
        </w:rPr>
        <w:t xml:space="preserve"> </w:t>
      </w:r>
      <w:r w:rsidRPr="009A44BB">
        <w:rPr>
          <w:rFonts w:ascii="Times New Roman" w:hAnsi="Times New Roman"/>
          <w:i/>
          <w:iCs/>
        </w:rPr>
        <w:t>Seamstress</w:t>
      </w:r>
      <w:r w:rsidRPr="009A44BB">
        <w:rPr>
          <w:rFonts w:ascii="Times New Roman" w:hAnsi="Times New Roman"/>
        </w:rPr>
        <w:t>, p. 4.</w:t>
      </w:r>
    </w:p>
  </w:footnote>
  <w:footnote w:id="565">
    <w:p w:rsidR="003515E3" w:rsidRPr="0069287D" w:rsidRDefault="003515E3" w:rsidP="00BA19FC">
      <w:pPr>
        <w:pStyle w:val="FootnoteText"/>
        <w:spacing w:after="0" w:line="240" w:lineRule="auto"/>
        <w:rPr>
          <w:rFonts w:ascii="Times New Roman" w:hAnsi="Times New Roman"/>
        </w:rPr>
      </w:pPr>
      <w:r w:rsidRPr="009A44BB">
        <w:rPr>
          <w:rStyle w:val="FootnoteReference"/>
          <w:rFonts w:ascii="Times New Roman" w:hAnsi="Times New Roman"/>
        </w:rPr>
        <w:footnoteRef/>
      </w:r>
      <w:r w:rsidRPr="009A44BB">
        <w:rPr>
          <w:rFonts w:ascii="Times New Roman" w:hAnsi="Times New Roman"/>
        </w:rPr>
        <w:t xml:space="preserve"> </w:t>
      </w:r>
      <w:r w:rsidRPr="009A44BB">
        <w:rPr>
          <w:rFonts w:ascii="Times New Roman" w:hAnsi="Times New Roman"/>
          <w:i/>
          <w:iCs/>
        </w:rPr>
        <w:t>Seamstress</w:t>
      </w:r>
      <w:r w:rsidRPr="009A44BB">
        <w:rPr>
          <w:rFonts w:ascii="Times New Roman" w:hAnsi="Times New Roman"/>
        </w:rPr>
        <w:t>, p. 4.</w:t>
      </w:r>
    </w:p>
  </w:footnote>
  <w:footnote w:id="566">
    <w:p w:rsidR="003515E3" w:rsidRPr="004C345E" w:rsidRDefault="003515E3" w:rsidP="00BA19FC">
      <w:pPr>
        <w:pStyle w:val="FootnoteText"/>
        <w:spacing w:after="0" w:line="240" w:lineRule="auto"/>
        <w:rPr>
          <w:rFonts w:ascii="Times New Roman" w:hAnsi="Times New Roman"/>
        </w:rPr>
      </w:pPr>
      <w:r w:rsidRPr="004C345E">
        <w:rPr>
          <w:rStyle w:val="FootnoteReference"/>
          <w:rFonts w:ascii="Times New Roman" w:hAnsi="Times New Roman"/>
        </w:rPr>
        <w:footnoteRef/>
      </w:r>
      <w:r w:rsidRPr="004C345E">
        <w:rPr>
          <w:rFonts w:ascii="Times New Roman" w:hAnsi="Times New Roman"/>
        </w:rPr>
        <w:t xml:space="preserve"> </w:t>
      </w:r>
      <w:r w:rsidRPr="004C345E">
        <w:rPr>
          <w:rFonts w:ascii="Times New Roman" w:hAnsi="Times New Roman"/>
          <w:i/>
          <w:iCs/>
        </w:rPr>
        <w:t>Seamstress</w:t>
      </w:r>
      <w:r w:rsidRPr="004C345E">
        <w:rPr>
          <w:rFonts w:ascii="Times New Roman" w:hAnsi="Times New Roman"/>
        </w:rPr>
        <w:t>, p. 54.</w:t>
      </w:r>
    </w:p>
  </w:footnote>
  <w:footnote w:id="567">
    <w:p w:rsidR="003515E3" w:rsidRPr="004C345E" w:rsidRDefault="003515E3" w:rsidP="00BA19FC">
      <w:pPr>
        <w:pStyle w:val="FootnoteText"/>
        <w:spacing w:after="0" w:line="240" w:lineRule="auto"/>
        <w:rPr>
          <w:rFonts w:ascii="Times New Roman" w:hAnsi="Times New Roman"/>
        </w:rPr>
      </w:pPr>
      <w:r w:rsidRPr="004C345E">
        <w:rPr>
          <w:rStyle w:val="FootnoteReference"/>
          <w:rFonts w:ascii="Times New Roman" w:hAnsi="Times New Roman"/>
        </w:rPr>
        <w:footnoteRef/>
      </w:r>
      <w:r w:rsidRPr="004C345E">
        <w:rPr>
          <w:rFonts w:ascii="Times New Roman" w:hAnsi="Times New Roman"/>
        </w:rPr>
        <w:t xml:space="preserve"> </w:t>
      </w:r>
      <w:r w:rsidRPr="004C345E">
        <w:rPr>
          <w:rFonts w:ascii="Times New Roman" w:hAnsi="Times New Roman"/>
          <w:i/>
          <w:iCs/>
        </w:rPr>
        <w:t>Seamstress</w:t>
      </w:r>
      <w:r w:rsidRPr="004C345E">
        <w:rPr>
          <w:rFonts w:ascii="Times New Roman" w:hAnsi="Times New Roman"/>
        </w:rPr>
        <w:t>, p. 54.</w:t>
      </w:r>
    </w:p>
  </w:footnote>
  <w:footnote w:id="568">
    <w:p w:rsidR="003515E3" w:rsidRPr="004C345E" w:rsidRDefault="003515E3" w:rsidP="00BA19FC">
      <w:pPr>
        <w:pStyle w:val="FootnoteText"/>
        <w:spacing w:after="0" w:line="240" w:lineRule="auto"/>
        <w:rPr>
          <w:rFonts w:ascii="Times New Roman" w:hAnsi="Times New Roman"/>
        </w:rPr>
      </w:pPr>
      <w:r w:rsidRPr="004C345E">
        <w:rPr>
          <w:rStyle w:val="FootnoteReference"/>
          <w:rFonts w:ascii="Times New Roman" w:hAnsi="Times New Roman"/>
        </w:rPr>
        <w:footnoteRef/>
      </w:r>
      <w:r w:rsidRPr="004C345E">
        <w:rPr>
          <w:rFonts w:ascii="Times New Roman" w:hAnsi="Times New Roman"/>
        </w:rPr>
        <w:t xml:space="preserve"> </w:t>
      </w:r>
      <w:r w:rsidRPr="004C345E">
        <w:rPr>
          <w:rFonts w:ascii="Times New Roman" w:hAnsi="Times New Roman"/>
          <w:i/>
          <w:iCs/>
        </w:rPr>
        <w:t>Seamstress</w:t>
      </w:r>
      <w:r w:rsidRPr="004C345E">
        <w:rPr>
          <w:rFonts w:ascii="Times New Roman" w:hAnsi="Times New Roman"/>
        </w:rPr>
        <w:t>, p. 54.</w:t>
      </w:r>
    </w:p>
  </w:footnote>
  <w:footnote w:id="569">
    <w:p w:rsidR="003515E3" w:rsidRPr="004C345E" w:rsidRDefault="003515E3" w:rsidP="00BA19FC">
      <w:pPr>
        <w:pStyle w:val="FootnoteText"/>
        <w:spacing w:after="0" w:line="240" w:lineRule="auto"/>
        <w:rPr>
          <w:rFonts w:ascii="Times New Roman" w:hAnsi="Times New Roman"/>
        </w:rPr>
      </w:pPr>
      <w:r w:rsidRPr="004C345E">
        <w:rPr>
          <w:rStyle w:val="FootnoteReference"/>
          <w:rFonts w:ascii="Times New Roman" w:hAnsi="Times New Roman"/>
        </w:rPr>
        <w:footnoteRef/>
      </w:r>
      <w:r w:rsidRPr="004C345E">
        <w:rPr>
          <w:rFonts w:ascii="Times New Roman" w:hAnsi="Times New Roman"/>
        </w:rPr>
        <w:t xml:space="preserve"> Lovel refers to her ‘tolerable long list of lovers’.  See </w:t>
      </w:r>
      <w:r w:rsidRPr="004C345E">
        <w:rPr>
          <w:rFonts w:ascii="Times New Roman" w:hAnsi="Times New Roman"/>
          <w:i/>
          <w:iCs/>
        </w:rPr>
        <w:t>Seamstress</w:t>
      </w:r>
      <w:r w:rsidRPr="004C345E">
        <w:rPr>
          <w:rFonts w:ascii="Times New Roman" w:hAnsi="Times New Roman"/>
        </w:rPr>
        <w:t>, p. 102.</w:t>
      </w:r>
    </w:p>
  </w:footnote>
  <w:footnote w:id="570">
    <w:p w:rsidR="003515E3" w:rsidRPr="0069287D" w:rsidRDefault="003515E3" w:rsidP="00BA19FC">
      <w:pPr>
        <w:pStyle w:val="FootnoteText"/>
        <w:spacing w:after="0" w:line="240" w:lineRule="auto"/>
        <w:rPr>
          <w:rFonts w:ascii="Times New Roman" w:hAnsi="Times New Roman"/>
        </w:rPr>
      </w:pPr>
      <w:r w:rsidRPr="004C345E">
        <w:rPr>
          <w:rStyle w:val="FootnoteReference"/>
          <w:rFonts w:ascii="Times New Roman" w:hAnsi="Times New Roman"/>
        </w:rPr>
        <w:footnoteRef/>
      </w:r>
      <w:r w:rsidRPr="004C345E">
        <w:rPr>
          <w:rFonts w:ascii="Times New Roman" w:hAnsi="Times New Roman"/>
        </w:rPr>
        <w:t xml:space="preserve"> </w:t>
      </w:r>
      <w:r w:rsidRPr="004C345E">
        <w:rPr>
          <w:rFonts w:ascii="Times New Roman" w:hAnsi="Times New Roman"/>
          <w:i/>
          <w:iCs/>
        </w:rPr>
        <w:t>Seamstress</w:t>
      </w:r>
      <w:r w:rsidRPr="004C345E">
        <w:rPr>
          <w:rFonts w:ascii="Times New Roman" w:hAnsi="Times New Roman"/>
        </w:rPr>
        <w:t>, p. 134.</w:t>
      </w:r>
    </w:p>
  </w:footnote>
  <w:footnote w:id="571">
    <w:p w:rsidR="003515E3" w:rsidRPr="00F47BD0" w:rsidRDefault="003515E3" w:rsidP="00BA19FC">
      <w:pPr>
        <w:pStyle w:val="FootnoteText"/>
        <w:spacing w:after="0" w:line="240" w:lineRule="auto"/>
        <w:rPr>
          <w:rFonts w:ascii="Times New Roman" w:hAnsi="Times New Roman"/>
        </w:rPr>
      </w:pPr>
      <w:r w:rsidRPr="00F47BD0">
        <w:rPr>
          <w:rStyle w:val="FootnoteReference"/>
          <w:rFonts w:ascii="Times New Roman" w:hAnsi="Times New Roman"/>
        </w:rPr>
        <w:footnoteRef/>
      </w:r>
      <w:r w:rsidRPr="00F47BD0">
        <w:rPr>
          <w:rFonts w:ascii="Times New Roman" w:hAnsi="Times New Roman"/>
        </w:rPr>
        <w:t xml:space="preserve"> </w:t>
      </w:r>
      <w:r w:rsidRPr="00F47BD0">
        <w:rPr>
          <w:rFonts w:ascii="Times New Roman" w:hAnsi="Times New Roman"/>
          <w:i/>
        </w:rPr>
        <w:t>Mysteries of London</w:t>
      </w:r>
      <w:r w:rsidRPr="00F47BD0">
        <w:rPr>
          <w:rFonts w:ascii="Times New Roman" w:hAnsi="Times New Roman"/>
        </w:rPr>
        <w:t>, III, 188.</w:t>
      </w:r>
    </w:p>
  </w:footnote>
  <w:footnote w:id="572">
    <w:p w:rsidR="003515E3" w:rsidRPr="00F47BD0" w:rsidRDefault="003515E3" w:rsidP="00BA19FC">
      <w:pPr>
        <w:pStyle w:val="FootnoteText"/>
        <w:spacing w:after="0" w:line="240" w:lineRule="auto"/>
        <w:rPr>
          <w:rFonts w:ascii="Times New Roman" w:hAnsi="Times New Roman"/>
        </w:rPr>
      </w:pPr>
      <w:r w:rsidRPr="00F47BD0">
        <w:rPr>
          <w:rStyle w:val="FootnoteReference"/>
          <w:rFonts w:ascii="Times New Roman" w:hAnsi="Times New Roman"/>
        </w:rPr>
        <w:footnoteRef/>
      </w:r>
      <w:r w:rsidRPr="00F47BD0">
        <w:rPr>
          <w:rFonts w:ascii="Times New Roman" w:hAnsi="Times New Roman"/>
        </w:rPr>
        <w:t xml:space="preserve"> </w:t>
      </w:r>
      <w:r w:rsidRPr="00F47BD0">
        <w:rPr>
          <w:rFonts w:ascii="Times New Roman" w:hAnsi="Times New Roman"/>
          <w:i/>
          <w:iCs/>
        </w:rPr>
        <w:t>Soldier’s Wife</w:t>
      </w:r>
      <w:r w:rsidRPr="00F47BD0">
        <w:rPr>
          <w:rFonts w:ascii="Times New Roman" w:hAnsi="Times New Roman"/>
        </w:rPr>
        <w:t>, p. 65.</w:t>
      </w:r>
    </w:p>
  </w:footnote>
  <w:footnote w:id="573">
    <w:p w:rsidR="003515E3" w:rsidRPr="00F47BD0" w:rsidRDefault="003515E3" w:rsidP="00BA19FC">
      <w:pPr>
        <w:pStyle w:val="FootnoteText"/>
        <w:spacing w:after="0" w:line="240" w:lineRule="auto"/>
        <w:rPr>
          <w:rFonts w:ascii="Times New Roman" w:hAnsi="Times New Roman"/>
        </w:rPr>
      </w:pPr>
      <w:r w:rsidRPr="00F47BD0">
        <w:rPr>
          <w:rStyle w:val="FootnoteReference"/>
          <w:rFonts w:ascii="Times New Roman" w:hAnsi="Times New Roman"/>
        </w:rPr>
        <w:footnoteRef/>
      </w:r>
      <w:r w:rsidRPr="00F47BD0">
        <w:rPr>
          <w:rFonts w:ascii="Times New Roman" w:hAnsi="Times New Roman"/>
        </w:rPr>
        <w:t xml:space="preserve"> </w:t>
      </w:r>
      <w:r w:rsidRPr="00F47BD0">
        <w:rPr>
          <w:rFonts w:ascii="Times New Roman" w:hAnsi="Times New Roman"/>
          <w:i/>
          <w:iCs/>
        </w:rPr>
        <w:t>Soldier’s Wife</w:t>
      </w:r>
      <w:r w:rsidRPr="00F47BD0">
        <w:rPr>
          <w:rFonts w:ascii="Times New Roman" w:hAnsi="Times New Roman"/>
        </w:rPr>
        <w:t>, p. 6</w:t>
      </w:r>
      <w:r>
        <w:rPr>
          <w:rFonts w:ascii="Times New Roman" w:hAnsi="Times New Roman"/>
        </w:rPr>
        <w:t>4</w:t>
      </w:r>
      <w:r w:rsidRPr="00F47BD0">
        <w:rPr>
          <w:rFonts w:ascii="Times New Roman" w:hAnsi="Times New Roman"/>
        </w:rPr>
        <w:t>.</w:t>
      </w:r>
    </w:p>
  </w:footnote>
  <w:footnote w:id="574">
    <w:p w:rsidR="003515E3" w:rsidRPr="00F47BD0" w:rsidRDefault="003515E3" w:rsidP="00BA19FC">
      <w:pPr>
        <w:pStyle w:val="FootnoteText"/>
        <w:spacing w:after="0" w:line="240" w:lineRule="auto"/>
        <w:rPr>
          <w:rFonts w:ascii="Times New Roman" w:hAnsi="Times New Roman"/>
        </w:rPr>
      </w:pPr>
      <w:r w:rsidRPr="00F47BD0">
        <w:rPr>
          <w:rStyle w:val="FootnoteReference"/>
          <w:rFonts w:ascii="Times New Roman" w:hAnsi="Times New Roman"/>
        </w:rPr>
        <w:footnoteRef/>
      </w:r>
      <w:r w:rsidRPr="00F47BD0">
        <w:rPr>
          <w:rFonts w:ascii="Times New Roman" w:hAnsi="Times New Roman"/>
        </w:rPr>
        <w:t xml:space="preserve"> </w:t>
      </w:r>
      <w:r w:rsidRPr="00F47BD0">
        <w:rPr>
          <w:rFonts w:ascii="Times New Roman" w:hAnsi="Times New Roman"/>
          <w:i/>
          <w:iCs/>
        </w:rPr>
        <w:t>Soldier’s Wife</w:t>
      </w:r>
      <w:r w:rsidRPr="00F47BD0">
        <w:rPr>
          <w:rFonts w:ascii="Times New Roman" w:hAnsi="Times New Roman"/>
        </w:rPr>
        <w:t>, p. 66.</w:t>
      </w:r>
    </w:p>
  </w:footnote>
  <w:footnote w:id="575">
    <w:p w:rsidR="003515E3" w:rsidRPr="00797A08" w:rsidRDefault="003515E3" w:rsidP="00BA19FC">
      <w:pPr>
        <w:pStyle w:val="FootnoteText"/>
        <w:spacing w:after="0" w:line="240" w:lineRule="auto"/>
        <w:rPr>
          <w:rFonts w:ascii="Times New Roman" w:hAnsi="Times New Roman"/>
        </w:rPr>
      </w:pPr>
      <w:r w:rsidRPr="00797A08">
        <w:rPr>
          <w:rStyle w:val="FootnoteReference"/>
          <w:rFonts w:ascii="Times New Roman" w:hAnsi="Times New Roman"/>
        </w:rPr>
        <w:footnoteRef/>
      </w:r>
      <w:r w:rsidRPr="00797A08">
        <w:rPr>
          <w:rFonts w:ascii="Times New Roman" w:hAnsi="Times New Roman"/>
        </w:rPr>
        <w:t xml:space="preserve"> </w:t>
      </w:r>
      <w:r>
        <w:rPr>
          <w:rFonts w:ascii="Times New Roman" w:hAnsi="Times New Roman"/>
        </w:rPr>
        <w:t>The</w:t>
      </w:r>
      <w:r w:rsidRPr="00797A08">
        <w:rPr>
          <w:rFonts w:ascii="Times New Roman" w:hAnsi="Times New Roman"/>
        </w:rPr>
        <w:t xml:space="preserve"> fears about Frederick being captured </w:t>
      </w:r>
      <w:r>
        <w:rPr>
          <w:rFonts w:ascii="Times New Roman" w:hAnsi="Times New Roman"/>
        </w:rPr>
        <w:t xml:space="preserve">lead </w:t>
      </w:r>
      <w:r w:rsidRPr="00797A08">
        <w:rPr>
          <w:rFonts w:ascii="Times New Roman" w:hAnsi="Times New Roman"/>
        </w:rPr>
        <w:t xml:space="preserve">Lucy </w:t>
      </w:r>
      <w:r>
        <w:rPr>
          <w:rFonts w:ascii="Times New Roman" w:hAnsi="Times New Roman"/>
        </w:rPr>
        <w:t xml:space="preserve">to </w:t>
      </w:r>
      <w:r w:rsidRPr="00797A08">
        <w:rPr>
          <w:rFonts w:ascii="Times New Roman" w:hAnsi="Times New Roman"/>
        </w:rPr>
        <w:t xml:space="preserve">feel guilt for </w:t>
      </w:r>
      <w:r>
        <w:rPr>
          <w:rFonts w:ascii="Times New Roman" w:hAnsi="Times New Roman"/>
        </w:rPr>
        <w:t>having</w:t>
      </w:r>
      <w:r w:rsidRPr="00797A08">
        <w:rPr>
          <w:rFonts w:ascii="Times New Roman" w:hAnsi="Times New Roman"/>
        </w:rPr>
        <w:t xml:space="preserve"> thoughts which ‘she fancied showed a mistrust in Providence’. </w:t>
      </w:r>
      <w:r>
        <w:rPr>
          <w:rFonts w:ascii="Times New Roman" w:hAnsi="Times New Roman"/>
        </w:rPr>
        <w:t xml:space="preserve"> </w:t>
      </w:r>
      <w:r w:rsidRPr="00797A08">
        <w:rPr>
          <w:rFonts w:ascii="Times New Roman" w:hAnsi="Times New Roman"/>
        </w:rPr>
        <w:t xml:space="preserve">See </w:t>
      </w:r>
      <w:r w:rsidRPr="00797A08">
        <w:rPr>
          <w:rFonts w:ascii="Times New Roman" w:hAnsi="Times New Roman"/>
          <w:i/>
          <w:iCs/>
        </w:rPr>
        <w:t>Soldier’s Wife</w:t>
      </w:r>
      <w:r w:rsidRPr="00797A08">
        <w:rPr>
          <w:rFonts w:ascii="Times New Roman" w:hAnsi="Times New Roman"/>
        </w:rPr>
        <w:t>, p. 66.</w:t>
      </w:r>
    </w:p>
  </w:footnote>
  <w:footnote w:id="576">
    <w:p w:rsidR="003515E3" w:rsidRPr="00F47BD0" w:rsidRDefault="003515E3" w:rsidP="00BA19FC">
      <w:pPr>
        <w:pStyle w:val="FootnoteText"/>
        <w:spacing w:after="0" w:line="240" w:lineRule="auto"/>
        <w:rPr>
          <w:rFonts w:ascii="Times New Roman" w:hAnsi="Times New Roman"/>
        </w:rPr>
      </w:pPr>
      <w:r w:rsidRPr="00F47BD0">
        <w:rPr>
          <w:rStyle w:val="FootnoteReference"/>
          <w:rFonts w:ascii="Times New Roman" w:hAnsi="Times New Roman"/>
        </w:rPr>
        <w:footnoteRef/>
      </w:r>
      <w:r w:rsidRPr="00F47BD0">
        <w:rPr>
          <w:rFonts w:ascii="Times New Roman" w:hAnsi="Times New Roman"/>
        </w:rPr>
        <w:t xml:space="preserve"> </w:t>
      </w:r>
      <w:r w:rsidRPr="00F47BD0">
        <w:rPr>
          <w:rFonts w:ascii="Times New Roman" w:hAnsi="Times New Roman"/>
          <w:i/>
          <w:iCs/>
        </w:rPr>
        <w:t>Soldier’s Wife</w:t>
      </w:r>
      <w:r w:rsidRPr="00F47BD0">
        <w:rPr>
          <w:rFonts w:ascii="Times New Roman" w:hAnsi="Times New Roman"/>
        </w:rPr>
        <w:t>, p. 75.</w:t>
      </w:r>
    </w:p>
  </w:footnote>
  <w:footnote w:id="577">
    <w:p w:rsidR="003515E3" w:rsidRPr="00F56120" w:rsidRDefault="003515E3" w:rsidP="00BA19FC">
      <w:pPr>
        <w:pStyle w:val="FootnoteText"/>
        <w:spacing w:after="0" w:line="240" w:lineRule="auto"/>
        <w:rPr>
          <w:rFonts w:ascii="Times New Roman" w:hAnsi="Times New Roman"/>
        </w:rPr>
      </w:pPr>
      <w:r w:rsidRPr="00F56120">
        <w:rPr>
          <w:rStyle w:val="FootnoteReference"/>
          <w:rFonts w:ascii="Times New Roman" w:hAnsi="Times New Roman"/>
        </w:rPr>
        <w:footnoteRef/>
      </w:r>
      <w:r w:rsidRPr="00F56120">
        <w:rPr>
          <w:rFonts w:ascii="Times New Roman" w:hAnsi="Times New Roman"/>
        </w:rPr>
        <w:t xml:space="preserve"> Dalziel, p. 97.</w:t>
      </w:r>
    </w:p>
  </w:footnote>
  <w:footnote w:id="578">
    <w:p w:rsidR="003515E3" w:rsidRPr="001840D3" w:rsidRDefault="003515E3" w:rsidP="00BA19FC">
      <w:pPr>
        <w:pStyle w:val="FootnoteText"/>
        <w:spacing w:after="0" w:line="240" w:lineRule="auto"/>
        <w:rPr>
          <w:rFonts w:ascii="Times New Roman" w:hAnsi="Times New Roman"/>
        </w:rPr>
      </w:pPr>
      <w:r w:rsidRPr="00F47BD0">
        <w:rPr>
          <w:rStyle w:val="FootnoteReference"/>
          <w:rFonts w:ascii="Times New Roman" w:hAnsi="Times New Roman"/>
        </w:rPr>
        <w:footnoteRef/>
      </w:r>
      <w:r w:rsidRPr="00F47BD0">
        <w:rPr>
          <w:rFonts w:ascii="Times New Roman" w:hAnsi="Times New Roman"/>
        </w:rPr>
        <w:t xml:space="preserve"> </w:t>
      </w:r>
      <w:r w:rsidRPr="00F47BD0">
        <w:rPr>
          <w:rFonts w:ascii="Times New Roman" w:hAnsi="Times New Roman"/>
          <w:i/>
        </w:rPr>
        <w:t>Mysteries of London</w:t>
      </w:r>
      <w:r w:rsidRPr="00F47BD0">
        <w:rPr>
          <w:rFonts w:ascii="Times New Roman" w:hAnsi="Times New Roman"/>
        </w:rPr>
        <w:t>, II, 216.</w:t>
      </w:r>
    </w:p>
  </w:footnote>
  <w:footnote w:id="579">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Agnes’s father is Sir Gilbert Heathcote.  See</w:t>
      </w:r>
      <w:r w:rsidRPr="00E16A3F">
        <w:rPr>
          <w:rFonts w:ascii="Times New Roman" w:hAnsi="Times New Roman"/>
          <w:i/>
        </w:rPr>
        <w:t xml:space="preserve"> Mysteries of London</w:t>
      </w:r>
      <w:r w:rsidRPr="00E16A3F">
        <w:rPr>
          <w:rFonts w:ascii="Times New Roman" w:hAnsi="Times New Roman"/>
        </w:rPr>
        <w:t>, IV, 379.</w:t>
      </w:r>
    </w:p>
  </w:footnote>
  <w:footnote w:id="580">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IV, 206.</w:t>
      </w:r>
    </w:p>
  </w:footnote>
  <w:footnote w:id="581">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See</w:t>
      </w:r>
      <w:r w:rsidRPr="00E16A3F">
        <w:rPr>
          <w:rFonts w:ascii="Times New Roman" w:hAnsi="Times New Roman"/>
          <w:i/>
        </w:rPr>
        <w:t xml:space="preserve"> Mysteries of London</w:t>
      </w:r>
      <w:r w:rsidRPr="00E16A3F">
        <w:rPr>
          <w:rFonts w:ascii="Times New Roman" w:hAnsi="Times New Roman"/>
        </w:rPr>
        <w:t>, IV, 254</w:t>
      </w:r>
      <w:r w:rsidRPr="00E16A3F">
        <w:rPr>
          <w:rFonts w:ascii="Times New Roman" w:hAnsi="Times New Roman"/>
          <w:color w:val="002060"/>
        </w:rPr>
        <w:t>–</w:t>
      </w:r>
      <w:r w:rsidRPr="00E16A3F">
        <w:rPr>
          <w:rFonts w:ascii="Times New Roman" w:hAnsi="Times New Roman"/>
        </w:rPr>
        <w:t>55.</w:t>
      </w:r>
    </w:p>
  </w:footnote>
  <w:footnote w:id="582">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rPr>
        <w:t>Mysteries of London</w:t>
      </w:r>
      <w:r w:rsidRPr="00E16A3F">
        <w:rPr>
          <w:rFonts w:ascii="Times New Roman" w:hAnsi="Times New Roman"/>
        </w:rPr>
        <w:t>, IV, 314.</w:t>
      </w:r>
    </w:p>
  </w:footnote>
  <w:footnote w:id="583">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Dalziel, p. 84.  Reynolds recognizes the dangers that exist for this state of innocence.  It makes Agnes vulnerable to predators like Martha Slingsby who visits the house, leading her father to call upon more worldly-wise members of the household to ensure she receives protection.  See </w:t>
      </w:r>
      <w:r w:rsidRPr="00E16A3F">
        <w:rPr>
          <w:rFonts w:ascii="Times New Roman" w:hAnsi="Times New Roman"/>
          <w:i/>
        </w:rPr>
        <w:t>Mysteries of London</w:t>
      </w:r>
      <w:r w:rsidRPr="00E16A3F">
        <w:rPr>
          <w:rFonts w:ascii="Times New Roman" w:hAnsi="Times New Roman"/>
        </w:rPr>
        <w:t>, IV, 215–16.</w:t>
      </w:r>
    </w:p>
  </w:footnote>
  <w:footnote w:id="584">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Thomas Beggs, ‘The Moral Elevation of the People’.  Quoted in </w:t>
      </w:r>
      <w:r w:rsidRPr="00E16A3F">
        <w:rPr>
          <w:rFonts w:ascii="Times New Roman" w:hAnsi="Times New Roman"/>
          <w:i/>
        </w:rPr>
        <w:t>Reynolds’s Miscellany</w:t>
      </w:r>
      <w:r w:rsidRPr="00E16A3F">
        <w:rPr>
          <w:rFonts w:ascii="Times New Roman" w:hAnsi="Times New Roman"/>
        </w:rPr>
        <w:t>, 1 July 1848, pp. 532</w:t>
      </w:r>
      <w:r w:rsidRPr="00E16A3F">
        <w:rPr>
          <w:rFonts w:ascii="Times New Roman" w:hAnsi="Times New Roman"/>
          <w:color w:val="000000"/>
        </w:rPr>
        <w:t>–</w:t>
      </w:r>
      <w:r w:rsidRPr="00E16A3F">
        <w:rPr>
          <w:rFonts w:ascii="Times New Roman" w:hAnsi="Times New Roman"/>
        </w:rPr>
        <w:t>34 (p. 532).</w:t>
      </w:r>
    </w:p>
  </w:footnote>
  <w:footnote w:id="585">
    <w:p w:rsidR="003515E3" w:rsidRPr="00446D6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iCs/>
        </w:rPr>
        <w:t>Mary Price</w:t>
      </w:r>
      <w:r w:rsidRPr="00E16A3F">
        <w:rPr>
          <w:rFonts w:ascii="Times New Roman" w:hAnsi="Times New Roman"/>
        </w:rPr>
        <w:t>, II, 191.</w:t>
      </w:r>
    </w:p>
  </w:footnote>
  <w:footnote w:id="586">
    <w:p w:rsidR="003515E3" w:rsidRPr="00EA4CCC" w:rsidRDefault="003515E3" w:rsidP="00BA19FC">
      <w:pPr>
        <w:pStyle w:val="FootnoteText"/>
        <w:spacing w:after="0" w:line="240" w:lineRule="auto"/>
      </w:pPr>
      <w:r w:rsidRPr="00EA4CCC">
        <w:rPr>
          <w:rStyle w:val="FootnoteReference"/>
          <w:rFonts w:ascii="Times New Roman" w:hAnsi="Times New Roman"/>
        </w:rPr>
        <w:footnoteRef/>
      </w:r>
      <w:r w:rsidRPr="00EA4CCC">
        <w:rPr>
          <w:rFonts w:ascii="Times New Roman" w:hAnsi="Times New Roman"/>
        </w:rPr>
        <w:t xml:space="preserve"> </w:t>
      </w:r>
      <w:r w:rsidRPr="00EA4CCC">
        <w:rPr>
          <w:rFonts w:ascii="Times New Roman" w:hAnsi="Times New Roman"/>
          <w:i/>
          <w:iCs/>
        </w:rPr>
        <w:t>Joseph Wilmot</w:t>
      </w:r>
      <w:r w:rsidRPr="00EA4CCC">
        <w:rPr>
          <w:rFonts w:ascii="Times New Roman" w:hAnsi="Times New Roman"/>
        </w:rPr>
        <w:t>, I, 154.</w:t>
      </w:r>
    </w:p>
  </w:footnote>
  <w:footnote w:id="587">
    <w:p w:rsidR="003515E3" w:rsidRPr="00EA4CCC" w:rsidRDefault="003515E3" w:rsidP="00BA19FC">
      <w:pPr>
        <w:spacing w:after="0" w:line="240" w:lineRule="auto"/>
        <w:rPr>
          <w:rFonts w:ascii="Times New Roman" w:hAnsi="Times New Roman" w:cs="Times New Roman"/>
          <w:sz w:val="20"/>
          <w:szCs w:val="20"/>
        </w:rPr>
      </w:pPr>
      <w:r w:rsidRPr="00EA4CCC">
        <w:rPr>
          <w:rStyle w:val="FootnoteReference"/>
          <w:rFonts w:ascii="Times New Roman" w:hAnsi="Times New Roman"/>
        </w:rPr>
        <w:footnoteRef/>
      </w:r>
      <w:r w:rsidRPr="00EA4CCC">
        <w:rPr>
          <w:rFonts w:ascii="Times New Roman" w:hAnsi="Times New Roman" w:cs="Times New Roman"/>
          <w:sz w:val="20"/>
          <w:szCs w:val="20"/>
        </w:rPr>
        <w:t xml:space="preserve"> Gilbert and Gubar, p. 17.</w:t>
      </w:r>
    </w:p>
  </w:footnote>
  <w:footnote w:id="588">
    <w:p w:rsidR="003515E3" w:rsidRPr="00EA4CCC" w:rsidRDefault="003515E3" w:rsidP="00BA19FC">
      <w:pPr>
        <w:pStyle w:val="FootnoteText"/>
        <w:spacing w:after="0" w:line="240" w:lineRule="auto"/>
        <w:rPr>
          <w:rFonts w:ascii="Times New Roman" w:hAnsi="Times New Roman"/>
        </w:rPr>
      </w:pPr>
      <w:r w:rsidRPr="00EA4CCC">
        <w:rPr>
          <w:rStyle w:val="FootnoteReference"/>
          <w:rFonts w:ascii="Times New Roman" w:hAnsi="Times New Roman"/>
        </w:rPr>
        <w:footnoteRef/>
      </w:r>
      <w:r w:rsidRPr="00EA4CCC">
        <w:rPr>
          <w:rFonts w:ascii="Times New Roman" w:hAnsi="Times New Roman"/>
        </w:rPr>
        <w:t xml:space="preserve"> Anna Clark, </w:t>
      </w:r>
      <w:r w:rsidRPr="00EA4CCC">
        <w:rPr>
          <w:rFonts w:ascii="Times New Roman" w:hAnsi="Times New Roman"/>
          <w:i/>
        </w:rPr>
        <w:t>The Struggle for the Breeches: Gender and the Making of the British Working Class</w:t>
      </w:r>
      <w:r w:rsidRPr="00EA4CCC">
        <w:rPr>
          <w:rFonts w:ascii="Times New Roman" w:hAnsi="Times New Roman"/>
        </w:rPr>
        <w:t xml:space="preserve"> (London: Rivers Oram Press, 1995), p. 248.</w:t>
      </w:r>
    </w:p>
  </w:footnote>
  <w:footnote w:id="589">
    <w:p w:rsidR="003515E3" w:rsidRPr="00EA4CCC" w:rsidRDefault="003515E3" w:rsidP="00BA19FC">
      <w:pPr>
        <w:pStyle w:val="FootnoteText"/>
        <w:spacing w:after="0" w:line="240" w:lineRule="auto"/>
        <w:rPr>
          <w:rFonts w:ascii="Times New Roman" w:hAnsi="Times New Roman"/>
        </w:rPr>
      </w:pPr>
      <w:r w:rsidRPr="00EA4CCC">
        <w:rPr>
          <w:rStyle w:val="FootnoteReference"/>
          <w:rFonts w:ascii="Times New Roman" w:hAnsi="Times New Roman"/>
        </w:rPr>
        <w:footnoteRef/>
      </w:r>
      <w:r w:rsidRPr="00EA4CCC">
        <w:rPr>
          <w:rFonts w:ascii="Times New Roman" w:hAnsi="Times New Roman"/>
        </w:rPr>
        <w:t xml:space="preserve"> </w:t>
      </w:r>
      <w:r w:rsidRPr="00EA4CCC">
        <w:rPr>
          <w:rFonts w:ascii="Times New Roman" w:hAnsi="Times New Roman"/>
          <w:i/>
        </w:rPr>
        <w:t>Mysteries of London</w:t>
      </w:r>
      <w:r w:rsidRPr="00EA4CCC">
        <w:rPr>
          <w:rFonts w:ascii="Times New Roman" w:hAnsi="Times New Roman"/>
        </w:rPr>
        <w:t>, I, 219.</w:t>
      </w:r>
    </w:p>
  </w:footnote>
  <w:footnote w:id="590">
    <w:p w:rsidR="003515E3" w:rsidRPr="0069287D" w:rsidRDefault="003515E3" w:rsidP="00BA19FC">
      <w:pPr>
        <w:pStyle w:val="FootnoteText"/>
        <w:spacing w:after="0" w:line="240" w:lineRule="auto"/>
        <w:rPr>
          <w:rFonts w:ascii="Times New Roman" w:hAnsi="Times New Roman"/>
        </w:rPr>
      </w:pPr>
      <w:r w:rsidRPr="00EA4CCC">
        <w:rPr>
          <w:rStyle w:val="FootnoteReference"/>
          <w:rFonts w:ascii="Times New Roman" w:hAnsi="Times New Roman"/>
        </w:rPr>
        <w:footnoteRef/>
      </w:r>
      <w:r w:rsidRPr="00EA4CCC">
        <w:rPr>
          <w:rFonts w:ascii="Times New Roman" w:hAnsi="Times New Roman"/>
        </w:rPr>
        <w:t xml:space="preserve"> </w:t>
      </w:r>
      <w:r w:rsidRPr="00EA4CCC">
        <w:rPr>
          <w:rFonts w:ascii="Times New Roman" w:hAnsi="Times New Roman"/>
          <w:i/>
          <w:iCs/>
        </w:rPr>
        <w:t>Seamstress</w:t>
      </w:r>
      <w:r w:rsidRPr="00EA4CCC">
        <w:rPr>
          <w:rFonts w:ascii="Times New Roman" w:hAnsi="Times New Roman"/>
        </w:rPr>
        <w:t>, p. 19.</w:t>
      </w:r>
    </w:p>
  </w:footnote>
  <w:footnote w:id="591">
    <w:p w:rsidR="003515E3" w:rsidRPr="00F34BCB" w:rsidRDefault="003515E3" w:rsidP="00BA19FC">
      <w:pPr>
        <w:pStyle w:val="FootnoteText"/>
        <w:spacing w:after="0" w:line="240" w:lineRule="auto"/>
        <w:rPr>
          <w:rFonts w:ascii="Times New Roman" w:hAnsi="Times New Roman"/>
        </w:rPr>
      </w:pPr>
      <w:r w:rsidRPr="00F34BCB">
        <w:rPr>
          <w:rStyle w:val="FootnoteReference"/>
          <w:rFonts w:ascii="Times New Roman" w:hAnsi="Times New Roman"/>
        </w:rPr>
        <w:footnoteRef/>
      </w:r>
      <w:r w:rsidRPr="00F34BCB">
        <w:rPr>
          <w:rFonts w:ascii="Times New Roman" w:hAnsi="Times New Roman"/>
        </w:rPr>
        <w:t xml:space="preserve"> </w:t>
      </w:r>
      <w:r w:rsidRPr="00F34BCB">
        <w:rPr>
          <w:rFonts w:asciiTheme="majorBidi" w:hAnsiTheme="majorBidi" w:cstheme="majorBidi"/>
        </w:rPr>
        <w:t xml:space="preserve">Small, </w:t>
      </w:r>
      <w:r w:rsidRPr="00F34BCB">
        <w:rPr>
          <w:rFonts w:ascii="Times New Roman" w:hAnsi="Times New Roman"/>
        </w:rPr>
        <w:t>p. 1</w:t>
      </w:r>
      <w:r>
        <w:rPr>
          <w:rFonts w:ascii="Times New Roman" w:hAnsi="Times New Roman"/>
        </w:rPr>
        <w:t>7</w:t>
      </w:r>
      <w:r w:rsidRPr="00F34BCB">
        <w:rPr>
          <w:rFonts w:ascii="Times New Roman" w:hAnsi="Times New Roman"/>
        </w:rPr>
        <w:t>.</w:t>
      </w:r>
    </w:p>
  </w:footnote>
  <w:footnote w:id="592">
    <w:p w:rsidR="003515E3" w:rsidRPr="00CB7884" w:rsidRDefault="003515E3" w:rsidP="00BA19FC">
      <w:pPr>
        <w:pStyle w:val="FootnoteText"/>
        <w:spacing w:after="0" w:line="240" w:lineRule="auto"/>
        <w:rPr>
          <w:rFonts w:ascii="Times New Roman" w:hAnsi="Times New Roman"/>
        </w:rPr>
      </w:pPr>
      <w:r w:rsidRPr="00CB7884">
        <w:rPr>
          <w:rStyle w:val="FootnoteReference"/>
          <w:rFonts w:ascii="Times New Roman" w:hAnsi="Times New Roman"/>
        </w:rPr>
        <w:footnoteRef/>
      </w:r>
      <w:r w:rsidRPr="00CB7884">
        <w:rPr>
          <w:rFonts w:ascii="Times New Roman" w:hAnsi="Times New Roman"/>
        </w:rPr>
        <w:t xml:space="preserve"> Dalziel, p. 96.</w:t>
      </w:r>
    </w:p>
  </w:footnote>
  <w:footnote w:id="593">
    <w:p w:rsidR="003515E3" w:rsidRPr="00CB7884" w:rsidRDefault="003515E3" w:rsidP="00BA19FC">
      <w:pPr>
        <w:pStyle w:val="FootnoteText"/>
        <w:spacing w:after="0" w:line="240" w:lineRule="auto"/>
        <w:rPr>
          <w:rFonts w:ascii="Times New Roman" w:hAnsi="Times New Roman"/>
        </w:rPr>
      </w:pPr>
      <w:r w:rsidRPr="00CB7884">
        <w:rPr>
          <w:rStyle w:val="FootnoteReference"/>
          <w:rFonts w:ascii="Times New Roman" w:hAnsi="Times New Roman"/>
        </w:rPr>
        <w:footnoteRef/>
      </w:r>
      <w:r w:rsidRPr="00CB7884">
        <w:rPr>
          <w:rFonts w:ascii="Times New Roman" w:hAnsi="Times New Roman"/>
        </w:rPr>
        <w:t xml:space="preserve"> </w:t>
      </w:r>
      <w:r w:rsidRPr="00CB7884">
        <w:rPr>
          <w:rFonts w:ascii="Times New Roman" w:hAnsi="Times New Roman"/>
          <w:i/>
        </w:rPr>
        <w:t>Mysteries of London</w:t>
      </w:r>
      <w:r w:rsidRPr="00CB7884">
        <w:rPr>
          <w:rFonts w:ascii="Times New Roman" w:hAnsi="Times New Roman"/>
        </w:rPr>
        <w:t>, I, 218.</w:t>
      </w:r>
    </w:p>
  </w:footnote>
  <w:footnote w:id="594">
    <w:p w:rsidR="003515E3" w:rsidRPr="00CB7884" w:rsidRDefault="003515E3" w:rsidP="00BA19FC">
      <w:pPr>
        <w:pStyle w:val="FootnoteText"/>
        <w:spacing w:after="0" w:line="240" w:lineRule="auto"/>
        <w:rPr>
          <w:rFonts w:ascii="Times New Roman" w:hAnsi="Times New Roman"/>
        </w:rPr>
      </w:pPr>
      <w:r w:rsidRPr="00CB7884">
        <w:rPr>
          <w:rStyle w:val="FootnoteReference"/>
          <w:rFonts w:ascii="Times New Roman" w:hAnsi="Times New Roman"/>
        </w:rPr>
        <w:footnoteRef/>
      </w:r>
      <w:r w:rsidRPr="00CB7884">
        <w:rPr>
          <w:rFonts w:ascii="Times New Roman" w:hAnsi="Times New Roman"/>
        </w:rPr>
        <w:t xml:space="preserve"> </w:t>
      </w:r>
      <w:r w:rsidRPr="00CB7884">
        <w:rPr>
          <w:rFonts w:ascii="Times New Roman" w:hAnsi="Times New Roman"/>
          <w:i/>
          <w:iCs/>
        </w:rPr>
        <w:t>Seamstress</w:t>
      </w:r>
      <w:r w:rsidRPr="00CB7884">
        <w:rPr>
          <w:rFonts w:ascii="Times New Roman" w:hAnsi="Times New Roman"/>
        </w:rPr>
        <w:t>, p. 44.</w:t>
      </w:r>
    </w:p>
  </w:footnote>
  <w:footnote w:id="595">
    <w:p w:rsidR="003515E3" w:rsidRPr="00CB7884" w:rsidRDefault="003515E3" w:rsidP="00BA19FC">
      <w:pPr>
        <w:pStyle w:val="FootnoteText"/>
        <w:spacing w:after="0" w:line="240" w:lineRule="auto"/>
        <w:rPr>
          <w:rFonts w:ascii="Times New Roman" w:hAnsi="Times New Roman"/>
        </w:rPr>
      </w:pPr>
      <w:r w:rsidRPr="00CB7884">
        <w:rPr>
          <w:rStyle w:val="FootnoteReference"/>
          <w:rFonts w:ascii="Times New Roman" w:hAnsi="Times New Roman"/>
        </w:rPr>
        <w:footnoteRef/>
      </w:r>
      <w:r w:rsidRPr="00CB7884">
        <w:rPr>
          <w:rFonts w:ascii="Times New Roman" w:hAnsi="Times New Roman"/>
        </w:rPr>
        <w:t xml:space="preserve"> </w:t>
      </w:r>
      <w:r w:rsidRPr="00CB7884">
        <w:rPr>
          <w:rFonts w:ascii="Times New Roman" w:hAnsi="Times New Roman"/>
          <w:i/>
          <w:iCs/>
        </w:rPr>
        <w:t>Mary Price</w:t>
      </w:r>
      <w:r w:rsidRPr="00CB7884">
        <w:rPr>
          <w:rFonts w:ascii="Times New Roman" w:hAnsi="Times New Roman"/>
        </w:rPr>
        <w:t>, II, 356.</w:t>
      </w:r>
    </w:p>
  </w:footnote>
  <w:footnote w:id="596">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Fonts w:ascii="Times New Roman" w:hAnsi="Times New Roman"/>
          <w:i/>
          <w:iCs/>
        </w:rPr>
        <w:t>Seamstress</w:t>
      </w:r>
      <w:r w:rsidRPr="00E16A3F">
        <w:rPr>
          <w:rFonts w:ascii="Times New Roman" w:hAnsi="Times New Roman"/>
        </w:rPr>
        <w:t>, p. 50.</w:t>
      </w:r>
    </w:p>
  </w:footnote>
  <w:footnote w:id="597">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w:t>
      </w:r>
      <w:r w:rsidRPr="00E16A3F">
        <w:rPr>
          <w:rStyle w:val="name"/>
          <w:rFonts w:ascii="Times New Roman" w:hAnsi="Times New Roman"/>
          <w:bCs/>
          <w:bdr w:val="none" w:sz="0" w:space="0" w:color="auto" w:frame="1"/>
        </w:rPr>
        <w:t xml:space="preserve">Acton, William John </w:t>
      </w:r>
      <w:r w:rsidRPr="00E16A3F">
        <w:rPr>
          <w:rFonts w:ascii="Times New Roman" w:hAnsi="Times New Roman"/>
        </w:rPr>
        <w:t>(</w:t>
      </w:r>
      <w:r w:rsidRPr="00E16A3F">
        <w:rPr>
          <w:rStyle w:val="Date1"/>
          <w:rFonts w:ascii="Times New Roman" w:hAnsi="Times New Roman"/>
          <w:bdr w:val="none" w:sz="0" w:space="0" w:color="auto" w:frame="1"/>
        </w:rPr>
        <w:t>1812/13–1875</w:t>
      </w:r>
      <w:r w:rsidRPr="00E16A3F">
        <w:rPr>
          <w:rFonts w:ascii="Times New Roman" w:hAnsi="Times New Roman"/>
        </w:rPr>
        <w:t>),</w:t>
      </w:r>
      <w:r w:rsidR="00135C13">
        <w:rPr>
          <w:rFonts w:ascii="Times New Roman" w:hAnsi="Times New Roman"/>
        </w:rPr>
        <w:t xml:space="preserve"> </w:t>
      </w:r>
      <w:r w:rsidRPr="00E16A3F">
        <w:rPr>
          <w:rFonts w:ascii="Times New Roman" w:hAnsi="Times New Roman"/>
          <w:bdr w:val="none" w:sz="0" w:space="0" w:color="auto" w:frame="1"/>
        </w:rPr>
        <w:t>surgeon specializing in genito-urinary disorders. &lt;</w:t>
      </w:r>
      <w:hyperlink r:id="rId16" w:history="1">
        <w:r w:rsidRPr="00E16A3F">
          <w:rPr>
            <w:rStyle w:val="Hyperlink"/>
            <w:rFonts w:ascii="Times New Roman" w:hAnsi="Times New Roman"/>
            <w:bdr w:val="none" w:sz="0" w:space="0" w:color="auto" w:frame="1"/>
          </w:rPr>
          <w:t>https://doi.org/10.1093/ref:odnb/39445</w:t>
        </w:r>
      </w:hyperlink>
      <w:r w:rsidRPr="00E16A3F">
        <w:rPr>
          <w:rStyle w:val="Hyperlink"/>
          <w:rFonts w:ascii="Times New Roman" w:hAnsi="Times New Roman"/>
          <w:bdr w:val="none" w:sz="0" w:space="0" w:color="auto" w:frame="1"/>
        </w:rPr>
        <w:t>&gt;</w:t>
      </w:r>
    </w:p>
  </w:footnote>
  <w:footnote w:id="598">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Nina Auerbach, </w:t>
      </w:r>
      <w:r w:rsidRPr="00E16A3F">
        <w:rPr>
          <w:rFonts w:ascii="Times New Roman" w:hAnsi="Times New Roman"/>
          <w:i/>
        </w:rPr>
        <w:t xml:space="preserve">Woman and the Demon The Life of a Victorian Myth </w:t>
      </w:r>
      <w:r w:rsidRPr="00E16A3F">
        <w:rPr>
          <w:rFonts w:ascii="Times New Roman" w:hAnsi="Times New Roman"/>
          <w:color w:val="7030A0"/>
        </w:rPr>
        <w:t>(</w:t>
      </w:r>
      <w:r w:rsidRPr="00E16A3F">
        <w:rPr>
          <w:rFonts w:ascii="Times New Roman" w:hAnsi="Times New Roman"/>
        </w:rPr>
        <w:t>Cambridge</w:t>
      </w:r>
      <w:r w:rsidRPr="00E16A3F">
        <w:rPr>
          <w:rFonts w:ascii="Times New Roman" w:hAnsi="Times New Roman"/>
          <w:color w:val="7030A0"/>
        </w:rPr>
        <w:t xml:space="preserve">: </w:t>
      </w:r>
      <w:r w:rsidRPr="00E16A3F">
        <w:rPr>
          <w:rFonts w:ascii="Times New Roman" w:hAnsi="Times New Roman"/>
        </w:rPr>
        <w:t>Harvard University Press, 1982), p. 158.</w:t>
      </w:r>
    </w:p>
  </w:footnote>
  <w:footnote w:id="599">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Auerbach, p. 61.</w:t>
      </w:r>
    </w:p>
  </w:footnote>
  <w:footnote w:id="600">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See William John Acton, </w:t>
      </w:r>
      <w:r w:rsidRPr="00E16A3F">
        <w:rPr>
          <w:rFonts w:ascii="Times New Roman" w:hAnsi="Times New Roman"/>
          <w:i/>
        </w:rPr>
        <w:t>Prostitution</w:t>
      </w:r>
      <w:r w:rsidRPr="00E16A3F">
        <w:rPr>
          <w:rFonts w:ascii="Times New Roman" w:hAnsi="Times New Roman"/>
        </w:rPr>
        <w:t xml:space="preserve">, ed. Peter Fryer (London: Macgibbon </w:t>
      </w:r>
      <w:r w:rsidRPr="009F78AC">
        <w:rPr>
          <w:rFonts w:ascii="Times New Roman" w:hAnsi="Times New Roman"/>
        </w:rPr>
        <w:t>&amp; Kee, 1968), pp. 58</w:t>
      </w:r>
      <w:r w:rsidRPr="00E16A3F">
        <w:rPr>
          <w:rStyle w:val="Date1"/>
          <w:rFonts w:ascii="Times New Roman" w:hAnsi="Times New Roman"/>
          <w:bdr w:val="none" w:sz="0" w:space="0" w:color="auto" w:frame="1"/>
        </w:rPr>
        <w:t>–76.  This provides a comparison to Reynolds’s view of the moral aspects of the trade.</w:t>
      </w:r>
    </w:p>
  </w:footnote>
  <w:footnote w:id="601">
    <w:p w:rsidR="003515E3" w:rsidRPr="00E16A3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Acton, p. </w:t>
      </w:r>
      <w:r w:rsidRPr="00E16A3F">
        <w:rPr>
          <w:rStyle w:val="Date1"/>
          <w:rFonts w:ascii="Times New Roman" w:hAnsi="Times New Roman"/>
          <w:bdr w:val="none" w:sz="0" w:space="0" w:color="auto" w:frame="1"/>
        </w:rPr>
        <w:t>72.</w:t>
      </w:r>
    </w:p>
  </w:footnote>
  <w:footnote w:id="602">
    <w:p w:rsidR="003515E3" w:rsidRPr="00446D6F" w:rsidRDefault="003515E3" w:rsidP="00BA19FC">
      <w:pPr>
        <w:pStyle w:val="FootnoteText"/>
        <w:spacing w:after="0" w:line="240" w:lineRule="auto"/>
        <w:rPr>
          <w:rFonts w:ascii="Times New Roman" w:hAnsi="Times New Roman"/>
        </w:rPr>
      </w:pPr>
      <w:r w:rsidRPr="00E16A3F">
        <w:rPr>
          <w:rStyle w:val="FootnoteReference"/>
          <w:rFonts w:ascii="Times New Roman" w:hAnsi="Times New Roman"/>
        </w:rPr>
        <w:footnoteRef/>
      </w:r>
      <w:r w:rsidRPr="00E16A3F">
        <w:rPr>
          <w:rFonts w:ascii="Times New Roman" w:hAnsi="Times New Roman"/>
        </w:rPr>
        <w:t xml:space="preserve"> Acton, p. </w:t>
      </w:r>
      <w:r w:rsidRPr="00E16A3F">
        <w:rPr>
          <w:rStyle w:val="Date1"/>
          <w:rFonts w:ascii="Times New Roman" w:hAnsi="Times New Roman"/>
          <w:bdr w:val="none" w:sz="0" w:space="0" w:color="auto" w:frame="1"/>
        </w:rPr>
        <w:t>60.</w:t>
      </w:r>
    </w:p>
  </w:footnote>
  <w:footnote w:id="603">
    <w:p w:rsidR="003515E3" w:rsidRPr="003D04EC" w:rsidRDefault="003515E3" w:rsidP="00BA19FC">
      <w:pPr>
        <w:pStyle w:val="FootnoteText"/>
        <w:spacing w:after="0" w:line="240" w:lineRule="auto"/>
        <w:rPr>
          <w:rFonts w:ascii="Times New Roman" w:hAnsi="Times New Roman"/>
        </w:rPr>
      </w:pPr>
      <w:r w:rsidRPr="003D04EC">
        <w:rPr>
          <w:rStyle w:val="FootnoteReference"/>
          <w:rFonts w:ascii="Times New Roman" w:hAnsi="Times New Roman"/>
        </w:rPr>
        <w:footnoteRef/>
      </w:r>
      <w:r w:rsidRPr="003D04EC">
        <w:rPr>
          <w:rFonts w:ascii="Times New Roman" w:hAnsi="Times New Roman"/>
        </w:rPr>
        <w:t xml:space="preserve"> </w:t>
      </w:r>
      <w:r w:rsidRPr="00E11ECB">
        <w:rPr>
          <w:rFonts w:ascii="Times New Roman" w:hAnsi="Times New Roman"/>
        </w:rPr>
        <w:t xml:space="preserve">Acton, </w:t>
      </w:r>
      <w:r>
        <w:rPr>
          <w:rFonts w:ascii="Times New Roman" w:hAnsi="Times New Roman"/>
        </w:rPr>
        <w:t>p</w:t>
      </w:r>
      <w:r w:rsidRPr="00E11ECB">
        <w:rPr>
          <w:rFonts w:ascii="Times New Roman" w:hAnsi="Times New Roman"/>
        </w:rPr>
        <w:t>.</w:t>
      </w:r>
      <w:r>
        <w:rPr>
          <w:rFonts w:ascii="Times New Roman" w:hAnsi="Times New Roman"/>
        </w:rPr>
        <w:t xml:space="preserve"> </w:t>
      </w:r>
      <w:r>
        <w:rPr>
          <w:rStyle w:val="Date1"/>
          <w:rFonts w:ascii="Times New Roman" w:hAnsi="Times New Roman"/>
          <w:bdr w:val="none" w:sz="0" w:space="0" w:color="auto" w:frame="1"/>
        </w:rPr>
        <w:t>64.</w:t>
      </w:r>
    </w:p>
  </w:footnote>
  <w:footnote w:id="604">
    <w:p w:rsidR="003515E3" w:rsidRPr="003D04EC" w:rsidRDefault="003515E3" w:rsidP="00BA19FC">
      <w:pPr>
        <w:pStyle w:val="FootnoteText"/>
        <w:spacing w:after="0" w:line="240" w:lineRule="auto"/>
        <w:rPr>
          <w:rFonts w:ascii="Times New Roman" w:hAnsi="Times New Roman"/>
        </w:rPr>
      </w:pPr>
      <w:r w:rsidRPr="003D04EC">
        <w:rPr>
          <w:rStyle w:val="FootnoteReference"/>
          <w:rFonts w:ascii="Times New Roman" w:hAnsi="Times New Roman"/>
        </w:rPr>
        <w:footnoteRef/>
      </w:r>
      <w:r w:rsidRPr="003D04EC">
        <w:rPr>
          <w:rFonts w:ascii="Times New Roman" w:hAnsi="Times New Roman"/>
        </w:rPr>
        <w:t xml:space="preserve"> </w:t>
      </w:r>
      <w:r w:rsidRPr="00E11ECB">
        <w:rPr>
          <w:rFonts w:ascii="Times New Roman" w:hAnsi="Times New Roman"/>
        </w:rPr>
        <w:t xml:space="preserve">Acton, </w:t>
      </w:r>
      <w:r>
        <w:rPr>
          <w:rFonts w:ascii="Times New Roman" w:hAnsi="Times New Roman"/>
        </w:rPr>
        <w:t>p</w:t>
      </w:r>
      <w:r w:rsidRPr="00E11ECB">
        <w:rPr>
          <w:rFonts w:ascii="Times New Roman" w:hAnsi="Times New Roman"/>
        </w:rPr>
        <w:t>.</w:t>
      </w:r>
      <w:r>
        <w:rPr>
          <w:rFonts w:ascii="Times New Roman" w:hAnsi="Times New Roman"/>
        </w:rPr>
        <w:t xml:space="preserve"> </w:t>
      </w:r>
      <w:r>
        <w:rPr>
          <w:rStyle w:val="Date1"/>
          <w:rFonts w:ascii="Times New Roman" w:hAnsi="Times New Roman"/>
          <w:bdr w:val="none" w:sz="0" w:space="0" w:color="auto" w:frame="1"/>
        </w:rPr>
        <w:t>73.</w:t>
      </w:r>
    </w:p>
  </w:footnote>
  <w:footnote w:id="605">
    <w:p w:rsidR="003515E3" w:rsidRPr="003D04EC" w:rsidRDefault="003515E3" w:rsidP="00BA19FC">
      <w:pPr>
        <w:pStyle w:val="FootnoteText"/>
        <w:spacing w:after="0" w:line="240" w:lineRule="auto"/>
        <w:rPr>
          <w:rFonts w:ascii="Times New Roman" w:hAnsi="Times New Roman"/>
        </w:rPr>
      </w:pPr>
      <w:r w:rsidRPr="003D04EC">
        <w:rPr>
          <w:rStyle w:val="FootnoteReference"/>
          <w:rFonts w:ascii="Times New Roman" w:hAnsi="Times New Roman"/>
        </w:rPr>
        <w:footnoteRef/>
      </w:r>
      <w:r w:rsidRPr="003D04EC">
        <w:rPr>
          <w:rFonts w:ascii="Times New Roman" w:hAnsi="Times New Roman"/>
        </w:rPr>
        <w:t xml:space="preserve"> </w:t>
      </w:r>
      <w:r w:rsidRPr="00E11ECB">
        <w:rPr>
          <w:rFonts w:ascii="Times New Roman" w:hAnsi="Times New Roman"/>
        </w:rPr>
        <w:t xml:space="preserve">Acton, </w:t>
      </w:r>
      <w:r>
        <w:rPr>
          <w:rFonts w:ascii="Times New Roman" w:hAnsi="Times New Roman"/>
        </w:rPr>
        <w:t>p</w:t>
      </w:r>
      <w:r w:rsidRPr="00E11ECB">
        <w:rPr>
          <w:rFonts w:ascii="Times New Roman" w:hAnsi="Times New Roman"/>
        </w:rPr>
        <w:t>.</w:t>
      </w:r>
      <w:r>
        <w:rPr>
          <w:rFonts w:ascii="Times New Roman" w:hAnsi="Times New Roman"/>
        </w:rPr>
        <w:t xml:space="preserve"> </w:t>
      </w:r>
      <w:r>
        <w:rPr>
          <w:rStyle w:val="Date1"/>
          <w:rFonts w:ascii="Times New Roman" w:hAnsi="Times New Roman"/>
          <w:bdr w:val="none" w:sz="0" w:space="0" w:color="auto" w:frame="1"/>
        </w:rPr>
        <w:t>64.</w:t>
      </w:r>
    </w:p>
  </w:footnote>
  <w:footnote w:id="606">
    <w:p w:rsidR="003515E3" w:rsidRPr="003D04EC" w:rsidRDefault="003515E3" w:rsidP="00BA19FC">
      <w:pPr>
        <w:pStyle w:val="FootnoteText"/>
        <w:spacing w:after="0" w:line="240" w:lineRule="auto"/>
        <w:rPr>
          <w:rFonts w:ascii="Times New Roman" w:hAnsi="Times New Roman"/>
        </w:rPr>
      </w:pPr>
      <w:r w:rsidRPr="003D04EC">
        <w:rPr>
          <w:rStyle w:val="FootnoteReference"/>
          <w:rFonts w:ascii="Times New Roman" w:hAnsi="Times New Roman"/>
        </w:rPr>
        <w:footnoteRef/>
      </w:r>
      <w:r w:rsidRPr="003D04EC">
        <w:rPr>
          <w:rFonts w:ascii="Times New Roman" w:hAnsi="Times New Roman"/>
        </w:rPr>
        <w:t xml:space="preserve"> </w:t>
      </w:r>
      <w:r w:rsidRPr="00E11ECB">
        <w:rPr>
          <w:rFonts w:ascii="Times New Roman" w:hAnsi="Times New Roman"/>
        </w:rPr>
        <w:t xml:space="preserve">Acton, </w:t>
      </w:r>
      <w:r>
        <w:rPr>
          <w:rFonts w:ascii="Times New Roman" w:hAnsi="Times New Roman"/>
        </w:rPr>
        <w:t>p</w:t>
      </w:r>
      <w:r w:rsidRPr="00E11ECB">
        <w:rPr>
          <w:rFonts w:ascii="Times New Roman" w:hAnsi="Times New Roman"/>
        </w:rPr>
        <w:t>.</w:t>
      </w:r>
      <w:r>
        <w:rPr>
          <w:rFonts w:ascii="Times New Roman" w:hAnsi="Times New Roman"/>
        </w:rPr>
        <w:t xml:space="preserve"> </w:t>
      </w:r>
      <w:r>
        <w:rPr>
          <w:rStyle w:val="Date1"/>
          <w:rFonts w:ascii="Times New Roman" w:hAnsi="Times New Roman"/>
          <w:bdr w:val="none" w:sz="0" w:space="0" w:color="auto" w:frame="1"/>
        </w:rPr>
        <w:t>65.</w:t>
      </w:r>
    </w:p>
  </w:footnote>
  <w:footnote w:id="607">
    <w:p w:rsidR="003515E3" w:rsidRPr="00DC09D2" w:rsidRDefault="003515E3" w:rsidP="00DD46EC">
      <w:pPr>
        <w:pStyle w:val="FootnoteText"/>
        <w:spacing w:after="0" w:line="240" w:lineRule="auto"/>
        <w:rPr>
          <w:rFonts w:asciiTheme="majorBidi" w:hAnsiTheme="majorBidi" w:cstheme="majorBidi"/>
        </w:rPr>
      </w:pPr>
      <w:r w:rsidRPr="00DC09D2">
        <w:rPr>
          <w:rStyle w:val="FootnoteReference"/>
          <w:rFonts w:asciiTheme="majorBidi" w:hAnsiTheme="majorBidi" w:cstheme="majorBidi"/>
        </w:rPr>
        <w:footnoteRef/>
      </w:r>
      <w:r w:rsidRPr="00DC09D2">
        <w:rPr>
          <w:rFonts w:asciiTheme="majorBidi" w:hAnsiTheme="majorBidi" w:cstheme="majorBidi"/>
        </w:rPr>
        <w:t xml:space="preserve"> James Grant wrote several books that touched upon this area, including </w:t>
      </w:r>
      <w:r w:rsidRPr="00DC09D2">
        <w:rPr>
          <w:rFonts w:asciiTheme="majorBidi" w:hAnsiTheme="majorBidi" w:cstheme="majorBidi"/>
          <w:i/>
          <w:iCs/>
        </w:rPr>
        <w:t>The Great Metropolis</w:t>
      </w:r>
      <w:r w:rsidRPr="00DC09D2">
        <w:rPr>
          <w:rFonts w:asciiTheme="majorBidi" w:hAnsiTheme="majorBidi" w:cstheme="majorBidi"/>
        </w:rPr>
        <w:t xml:space="preserve"> (London: Saunders and Otley, 1837) and </w:t>
      </w:r>
      <w:r w:rsidRPr="00DC09D2">
        <w:rPr>
          <w:rFonts w:asciiTheme="majorBidi" w:hAnsiTheme="majorBidi" w:cstheme="majorBidi"/>
          <w:i/>
        </w:rPr>
        <w:t>Sketches in London</w:t>
      </w:r>
      <w:r w:rsidRPr="00DC09D2">
        <w:rPr>
          <w:rFonts w:asciiTheme="majorBidi" w:hAnsiTheme="majorBidi" w:cstheme="majorBidi"/>
        </w:rPr>
        <w:t xml:space="preserve"> (London: Orr, 1838)</w:t>
      </w:r>
      <w:r w:rsidRPr="00DC09D2">
        <w:rPr>
          <w:rFonts w:asciiTheme="majorBidi" w:hAnsiTheme="majorBidi" w:cstheme="majorBidi"/>
          <w:i/>
        </w:rPr>
        <w:t>.</w:t>
      </w:r>
    </w:p>
  </w:footnote>
  <w:footnote w:id="608">
    <w:p w:rsidR="003515E3" w:rsidRPr="00DC09D2" w:rsidRDefault="003515E3" w:rsidP="00DD46EC">
      <w:pPr>
        <w:spacing w:after="0" w:line="240" w:lineRule="auto"/>
        <w:rPr>
          <w:rFonts w:asciiTheme="majorBidi" w:hAnsiTheme="majorBidi" w:cstheme="majorBidi"/>
          <w:sz w:val="20"/>
          <w:szCs w:val="20"/>
        </w:rPr>
      </w:pPr>
      <w:r w:rsidRPr="00DC09D2">
        <w:rPr>
          <w:rStyle w:val="FootnoteReference"/>
          <w:rFonts w:asciiTheme="majorBidi" w:hAnsiTheme="majorBidi" w:cstheme="majorBidi"/>
          <w:sz w:val="20"/>
          <w:szCs w:val="20"/>
        </w:rPr>
        <w:footnoteRef/>
      </w:r>
      <w:r w:rsidRPr="00DC09D2">
        <w:rPr>
          <w:rFonts w:asciiTheme="majorBidi" w:hAnsiTheme="majorBidi" w:cstheme="majorBidi"/>
          <w:sz w:val="20"/>
          <w:szCs w:val="20"/>
        </w:rPr>
        <w:t xml:space="preserve"> Charles Horace Wall, ‘The Schoolmaster’s Experience in Newgate No. I’, </w:t>
      </w:r>
      <w:r w:rsidRPr="00DC09D2">
        <w:rPr>
          <w:rFonts w:asciiTheme="majorBidi" w:hAnsiTheme="majorBidi" w:cstheme="majorBidi"/>
          <w:i/>
          <w:iCs/>
          <w:sz w:val="20"/>
          <w:szCs w:val="20"/>
        </w:rPr>
        <w:t>Fraser’s Magazine for Town and Country</w:t>
      </w:r>
      <w:r w:rsidRPr="00DC09D2">
        <w:rPr>
          <w:rFonts w:asciiTheme="majorBidi" w:hAnsiTheme="majorBidi" w:cstheme="majorBidi"/>
          <w:sz w:val="20"/>
          <w:szCs w:val="20"/>
        </w:rPr>
        <w:t xml:space="preserve">, 5 June 1832, pp. 521–33, (pp. 521–22). </w:t>
      </w:r>
    </w:p>
  </w:footnote>
  <w:footnote w:id="609">
    <w:p w:rsidR="003515E3" w:rsidRPr="00DC09D2" w:rsidRDefault="003515E3" w:rsidP="00DD46EC">
      <w:pPr>
        <w:spacing w:after="0" w:line="240" w:lineRule="auto"/>
        <w:rPr>
          <w:rFonts w:asciiTheme="majorBidi" w:hAnsiTheme="majorBidi" w:cstheme="majorBidi"/>
          <w:sz w:val="20"/>
          <w:szCs w:val="20"/>
        </w:rPr>
      </w:pPr>
      <w:r w:rsidRPr="00DC09D2">
        <w:rPr>
          <w:rStyle w:val="FootnoteReference"/>
          <w:rFonts w:asciiTheme="majorBidi" w:hAnsiTheme="majorBidi" w:cstheme="majorBidi"/>
          <w:sz w:val="20"/>
          <w:szCs w:val="20"/>
        </w:rPr>
        <w:footnoteRef/>
      </w:r>
      <w:r w:rsidRPr="00DC09D2">
        <w:rPr>
          <w:rFonts w:asciiTheme="majorBidi" w:hAnsiTheme="majorBidi" w:cstheme="majorBidi"/>
          <w:sz w:val="20"/>
          <w:szCs w:val="20"/>
        </w:rPr>
        <w:t xml:space="preserve"> In the same article, the </w:t>
      </w:r>
      <w:r w:rsidRPr="00DC09D2">
        <w:rPr>
          <w:rFonts w:asciiTheme="majorBidi" w:hAnsiTheme="majorBidi" w:cstheme="majorBidi"/>
          <w:i/>
          <w:iCs/>
          <w:sz w:val="20"/>
          <w:szCs w:val="20"/>
        </w:rPr>
        <w:t>Teetotaler</w:t>
      </w:r>
      <w:r w:rsidRPr="00DC09D2">
        <w:rPr>
          <w:rFonts w:asciiTheme="majorBidi" w:hAnsiTheme="majorBidi" w:cstheme="majorBidi"/>
          <w:sz w:val="20"/>
          <w:szCs w:val="20"/>
        </w:rPr>
        <w:t xml:space="preserve"> criticised </w:t>
      </w:r>
      <w:r w:rsidRPr="00DC09D2">
        <w:rPr>
          <w:rFonts w:asciiTheme="majorBidi" w:hAnsiTheme="majorBidi" w:cstheme="majorBidi"/>
          <w:i/>
          <w:iCs/>
          <w:sz w:val="20"/>
          <w:szCs w:val="20"/>
        </w:rPr>
        <w:t>Master Humphrey’s Clock</w:t>
      </w:r>
      <w:r w:rsidRPr="00DC09D2">
        <w:rPr>
          <w:rFonts w:asciiTheme="majorBidi" w:hAnsiTheme="majorBidi" w:cstheme="majorBidi"/>
          <w:sz w:val="20"/>
          <w:szCs w:val="20"/>
        </w:rPr>
        <w:t xml:space="preserve"> while praising </w:t>
      </w:r>
      <w:r w:rsidRPr="00DC09D2">
        <w:rPr>
          <w:rFonts w:asciiTheme="majorBidi" w:hAnsiTheme="majorBidi" w:cstheme="majorBidi"/>
          <w:i/>
          <w:sz w:val="20"/>
          <w:szCs w:val="20"/>
        </w:rPr>
        <w:t>Oliver Twist</w:t>
      </w:r>
      <w:r w:rsidRPr="00DC09D2">
        <w:rPr>
          <w:rFonts w:asciiTheme="majorBidi" w:hAnsiTheme="majorBidi" w:cstheme="majorBidi"/>
          <w:sz w:val="20"/>
          <w:szCs w:val="20"/>
        </w:rPr>
        <w:t xml:space="preserve"> as an ‘excellent tale’.  See Anonymous, ‘Reviews’, </w:t>
      </w:r>
      <w:r w:rsidRPr="00DC09D2">
        <w:rPr>
          <w:rFonts w:asciiTheme="majorBidi" w:hAnsiTheme="majorBidi" w:cstheme="majorBidi"/>
          <w:i/>
          <w:iCs/>
          <w:sz w:val="20"/>
          <w:szCs w:val="20"/>
        </w:rPr>
        <w:t>Teetotaler,</w:t>
      </w:r>
      <w:r w:rsidRPr="00DC09D2">
        <w:rPr>
          <w:rFonts w:asciiTheme="majorBidi" w:hAnsiTheme="majorBidi" w:cstheme="majorBidi"/>
          <w:sz w:val="20"/>
          <w:szCs w:val="20"/>
        </w:rPr>
        <w:t xml:space="preserve"> 4 July 1840, p. 15.</w:t>
      </w:r>
    </w:p>
  </w:footnote>
  <w:footnote w:id="610">
    <w:p w:rsidR="003515E3" w:rsidRPr="00DC09D2" w:rsidRDefault="003515E3" w:rsidP="00DD46EC">
      <w:pPr>
        <w:pStyle w:val="FootnoteText"/>
        <w:spacing w:after="0" w:line="240" w:lineRule="auto"/>
        <w:rPr>
          <w:rFonts w:asciiTheme="majorBidi" w:hAnsiTheme="majorBidi" w:cstheme="majorBidi"/>
        </w:rPr>
      </w:pPr>
      <w:r w:rsidRPr="00DC09D2">
        <w:rPr>
          <w:rStyle w:val="FootnoteReference"/>
          <w:rFonts w:asciiTheme="majorBidi" w:hAnsiTheme="majorBidi" w:cstheme="majorBidi"/>
        </w:rPr>
        <w:footnoteRef/>
      </w:r>
      <w:r w:rsidRPr="00DC09D2">
        <w:rPr>
          <w:rFonts w:asciiTheme="majorBidi" w:hAnsiTheme="majorBidi" w:cstheme="majorBidi"/>
        </w:rPr>
        <w:t xml:space="preserve"> Hauser, p. 31.</w:t>
      </w:r>
    </w:p>
  </w:footnote>
  <w:footnote w:id="611">
    <w:p w:rsidR="003515E3" w:rsidRPr="00890E3F" w:rsidRDefault="003515E3" w:rsidP="00DD46EC">
      <w:pPr>
        <w:pStyle w:val="FootnoteText"/>
        <w:spacing w:after="0" w:line="240" w:lineRule="auto"/>
        <w:rPr>
          <w:rFonts w:asciiTheme="majorBidi" w:hAnsiTheme="majorBidi" w:cstheme="majorBidi"/>
        </w:rPr>
      </w:pPr>
      <w:r w:rsidRPr="00890E3F">
        <w:rPr>
          <w:rStyle w:val="FootnoteReference"/>
          <w:rFonts w:asciiTheme="majorBidi" w:hAnsiTheme="majorBidi" w:cstheme="majorBidi"/>
        </w:rPr>
        <w:footnoteRef/>
      </w:r>
      <w:r w:rsidRPr="00890E3F">
        <w:rPr>
          <w:rFonts w:asciiTheme="majorBidi" w:hAnsiTheme="majorBidi" w:cstheme="majorBidi"/>
        </w:rPr>
        <w:t xml:space="preserve"> The first gang, led by Anthony Tidkins, the Resurrection Man, appears in the first two volumes of </w:t>
      </w:r>
      <w:r w:rsidRPr="00890E3F">
        <w:rPr>
          <w:rFonts w:ascii="Times New Roman" w:hAnsi="Times New Roman"/>
          <w:i/>
        </w:rPr>
        <w:t>Mysteries of London</w:t>
      </w:r>
      <w:r w:rsidRPr="00890E3F">
        <w:rPr>
          <w:rFonts w:asciiTheme="majorBidi" w:hAnsiTheme="majorBidi" w:cstheme="majorBidi"/>
        </w:rPr>
        <w:t>.  The second, which gathers around Benjamin Bones, also known as Old Death or Old Bones, appears in the third.  Jack Rily and Vitriol Bob are the foremost representatives of the dangerous classes in volume four.</w:t>
      </w:r>
    </w:p>
  </w:footnote>
  <w:footnote w:id="612">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Pickwick Abroad</w:t>
      </w:r>
      <w:r w:rsidRPr="00890E3F">
        <w:rPr>
          <w:rFonts w:ascii="Times New Roman" w:hAnsi="Times New Roman"/>
        </w:rPr>
        <w:t>, p. 542.</w:t>
      </w:r>
    </w:p>
  </w:footnote>
  <w:footnote w:id="613">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Dakins and his colleagues make their living by exploiting the naivety of tourists.  Reynolds presents them</w:t>
      </w:r>
      <w:r w:rsidRPr="00890E3F">
        <w:rPr>
          <w:rFonts w:asciiTheme="majorBidi" w:hAnsiTheme="majorBidi" w:cstheme="majorBidi"/>
        </w:rPr>
        <w:t xml:space="preserve"> as stereotypical stage villains: Dakins with a ‘</w:t>
      </w:r>
      <w:r w:rsidRPr="00890E3F">
        <w:rPr>
          <w:rFonts w:asciiTheme="majorBidi" w:eastAsiaTheme="minorHAnsi" w:hAnsiTheme="majorBidi" w:cstheme="majorBidi"/>
        </w:rPr>
        <w:t xml:space="preserve">bird's-eye handkerchief round his neck, drab shorts, tops, and a poodle benjamin over his green cut-away coat’, while the right eye of his companion Mr Nagles is a ‘large dull circle of dead green glass’.  See </w:t>
      </w:r>
      <w:r w:rsidRPr="00890E3F">
        <w:rPr>
          <w:rFonts w:ascii="Times New Roman" w:hAnsi="Times New Roman"/>
          <w:i/>
        </w:rPr>
        <w:t>Steam Packet</w:t>
      </w:r>
      <w:r w:rsidRPr="00890E3F">
        <w:rPr>
          <w:rFonts w:ascii="Times New Roman" w:hAnsi="Times New Roman"/>
        </w:rPr>
        <w:t>, pp. 118–19.</w:t>
      </w:r>
    </w:p>
  </w:footnote>
  <w:footnote w:id="614">
    <w:p w:rsidR="003515E3" w:rsidRPr="007E61EB" w:rsidRDefault="003515E3" w:rsidP="00DD46EC">
      <w:pPr>
        <w:spacing w:after="0" w:line="240" w:lineRule="auto"/>
        <w:rPr>
          <w:rFonts w:ascii="Times New Roman" w:hAnsi="Times New Roman" w:cs="Times New Roman"/>
          <w:sz w:val="20"/>
          <w:szCs w:val="20"/>
        </w:rPr>
      </w:pPr>
      <w:r w:rsidRPr="00890E3F">
        <w:rPr>
          <w:rStyle w:val="FootnoteReference"/>
          <w:rFonts w:ascii="Times New Roman" w:hAnsi="Times New Roman" w:cs="Times New Roman"/>
          <w:sz w:val="20"/>
          <w:szCs w:val="20"/>
        </w:rPr>
        <w:footnoteRef/>
      </w:r>
      <w:r w:rsidRPr="00890E3F">
        <w:rPr>
          <w:rFonts w:ascii="Times New Roman" w:hAnsi="Times New Roman" w:cs="Times New Roman"/>
          <w:sz w:val="20"/>
          <w:szCs w:val="20"/>
        </w:rPr>
        <w:t xml:space="preserve"> </w:t>
      </w:r>
      <w:r w:rsidRPr="00890E3F">
        <w:rPr>
          <w:rFonts w:ascii="Times New Roman" w:eastAsia="Times New Roman" w:hAnsi="Times New Roman" w:cs="Times New Roman"/>
          <w:sz w:val="20"/>
          <w:szCs w:val="20"/>
          <w:lang w:eastAsia="en-GB"/>
        </w:rPr>
        <w:t>Louis James, ‘From Egan to Reynolds: The shaping of urban ‘Mysteries’ in England and France, 1821</w:t>
      </w:r>
      <w:r w:rsidRPr="00890E3F">
        <w:rPr>
          <w:rFonts w:ascii="Times New Roman" w:hAnsi="Times New Roman"/>
          <w:sz w:val="20"/>
          <w:szCs w:val="20"/>
        </w:rPr>
        <w:t>–</w:t>
      </w:r>
      <w:r w:rsidRPr="00890E3F">
        <w:rPr>
          <w:rFonts w:ascii="Times New Roman" w:eastAsia="Times New Roman" w:hAnsi="Times New Roman" w:cs="Times New Roman"/>
          <w:sz w:val="20"/>
          <w:szCs w:val="20"/>
          <w:lang w:eastAsia="en-GB"/>
        </w:rPr>
        <w:t xml:space="preserve">48’, </w:t>
      </w:r>
      <w:r w:rsidRPr="00890E3F">
        <w:rPr>
          <w:rFonts w:ascii="Times New Roman" w:eastAsia="Times New Roman" w:hAnsi="Times New Roman" w:cs="Times New Roman"/>
          <w:i/>
          <w:sz w:val="20"/>
          <w:szCs w:val="20"/>
          <w:lang w:eastAsia="en-GB"/>
        </w:rPr>
        <w:t>European Journal of English Studies</w:t>
      </w:r>
      <w:r w:rsidRPr="00890E3F">
        <w:rPr>
          <w:rFonts w:ascii="Times New Roman" w:eastAsia="Times New Roman" w:hAnsi="Times New Roman" w:cs="Times New Roman"/>
          <w:sz w:val="20"/>
          <w:szCs w:val="20"/>
          <w:lang w:eastAsia="en-GB"/>
        </w:rPr>
        <w:t>, 14.2 (2010), 95</w:t>
      </w:r>
      <w:r w:rsidRPr="00890E3F">
        <w:rPr>
          <w:rFonts w:ascii="Times New Roman" w:hAnsi="Times New Roman"/>
          <w:sz w:val="20"/>
          <w:szCs w:val="20"/>
        </w:rPr>
        <w:t>–</w:t>
      </w:r>
      <w:r w:rsidRPr="00890E3F">
        <w:rPr>
          <w:rFonts w:ascii="Times New Roman" w:eastAsia="Times New Roman" w:hAnsi="Times New Roman" w:cs="Times New Roman"/>
          <w:sz w:val="20"/>
          <w:szCs w:val="20"/>
          <w:lang w:eastAsia="en-GB"/>
        </w:rPr>
        <w:t>106 &lt;</w:t>
      </w:r>
      <w:hyperlink r:id="rId17" w:history="1">
        <w:r w:rsidRPr="00890E3F">
          <w:rPr>
            <w:rStyle w:val="Hyperlink"/>
            <w:rFonts w:ascii="Times New Roman" w:eastAsia="Times New Roman" w:hAnsi="Times New Roman" w:cs="Times New Roman"/>
            <w:color w:val="auto"/>
            <w:sz w:val="20"/>
            <w:szCs w:val="20"/>
            <w:u w:val="none"/>
            <w:lang w:eastAsia="en-GB"/>
          </w:rPr>
          <w:t>http://dx.doi.org/10.1080/13825571003775356</w:t>
        </w:r>
      </w:hyperlink>
      <w:r w:rsidRPr="00890E3F">
        <w:rPr>
          <w:rFonts w:ascii="Times New Roman" w:eastAsia="Times New Roman" w:hAnsi="Times New Roman" w:cs="Times New Roman"/>
          <w:sz w:val="20"/>
          <w:szCs w:val="20"/>
          <w:lang w:eastAsia="en-GB"/>
        </w:rPr>
        <w:t>&gt; (p. 103).</w:t>
      </w:r>
    </w:p>
  </w:footnote>
  <w:footnote w:id="615">
    <w:p w:rsidR="003515E3" w:rsidRPr="00DC09D2" w:rsidRDefault="003515E3" w:rsidP="00DD46EC">
      <w:pPr>
        <w:pStyle w:val="FootnoteText"/>
        <w:spacing w:after="0" w:line="240" w:lineRule="auto"/>
        <w:rPr>
          <w:rFonts w:ascii="Times New Roman" w:hAnsi="Times New Roman"/>
        </w:rPr>
      </w:pPr>
      <w:r w:rsidRPr="00DC09D2">
        <w:rPr>
          <w:rStyle w:val="FootnoteReference"/>
          <w:rFonts w:ascii="Times New Roman" w:hAnsi="Times New Roman"/>
        </w:rPr>
        <w:footnoteRef/>
      </w:r>
      <w:r w:rsidRPr="00DC09D2">
        <w:rPr>
          <w:rFonts w:ascii="Times New Roman" w:hAnsi="Times New Roman"/>
        </w:rPr>
        <w:t xml:space="preserve"> Tidkins seeks work among local farmers, wealthier shopkeepers and his father’s well-to-do customers.  The clergy and gentry also spurn him, the local baronet threatening to put him in the stocks if found loitering on his property again.  See </w:t>
      </w:r>
      <w:r w:rsidRPr="00DC09D2">
        <w:rPr>
          <w:rFonts w:ascii="Times New Roman" w:hAnsi="Times New Roman"/>
          <w:i/>
        </w:rPr>
        <w:t>Mysteries of London</w:t>
      </w:r>
      <w:r w:rsidRPr="00DC09D2">
        <w:rPr>
          <w:rFonts w:ascii="Times New Roman" w:hAnsi="Times New Roman"/>
        </w:rPr>
        <w:t>, I, 192–94.</w:t>
      </w:r>
    </w:p>
  </w:footnote>
  <w:footnote w:id="616">
    <w:p w:rsidR="003515E3" w:rsidRPr="00DC09D2" w:rsidRDefault="003515E3" w:rsidP="00DD46EC">
      <w:pPr>
        <w:pStyle w:val="FootnoteText"/>
        <w:spacing w:after="0" w:line="240" w:lineRule="auto"/>
        <w:rPr>
          <w:rFonts w:ascii="Times New Roman" w:hAnsi="Times New Roman"/>
        </w:rPr>
      </w:pPr>
      <w:r w:rsidRPr="00DC09D2">
        <w:rPr>
          <w:rStyle w:val="FootnoteReference"/>
          <w:rFonts w:ascii="Times New Roman" w:hAnsi="Times New Roman"/>
        </w:rPr>
        <w:footnoteRef/>
      </w:r>
      <w:r w:rsidRPr="00DC09D2">
        <w:rPr>
          <w:rFonts w:ascii="Times New Roman" w:hAnsi="Times New Roman"/>
        </w:rPr>
        <w:t xml:space="preserve"> </w:t>
      </w:r>
      <w:r w:rsidRPr="00DC09D2">
        <w:rPr>
          <w:rFonts w:ascii="Times New Roman" w:hAnsi="Times New Roman"/>
          <w:i/>
        </w:rPr>
        <w:t>Mysteries of London</w:t>
      </w:r>
      <w:r w:rsidRPr="00DC09D2">
        <w:rPr>
          <w:rFonts w:ascii="Times New Roman" w:hAnsi="Times New Roman"/>
        </w:rPr>
        <w:t>, I, 192.</w:t>
      </w:r>
    </w:p>
  </w:footnote>
  <w:footnote w:id="617">
    <w:p w:rsidR="003515E3" w:rsidRPr="00DC09D2" w:rsidRDefault="003515E3" w:rsidP="00DD46EC">
      <w:pPr>
        <w:pStyle w:val="FootnoteText"/>
        <w:spacing w:after="0" w:line="240" w:lineRule="auto"/>
      </w:pPr>
      <w:r w:rsidRPr="00DC09D2">
        <w:rPr>
          <w:rStyle w:val="FootnoteReference"/>
          <w:rFonts w:ascii="Times New Roman" w:hAnsi="Times New Roman"/>
        </w:rPr>
        <w:footnoteRef/>
      </w:r>
      <w:r w:rsidRPr="00DC09D2">
        <w:rPr>
          <w:rFonts w:ascii="Times New Roman" w:hAnsi="Times New Roman"/>
        </w:rPr>
        <w:t xml:space="preserve"> </w:t>
      </w:r>
      <w:r w:rsidRPr="00DC09D2">
        <w:rPr>
          <w:rFonts w:ascii="Times New Roman" w:hAnsi="Times New Roman"/>
          <w:i/>
        </w:rPr>
        <w:t>Mysteries of London</w:t>
      </w:r>
      <w:r w:rsidRPr="00DC09D2">
        <w:rPr>
          <w:rFonts w:ascii="Times New Roman" w:hAnsi="Times New Roman"/>
        </w:rPr>
        <w:t>, II, 178.</w:t>
      </w:r>
    </w:p>
  </w:footnote>
  <w:footnote w:id="618">
    <w:p w:rsidR="003515E3" w:rsidRPr="00DC09D2" w:rsidRDefault="003515E3" w:rsidP="00DD46EC">
      <w:pPr>
        <w:pStyle w:val="FootnoteText"/>
        <w:spacing w:after="0" w:line="240" w:lineRule="auto"/>
      </w:pPr>
      <w:r w:rsidRPr="00DC09D2">
        <w:rPr>
          <w:rStyle w:val="FootnoteReference"/>
          <w:rFonts w:ascii="Times New Roman" w:hAnsi="Times New Roman"/>
        </w:rPr>
        <w:footnoteRef/>
      </w:r>
      <w:r w:rsidRPr="00DC09D2">
        <w:rPr>
          <w:rFonts w:ascii="Times New Roman" w:hAnsi="Times New Roman"/>
        </w:rPr>
        <w:t xml:space="preserve"> </w:t>
      </w:r>
      <w:r w:rsidRPr="00DC09D2">
        <w:rPr>
          <w:rFonts w:ascii="Times New Roman" w:hAnsi="Times New Roman"/>
          <w:i/>
        </w:rPr>
        <w:t>Mysteries of London</w:t>
      </w:r>
      <w:r w:rsidRPr="00DC09D2">
        <w:rPr>
          <w:rFonts w:ascii="Times New Roman" w:hAnsi="Times New Roman"/>
        </w:rPr>
        <w:t>, III, 244.</w:t>
      </w:r>
    </w:p>
  </w:footnote>
  <w:footnote w:id="619">
    <w:p w:rsidR="003515E3" w:rsidRPr="00DC09D2" w:rsidRDefault="003515E3" w:rsidP="00DD46EC">
      <w:pPr>
        <w:pStyle w:val="FootnoteText"/>
        <w:spacing w:after="0" w:line="240" w:lineRule="auto"/>
        <w:rPr>
          <w:rFonts w:ascii="Times New Roman" w:hAnsi="Times New Roman"/>
        </w:rPr>
      </w:pPr>
      <w:r w:rsidRPr="00DC09D2">
        <w:rPr>
          <w:rStyle w:val="FootnoteReference"/>
          <w:rFonts w:ascii="Times New Roman" w:hAnsi="Times New Roman"/>
        </w:rPr>
        <w:footnoteRef/>
      </w:r>
      <w:r w:rsidRPr="00DC09D2">
        <w:rPr>
          <w:rFonts w:ascii="Times New Roman" w:hAnsi="Times New Roman"/>
        </w:rPr>
        <w:t xml:space="preserve"> </w:t>
      </w:r>
      <w:r w:rsidRPr="00DC09D2">
        <w:rPr>
          <w:rFonts w:ascii="Times New Roman" w:hAnsi="Times New Roman"/>
          <w:i/>
        </w:rPr>
        <w:t>Mysteries of London</w:t>
      </w:r>
      <w:r w:rsidRPr="00DC09D2">
        <w:rPr>
          <w:rFonts w:ascii="Times New Roman" w:hAnsi="Times New Roman"/>
        </w:rPr>
        <w:t>, III, 250.</w:t>
      </w:r>
    </w:p>
  </w:footnote>
  <w:footnote w:id="620">
    <w:p w:rsidR="003515E3" w:rsidRPr="00DC09D2" w:rsidRDefault="003515E3" w:rsidP="00DD46EC">
      <w:pPr>
        <w:pStyle w:val="FootnoteText"/>
        <w:spacing w:after="0" w:line="240" w:lineRule="auto"/>
        <w:rPr>
          <w:rFonts w:ascii="Times New Roman" w:hAnsi="Times New Roman"/>
        </w:rPr>
      </w:pPr>
      <w:r w:rsidRPr="00DC09D2">
        <w:rPr>
          <w:rStyle w:val="FootnoteReference"/>
          <w:rFonts w:ascii="Times New Roman" w:hAnsi="Times New Roman"/>
        </w:rPr>
        <w:footnoteRef/>
      </w:r>
      <w:r w:rsidRPr="00DC09D2">
        <w:rPr>
          <w:rFonts w:ascii="Times New Roman" w:hAnsi="Times New Roman"/>
        </w:rPr>
        <w:t xml:space="preserve"> </w:t>
      </w:r>
      <w:r w:rsidRPr="00DC09D2">
        <w:rPr>
          <w:rFonts w:ascii="Times New Roman" w:hAnsi="Times New Roman"/>
          <w:i/>
        </w:rPr>
        <w:t>Mysteries of London</w:t>
      </w:r>
      <w:r w:rsidRPr="00DC09D2">
        <w:rPr>
          <w:rFonts w:ascii="Times New Roman" w:hAnsi="Times New Roman"/>
        </w:rPr>
        <w:t>, I, 353–61.</w:t>
      </w:r>
    </w:p>
  </w:footnote>
  <w:footnote w:id="621">
    <w:p w:rsidR="003515E3" w:rsidRPr="00DC09D2" w:rsidRDefault="003515E3" w:rsidP="00DD46EC">
      <w:pPr>
        <w:pStyle w:val="FootnoteText"/>
        <w:spacing w:after="0" w:line="240" w:lineRule="auto"/>
        <w:rPr>
          <w:rFonts w:ascii="Times New Roman" w:hAnsi="Times New Roman"/>
        </w:rPr>
      </w:pPr>
      <w:r w:rsidRPr="00472F44">
        <w:rPr>
          <w:rStyle w:val="FootnoteReference"/>
          <w:rFonts w:ascii="Times New Roman" w:hAnsi="Times New Roman"/>
        </w:rPr>
        <w:footnoteRef/>
      </w:r>
      <w:r w:rsidRPr="00472F44">
        <w:rPr>
          <w:rFonts w:ascii="Times New Roman" w:hAnsi="Times New Roman"/>
        </w:rPr>
        <w:t xml:space="preserve"> See </w:t>
      </w:r>
      <w:r w:rsidRPr="00472F44">
        <w:rPr>
          <w:rFonts w:ascii="Times New Roman" w:hAnsi="Times New Roman"/>
          <w:i/>
        </w:rPr>
        <w:t>Mysteries of London</w:t>
      </w:r>
      <w:r w:rsidRPr="00472F44">
        <w:rPr>
          <w:rFonts w:ascii="Times New Roman" w:hAnsi="Times New Roman"/>
        </w:rPr>
        <w:t>, III, 68–72.</w:t>
      </w:r>
    </w:p>
  </w:footnote>
  <w:footnote w:id="622">
    <w:p w:rsidR="003515E3" w:rsidRPr="00DC09D2" w:rsidRDefault="003515E3" w:rsidP="00DD46EC">
      <w:pPr>
        <w:pStyle w:val="FootnoteText"/>
        <w:spacing w:after="0" w:line="240" w:lineRule="auto"/>
        <w:rPr>
          <w:rFonts w:ascii="Times New Roman" w:hAnsi="Times New Roman"/>
        </w:rPr>
      </w:pPr>
      <w:r w:rsidRPr="00DC09D2">
        <w:rPr>
          <w:rStyle w:val="FootnoteReference"/>
          <w:rFonts w:ascii="Times New Roman" w:hAnsi="Times New Roman"/>
        </w:rPr>
        <w:footnoteRef/>
      </w:r>
      <w:r w:rsidRPr="00DC09D2">
        <w:rPr>
          <w:rFonts w:ascii="Times New Roman" w:hAnsi="Times New Roman"/>
        </w:rPr>
        <w:t xml:space="preserve"> </w:t>
      </w:r>
      <w:r w:rsidRPr="00DC09D2">
        <w:rPr>
          <w:rFonts w:ascii="Times New Roman" w:hAnsi="Times New Roman"/>
          <w:i/>
        </w:rPr>
        <w:t>Mysteries of London</w:t>
      </w:r>
      <w:r w:rsidRPr="00DC09D2">
        <w:rPr>
          <w:rFonts w:ascii="Times New Roman" w:hAnsi="Times New Roman"/>
        </w:rPr>
        <w:t xml:space="preserve">, I, 304. </w:t>
      </w:r>
    </w:p>
  </w:footnote>
  <w:footnote w:id="623">
    <w:p w:rsidR="003515E3" w:rsidRPr="00DC09D2" w:rsidRDefault="003515E3" w:rsidP="00DD46EC">
      <w:pPr>
        <w:pStyle w:val="FootnoteText"/>
        <w:spacing w:after="0" w:line="240" w:lineRule="auto"/>
        <w:rPr>
          <w:rFonts w:ascii="Times New Roman" w:hAnsi="Times New Roman"/>
        </w:rPr>
      </w:pPr>
      <w:r w:rsidRPr="00DC09D2">
        <w:rPr>
          <w:rStyle w:val="FootnoteReference"/>
          <w:rFonts w:ascii="Times New Roman" w:hAnsi="Times New Roman"/>
        </w:rPr>
        <w:footnoteRef/>
      </w:r>
      <w:r w:rsidRPr="00DC09D2">
        <w:rPr>
          <w:rFonts w:ascii="Times New Roman" w:hAnsi="Times New Roman"/>
        </w:rPr>
        <w:t xml:space="preserve"> It is possible to see Jeffreys as not really a genuine member of the dangerous classes but rather as an opportunistic associate.</w:t>
      </w:r>
    </w:p>
  </w:footnote>
  <w:footnote w:id="624">
    <w:p w:rsidR="003515E3" w:rsidRPr="00DC09D2" w:rsidRDefault="003515E3" w:rsidP="00DD46EC">
      <w:pPr>
        <w:pStyle w:val="FootnoteText"/>
        <w:spacing w:after="0" w:line="240" w:lineRule="auto"/>
        <w:rPr>
          <w:rFonts w:ascii="Times New Roman" w:hAnsi="Times New Roman"/>
        </w:rPr>
      </w:pPr>
      <w:r w:rsidRPr="00DC09D2">
        <w:rPr>
          <w:rStyle w:val="FootnoteReference"/>
          <w:rFonts w:ascii="Times New Roman" w:hAnsi="Times New Roman"/>
        </w:rPr>
        <w:footnoteRef/>
      </w:r>
      <w:r w:rsidRPr="00DC09D2">
        <w:rPr>
          <w:rFonts w:ascii="Times New Roman" w:hAnsi="Times New Roman"/>
        </w:rPr>
        <w:t xml:space="preserve"> For examples of these personal histories, see </w:t>
      </w:r>
      <w:r w:rsidRPr="00DC09D2">
        <w:rPr>
          <w:rFonts w:ascii="Times New Roman" w:hAnsi="Times New Roman"/>
          <w:i/>
        </w:rPr>
        <w:t>London Labour and the London Poor</w:t>
      </w:r>
      <w:r w:rsidRPr="00DC09D2">
        <w:rPr>
          <w:rFonts w:ascii="Times New Roman" w:hAnsi="Times New Roman"/>
        </w:rPr>
        <w:t>, IV, 260, 301, 317, 345, 349 and 371.</w:t>
      </w:r>
    </w:p>
  </w:footnote>
  <w:footnote w:id="625">
    <w:p w:rsidR="003515E3" w:rsidRPr="00DC09D2" w:rsidRDefault="003515E3" w:rsidP="00DD46EC">
      <w:pPr>
        <w:pStyle w:val="FootnoteText"/>
        <w:spacing w:after="0" w:line="240" w:lineRule="auto"/>
        <w:rPr>
          <w:rFonts w:ascii="Times New Roman" w:hAnsi="Times New Roman"/>
        </w:rPr>
      </w:pPr>
      <w:r w:rsidRPr="00DC09D2">
        <w:rPr>
          <w:rStyle w:val="FootnoteReference"/>
          <w:rFonts w:ascii="Times New Roman" w:hAnsi="Times New Roman"/>
        </w:rPr>
        <w:footnoteRef/>
      </w:r>
      <w:r w:rsidRPr="00DC09D2">
        <w:rPr>
          <w:rFonts w:ascii="Times New Roman" w:hAnsi="Times New Roman"/>
        </w:rPr>
        <w:t xml:space="preserve"> </w:t>
      </w:r>
      <w:r w:rsidRPr="00DC09D2">
        <w:rPr>
          <w:rFonts w:ascii="Times New Roman" w:hAnsi="Times New Roman"/>
          <w:i/>
        </w:rPr>
        <w:t>London Labour and the London Poor</w:t>
      </w:r>
      <w:r w:rsidRPr="00DC09D2">
        <w:rPr>
          <w:rFonts w:ascii="Times New Roman" w:hAnsi="Times New Roman"/>
        </w:rPr>
        <w:t>, I, iii.</w:t>
      </w:r>
    </w:p>
  </w:footnote>
  <w:footnote w:id="626">
    <w:p w:rsidR="003515E3" w:rsidRPr="00DC09D2" w:rsidRDefault="003515E3" w:rsidP="00DD46EC">
      <w:pPr>
        <w:pStyle w:val="FootnoteText"/>
        <w:spacing w:after="0" w:line="240" w:lineRule="auto"/>
        <w:rPr>
          <w:rFonts w:ascii="Times New Roman" w:hAnsi="Times New Roman"/>
        </w:rPr>
      </w:pPr>
      <w:r w:rsidRPr="00DC09D2">
        <w:rPr>
          <w:rStyle w:val="FootnoteReference"/>
          <w:rFonts w:ascii="Times New Roman" w:hAnsi="Times New Roman"/>
        </w:rPr>
        <w:footnoteRef/>
      </w:r>
      <w:r w:rsidRPr="00DC09D2">
        <w:rPr>
          <w:rFonts w:ascii="Times New Roman" w:hAnsi="Times New Roman"/>
        </w:rPr>
        <w:t xml:space="preserve"> Neale, p. 133.</w:t>
      </w:r>
    </w:p>
  </w:footnote>
  <w:footnote w:id="627">
    <w:p w:rsidR="003515E3" w:rsidRPr="00DC09D2" w:rsidRDefault="003515E3" w:rsidP="00DD46EC">
      <w:pPr>
        <w:pStyle w:val="FootnoteText"/>
        <w:spacing w:after="0" w:line="240" w:lineRule="auto"/>
        <w:rPr>
          <w:rFonts w:ascii="Times New Roman" w:hAnsi="Times New Roman"/>
        </w:rPr>
      </w:pPr>
      <w:r w:rsidRPr="00DC09D2">
        <w:rPr>
          <w:rStyle w:val="FootnoteReference"/>
          <w:rFonts w:ascii="Times New Roman" w:hAnsi="Times New Roman"/>
        </w:rPr>
        <w:footnoteRef/>
      </w:r>
      <w:r w:rsidRPr="00DC09D2">
        <w:rPr>
          <w:rFonts w:ascii="Times New Roman" w:hAnsi="Times New Roman"/>
        </w:rPr>
        <w:t xml:space="preserve"> </w:t>
      </w:r>
      <w:r w:rsidRPr="00DC09D2">
        <w:rPr>
          <w:rFonts w:ascii="Times New Roman" w:hAnsi="Times New Roman"/>
          <w:i/>
        </w:rPr>
        <w:t>Mysteries of London</w:t>
      </w:r>
      <w:r w:rsidRPr="00DC09D2">
        <w:rPr>
          <w:rFonts w:ascii="Times New Roman" w:hAnsi="Times New Roman"/>
        </w:rPr>
        <w:t>, I, 50.</w:t>
      </w:r>
    </w:p>
  </w:footnote>
  <w:footnote w:id="628">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II, 187.</w:t>
      </w:r>
    </w:p>
  </w:footnote>
  <w:footnote w:id="629">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Days of Hogarth</w:t>
      </w:r>
      <w:r w:rsidRPr="00890E3F">
        <w:rPr>
          <w:rFonts w:ascii="Times New Roman" w:hAnsi="Times New Roman"/>
        </w:rPr>
        <w:t xml:space="preserve">, p. 8.  For a sketch of the licentious career of Colonel Francis Charteris, see Camden Pelham, </w:t>
      </w:r>
      <w:r w:rsidRPr="00890E3F">
        <w:rPr>
          <w:rFonts w:ascii="Times New Roman" w:hAnsi="Times New Roman"/>
          <w:i/>
        </w:rPr>
        <w:t>The Chronicles of Crime: or, the New Newgate Calenda</w:t>
      </w:r>
      <w:r w:rsidRPr="00890E3F">
        <w:rPr>
          <w:rFonts w:ascii="Times New Roman" w:hAnsi="Times New Roman"/>
        </w:rPr>
        <w:t>r, 2 vols (London: Miles, 1887), I, 76–79.</w:t>
      </w:r>
    </w:p>
  </w:footnote>
  <w:footnote w:id="630">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Ainsworth depicts similar levels of opposition when well-organised gangs in the Mint are able to withstand an attack by constables.  See W. H. Ainsworth, </w:t>
      </w:r>
      <w:r w:rsidRPr="00890E3F">
        <w:rPr>
          <w:rFonts w:ascii="Times New Roman" w:hAnsi="Times New Roman"/>
          <w:i/>
        </w:rPr>
        <w:t>Jack Sheppard</w:t>
      </w:r>
      <w:r w:rsidRPr="00890E3F">
        <w:rPr>
          <w:rFonts w:ascii="Times New Roman" w:hAnsi="Times New Roman"/>
        </w:rPr>
        <w:t xml:space="preserve"> (London: Routledge, [n.d.]), pp. 10–20.</w:t>
      </w:r>
    </w:p>
  </w:footnote>
  <w:footnote w:id="631">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 xml:space="preserve">Days of Hogarth, </w:t>
      </w:r>
      <w:r w:rsidRPr="00890E3F">
        <w:rPr>
          <w:rFonts w:ascii="Times New Roman" w:hAnsi="Times New Roman"/>
        </w:rPr>
        <w:t>p. 36.</w:t>
      </w:r>
    </w:p>
  </w:footnote>
  <w:footnote w:id="632">
    <w:p w:rsidR="003515E3" w:rsidRPr="00605367"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 xml:space="preserve">Days of Hogarth, </w:t>
      </w:r>
      <w:r w:rsidRPr="00890E3F">
        <w:rPr>
          <w:rFonts w:ascii="Times New Roman" w:hAnsi="Times New Roman"/>
        </w:rPr>
        <w:t>p. 36.</w:t>
      </w:r>
    </w:p>
  </w:footnote>
  <w:footnote w:id="633">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Days of Hogarth</w:t>
      </w:r>
      <w:r w:rsidRPr="00605367">
        <w:rPr>
          <w:rFonts w:ascii="Times New Roman" w:hAnsi="Times New Roman"/>
        </w:rPr>
        <w:t>, p. 179.</w:t>
      </w:r>
    </w:p>
  </w:footnote>
  <w:footnote w:id="634">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Robert </w:t>
      </w:r>
      <w:r w:rsidRPr="00605367">
        <w:rPr>
          <w:rFonts w:asciiTheme="majorBidi" w:hAnsiTheme="majorBidi" w:cstheme="majorBidi"/>
        </w:rPr>
        <w:t>Mighall writes how such areas empowered the dangerous classes; that t</w:t>
      </w:r>
      <w:r w:rsidRPr="00605367">
        <w:rPr>
          <w:rFonts w:ascii="Times New Roman" w:hAnsi="Times New Roman"/>
        </w:rPr>
        <w:t>he ‘labyrinth’ of the old and poorer districts held danger and mystery by excluding ‘others’.  See Mighall, pp. 31–32.</w:t>
      </w:r>
    </w:p>
  </w:footnote>
  <w:footnote w:id="635">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191.</w:t>
      </w:r>
    </w:p>
  </w:footnote>
  <w:footnote w:id="636">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heme="majorBidi" w:hAnsiTheme="majorBidi" w:cstheme="majorBidi"/>
          <w:bCs/>
        </w:rPr>
        <w:t xml:space="preserve">J. Nicholas Entrikin, </w:t>
      </w:r>
      <w:r w:rsidRPr="00605367">
        <w:rPr>
          <w:rFonts w:asciiTheme="majorBidi" w:hAnsiTheme="majorBidi" w:cstheme="majorBidi"/>
          <w:bCs/>
          <w:i/>
        </w:rPr>
        <w:t>The Betweenness of Place: Towards a Geography of Modernity</w:t>
      </w:r>
      <w:r w:rsidRPr="00605367">
        <w:rPr>
          <w:rFonts w:asciiTheme="majorBidi" w:hAnsiTheme="majorBidi" w:cstheme="majorBidi"/>
          <w:bCs/>
        </w:rPr>
        <w:t xml:space="preserve"> (Houndmills: Macmillan, 1991), p. 11</w:t>
      </w:r>
      <w:r w:rsidRPr="00605367">
        <w:rPr>
          <w:rFonts w:ascii="Times New Roman" w:hAnsi="Times New Roman"/>
        </w:rPr>
        <w:t>.</w:t>
      </w:r>
    </w:p>
  </w:footnote>
  <w:footnote w:id="637">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191.</w:t>
      </w:r>
    </w:p>
  </w:footnote>
  <w:footnote w:id="638">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191.</w:t>
      </w:r>
    </w:p>
  </w:footnote>
  <w:footnote w:id="639">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Sara James points to how the slum areas of St Giles, Smithfield, Saffron Hill, Bethnal Green and Spitalfields recur through the </w:t>
      </w:r>
      <w:r w:rsidRPr="00605367">
        <w:rPr>
          <w:rFonts w:ascii="Times New Roman" w:hAnsi="Times New Roman"/>
          <w:i/>
        </w:rPr>
        <w:t>Mysteries of London</w:t>
      </w:r>
      <w:r w:rsidRPr="00605367">
        <w:rPr>
          <w:rFonts w:ascii="Times New Roman" w:hAnsi="Times New Roman"/>
        </w:rPr>
        <w:t>.  See James, ‘Capital Tales: The Urban Mysteries of Eugene Sue and G. W. M. Reynolds’, p. 84.</w:t>
      </w:r>
    </w:p>
  </w:footnote>
  <w:footnote w:id="640">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202.</w:t>
      </w:r>
    </w:p>
  </w:footnote>
  <w:footnote w:id="641">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205.</w:t>
      </w:r>
    </w:p>
  </w:footnote>
  <w:footnote w:id="642">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heme="majorBidi" w:hAnsiTheme="majorBidi" w:cstheme="majorBidi"/>
          <w:bCs/>
        </w:rPr>
        <w:t>Entrikin, p. 52</w:t>
      </w:r>
      <w:r w:rsidRPr="00605367">
        <w:rPr>
          <w:rFonts w:ascii="Times New Roman" w:hAnsi="Times New Roman"/>
        </w:rPr>
        <w:t>.</w:t>
      </w:r>
    </w:p>
  </w:footnote>
  <w:footnote w:id="643">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Thomas Rainford in his guise as ‘gentleman highwayman’ assumes the name Tom Rain. After his relationship</w:t>
      </w:r>
      <w:r w:rsidRPr="00890E3F">
        <w:rPr>
          <w:rFonts w:ascii="Times New Roman" w:hAnsi="Times New Roman"/>
          <w:u w:val="single"/>
        </w:rPr>
        <w:t xml:space="preserve"> </w:t>
      </w:r>
      <w:r w:rsidRPr="00890E3F">
        <w:rPr>
          <w:rFonts w:ascii="Times New Roman" w:hAnsi="Times New Roman"/>
        </w:rPr>
        <w:t>as half-brother to Lord Arthur Ellingham is revealed and he abandons this activity, he takes the name Charles Hatfield.  For consistency, he will be referred to as Thomas Rainford throughout this thesis.</w:t>
      </w:r>
    </w:p>
  </w:footnote>
  <w:footnote w:id="644">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For details of the pursuit, see </w:t>
      </w:r>
      <w:r w:rsidRPr="00890E3F">
        <w:rPr>
          <w:rFonts w:ascii="Times New Roman" w:hAnsi="Times New Roman"/>
          <w:i/>
        </w:rPr>
        <w:t>Mysteries of London</w:t>
      </w:r>
      <w:r w:rsidRPr="00890E3F">
        <w:rPr>
          <w:rFonts w:ascii="Times New Roman" w:hAnsi="Times New Roman"/>
        </w:rPr>
        <w:t>, III, 62–63.</w:t>
      </w:r>
    </w:p>
  </w:footnote>
  <w:footnote w:id="645">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Richard Maxwell, </w:t>
      </w:r>
      <w:r w:rsidRPr="00890E3F">
        <w:rPr>
          <w:rFonts w:ascii="Times New Roman" w:hAnsi="Times New Roman"/>
          <w:i/>
        </w:rPr>
        <w:t>The Mysteries of Paris and London</w:t>
      </w:r>
      <w:r w:rsidRPr="00890E3F">
        <w:rPr>
          <w:rFonts w:ascii="Times New Roman" w:hAnsi="Times New Roman"/>
        </w:rPr>
        <w:t xml:space="preserve"> (Charlottesville: University Press of Virginia, 1992), p. 15.</w:t>
      </w:r>
    </w:p>
  </w:footnote>
  <w:footnote w:id="646">
    <w:p w:rsidR="003515E3" w:rsidRPr="00605367"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 123.</w:t>
      </w:r>
    </w:p>
  </w:footnote>
  <w:footnote w:id="647">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III, 82.</w:t>
      </w:r>
    </w:p>
  </w:footnote>
  <w:footnote w:id="648">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IV, 396.</w:t>
      </w:r>
    </w:p>
  </w:footnote>
  <w:footnote w:id="649">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Citing the 1860 </w:t>
      </w:r>
      <w:r w:rsidRPr="00890E3F">
        <w:rPr>
          <w:rFonts w:ascii="Times New Roman" w:hAnsi="Times New Roman"/>
          <w:i/>
        </w:rPr>
        <w:t>Poor Law Report</w:t>
      </w:r>
      <w:r w:rsidRPr="00890E3F">
        <w:rPr>
          <w:rFonts w:ascii="Times New Roman" w:hAnsi="Times New Roman"/>
        </w:rPr>
        <w:t xml:space="preserve">, Henry Mayhew presents figures concerning street beggars in 1816, confirming their material success and quotes the following example: ‘A manufacturer in Spitalfields stated that there were instances of his own people leaving profitable work for the purpose of begging.’  See </w:t>
      </w:r>
      <w:r w:rsidRPr="00890E3F">
        <w:rPr>
          <w:rFonts w:ascii="Times New Roman" w:hAnsi="Times New Roman"/>
          <w:i/>
        </w:rPr>
        <w:t>London Labour and the London Poor</w:t>
      </w:r>
      <w:r w:rsidRPr="00890E3F">
        <w:rPr>
          <w:rFonts w:ascii="Times New Roman" w:hAnsi="Times New Roman"/>
        </w:rPr>
        <w:t>, IV, 398–99.</w:t>
      </w:r>
    </w:p>
  </w:footnote>
  <w:footnote w:id="650">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Himmelfarb, p. 446.</w:t>
      </w:r>
    </w:p>
  </w:footnote>
  <w:footnote w:id="651">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II, 3.</w:t>
      </w:r>
    </w:p>
  </w:footnote>
  <w:footnote w:id="652">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 126.</w:t>
      </w:r>
    </w:p>
  </w:footnote>
  <w:footnote w:id="653">
    <w:p w:rsidR="003515E3" w:rsidRPr="00605367"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 330.</w:t>
      </w:r>
    </w:p>
  </w:footnote>
  <w:footnote w:id="654">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 330.</w:t>
      </w:r>
    </w:p>
  </w:footnote>
  <w:footnote w:id="655">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 126–27.</w:t>
      </w:r>
    </w:p>
  </w:footnote>
  <w:footnote w:id="656">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 127.</w:t>
      </w:r>
    </w:p>
  </w:footnote>
  <w:footnote w:id="657">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The worthy Dr Lascelles heightens this ambivalence in a later volume by his use of disinterred bodies that allows him to find ‘several wonderful cures’.  See </w:t>
      </w:r>
      <w:r w:rsidRPr="00890E3F">
        <w:rPr>
          <w:rFonts w:ascii="Times New Roman" w:hAnsi="Times New Roman"/>
          <w:i/>
        </w:rPr>
        <w:t>Mysteries of London</w:t>
      </w:r>
      <w:r w:rsidRPr="00890E3F">
        <w:rPr>
          <w:rFonts w:ascii="Times New Roman" w:hAnsi="Times New Roman"/>
        </w:rPr>
        <w:t>, III, 16.</w:t>
      </w:r>
    </w:p>
  </w:footnote>
  <w:footnote w:id="658">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 124.</w:t>
      </w:r>
    </w:p>
  </w:footnote>
  <w:footnote w:id="659">
    <w:p w:rsidR="003515E3" w:rsidRPr="00605367"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 126.</w:t>
      </w:r>
    </w:p>
  </w:footnote>
  <w:footnote w:id="660">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152.</w:t>
      </w:r>
    </w:p>
  </w:footnote>
  <w:footnote w:id="661">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152.</w:t>
      </w:r>
    </w:p>
  </w:footnote>
  <w:footnote w:id="662">
    <w:p w:rsidR="003515E3" w:rsidRPr="00890E3F"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890E3F">
        <w:rPr>
          <w:rFonts w:ascii="Times New Roman" w:hAnsi="Times New Roman"/>
          <w:i/>
        </w:rPr>
        <w:t>The Mysteries of Paris and London</w:t>
      </w:r>
      <w:r w:rsidRPr="00890E3F">
        <w:rPr>
          <w:rFonts w:ascii="Times New Roman" w:hAnsi="Times New Roman"/>
        </w:rPr>
        <w:t>, p. 162.</w:t>
      </w:r>
    </w:p>
  </w:footnote>
  <w:footnote w:id="663">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At this point Vernon is plotting Ravensworth’s ‘slow’ death through supplying him with poisonous tobacco but needs to ensure his future child to Lady Adeline, if a boy, is also put out of the way.</w:t>
      </w:r>
    </w:p>
  </w:footnote>
  <w:footnote w:id="664">
    <w:p w:rsidR="003515E3" w:rsidRPr="00605367"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II, 202–03.</w:t>
      </w:r>
    </w:p>
  </w:footnote>
  <w:footnote w:id="665">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Among many scenes, notable gatherings take place in the pub at Saffron Hill, the ‘Dark-House’ in Brick Lane, the boozing-ken in Lock’s Fields and the ‘Stout House’ in Helmet Row.  See </w:t>
      </w:r>
      <w:r w:rsidRPr="00605367">
        <w:rPr>
          <w:rFonts w:ascii="Times New Roman" w:hAnsi="Times New Roman"/>
          <w:i/>
        </w:rPr>
        <w:t>Mysteries of London</w:t>
      </w:r>
      <w:r w:rsidRPr="00605367">
        <w:rPr>
          <w:rFonts w:ascii="Times New Roman" w:hAnsi="Times New Roman"/>
        </w:rPr>
        <w:t>, I, 46–50, 118; III, 77–78, 350–52.</w:t>
      </w:r>
    </w:p>
  </w:footnote>
  <w:footnote w:id="666">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47–48; III, 4–5.</w:t>
      </w:r>
    </w:p>
  </w:footnote>
  <w:footnote w:id="667">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The young Henry Holford is also encouraged to meet Anthony Tidkins at different public houses.  See </w:t>
      </w:r>
      <w:r w:rsidRPr="00605367">
        <w:rPr>
          <w:rFonts w:ascii="Times New Roman" w:hAnsi="Times New Roman"/>
          <w:i/>
        </w:rPr>
        <w:t>Mysteries of London</w:t>
      </w:r>
      <w:r w:rsidRPr="00605367">
        <w:rPr>
          <w:rFonts w:ascii="Times New Roman" w:hAnsi="Times New Roman"/>
        </w:rPr>
        <w:t>, III, 77–78.</w:t>
      </w:r>
    </w:p>
  </w:footnote>
  <w:footnote w:id="668">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 202.</w:t>
      </w:r>
    </w:p>
  </w:footnote>
  <w:footnote w:id="669">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 202.</w:t>
      </w:r>
    </w:p>
  </w:footnote>
  <w:footnote w:id="670">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p. 50.</w:t>
      </w:r>
    </w:p>
  </w:footnote>
  <w:footnote w:id="671">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Henry Mayhew noted this ‘exclusive’ aspect in the language of costermongers.  See </w:t>
      </w:r>
      <w:r w:rsidRPr="00605367">
        <w:rPr>
          <w:rFonts w:ascii="Times New Roman" w:hAnsi="Times New Roman"/>
          <w:i/>
          <w:iCs/>
        </w:rPr>
        <w:t>London Labour and London Poor</w:t>
      </w:r>
      <w:r w:rsidRPr="00605367">
        <w:rPr>
          <w:rFonts w:ascii="Times New Roman" w:hAnsi="Times New Roman"/>
        </w:rPr>
        <w:t>, I, 23–24.</w:t>
      </w:r>
    </w:p>
  </w:footnote>
  <w:footnote w:id="672">
    <w:p w:rsidR="003515E3" w:rsidRPr="00605367" w:rsidRDefault="003515E3" w:rsidP="00DD46EC">
      <w:pPr>
        <w:pStyle w:val="FootnoteText"/>
        <w:spacing w:after="0" w:line="240" w:lineRule="auto"/>
        <w:rPr>
          <w:rFonts w:asciiTheme="majorBidi" w:hAnsiTheme="majorBidi" w:cstheme="majorBidi"/>
        </w:rPr>
      </w:pPr>
      <w:r w:rsidRPr="00605367">
        <w:rPr>
          <w:rStyle w:val="FootnoteReference"/>
          <w:rFonts w:asciiTheme="majorBidi" w:hAnsiTheme="majorBidi" w:cstheme="majorBidi"/>
        </w:rPr>
        <w:footnoteRef/>
      </w:r>
      <w:r w:rsidRPr="00605367">
        <w:rPr>
          <w:rFonts w:asciiTheme="majorBidi" w:hAnsiTheme="majorBidi" w:cstheme="majorBidi"/>
        </w:rPr>
        <w:t xml:space="preserve"> </w:t>
      </w:r>
      <w:r w:rsidRPr="00605367">
        <w:rPr>
          <w:rFonts w:ascii="Times New Roman" w:hAnsi="Times New Roman"/>
        </w:rPr>
        <w:t xml:space="preserve">The most persistent usage appears in the first two volumes of </w:t>
      </w:r>
      <w:r w:rsidRPr="00605367">
        <w:rPr>
          <w:rFonts w:ascii="Times New Roman" w:hAnsi="Times New Roman"/>
          <w:i/>
        </w:rPr>
        <w:t xml:space="preserve">The </w:t>
      </w:r>
      <w:r w:rsidRPr="00605367">
        <w:rPr>
          <w:rFonts w:ascii="Times New Roman" w:hAnsi="Times New Roman"/>
          <w:i/>
          <w:iCs/>
        </w:rPr>
        <w:t>Mysteries of London</w:t>
      </w:r>
      <w:r w:rsidRPr="00605367">
        <w:rPr>
          <w:rFonts w:asciiTheme="majorBidi" w:hAnsiTheme="majorBidi" w:cstheme="majorBidi"/>
        </w:rPr>
        <w:t xml:space="preserve">.  Reynolds was in line with his contemporaries.  In </w:t>
      </w:r>
      <w:r w:rsidRPr="00605367">
        <w:rPr>
          <w:rFonts w:asciiTheme="majorBidi" w:hAnsiTheme="majorBidi" w:cstheme="majorBidi"/>
          <w:i/>
          <w:iCs/>
        </w:rPr>
        <w:t>Paul Clifford</w:t>
      </w:r>
      <w:r w:rsidRPr="00605367">
        <w:rPr>
          <w:rFonts w:asciiTheme="majorBidi" w:hAnsiTheme="majorBidi" w:cstheme="majorBidi"/>
        </w:rPr>
        <w:t xml:space="preserve"> (1830), the criminal fraternity from an earlier period use song to celebrate their lifestyle.  See Edward Bulwer Lytton, </w:t>
      </w:r>
      <w:r w:rsidRPr="00605367">
        <w:rPr>
          <w:rFonts w:asciiTheme="majorBidi" w:hAnsiTheme="majorBidi" w:cstheme="majorBidi"/>
          <w:i/>
          <w:iCs/>
        </w:rPr>
        <w:t>Paul Clifford</w:t>
      </w:r>
      <w:r w:rsidRPr="00605367">
        <w:rPr>
          <w:rFonts w:asciiTheme="majorBidi" w:hAnsiTheme="majorBidi" w:cstheme="majorBidi"/>
        </w:rPr>
        <w:t xml:space="preserve"> (London: Routledge and Sons, [n.d.]), pp. 109</w:t>
      </w:r>
      <w:r w:rsidRPr="00605367">
        <w:rPr>
          <w:rFonts w:ascii="Times New Roman" w:hAnsi="Times New Roman"/>
        </w:rPr>
        <w:t>–</w:t>
      </w:r>
      <w:r w:rsidRPr="00605367">
        <w:rPr>
          <w:rFonts w:asciiTheme="majorBidi" w:hAnsiTheme="majorBidi" w:cstheme="majorBidi"/>
        </w:rPr>
        <w:t xml:space="preserve">14.  Reynolds had previously used ‘Sign of the Fiddle’ and ‘The Housebreaker’s Song’ to depict criminals similarly.  See </w:t>
      </w:r>
      <w:r w:rsidRPr="00605367">
        <w:rPr>
          <w:rFonts w:asciiTheme="majorBidi" w:hAnsiTheme="majorBidi" w:cstheme="majorBidi"/>
          <w:i/>
          <w:iCs/>
        </w:rPr>
        <w:t>Pickwick Abroad</w:t>
      </w:r>
      <w:r w:rsidRPr="00605367">
        <w:rPr>
          <w:rFonts w:asciiTheme="majorBidi" w:hAnsiTheme="majorBidi" w:cstheme="majorBidi"/>
        </w:rPr>
        <w:t>, pp. 174, 223</w:t>
      </w:r>
      <w:r w:rsidRPr="00605367">
        <w:rPr>
          <w:rFonts w:ascii="Times New Roman" w:hAnsi="Times New Roman"/>
        </w:rPr>
        <w:t>–</w:t>
      </w:r>
      <w:r w:rsidRPr="00605367">
        <w:rPr>
          <w:rFonts w:asciiTheme="majorBidi" w:hAnsiTheme="majorBidi" w:cstheme="majorBidi"/>
        </w:rPr>
        <w:t>24.</w:t>
      </w:r>
    </w:p>
  </w:footnote>
  <w:footnote w:id="673">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60.</w:t>
      </w:r>
    </w:p>
  </w:footnote>
  <w:footnote w:id="674">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 175.</w:t>
      </w:r>
    </w:p>
  </w:footnote>
  <w:footnote w:id="675">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 175.</w:t>
      </w:r>
    </w:p>
  </w:footnote>
  <w:footnote w:id="676">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 189.</w:t>
      </w:r>
    </w:p>
  </w:footnote>
  <w:footnote w:id="677">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 190.</w:t>
      </w:r>
    </w:p>
  </w:footnote>
  <w:footnote w:id="678">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 190.</w:t>
      </w:r>
    </w:p>
  </w:footnote>
  <w:footnote w:id="679">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196.</w:t>
      </w:r>
    </w:p>
  </w:footnote>
  <w:footnote w:id="680">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196.</w:t>
      </w:r>
    </w:p>
  </w:footnote>
  <w:footnote w:id="681">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310.</w:t>
      </w:r>
    </w:p>
  </w:footnote>
  <w:footnote w:id="682">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 187; III, 350.</w:t>
      </w:r>
    </w:p>
  </w:footnote>
  <w:footnote w:id="683">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303.</w:t>
      </w:r>
    </w:p>
  </w:footnote>
  <w:footnote w:id="684">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xml:space="preserve">, I, 188. </w:t>
      </w:r>
    </w:p>
  </w:footnote>
  <w:footnote w:id="685">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III, 351.</w:t>
      </w:r>
    </w:p>
  </w:footnote>
  <w:footnote w:id="686">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III, 351.</w:t>
      </w:r>
    </w:p>
  </w:footnote>
  <w:footnote w:id="687">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III, 351.</w:t>
      </w:r>
    </w:p>
  </w:footnote>
  <w:footnote w:id="688">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 139.</w:t>
      </w:r>
    </w:p>
  </w:footnote>
  <w:footnote w:id="689">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202.</w:t>
      </w:r>
    </w:p>
  </w:footnote>
  <w:footnote w:id="690">
    <w:p w:rsidR="003515E3" w:rsidRPr="00007E25" w:rsidRDefault="003515E3" w:rsidP="00DD46EC">
      <w:pPr>
        <w:pStyle w:val="FootnoteText"/>
        <w:spacing w:after="0" w:line="240" w:lineRule="auto"/>
        <w:rPr>
          <w:rFonts w:ascii="Times New Roman" w:hAnsi="Times New Roman"/>
        </w:rPr>
      </w:pPr>
      <w:r w:rsidRPr="00007E25">
        <w:rPr>
          <w:rStyle w:val="FootnoteReference"/>
          <w:rFonts w:ascii="Times New Roman" w:hAnsi="Times New Roman"/>
        </w:rPr>
        <w:footnoteRef/>
      </w:r>
      <w:r w:rsidRPr="00007E25">
        <w:rPr>
          <w:rFonts w:ascii="Times New Roman" w:hAnsi="Times New Roman"/>
        </w:rPr>
        <w:t xml:space="preserve"> </w:t>
      </w:r>
      <w:r w:rsidRPr="00007E25">
        <w:rPr>
          <w:rFonts w:ascii="Times New Roman" w:hAnsi="Times New Roman"/>
          <w:i/>
        </w:rPr>
        <w:t>Mysteries of London</w:t>
      </w:r>
      <w:r w:rsidRPr="00007E25">
        <w:rPr>
          <w:rFonts w:ascii="Times New Roman" w:hAnsi="Times New Roman"/>
        </w:rPr>
        <w:t>, I, 203.</w:t>
      </w:r>
    </w:p>
  </w:footnote>
  <w:footnote w:id="691">
    <w:p w:rsidR="003515E3" w:rsidRPr="00007E25" w:rsidRDefault="003515E3" w:rsidP="00DD46EC">
      <w:pPr>
        <w:pStyle w:val="FootnoteText"/>
        <w:spacing w:after="0" w:line="240" w:lineRule="auto"/>
        <w:rPr>
          <w:rFonts w:ascii="Times New Roman" w:hAnsi="Times New Roman"/>
        </w:rPr>
      </w:pPr>
      <w:r w:rsidRPr="00007E25">
        <w:rPr>
          <w:rStyle w:val="FootnoteReference"/>
          <w:rFonts w:ascii="Times New Roman" w:hAnsi="Times New Roman"/>
        </w:rPr>
        <w:footnoteRef/>
      </w:r>
      <w:r w:rsidRPr="00007E25">
        <w:rPr>
          <w:rFonts w:ascii="Times New Roman" w:hAnsi="Times New Roman"/>
        </w:rPr>
        <w:t xml:space="preserve"> </w:t>
      </w:r>
      <w:r w:rsidRPr="00007E25">
        <w:rPr>
          <w:rFonts w:ascii="Times New Roman" w:hAnsi="Times New Roman"/>
          <w:i/>
        </w:rPr>
        <w:t>Mysteries of London</w:t>
      </w:r>
      <w:r w:rsidRPr="00007E25">
        <w:rPr>
          <w:rFonts w:ascii="Times New Roman" w:hAnsi="Times New Roman"/>
        </w:rPr>
        <w:t>, I, 206.</w:t>
      </w:r>
    </w:p>
  </w:footnote>
  <w:footnote w:id="692">
    <w:p w:rsidR="003515E3" w:rsidRPr="00007E25" w:rsidRDefault="003515E3" w:rsidP="00DD46EC">
      <w:pPr>
        <w:pStyle w:val="FootnoteText"/>
        <w:spacing w:after="0" w:line="240" w:lineRule="auto"/>
        <w:rPr>
          <w:rStyle w:val="FootnoteReference"/>
          <w:rFonts w:ascii="Times New Roman" w:hAnsi="Times New Roman"/>
        </w:rPr>
      </w:pPr>
      <w:r w:rsidRPr="00007E25">
        <w:rPr>
          <w:rStyle w:val="FootnoteReference"/>
          <w:rFonts w:asciiTheme="majorBidi" w:hAnsiTheme="majorBidi" w:cstheme="majorBidi"/>
        </w:rPr>
        <w:footnoteRef/>
      </w:r>
      <w:r w:rsidRPr="00007E25">
        <w:rPr>
          <w:rFonts w:asciiTheme="majorBidi" w:hAnsiTheme="majorBidi" w:cstheme="majorBidi"/>
        </w:rPr>
        <w:t xml:space="preserve">  </w:t>
      </w:r>
      <w:r w:rsidRPr="00007E25">
        <w:rPr>
          <w:rFonts w:ascii="Times New Roman" w:hAnsi="Times New Roman"/>
        </w:rPr>
        <w:t xml:space="preserve">Cruickshank writes that in the years following the 1824 Repeal of the Spitalfields Acts ‘working and living conditions […] rapidly worsened for Spitalfields journeymen weavers’ and provides an overview of their decline based on Henry Mayhew’s writings to the </w:t>
      </w:r>
      <w:r w:rsidRPr="00007E25">
        <w:rPr>
          <w:rFonts w:ascii="Times New Roman" w:hAnsi="Times New Roman"/>
          <w:i/>
          <w:iCs/>
        </w:rPr>
        <w:t>Morning Chronicle</w:t>
      </w:r>
      <w:r w:rsidRPr="00007E25">
        <w:rPr>
          <w:rFonts w:ascii="Times New Roman" w:hAnsi="Times New Roman"/>
        </w:rPr>
        <w:t xml:space="preserve">.  See Dan Cruickshank, </w:t>
      </w:r>
      <w:r w:rsidRPr="00007E25">
        <w:rPr>
          <w:rFonts w:ascii="Times New Roman" w:hAnsi="Times New Roman"/>
          <w:i/>
        </w:rPr>
        <w:t>Spitalfields: The History of a Nation in A Handful of Streets</w:t>
      </w:r>
      <w:r w:rsidRPr="00007E25">
        <w:rPr>
          <w:rFonts w:ascii="Times New Roman" w:hAnsi="Times New Roman"/>
        </w:rPr>
        <w:t xml:space="preserve"> (London: Random House, 2016), pp. 368</w:t>
      </w:r>
      <w:r w:rsidRPr="00890E3F">
        <w:rPr>
          <w:rFonts w:ascii="Times New Roman" w:hAnsi="Times New Roman"/>
        </w:rPr>
        <w:t>, 373–79.</w:t>
      </w:r>
    </w:p>
  </w:footnote>
  <w:footnote w:id="693">
    <w:p w:rsidR="003515E3" w:rsidRPr="006559CB" w:rsidRDefault="003515E3" w:rsidP="00DD46EC">
      <w:pPr>
        <w:pStyle w:val="FootnoteText"/>
        <w:spacing w:after="0" w:line="240" w:lineRule="auto"/>
        <w:rPr>
          <w:rFonts w:ascii="Times New Roman" w:hAnsi="Times New Roman"/>
        </w:rPr>
      </w:pPr>
      <w:r w:rsidRPr="006559CB">
        <w:rPr>
          <w:rStyle w:val="FootnoteReference"/>
          <w:rFonts w:ascii="Times New Roman" w:hAnsi="Times New Roman"/>
        </w:rPr>
        <w:footnoteRef/>
      </w:r>
      <w:r w:rsidRPr="006559CB">
        <w:rPr>
          <w:rFonts w:ascii="Times New Roman" w:hAnsi="Times New Roman"/>
        </w:rPr>
        <w:t xml:space="preserve"> </w:t>
      </w:r>
      <w:r w:rsidRPr="006559CB">
        <w:rPr>
          <w:rFonts w:ascii="Times New Roman" w:hAnsi="Times New Roman"/>
          <w:i/>
        </w:rPr>
        <w:t>Sketches of London</w:t>
      </w:r>
      <w:r w:rsidRPr="006559CB">
        <w:rPr>
          <w:rFonts w:ascii="Times New Roman" w:hAnsi="Times New Roman"/>
        </w:rPr>
        <w:t xml:space="preserve">, pp. 385–408.  Sarah Wise writes that contemporary newspaper reports suggest the newly formed Metropolitan Police displayed extra vigilance and were responsible for an increasing number of apprehensions.  She also notes an 1839 act of parliament that provided ‘even greater powers to suppress noise and ‘nuisance’ created by street-sellers and the more enterprising beggars’. See Sarah Wise, </w:t>
      </w:r>
      <w:r w:rsidRPr="006559CB">
        <w:rPr>
          <w:rFonts w:ascii="Times New Roman" w:hAnsi="Times New Roman"/>
          <w:i/>
        </w:rPr>
        <w:t>The Italian Boy: Murder and Grave-Robbery in 1830s London</w:t>
      </w:r>
      <w:r w:rsidRPr="006559CB">
        <w:rPr>
          <w:rFonts w:ascii="Times New Roman" w:hAnsi="Times New Roman"/>
        </w:rPr>
        <w:t xml:space="preserve"> (London: Cape, 2004), p. 35, 109.  Martin J. Wiener notes that the enlarged metropolitan police force was set apart from the population by uniform and discipline and ‘pressed to be more active and less discretionary than their predecessors’.  See Wiener, p. 50.</w:t>
      </w:r>
    </w:p>
  </w:footnote>
  <w:footnote w:id="694">
    <w:p w:rsidR="003515E3" w:rsidRPr="006559CB" w:rsidRDefault="003515E3" w:rsidP="00DD46EC">
      <w:pPr>
        <w:pStyle w:val="FootnoteText"/>
        <w:spacing w:after="0" w:line="240" w:lineRule="auto"/>
        <w:rPr>
          <w:rFonts w:ascii="Times New Roman" w:hAnsi="Times New Roman"/>
        </w:rPr>
      </w:pPr>
      <w:r w:rsidRPr="006559CB">
        <w:rPr>
          <w:rStyle w:val="FootnoteReference"/>
          <w:rFonts w:ascii="Times New Roman" w:hAnsi="Times New Roman"/>
        </w:rPr>
        <w:footnoteRef/>
      </w:r>
      <w:r w:rsidRPr="006559CB">
        <w:rPr>
          <w:rFonts w:ascii="Times New Roman" w:hAnsi="Times New Roman"/>
        </w:rPr>
        <w:t xml:space="preserve"> </w:t>
      </w:r>
      <w:r w:rsidRPr="006559CB">
        <w:rPr>
          <w:rFonts w:ascii="Times New Roman" w:hAnsi="Times New Roman"/>
          <w:i/>
        </w:rPr>
        <w:t>Mysteries of London</w:t>
      </w:r>
      <w:r w:rsidRPr="006559CB">
        <w:rPr>
          <w:rFonts w:ascii="Times New Roman" w:hAnsi="Times New Roman"/>
        </w:rPr>
        <w:t>, IV, 19.</w:t>
      </w:r>
    </w:p>
  </w:footnote>
  <w:footnote w:id="695">
    <w:p w:rsidR="003515E3" w:rsidRPr="006559CB" w:rsidRDefault="003515E3" w:rsidP="00DD46EC">
      <w:pPr>
        <w:pStyle w:val="FootnoteText"/>
        <w:spacing w:after="0" w:line="240" w:lineRule="auto"/>
        <w:rPr>
          <w:rFonts w:ascii="Times New Roman" w:hAnsi="Times New Roman"/>
        </w:rPr>
      </w:pPr>
      <w:r w:rsidRPr="006559CB">
        <w:rPr>
          <w:rStyle w:val="FootnoteReference"/>
          <w:rFonts w:ascii="Times New Roman" w:hAnsi="Times New Roman"/>
        </w:rPr>
        <w:footnoteRef/>
      </w:r>
      <w:r w:rsidRPr="006559CB">
        <w:rPr>
          <w:rFonts w:ascii="Times New Roman" w:hAnsi="Times New Roman"/>
        </w:rPr>
        <w:t xml:space="preserve"> </w:t>
      </w:r>
      <w:r w:rsidRPr="006559CB">
        <w:rPr>
          <w:rFonts w:ascii="Times New Roman" w:hAnsi="Times New Roman"/>
          <w:i/>
        </w:rPr>
        <w:t>Mysteries of London</w:t>
      </w:r>
      <w:r w:rsidRPr="006559CB">
        <w:rPr>
          <w:rFonts w:ascii="Times New Roman" w:hAnsi="Times New Roman"/>
        </w:rPr>
        <w:t>, I, 23.</w:t>
      </w:r>
    </w:p>
  </w:footnote>
  <w:footnote w:id="696">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 3.</w:t>
      </w:r>
    </w:p>
  </w:footnote>
  <w:footnote w:id="697">
    <w:p w:rsidR="003515E3" w:rsidRPr="00890E3F"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Kellow Chesney notes a case in 1844 when two police officers enter a nethersken and capture a ‘wanted man’ deep in the Holy Land rookery while ‘twenty people looked on without interfering.’  See Kellow Chesney, </w:t>
      </w:r>
      <w:r w:rsidRPr="00605367">
        <w:rPr>
          <w:rFonts w:ascii="Times New Roman" w:hAnsi="Times New Roman"/>
          <w:i/>
        </w:rPr>
        <w:t xml:space="preserve">The Victorian </w:t>
      </w:r>
      <w:r w:rsidRPr="00890E3F">
        <w:rPr>
          <w:rFonts w:ascii="Times New Roman" w:hAnsi="Times New Roman"/>
          <w:i/>
        </w:rPr>
        <w:t>Underworld</w:t>
      </w:r>
      <w:r w:rsidRPr="00890E3F">
        <w:rPr>
          <w:rFonts w:ascii="Times New Roman" w:hAnsi="Times New Roman"/>
        </w:rPr>
        <w:t xml:space="preserve"> (London: Temple Smith, 1970), pp. 112–13.</w:t>
      </w:r>
    </w:p>
  </w:footnote>
  <w:footnote w:id="698">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 50.</w:t>
      </w:r>
    </w:p>
  </w:footnote>
  <w:footnote w:id="699">
    <w:p w:rsidR="003515E3" w:rsidRPr="00605367"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III, 352–54.</w:t>
      </w:r>
    </w:p>
  </w:footnote>
  <w:footnote w:id="700">
    <w:p w:rsidR="003515E3" w:rsidRPr="00890E3F" w:rsidRDefault="003515E3" w:rsidP="00DD46EC">
      <w:pPr>
        <w:pStyle w:val="FootnoteText"/>
        <w:spacing w:after="0" w:line="240" w:lineRule="auto"/>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Days of Hogarth</w:t>
      </w:r>
      <w:r w:rsidRPr="00890E3F">
        <w:rPr>
          <w:rFonts w:ascii="Times New Roman" w:hAnsi="Times New Roman"/>
        </w:rPr>
        <w:t xml:space="preserve">, p. 34.  Mrs Hays, mother-in-law to Catherine Hays, imprisons Kate at her premises in Hart-street. Here, Kate is drugged allowing </w:t>
      </w:r>
      <w:r w:rsidRPr="00890E3F">
        <w:rPr>
          <w:rFonts w:asciiTheme="majorBidi" w:hAnsiTheme="majorBidi" w:cstheme="majorBidi"/>
          <w:bCs/>
        </w:rPr>
        <w:t>Colonel Charteris</w:t>
      </w:r>
      <w:r w:rsidRPr="00890E3F">
        <w:rPr>
          <w:rFonts w:ascii="Times New Roman" w:hAnsi="Times New Roman"/>
        </w:rPr>
        <w:t xml:space="preserve"> to seduce her</w:t>
      </w:r>
      <w:r w:rsidRPr="00890E3F">
        <w:rPr>
          <w:rFonts w:asciiTheme="majorBidi" w:hAnsiTheme="majorBidi" w:cstheme="majorBidi"/>
          <w:bCs/>
        </w:rPr>
        <w:t xml:space="preserve">. See </w:t>
      </w:r>
      <w:r w:rsidRPr="00890E3F">
        <w:rPr>
          <w:rFonts w:ascii="Times New Roman" w:hAnsi="Times New Roman"/>
          <w:i/>
        </w:rPr>
        <w:t>Days of Hogarth</w:t>
      </w:r>
      <w:r w:rsidRPr="00890E3F">
        <w:rPr>
          <w:rFonts w:ascii="Times New Roman" w:hAnsi="Times New Roman"/>
        </w:rPr>
        <w:t>, p. 24.</w:t>
      </w:r>
    </w:p>
  </w:footnote>
  <w:footnote w:id="701">
    <w:p w:rsidR="003515E3" w:rsidRPr="00890E3F" w:rsidRDefault="003515E3" w:rsidP="00DD46EC">
      <w:pPr>
        <w:pStyle w:val="FootnoteText"/>
        <w:spacing w:after="0" w:line="240" w:lineRule="auto"/>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Days of Hogarth</w:t>
      </w:r>
      <w:r w:rsidRPr="00890E3F">
        <w:rPr>
          <w:rFonts w:ascii="Times New Roman" w:hAnsi="Times New Roman"/>
        </w:rPr>
        <w:t>, p. 36.</w:t>
      </w:r>
    </w:p>
  </w:footnote>
  <w:footnote w:id="702">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Days of Hogarth</w:t>
      </w:r>
      <w:r w:rsidRPr="00890E3F">
        <w:rPr>
          <w:rFonts w:ascii="Times New Roman" w:hAnsi="Times New Roman"/>
        </w:rPr>
        <w:t>, p. 135.</w:t>
      </w:r>
    </w:p>
  </w:footnote>
  <w:footnote w:id="703">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Days of Hogarth</w:t>
      </w:r>
      <w:r w:rsidRPr="00890E3F">
        <w:rPr>
          <w:rFonts w:ascii="Times New Roman" w:hAnsi="Times New Roman"/>
        </w:rPr>
        <w:t>, p. 36.</w:t>
      </w:r>
    </w:p>
  </w:footnote>
  <w:footnote w:id="704">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IV, 71–72.</w:t>
      </w:r>
    </w:p>
  </w:footnote>
  <w:footnote w:id="705">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IV, 107.</w:t>
      </w:r>
    </w:p>
  </w:footnote>
  <w:footnote w:id="706">
    <w:p w:rsidR="003515E3" w:rsidRPr="00890E3F" w:rsidRDefault="003515E3" w:rsidP="00DD46EC">
      <w:pPr>
        <w:spacing w:after="0" w:line="240" w:lineRule="auto"/>
        <w:rPr>
          <w:rFonts w:ascii="Times New Roman" w:hAnsi="Times New Roman" w:cs="Times New Roman"/>
          <w:sz w:val="20"/>
          <w:szCs w:val="20"/>
        </w:rPr>
      </w:pPr>
      <w:r w:rsidRPr="00EA2C03">
        <w:rPr>
          <w:rStyle w:val="FootnoteReference"/>
          <w:rFonts w:ascii="Times New Roman" w:hAnsi="Times New Roman" w:cs="Times New Roman"/>
          <w:sz w:val="20"/>
          <w:szCs w:val="20"/>
        </w:rPr>
        <w:footnoteRef/>
      </w:r>
      <w:r w:rsidRPr="00EA2C03">
        <w:rPr>
          <w:rFonts w:ascii="Times New Roman" w:hAnsi="Times New Roman" w:cs="Times New Roman"/>
          <w:sz w:val="20"/>
          <w:szCs w:val="20"/>
        </w:rPr>
        <w:t xml:space="preserve"> David</w:t>
      </w:r>
      <w:r w:rsidRPr="00890E3F">
        <w:rPr>
          <w:rFonts w:ascii="Times New Roman" w:hAnsi="Times New Roman" w:cs="Times New Roman"/>
          <w:sz w:val="20"/>
          <w:szCs w:val="20"/>
        </w:rPr>
        <w:t xml:space="preserve"> Green presents detailed maps of the change made upon the area and how it was diminished.  See David R. Green, </w:t>
      </w:r>
      <w:r w:rsidRPr="00890E3F">
        <w:rPr>
          <w:rFonts w:ascii="Times New Roman" w:hAnsi="Times New Roman" w:cs="Times New Roman"/>
          <w:i/>
          <w:sz w:val="20"/>
          <w:szCs w:val="20"/>
        </w:rPr>
        <w:t>People of the Rookery: A Pauper Community in Victorian London</w:t>
      </w:r>
      <w:r w:rsidRPr="00890E3F">
        <w:rPr>
          <w:rFonts w:ascii="Times New Roman" w:hAnsi="Times New Roman" w:cs="Times New Roman"/>
          <w:sz w:val="20"/>
          <w:szCs w:val="20"/>
        </w:rPr>
        <w:t xml:space="preserve"> (London: University of London King’s College, 1986), pp. 39</w:t>
      </w:r>
      <w:r w:rsidRPr="00890E3F">
        <w:rPr>
          <w:rFonts w:ascii="Times New Roman" w:hAnsi="Times New Roman"/>
          <w:sz w:val="20"/>
          <w:szCs w:val="20"/>
        </w:rPr>
        <w:t>–</w:t>
      </w:r>
      <w:r w:rsidRPr="00890E3F">
        <w:rPr>
          <w:rFonts w:ascii="Times New Roman" w:hAnsi="Times New Roman" w:cs="Times New Roman"/>
          <w:sz w:val="20"/>
          <w:szCs w:val="20"/>
        </w:rPr>
        <w:t>40.  In contrast, Mary Shannon in her study of the Wellington Street area suggests that the effects of some clearances in the 1830s and 1840s were limited.  See Shannon, pp. 98</w:t>
      </w:r>
      <w:r w:rsidRPr="00890E3F">
        <w:rPr>
          <w:rFonts w:ascii="Times New Roman" w:hAnsi="Times New Roman"/>
          <w:sz w:val="20"/>
          <w:szCs w:val="20"/>
        </w:rPr>
        <w:t>–99.</w:t>
      </w:r>
      <w:r w:rsidRPr="00890E3F">
        <w:rPr>
          <w:rFonts w:ascii="Times New Roman" w:hAnsi="Times New Roman" w:cs="Times New Roman"/>
          <w:sz w:val="20"/>
          <w:szCs w:val="20"/>
        </w:rPr>
        <w:t xml:space="preserve"> </w:t>
      </w:r>
    </w:p>
  </w:footnote>
  <w:footnote w:id="707">
    <w:p w:rsidR="003515E3" w:rsidRPr="00605367"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Chesney</w:t>
      </w:r>
      <w:r w:rsidRPr="00890E3F">
        <w:rPr>
          <w:rFonts w:ascii="Times New Roman" w:hAnsi="Times New Roman"/>
          <w:iCs/>
        </w:rPr>
        <w:t>, pp.</w:t>
      </w:r>
      <w:r w:rsidRPr="00890E3F">
        <w:rPr>
          <w:rFonts w:ascii="Times New Roman" w:hAnsi="Times New Roman"/>
        </w:rPr>
        <w:t xml:space="preserve"> 111–12.</w:t>
      </w:r>
    </w:p>
  </w:footnote>
  <w:footnote w:id="708">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Geography of Victorian Gothic Fiction</w:t>
      </w:r>
      <w:r w:rsidRPr="00605367">
        <w:rPr>
          <w:rFonts w:ascii="Times New Roman" w:hAnsi="Times New Roman"/>
        </w:rPr>
        <w:t>, p. 29.</w:t>
      </w:r>
    </w:p>
  </w:footnote>
  <w:footnote w:id="709">
    <w:p w:rsidR="003515E3" w:rsidRPr="00605367" w:rsidRDefault="003515E3" w:rsidP="00DD46EC">
      <w:pPr>
        <w:spacing w:after="0" w:line="240" w:lineRule="auto"/>
        <w:rPr>
          <w:rFonts w:ascii="Times New Roman" w:hAnsi="Times New Roman" w:cs="Times New Roman"/>
          <w:sz w:val="20"/>
          <w:szCs w:val="20"/>
        </w:rPr>
      </w:pPr>
      <w:r w:rsidRPr="00605367">
        <w:rPr>
          <w:rStyle w:val="FootnoteReference"/>
          <w:rFonts w:ascii="Times New Roman" w:hAnsi="Times New Roman" w:cs="Times New Roman"/>
          <w:sz w:val="20"/>
          <w:szCs w:val="20"/>
        </w:rPr>
        <w:footnoteRef/>
      </w:r>
      <w:r w:rsidRPr="00605367">
        <w:rPr>
          <w:rFonts w:ascii="Times New Roman" w:hAnsi="Times New Roman" w:cs="Times New Roman"/>
          <w:sz w:val="20"/>
          <w:szCs w:val="20"/>
        </w:rPr>
        <w:t xml:space="preserve"> </w:t>
      </w:r>
      <w:r w:rsidRPr="00605367">
        <w:rPr>
          <w:rFonts w:ascii="Times New Roman" w:hAnsi="Times New Roman" w:cs="Times New Roman"/>
          <w:i/>
          <w:sz w:val="20"/>
          <w:szCs w:val="20"/>
        </w:rPr>
        <w:t>Space, Place and Gender</w:t>
      </w:r>
      <w:r w:rsidRPr="00605367">
        <w:rPr>
          <w:rFonts w:ascii="Times New Roman" w:hAnsi="Times New Roman" w:cs="Times New Roman"/>
          <w:sz w:val="20"/>
          <w:szCs w:val="20"/>
        </w:rPr>
        <w:t>, p. 4.</w:t>
      </w:r>
    </w:p>
  </w:footnote>
  <w:footnote w:id="710">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heme="majorBidi" w:hAnsiTheme="majorBidi" w:cstheme="majorBidi"/>
          <w:bCs/>
        </w:rPr>
        <w:t>Entrikin, p. 48</w:t>
      </w:r>
      <w:r w:rsidRPr="00605367">
        <w:rPr>
          <w:rFonts w:ascii="Times New Roman" w:hAnsi="Times New Roman"/>
        </w:rPr>
        <w:t>.</w:t>
      </w:r>
    </w:p>
  </w:footnote>
  <w:footnote w:id="711">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 187.</w:t>
      </w:r>
    </w:p>
  </w:footnote>
  <w:footnote w:id="712">
    <w:p w:rsidR="003515E3" w:rsidRPr="00605367" w:rsidRDefault="003515E3" w:rsidP="00DD46EC">
      <w:pPr>
        <w:pStyle w:val="FootnoteText"/>
        <w:spacing w:after="0" w:line="240" w:lineRule="auto"/>
      </w:pPr>
      <w:r w:rsidRPr="00605367">
        <w:rPr>
          <w:rStyle w:val="FootnoteReference"/>
          <w:rFonts w:ascii="Times New Roman" w:hAnsi="Times New Roman"/>
        </w:rPr>
        <w:footnoteRef/>
      </w:r>
      <w:r w:rsidRPr="00605367">
        <w:rPr>
          <w:rFonts w:ascii="Times New Roman" w:hAnsi="Times New Roman"/>
        </w:rPr>
        <w:t xml:space="preserve"> Anne Humpherys, ‘The Geometry of the Modern City: G. W. M. Reynolds and "The Mysteries of London"’, </w:t>
      </w:r>
      <w:r w:rsidRPr="00605367">
        <w:rPr>
          <w:rFonts w:ascii="Times New Roman" w:hAnsi="Times New Roman"/>
          <w:i/>
          <w:iCs/>
        </w:rPr>
        <w:t>Browning Institute Studies</w:t>
      </w:r>
      <w:r w:rsidRPr="00605367">
        <w:rPr>
          <w:rFonts w:ascii="Times New Roman" w:hAnsi="Times New Roman"/>
        </w:rPr>
        <w:t>, 11 (1983), 69–80 (p. 73).</w:t>
      </w:r>
    </w:p>
  </w:footnote>
  <w:footnote w:id="713">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60.</w:t>
      </w:r>
    </w:p>
  </w:footnote>
  <w:footnote w:id="714">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IV, 274.</w:t>
      </w:r>
    </w:p>
  </w:footnote>
  <w:footnote w:id="715">
    <w:p w:rsidR="003515E3" w:rsidRPr="00890E3F"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Quoted in Himmelfarb, </w:t>
      </w:r>
      <w:r w:rsidRPr="00605367">
        <w:rPr>
          <w:rFonts w:ascii="Times New Roman" w:hAnsi="Times New Roman"/>
          <w:i/>
        </w:rPr>
        <w:t>The Idea of Poverty: England in the Early Industrial Age</w:t>
      </w:r>
      <w:r w:rsidRPr="00605367">
        <w:rPr>
          <w:rFonts w:ascii="Times New Roman" w:hAnsi="Times New Roman"/>
        </w:rPr>
        <w:t>, pp</w:t>
      </w:r>
      <w:r w:rsidRPr="00890E3F">
        <w:rPr>
          <w:rFonts w:ascii="Times New Roman" w:hAnsi="Times New Roman"/>
        </w:rPr>
        <w:t>. 310–11.</w:t>
      </w:r>
    </w:p>
  </w:footnote>
  <w:footnote w:id="716">
    <w:p w:rsidR="003515E3" w:rsidRPr="00605367" w:rsidRDefault="003515E3" w:rsidP="00DD46EC">
      <w:pPr>
        <w:pStyle w:val="FootnoteText"/>
        <w:spacing w:after="0" w:line="240" w:lineRule="auto"/>
        <w:rPr>
          <w:rFonts w:ascii="Times New Roman" w:hAnsi="Times New Roman"/>
        </w:rPr>
      </w:pPr>
      <w:r w:rsidRPr="00EA2C03">
        <w:rPr>
          <w:rStyle w:val="FootnoteReference"/>
          <w:rFonts w:ascii="Times New Roman" w:hAnsi="Times New Roman"/>
        </w:rPr>
        <w:footnoteRef/>
      </w:r>
      <w:r w:rsidRPr="00EA2C03">
        <w:rPr>
          <w:rFonts w:ascii="Times New Roman" w:hAnsi="Times New Roman"/>
        </w:rPr>
        <w:t xml:space="preserve"> Frederick Morton Eden, </w:t>
      </w:r>
      <w:r w:rsidRPr="00EA2C03">
        <w:rPr>
          <w:rFonts w:ascii="Times New Roman" w:hAnsi="Times New Roman"/>
          <w:i/>
          <w:iCs/>
        </w:rPr>
        <w:t>The State of the Poor; or, an History of the Labouring Classes in England</w:t>
      </w:r>
      <w:r w:rsidRPr="00EA2C03">
        <w:rPr>
          <w:rFonts w:ascii="Times New Roman" w:hAnsi="Times New Roman"/>
        </w:rPr>
        <w:t>, 3 vols (London: B. &amp; J. White, 1797; repr. London: Cass, 1966), I, 57.</w:t>
      </w:r>
    </w:p>
  </w:footnote>
  <w:footnote w:id="717">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Days of Hogarth</w:t>
      </w:r>
      <w:r w:rsidRPr="00605367">
        <w:rPr>
          <w:rFonts w:ascii="Times New Roman" w:hAnsi="Times New Roman"/>
        </w:rPr>
        <w:t>, p. 178.</w:t>
      </w:r>
    </w:p>
  </w:footnote>
  <w:footnote w:id="718">
    <w:p w:rsidR="003515E3" w:rsidRPr="000B0F52" w:rsidRDefault="003515E3" w:rsidP="00DD46EC">
      <w:pPr>
        <w:pStyle w:val="FootnoteText"/>
        <w:spacing w:after="0" w:line="240" w:lineRule="auto"/>
        <w:rPr>
          <w:rFonts w:ascii="Times New Roman" w:hAnsi="Times New Roman"/>
        </w:rPr>
      </w:pPr>
      <w:r w:rsidRPr="00EA2C03">
        <w:rPr>
          <w:rStyle w:val="FootnoteReference"/>
          <w:rFonts w:ascii="Times New Roman" w:hAnsi="Times New Roman"/>
        </w:rPr>
        <w:footnoteRef/>
      </w:r>
      <w:r w:rsidRPr="00EA2C03">
        <w:rPr>
          <w:rFonts w:ascii="Times New Roman" w:hAnsi="Times New Roman"/>
        </w:rPr>
        <w:t xml:space="preserve"> </w:t>
      </w:r>
      <w:r w:rsidRPr="00EA2C03">
        <w:rPr>
          <w:rFonts w:ascii="Times New Roman" w:hAnsi="Times New Roman"/>
          <w:iCs/>
        </w:rPr>
        <w:t>Eden</w:t>
      </w:r>
      <w:r w:rsidRPr="00EA2C03">
        <w:rPr>
          <w:rFonts w:ascii="Times New Roman" w:hAnsi="Times New Roman"/>
        </w:rPr>
        <w:t>, I, 59.</w:t>
      </w:r>
    </w:p>
  </w:footnote>
  <w:footnote w:id="719">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50.</w:t>
      </w:r>
    </w:p>
  </w:footnote>
  <w:footnote w:id="720">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 139.</w:t>
      </w:r>
    </w:p>
  </w:footnote>
  <w:footnote w:id="721">
    <w:p w:rsidR="003515E3" w:rsidRPr="00644D38" w:rsidRDefault="003515E3" w:rsidP="00DD46EC">
      <w:pPr>
        <w:pStyle w:val="FootnoteText"/>
        <w:spacing w:after="0" w:line="240" w:lineRule="auto"/>
        <w:rPr>
          <w:rFonts w:ascii="Times New Roman" w:hAnsi="Times New Roman"/>
        </w:rPr>
      </w:pPr>
      <w:r w:rsidRPr="00644D38">
        <w:rPr>
          <w:rStyle w:val="FootnoteReference"/>
          <w:rFonts w:ascii="Times New Roman" w:hAnsi="Times New Roman"/>
        </w:rPr>
        <w:footnoteRef/>
      </w:r>
      <w:r w:rsidRPr="00644D38">
        <w:rPr>
          <w:rFonts w:ascii="Times New Roman" w:hAnsi="Times New Roman"/>
        </w:rPr>
        <w:t xml:space="preserve"> </w:t>
      </w:r>
      <w:r w:rsidRPr="00644D38">
        <w:rPr>
          <w:rFonts w:ascii="Times New Roman" w:hAnsi="Times New Roman"/>
          <w:i/>
        </w:rPr>
        <w:t>Mysteries of London</w:t>
      </w:r>
      <w:r w:rsidRPr="00644D38">
        <w:rPr>
          <w:rFonts w:ascii="Times New Roman" w:hAnsi="Times New Roman"/>
        </w:rPr>
        <w:t>, I, 204–05.</w:t>
      </w:r>
    </w:p>
  </w:footnote>
  <w:footnote w:id="722">
    <w:p w:rsidR="003515E3" w:rsidRPr="00644D38" w:rsidRDefault="003515E3" w:rsidP="00DD46EC">
      <w:pPr>
        <w:pStyle w:val="FootnoteText"/>
        <w:spacing w:after="0" w:line="240" w:lineRule="auto"/>
        <w:rPr>
          <w:rFonts w:ascii="Times New Roman" w:hAnsi="Times New Roman"/>
        </w:rPr>
      </w:pPr>
      <w:r w:rsidRPr="00644D38">
        <w:rPr>
          <w:rStyle w:val="FootnoteReference"/>
          <w:rFonts w:ascii="Times New Roman" w:hAnsi="Times New Roman"/>
        </w:rPr>
        <w:footnoteRef/>
      </w:r>
      <w:r w:rsidRPr="00644D38">
        <w:rPr>
          <w:rFonts w:ascii="Times New Roman" w:hAnsi="Times New Roman"/>
        </w:rPr>
        <w:t xml:space="preserve"> </w:t>
      </w:r>
      <w:r w:rsidRPr="00644D38">
        <w:rPr>
          <w:rFonts w:ascii="Times New Roman" w:hAnsi="Times New Roman"/>
          <w:i/>
        </w:rPr>
        <w:t>Mysteries of London</w:t>
      </w:r>
      <w:r w:rsidRPr="00644D38">
        <w:rPr>
          <w:rFonts w:ascii="Times New Roman" w:hAnsi="Times New Roman"/>
        </w:rPr>
        <w:t>, I, 205.</w:t>
      </w:r>
    </w:p>
  </w:footnote>
  <w:footnote w:id="723">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III, 232.</w:t>
      </w:r>
    </w:p>
  </w:footnote>
  <w:footnote w:id="724">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III, 255.</w:t>
      </w:r>
    </w:p>
  </w:footnote>
  <w:footnote w:id="725">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III, 271.</w:t>
      </w:r>
    </w:p>
  </w:footnote>
  <w:footnote w:id="726">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III, 277.</w:t>
      </w:r>
    </w:p>
  </w:footnote>
  <w:footnote w:id="727">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III, 331–32.</w:t>
      </w:r>
    </w:p>
  </w:footnote>
  <w:footnote w:id="728">
    <w:p w:rsidR="003515E3" w:rsidRPr="009D551E" w:rsidRDefault="003515E3" w:rsidP="00DD46EC">
      <w:pPr>
        <w:pStyle w:val="FootnoteText"/>
        <w:spacing w:after="0" w:line="240" w:lineRule="auto"/>
        <w:rPr>
          <w:rFonts w:ascii="Times New Roman" w:hAnsi="Times New Roman"/>
        </w:rPr>
      </w:pPr>
      <w:r w:rsidRPr="009D551E">
        <w:rPr>
          <w:rStyle w:val="FootnoteReference"/>
          <w:rFonts w:ascii="Times New Roman" w:hAnsi="Times New Roman"/>
        </w:rPr>
        <w:footnoteRef/>
      </w:r>
      <w:r w:rsidRPr="009D551E">
        <w:rPr>
          <w:rFonts w:ascii="Times New Roman" w:hAnsi="Times New Roman"/>
        </w:rPr>
        <w:t xml:space="preserve"> Tim has boasted, ‘“I’ll cut his throat in a jiffy”’.  See </w:t>
      </w:r>
      <w:r w:rsidRPr="009D551E">
        <w:rPr>
          <w:rFonts w:ascii="Times New Roman" w:hAnsi="Times New Roman"/>
          <w:i/>
        </w:rPr>
        <w:t>Mysteries of London</w:t>
      </w:r>
      <w:r w:rsidRPr="009D551E">
        <w:rPr>
          <w:rFonts w:ascii="Times New Roman" w:hAnsi="Times New Roman"/>
        </w:rPr>
        <w:t>, III, 277.</w:t>
      </w:r>
    </w:p>
  </w:footnote>
  <w:footnote w:id="729">
    <w:p w:rsidR="003515E3" w:rsidRPr="00605367" w:rsidRDefault="003515E3" w:rsidP="00DD46EC">
      <w:pPr>
        <w:pStyle w:val="FootnoteText"/>
        <w:spacing w:after="0" w:line="240" w:lineRule="auto"/>
        <w:rPr>
          <w:rFonts w:ascii="Times New Roman" w:hAnsi="Times New Roman"/>
        </w:rPr>
      </w:pPr>
      <w:r w:rsidRPr="009D551E">
        <w:rPr>
          <w:rStyle w:val="FootnoteReference"/>
          <w:rFonts w:ascii="Times New Roman" w:hAnsi="Times New Roman"/>
        </w:rPr>
        <w:footnoteRef/>
      </w:r>
      <w:r w:rsidRPr="009D551E">
        <w:rPr>
          <w:rFonts w:ascii="Times New Roman" w:hAnsi="Times New Roman"/>
        </w:rPr>
        <w:t xml:space="preserve"> </w:t>
      </w:r>
      <w:r w:rsidRPr="009D551E">
        <w:rPr>
          <w:rFonts w:ascii="Times New Roman" w:hAnsi="Times New Roman"/>
          <w:i/>
        </w:rPr>
        <w:t>Mysteries of London</w:t>
      </w:r>
      <w:r w:rsidRPr="009D551E">
        <w:rPr>
          <w:rFonts w:ascii="Times New Roman" w:hAnsi="Times New Roman"/>
        </w:rPr>
        <w:t>, III, 232.  Later in the conversation he suggests they all drink gin, since ‘Blue ruin is the mortal enemy of unpleasant thinking’.</w:t>
      </w:r>
    </w:p>
  </w:footnote>
  <w:footnote w:id="730">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101.</w:t>
      </w:r>
    </w:p>
  </w:footnote>
  <w:footnote w:id="731">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93.</w:t>
      </w:r>
    </w:p>
  </w:footnote>
  <w:footnote w:id="732">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 59.</w:t>
      </w:r>
    </w:p>
  </w:footnote>
  <w:footnote w:id="733">
    <w:p w:rsidR="003515E3" w:rsidRPr="00605367" w:rsidRDefault="003515E3" w:rsidP="00DD46EC">
      <w:pPr>
        <w:pStyle w:val="FootnoteText"/>
        <w:spacing w:after="0" w:line="240" w:lineRule="auto"/>
        <w:rPr>
          <w:rFonts w:ascii="Times New Roman" w:hAnsi="Times New Roman"/>
        </w:rPr>
      </w:pPr>
      <w:r w:rsidRPr="00EA5519">
        <w:rPr>
          <w:rStyle w:val="FootnoteReference"/>
          <w:rFonts w:ascii="Times New Roman" w:hAnsi="Times New Roman"/>
        </w:rPr>
        <w:footnoteRef/>
      </w:r>
      <w:r w:rsidRPr="00EA5519">
        <w:rPr>
          <w:rFonts w:ascii="Times New Roman" w:hAnsi="Times New Roman"/>
        </w:rPr>
        <w:t xml:space="preserve"> Reynolds writes: ‘if a villain, of whom the officers of justice are in search, takes refuge at a lodging in the Mint, the landlord will keep his secret in spite of every inducement.  The only danger which he might incur would be at the hands of the lowest description of buzgloaks, dummy-hunters, area-sneaks, and vampers, who dwell in that district.’  See </w:t>
      </w:r>
      <w:r w:rsidRPr="00EA5519">
        <w:rPr>
          <w:rFonts w:ascii="Times New Roman" w:hAnsi="Times New Roman"/>
          <w:i/>
        </w:rPr>
        <w:t>Mysteries of London</w:t>
      </w:r>
      <w:r w:rsidRPr="00EA5519">
        <w:rPr>
          <w:rFonts w:ascii="Times New Roman" w:hAnsi="Times New Roman"/>
        </w:rPr>
        <w:t>, II, 187–88.</w:t>
      </w:r>
    </w:p>
  </w:footnote>
  <w:footnote w:id="734">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xml:space="preserve">, I, 74.  Reynolds revisits this theme when Daniel Coffin’s associates, the Buttoner, Jeremy Humpage and the Swag Chovey Bloak, conspire to betray him to the authorities.  See G. W. M. Reynolds, </w:t>
      </w:r>
      <w:r w:rsidRPr="00605367">
        <w:rPr>
          <w:rFonts w:ascii="Times New Roman" w:hAnsi="Times New Roman"/>
          <w:i/>
          <w:iCs/>
        </w:rPr>
        <w:t>The Mysteries of the Court of Lond</w:t>
      </w:r>
      <w:r w:rsidRPr="00605367">
        <w:rPr>
          <w:rFonts w:ascii="Times New Roman" w:hAnsi="Times New Roman"/>
          <w:i/>
        </w:rPr>
        <w:t>on</w:t>
      </w:r>
      <w:r w:rsidRPr="00605367">
        <w:rPr>
          <w:rFonts w:ascii="Times New Roman" w:hAnsi="Times New Roman"/>
        </w:rPr>
        <w:t>, 8 vols (London: John Dicks, 1848–56), IV (1852), 354–56, 360–62.</w:t>
      </w:r>
    </w:p>
  </w:footnote>
  <w:footnote w:id="735">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 49, 174–75.</w:t>
      </w:r>
    </w:p>
  </w:footnote>
  <w:footnote w:id="736">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II, 190.</w:t>
      </w:r>
    </w:p>
  </w:footnote>
  <w:footnote w:id="737">
    <w:p w:rsidR="003515E3" w:rsidRPr="00605367" w:rsidRDefault="003515E3" w:rsidP="00DD46EC">
      <w:pPr>
        <w:pStyle w:val="FootnoteText"/>
        <w:spacing w:after="0" w:line="240" w:lineRule="auto"/>
        <w:rPr>
          <w:rFonts w:asciiTheme="majorBidi" w:hAnsiTheme="majorBidi" w:cstheme="majorBidi"/>
        </w:rPr>
      </w:pPr>
      <w:r w:rsidRPr="00605367">
        <w:rPr>
          <w:rStyle w:val="FootnoteReference"/>
          <w:rFonts w:asciiTheme="majorBidi" w:hAnsiTheme="majorBidi" w:cstheme="majorBidi"/>
        </w:rPr>
        <w:footnoteRef/>
      </w:r>
      <w:r w:rsidRPr="00605367">
        <w:rPr>
          <w:rFonts w:asciiTheme="majorBidi" w:hAnsiTheme="majorBidi" w:cstheme="majorBidi"/>
        </w:rPr>
        <w:t xml:space="preserve"> </w:t>
      </w:r>
      <w:r w:rsidRPr="00605367">
        <w:rPr>
          <w:rFonts w:asciiTheme="majorBidi" w:hAnsiTheme="majorBidi" w:cstheme="majorBidi"/>
          <w:i/>
        </w:rPr>
        <w:t>Mysteries of London</w:t>
      </w:r>
      <w:r w:rsidRPr="00605367">
        <w:rPr>
          <w:rFonts w:asciiTheme="majorBidi" w:hAnsiTheme="majorBidi" w:cstheme="majorBidi"/>
        </w:rPr>
        <w:t>, I, 309.</w:t>
      </w:r>
    </w:p>
  </w:footnote>
  <w:footnote w:id="738">
    <w:p w:rsidR="003515E3" w:rsidRPr="00605367" w:rsidRDefault="003515E3" w:rsidP="00DD46EC">
      <w:pPr>
        <w:pStyle w:val="FootnoteText"/>
        <w:spacing w:after="0" w:line="240" w:lineRule="auto"/>
        <w:rPr>
          <w:rFonts w:asciiTheme="majorBidi" w:hAnsiTheme="majorBidi" w:cstheme="majorBidi"/>
        </w:rPr>
      </w:pPr>
      <w:r w:rsidRPr="00605367">
        <w:rPr>
          <w:rStyle w:val="FootnoteReference"/>
          <w:rFonts w:asciiTheme="majorBidi" w:hAnsiTheme="majorBidi" w:cstheme="majorBidi"/>
        </w:rPr>
        <w:footnoteRef/>
      </w:r>
      <w:r w:rsidRPr="00605367">
        <w:rPr>
          <w:rFonts w:asciiTheme="majorBidi" w:hAnsiTheme="majorBidi" w:cstheme="majorBidi"/>
        </w:rPr>
        <w:t xml:space="preserve"> </w:t>
      </w:r>
      <w:r w:rsidRPr="00605367">
        <w:rPr>
          <w:rFonts w:asciiTheme="majorBidi" w:hAnsiTheme="majorBidi" w:cstheme="majorBidi"/>
          <w:i/>
        </w:rPr>
        <w:t>Mysteries of London</w:t>
      </w:r>
      <w:r w:rsidRPr="00605367">
        <w:rPr>
          <w:rFonts w:asciiTheme="majorBidi" w:hAnsiTheme="majorBidi" w:cstheme="majorBidi"/>
        </w:rPr>
        <w:t>, IV, 394.</w:t>
      </w:r>
    </w:p>
  </w:footnote>
  <w:footnote w:id="739">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T. B. Bottomore, </w:t>
      </w:r>
      <w:r w:rsidRPr="00605367">
        <w:rPr>
          <w:rFonts w:ascii="Times New Roman" w:hAnsi="Times New Roman"/>
          <w:i/>
        </w:rPr>
        <w:t>Classes in Modern Society</w:t>
      </w:r>
      <w:r w:rsidRPr="00605367">
        <w:rPr>
          <w:rFonts w:ascii="Times New Roman" w:hAnsi="Times New Roman"/>
        </w:rPr>
        <w:t xml:space="preserve"> (London: Allen &amp; Unwin, 1965), pp. 45–46.</w:t>
      </w:r>
    </w:p>
  </w:footnote>
  <w:footnote w:id="740">
    <w:p w:rsidR="003515E3" w:rsidRPr="00605367" w:rsidRDefault="003515E3" w:rsidP="00DD46EC">
      <w:pPr>
        <w:pStyle w:val="FootnoteText"/>
        <w:spacing w:after="0" w:line="240" w:lineRule="auto"/>
        <w:rPr>
          <w:rFonts w:ascii="Times New Roman" w:hAnsi="Times New Roman"/>
        </w:rPr>
      </w:pPr>
      <w:r w:rsidRPr="00605367">
        <w:rPr>
          <w:rStyle w:val="FootnoteReference"/>
          <w:rFonts w:ascii="Times New Roman" w:hAnsi="Times New Roman"/>
        </w:rPr>
        <w:footnoteRef/>
      </w:r>
      <w:r w:rsidRPr="00605367">
        <w:rPr>
          <w:rFonts w:ascii="Times New Roman" w:hAnsi="Times New Roman"/>
        </w:rPr>
        <w:t xml:space="preserve"> </w:t>
      </w:r>
      <w:r w:rsidRPr="00605367">
        <w:rPr>
          <w:rFonts w:ascii="Times New Roman" w:hAnsi="Times New Roman"/>
          <w:i/>
        </w:rPr>
        <w:t>Mysteries of London</w:t>
      </w:r>
      <w:r w:rsidRPr="00605367">
        <w:rPr>
          <w:rFonts w:ascii="Times New Roman" w:hAnsi="Times New Roman"/>
        </w:rPr>
        <w:t>, IV, 390.</w:t>
      </w:r>
    </w:p>
  </w:footnote>
  <w:footnote w:id="741">
    <w:p w:rsidR="003515E3" w:rsidRPr="00890E3F" w:rsidRDefault="003515E3" w:rsidP="00DD46EC">
      <w:pPr>
        <w:pStyle w:val="FootnoteText"/>
        <w:spacing w:after="0" w:line="240" w:lineRule="auto"/>
        <w:rPr>
          <w:rFonts w:ascii="Times New Roman" w:hAnsi="Times New Roman"/>
        </w:rPr>
      </w:pPr>
      <w:r w:rsidRPr="00644D38">
        <w:rPr>
          <w:rStyle w:val="FootnoteReference"/>
          <w:rFonts w:ascii="Times New Roman" w:hAnsi="Times New Roman"/>
        </w:rPr>
        <w:footnoteRef/>
      </w:r>
      <w:r w:rsidRPr="00644D38">
        <w:rPr>
          <w:rFonts w:ascii="Times New Roman" w:hAnsi="Times New Roman"/>
        </w:rPr>
        <w:t xml:space="preserve"> Karl Marx and Frederick Engels, ‘Manifesto of the Communist Party’ in </w:t>
      </w:r>
      <w:r w:rsidRPr="00644D38">
        <w:rPr>
          <w:rFonts w:ascii="Times New Roman" w:hAnsi="Times New Roman"/>
          <w:i/>
        </w:rPr>
        <w:t>Karl Marx and Frederick Engels Selected Works</w:t>
      </w:r>
      <w:r w:rsidRPr="00644D38">
        <w:rPr>
          <w:rFonts w:ascii="Times New Roman" w:hAnsi="Times New Roman"/>
        </w:rPr>
        <w:t xml:space="preserve"> (London</w:t>
      </w:r>
      <w:r w:rsidRPr="00890E3F">
        <w:rPr>
          <w:rFonts w:ascii="Times New Roman" w:hAnsi="Times New Roman"/>
        </w:rPr>
        <w:t>: Lawrence and Wishart, 1968), pp. 31–63, (p. 44). [Third Printing 1973]</w:t>
      </w:r>
    </w:p>
  </w:footnote>
  <w:footnote w:id="742">
    <w:p w:rsidR="003515E3" w:rsidRPr="00890E3F" w:rsidRDefault="003515E3" w:rsidP="00DD46EC">
      <w:pPr>
        <w:spacing w:after="0" w:line="240" w:lineRule="auto"/>
        <w:rPr>
          <w:rFonts w:ascii="Times New Roman" w:hAnsi="Times New Roman" w:cs="Times New Roman"/>
          <w:sz w:val="20"/>
          <w:szCs w:val="20"/>
        </w:rPr>
      </w:pPr>
      <w:r w:rsidRPr="00890E3F">
        <w:rPr>
          <w:rStyle w:val="FootnoteReference"/>
          <w:rFonts w:ascii="Times New Roman" w:hAnsi="Times New Roman" w:cs="Times New Roman"/>
          <w:sz w:val="20"/>
          <w:szCs w:val="20"/>
        </w:rPr>
        <w:footnoteRef/>
      </w:r>
      <w:r w:rsidRPr="00890E3F">
        <w:rPr>
          <w:rFonts w:ascii="Times New Roman" w:hAnsi="Times New Roman" w:cs="Times New Roman"/>
          <w:sz w:val="20"/>
          <w:szCs w:val="20"/>
        </w:rPr>
        <w:t xml:space="preserve"> Anne Humpherys, ‘Generic Strands and Urban Twists: The Victorian Mysteries Novel’, </w:t>
      </w:r>
      <w:r w:rsidRPr="00890E3F">
        <w:rPr>
          <w:rFonts w:ascii="Times New Roman" w:hAnsi="Times New Roman" w:cs="Times New Roman"/>
          <w:i/>
          <w:sz w:val="20"/>
          <w:szCs w:val="20"/>
        </w:rPr>
        <w:t>Victorian Studies</w:t>
      </w:r>
      <w:r w:rsidRPr="00890E3F">
        <w:rPr>
          <w:rFonts w:ascii="Times New Roman" w:hAnsi="Times New Roman" w:cs="Times New Roman"/>
          <w:sz w:val="20"/>
          <w:szCs w:val="20"/>
        </w:rPr>
        <w:t>, 34:4 (Summer 1991), 455-472 &lt;</w:t>
      </w:r>
      <w:hyperlink r:id="rId18" w:history="1">
        <w:r w:rsidRPr="00890E3F">
          <w:rPr>
            <w:rStyle w:val="Hyperlink"/>
            <w:rFonts w:ascii="Times New Roman" w:hAnsi="Times New Roman" w:cs="Times New Roman"/>
            <w:color w:val="auto"/>
            <w:sz w:val="20"/>
            <w:szCs w:val="20"/>
            <w:u w:val="none"/>
          </w:rPr>
          <w:t>http://www.jstor.org/stable/3828133</w:t>
        </w:r>
      </w:hyperlink>
      <w:r w:rsidRPr="00890E3F">
        <w:rPr>
          <w:rStyle w:val="Hyperlink"/>
          <w:rFonts w:ascii="Times New Roman" w:hAnsi="Times New Roman" w:cs="Times New Roman"/>
          <w:color w:val="auto"/>
          <w:sz w:val="20"/>
          <w:szCs w:val="20"/>
          <w:u w:val="none"/>
        </w:rPr>
        <w:t>&gt;</w:t>
      </w:r>
      <w:r w:rsidRPr="00890E3F">
        <w:rPr>
          <w:rFonts w:ascii="Times New Roman" w:hAnsi="Times New Roman" w:cs="Times New Roman"/>
          <w:sz w:val="20"/>
          <w:szCs w:val="20"/>
        </w:rPr>
        <w:t xml:space="preserve"> [accessed: 4 October 2013] (p. 459).</w:t>
      </w:r>
    </w:p>
  </w:footnote>
  <w:footnote w:id="743">
    <w:p w:rsidR="003515E3" w:rsidRPr="00890E3F"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 372.</w:t>
      </w:r>
    </w:p>
  </w:footnote>
  <w:footnote w:id="744">
    <w:p w:rsidR="003515E3" w:rsidRPr="00890E3F" w:rsidRDefault="003515E3" w:rsidP="00DD46EC">
      <w:pPr>
        <w:spacing w:after="0" w:line="240" w:lineRule="auto"/>
        <w:rPr>
          <w:rFonts w:ascii="Times New Roman" w:hAnsi="Times New Roman" w:cs="Times New Roman"/>
          <w:sz w:val="20"/>
          <w:szCs w:val="20"/>
        </w:rPr>
      </w:pPr>
      <w:r w:rsidRPr="00890E3F">
        <w:rPr>
          <w:rStyle w:val="FootnoteReference"/>
          <w:rFonts w:ascii="Times New Roman" w:hAnsi="Times New Roman" w:cs="Times New Roman"/>
          <w:sz w:val="20"/>
          <w:szCs w:val="20"/>
        </w:rPr>
        <w:footnoteRef/>
      </w:r>
      <w:r w:rsidRPr="00890E3F">
        <w:rPr>
          <w:rFonts w:ascii="Times New Roman" w:hAnsi="Times New Roman" w:cs="Times New Roman"/>
          <w:sz w:val="20"/>
          <w:szCs w:val="20"/>
        </w:rPr>
        <w:t xml:space="preserve"> Hindes includes Joe the Magsman, Chiffin the Cannibal and Barney the Burker as further examples alongside Tidkins, who are engaged in murderous activity.  See Hindes, p. 173.</w:t>
      </w:r>
    </w:p>
  </w:footnote>
  <w:footnote w:id="745">
    <w:p w:rsidR="003515E3" w:rsidRPr="00890E3F" w:rsidRDefault="003515E3" w:rsidP="00DD46EC">
      <w:pPr>
        <w:pStyle w:val="FootnoteText"/>
        <w:spacing w:after="0" w:line="240" w:lineRule="auto"/>
        <w:rPr>
          <w:rFonts w:ascii="Times New Roman" w:hAnsi="Times New Roman"/>
        </w:rPr>
      </w:pPr>
      <w:r w:rsidRPr="00F832C9">
        <w:rPr>
          <w:rStyle w:val="FootnoteReference"/>
          <w:rFonts w:ascii="Times New Roman" w:hAnsi="Times New Roman"/>
        </w:rPr>
        <w:footnoteRef/>
      </w:r>
      <w:r w:rsidRPr="00F832C9">
        <w:rPr>
          <w:rFonts w:ascii="Times New Roman" w:hAnsi="Times New Roman"/>
        </w:rPr>
        <w:t xml:space="preserve"> Rosalind Crone</w:t>
      </w:r>
      <w:r w:rsidRPr="00890E3F">
        <w:rPr>
          <w:rFonts w:ascii="Times New Roman" w:hAnsi="Times New Roman"/>
        </w:rPr>
        <w:t xml:space="preserve"> points to the cheaply printed eighteenth century tales and verses that while not failing to condemn the violence of criminals often had element of derring-do and romanticism. In the nineteenth century equivalent verses tended to be more directly condemnatory of such criminality or saw the perpetrator ruefully acknowledging their guilt.  See Rosalind Crone, </w:t>
      </w:r>
      <w:r w:rsidRPr="00890E3F">
        <w:rPr>
          <w:rFonts w:ascii="Times New Roman" w:hAnsi="Times New Roman"/>
          <w:i/>
          <w:iCs/>
        </w:rPr>
        <w:t>Violent Victorian Popular Entertainment in Nineteenth-Century London</w:t>
      </w:r>
      <w:r w:rsidRPr="00890E3F">
        <w:rPr>
          <w:rFonts w:ascii="Times New Roman" w:hAnsi="Times New Roman"/>
        </w:rPr>
        <w:t xml:space="preserve"> (Manchester: Manchester University Press, 2012), pp. 77, 112–13.</w:t>
      </w:r>
    </w:p>
  </w:footnote>
  <w:footnote w:id="746">
    <w:p w:rsidR="003515E3" w:rsidRPr="00644D38"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Robert </w:t>
      </w:r>
      <w:r w:rsidRPr="00890E3F">
        <w:rPr>
          <w:rFonts w:ascii="Times New Roman" w:eastAsia="Times New Roman" w:hAnsi="Times New Roman"/>
          <w:lang w:eastAsia="en-GB"/>
        </w:rPr>
        <w:t xml:space="preserve">Shoemaker while disputing any strict dichotomy writes that street robbers were never looked fondly upon even in the first half of the eighteenth century, unlike the more romantic views accorded highwaymen.  See </w:t>
      </w:r>
      <w:r w:rsidRPr="00890E3F">
        <w:rPr>
          <w:rFonts w:ascii="Times New Roman" w:hAnsi="Times New Roman"/>
          <w:bCs/>
        </w:rPr>
        <w:t xml:space="preserve">Robert B. Shoemaker, ‘The Street Robber and the Gentleman Highwayman: Changing Perceptions of Robbery in London, 1690-1800’, </w:t>
      </w:r>
      <w:r w:rsidRPr="00890E3F">
        <w:rPr>
          <w:rStyle w:val="HTMLCite"/>
          <w:rFonts w:ascii="Times New Roman" w:hAnsi="Times New Roman"/>
        </w:rPr>
        <w:t>Cultural and Social History</w:t>
      </w:r>
      <w:r w:rsidRPr="00890E3F">
        <w:rPr>
          <w:rStyle w:val="HTMLCite"/>
          <w:rFonts w:ascii="Times New Roman" w:hAnsi="Times New Roman"/>
          <w:i w:val="0"/>
        </w:rPr>
        <w:t xml:space="preserve">, </w:t>
      </w:r>
      <w:r w:rsidRPr="00890E3F">
        <w:rPr>
          <w:rFonts w:ascii="Times New Roman" w:hAnsi="Times New Roman"/>
        </w:rPr>
        <w:t>3.4 (2006), 381–405 (pp. 385–88, 403–05).</w:t>
      </w:r>
    </w:p>
  </w:footnote>
  <w:footnote w:id="747">
    <w:p w:rsidR="003515E3" w:rsidRPr="00644D38" w:rsidRDefault="003515E3" w:rsidP="00DD46EC">
      <w:pPr>
        <w:pStyle w:val="FootnoteText"/>
        <w:spacing w:after="0" w:line="240" w:lineRule="auto"/>
        <w:rPr>
          <w:rFonts w:ascii="Times New Roman" w:hAnsi="Times New Roman"/>
        </w:rPr>
      </w:pPr>
      <w:r w:rsidRPr="00644D38">
        <w:rPr>
          <w:rStyle w:val="FootnoteReference"/>
          <w:rFonts w:ascii="Times New Roman" w:hAnsi="Times New Roman"/>
        </w:rPr>
        <w:footnoteRef/>
      </w:r>
      <w:r w:rsidRPr="00644D38">
        <w:rPr>
          <w:rFonts w:ascii="Times New Roman" w:hAnsi="Times New Roman"/>
        </w:rPr>
        <w:t xml:space="preserve"> A police officer tells Bolter it was Tidkins who betrayed his whereabouts for the reward money when he is captured in the Fleet Ditch hideout.  Tidkins turns King’s evidence to get an early discharge at the expense of Crankey Jem being sentenced to transportation for life.  See </w:t>
      </w:r>
      <w:r w:rsidRPr="00644D38">
        <w:rPr>
          <w:rFonts w:ascii="Times New Roman" w:hAnsi="Times New Roman"/>
          <w:i/>
        </w:rPr>
        <w:t>Mysteries of London</w:t>
      </w:r>
      <w:r w:rsidRPr="00644D38">
        <w:rPr>
          <w:rFonts w:ascii="Times New Roman" w:hAnsi="Times New Roman"/>
        </w:rPr>
        <w:t>, I, 75, 93.</w:t>
      </w:r>
    </w:p>
  </w:footnote>
  <w:footnote w:id="748">
    <w:p w:rsidR="003515E3" w:rsidRPr="00890E3F" w:rsidRDefault="003515E3" w:rsidP="00DD46EC">
      <w:pPr>
        <w:autoSpaceDE w:val="0"/>
        <w:autoSpaceDN w:val="0"/>
        <w:adjustRightInd w:val="0"/>
        <w:spacing w:after="0" w:line="240" w:lineRule="auto"/>
        <w:rPr>
          <w:rFonts w:ascii="Times New Roman" w:hAnsi="Times New Roman" w:cs="Times New Roman"/>
          <w:sz w:val="20"/>
          <w:szCs w:val="20"/>
        </w:rPr>
      </w:pPr>
      <w:r w:rsidRPr="00644D38">
        <w:rPr>
          <w:rStyle w:val="FootnoteReference"/>
          <w:rFonts w:ascii="Times New Roman" w:hAnsi="Times New Roman" w:cs="Times New Roman"/>
          <w:sz w:val="20"/>
          <w:szCs w:val="20"/>
        </w:rPr>
        <w:footnoteRef/>
      </w:r>
      <w:r w:rsidRPr="00644D38">
        <w:rPr>
          <w:rFonts w:ascii="Times New Roman" w:hAnsi="Times New Roman" w:cs="Times New Roman"/>
          <w:sz w:val="20"/>
          <w:szCs w:val="20"/>
        </w:rPr>
        <w:t xml:space="preserve"> Hackenberg suggests that Tidkins’s violent turn against the aristocracy is potentially more radical than the struggle of the novel’s hero, Richard Markham, symbolized by his questioning the genuineness of Markham’s perspective upon the injustice of society</w:t>
      </w:r>
      <w:r w:rsidRPr="00890E3F">
        <w:rPr>
          <w:rFonts w:ascii="Times New Roman" w:hAnsi="Times New Roman" w:cs="Times New Roman"/>
          <w:sz w:val="20"/>
          <w:szCs w:val="20"/>
        </w:rPr>
        <w:t xml:space="preserve">.  See Sara Hackenberg, ‘Vampires and Resurrection Men: The Perils and Pleasures of the Embodied Past in 1840s Sensational Fiction’, </w:t>
      </w:r>
      <w:r w:rsidRPr="00890E3F">
        <w:rPr>
          <w:rFonts w:ascii="Times New Roman" w:hAnsi="Times New Roman" w:cs="Times New Roman"/>
          <w:i/>
          <w:iCs/>
          <w:sz w:val="20"/>
          <w:szCs w:val="20"/>
        </w:rPr>
        <w:t>Victorian Studies</w:t>
      </w:r>
      <w:r w:rsidRPr="00890E3F">
        <w:rPr>
          <w:rFonts w:ascii="Times New Roman" w:hAnsi="Times New Roman" w:cs="Times New Roman"/>
          <w:sz w:val="20"/>
          <w:szCs w:val="20"/>
        </w:rPr>
        <w:t>, 52.1, Special Issue, (Autumn 2009), 63–75 &lt;</w:t>
      </w:r>
      <w:hyperlink r:id="rId19" w:history="1">
        <w:r w:rsidRPr="00890E3F">
          <w:rPr>
            <w:rStyle w:val="Hyperlink"/>
            <w:rFonts w:ascii="Times New Roman" w:hAnsi="Times New Roman" w:cs="Times New Roman"/>
            <w:color w:val="auto"/>
            <w:sz w:val="20"/>
            <w:szCs w:val="20"/>
            <w:u w:val="none"/>
          </w:rPr>
          <w:t>http://www.jstor.org/stable/10.2979/VIC.2009.52.1.63</w:t>
        </w:r>
      </w:hyperlink>
      <w:r w:rsidRPr="00890E3F">
        <w:rPr>
          <w:rFonts w:ascii="Times New Roman" w:hAnsi="Times New Roman" w:cs="Times New Roman"/>
          <w:sz w:val="20"/>
          <w:szCs w:val="20"/>
        </w:rPr>
        <w:t xml:space="preserve">&gt; [accessed 4 October 2013] (p. 71).  Carver writes that </w:t>
      </w:r>
      <w:r w:rsidRPr="00890E3F">
        <w:rPr>
          <w:rFonts w:ascii="Times New Roman" w:eastAsiaTheme="minorHAnsi" w:hAnsi="Times New Roman" w:cs="Times New Roman"/>
          <w:sz w:val="20"/>
          <w:szCs w:val="20"/>
          <w:lang w:eastAsia="en-US"/>
        </w:rPr>
        <w:t xml:space="preserve">the Resurrection Man is ‘at times a revolutionary’.  See Stephen James Carver, ‘The Wrongs and Crimes of the Poor: The Urban Underworld of </w:t>
      </w:r>
      <w:r w:rsidRPr="00890E3F">
        <w:rPr>
          <w:rFonts w:ascii="Times New Roman" w:eastAsiaTheme="minorHAnsi" w:hAnsi="Times New Roman" w:cs="Times New Roman"/>
          <w:i/>
          <w:iCs/>
          <w:sz w:val="20"/>
          <w:szCs w:val="20"/>
          <w:lang w:eastAsia="en-US"/>
        </w:rPr>
        <w:t xml:space="preserve">The Mysteries of London </w:t>
      </w:r>
      <w:r w:rsidRPr="00890E3F">
        <w:rPr>
          <w:rFonts w:ascii="Times New Roman" w:eastAsiaTheme="minorHAnsi" w:hAnsi="Times New Roman" w:cs="Times New Roman"/>
          <w:sz w:val="20"/>
          <w:szCs w:val="20"/>
          <w:lang w:eastAsia="en-US"/>
        </w:rPr>
        <w:t xml:space="preserve">in Context’, in </w:t>
      </w:r>
      <w:r w:rsidRPr="00890E3F">
        <w:rPr>
          <w:rFonts w:ascii="Times New Roman" w:hAnsi="Times New Roman" w:cs="Times New Roman"/>
          <w:i/>
          <w:sz w:val="20"/>
          <w:szCs w:val="20"/>
        </w:rPr>
        <w:t>G. W. M. Reynolds: Nineteenth-Century Fiction, Politics, and the Press</w:t>
      </w:r>
      <w:r w:rsidRPr="00890E3F">
        <w:rPr>
          <w:rFonts w:ascii="Times New Roman" w:hAnsi="Times New Roman" w:cs="Times New Roman"/>
          <w:sz w:val="20"/>
          <w:szCs w:val="20"/>
        </w:rPr>
        <w:t>, ed. by Humpherys and James</w:t>
      </w:r>
      <w:r w:rsidRPr="00890E3F">
        <w:rPr>
          <w:rFonts w:ascii="Times New Roman" w:eastAsiaTheme="minorHAnsi" w:hAnsi="Times New Roman" w:cs="Times New Roman"/>
          <w:sz w:val="20"/>
          <w:szCs w:val="20"/>
          <w:lang w:eastAsia="en-US"/>
        </w:rPr>
        <w:t>, pp. 149</w:t>
      </w:r>
      <w:r w:rsidRPr="00890E3F">
        <w:rPr>
          <w:rFonts w:ascii="Times New Roman" w:hAnsi="Times New Roman" w:cs="Times New Roman"/>
          <w:sz w:val="20"/>
          <w:szCs w:val="20"/>
        </w:rPr>
        <w:t>–</w:t>
      </w:r>
      <w:r w:rsidRPr="00890E3F">
        <w:rPr>
          <w:rFonts w:ascii="Times New Roman" w:eastAsiaTheme="minorHAnsi" w:hAnsi="Times New Roman" w:cs="Times New Roman"/>
          <w:sz w:val="20"/>
          <w:szCs w:val="20"/>
          <w:lang w:eastAsia="en-US"/>
        </w:rPr>
        <w:t>62 (p. 159).</w:t>
      </w:r>
    </w:p>
  </w:footnote>
  <w:footnote w:id="749">
    <w:p w:rsidR="003515E3" w:rsidRPr="00644D38" w:rsidRDefault="003515E3" w:rsidP="00DD46EC">
      <w:pPr>
        <w:pStyle w:val="FootnoteText"/>
        <w:spacing w:after="0" w:line="240" w:lineRule="auto"/>
        <w:rPr>
          <w:rFonts w:ascii="Times New Roman" w:hAnsi="Times New Roman"/>
        </w:rPr>
      </w:pPr>
      <w:r w:rsidRPr="00890E3F">
        <w:rPr>
          <w:rStyle w:val="FootnoteReference"/>
          <w:rFonts w:ascii="Times New Roman" w:hAnsi="Times New Roman"/>
        </w:rPr>
        <w:footnoteRef/>
      </w:r>
      <w:r w:rsidRPr="00890E3F">
        <w:rPr>
          <w:rFonts w:ascii="Times New Roman" w:hAnsi="Times New Roman"/>
        </w:rPr>
        <w:t xml:space="preserve"> </w:t>
      </w:r>
      <w:r w:rsidRPr="00890E3F">
        <w:rPr>
          <w:rFonts w:ascii="Times New Roman" w:hAnsi="Times New Roman"/>
          <w:i/>
        </w:rPr>
        <w:t>Mysteries of London</w:t>
      </w:r>
      <w:r w:rsidRPr="00890E3F">
        <w:rPr>
          <w:rFonts w:ascii="Times New Roman" w:hAnsi="Times New Roman"/>
        </w:rPr>
        <w:t>, I, 196.</w:t>
      </w:r>
    </w:p>
  </w:footnote>
  <w:footnote w:id="750">
    <w:p w:rsidR="003515E3" w:rsidRPr="00644D38" w:rsidRDefault="003515E3" w:rsidP="00DD46EC">
      <w:pPr>
        <w:pStyle w:val="FootnoteText"/>
        <w:spacing w:after="0" w:line="240" w:lineRule="auto"/>
        <w:rPr>
          <w:rFonts w:ascii="Times New Roman" w:hAnsi="Times New Roman"/>
        </w:rPr>
      </w:pPr>
      <w:r w:rsidRPr="00644D38">
        <w:rPr>
          <w:rStyle w:val="FootnoteReference"/>
          <w:rFonts w:ascii="Times New Roman" w:hAnsi="Times New Roman"/>
        </w:rPr>
        <w:footnoteRef/>
      </w:r>
      <w:r w:rsidRPr="00644D38">
        <w:rPr>
          <w:rFonts w:ascii="Times New Roman" w:hAnsi="Times New Roman"/>
        </w:rPr>
        <w:t xml:space="preserve"> </w:t>
      </w:r>
      <w:r w:rsidRPr="00644D38">
        <w:rPr>
          <w:rFonts w:ascii="Times New Roman" w:hAnsi="Times New Roman"/>
          <w:i/>
        </w:rPr>
        <w:t>Mysteries of London</w:t>
      </w:r>
      <w:r w:rsidRPr="00644D38">
        <w:rPr>
          <w:rFonts w:ascii="Times New Roman" w:hAnsi="Times New Roman"/>
        </w:rPr>
        <w:t>, I, 191.</w:t>
      </w:r>
    </w:p>
  </w:footnote>
  <w:footnote w:id="751">
    <w:p w:rsidR="003515E3" w:rsidRPr="00644D38" w:rsidRDefault="003515E3" w:rsidP="00DD46EC">
      <w:pPr>
        <w:pStyle w:val="FootnoteText"/>
        <w:spacing w:after="0" w:line="240" w:lineRule="auto"/>
        <w:rPr>
          <w:rFonts w:ascii="Times New Roman" w:hAnsi="Times New Roman"/>
        </w:rPr>
      </w:pPr>
      <w:r w:rsidRPr="00644D38">
        <w:rPr>
          <w:rStyle w:val="FootnoteReference"/>
          <w:rFonts w:ascii="Times New Roman" w:hAnsi="Times New Roman"/>
        </w:rPr>
        <w:footnoteRef/>
      </w:r>
      <w:r w:rsidRPr="00644D38">
        <w:rPr>
          <w:rFonts w:ascii="Times New Roman" w:hAnsi="Times New Roman"/>
        </w:rPr>
        <w:t xml:space="preserve"> </w:t>
      </w:r>
      <w:r w:rsidRPr="00644D38">
        <w:rPr>
          <w:rFonts w:ascii="Times New Roman" w:hAnsi="Times New Roman"/>
          <w:i/>
        </w:rPr>
        <w:t>Mysteries of London</w:t>
      </w:r>
      <w:r w:rsidRPr="00644D38">
        <w:rPr>
          <w:rFonts w:ascii="Times New Roman" w:hAnsi="Times New Roman"/>
        </w:rPr>
        <w:t>, I, 124.</w:t>
      </w:r>
    </w:p>
  </w:footnote>
  <w:footnote w:id="752">
    <w:p w:rsidR="003515E3" w:rsidRPr="00CA2E93" w:rsidRDefault="003515E3" w:rsidP="00DD46EC">
      <w:pPr>
        <w:pStyle w:val="FootnoteText"/>
        <w:spacing w:after="0" w:line="240" w:lineRule="auto"/>
        <w:rPr>
          <w:rFonts w:ascii="Times New Roman" w:hAnsi="Times New Roman"/>
        </w:rPr>
      </w:pPr>
      <w:r w:rsidRPr="00644D38">
        <w:rPr>
          <w:rStyle w:val="FootnoteReference"/>
          <w:rFonts w:ascii="Times New Roman" w:hAnsi="Times New Roman"/>
        </w:rPr>
        <w:footnoteRef/>
      </w:r>
      <w:r w:rsidRPr="00644D38">
        <w:rPr>
          <w:rFonts w:ascii="Times New Roman" w:hAnsi="Times New Roman"/>
        </w:rPr>
        <w:t xml:space="preserve"> </w:t>
      </w:r>
      <w:r w:rsidRPr="00644D38">
        <w:rPr>
          <w:rFonts w:ascii="Times New Roman" w:hAnsi="Times New Roman"/>
          <w:i/>
        </w:rPr>
        <w:t xml:space="preserve">Mysteries of </w:t>
      </w:r>
      <w:r w:rsidRPr="00CA2E93">
        <w:rPr>
          <w:rFonts w:ascii="Times New Roman" w:hAnsi="Times New Roman"/>
          <w:i/>
        </w:rPr>
        <w:t>London</w:t>
      </w:r>
      <w:r w:rsidRPr="00CA2E93">
        <w:rPr>
          <w:rFonts w:ascii="Times New Roman" w:hAnsi="Times New Roman"/>
        </w:rPr>
        <w:t>, I, 196.</w:t>
      </w:r>
    </w:p>
  </w:footnote>
  <w:footnote w:id="753">
    <w:p w:rsidR="003515E3" w:rsidRPr="00CA2E93" w:rsidRDefault="003515E3" w:rsidP="00DD46EC">
      <w:pPr>
        <w:spacing w:after="0" w:line="240" w:lineRule="auto"/>
        <w:rPr>
          <w:rFonts w:ascii="Times New Roman" w:hAnsi="Times New Roman" w:cs="Times New Roman"/>
          <w:sz w:val="20"/>
          <w:szCs w:val="20"/>
        </w:rPr>
      </w:pPr>
      <w:r w:rsidRPr="00CA2E93">
        <w:rPr>
          <w:rStyle w:val="FootnoteReference"/>
          <w:rFonts w:ascii="Times New Roman" w:hAnsi="Times New Roman" w:cs="Times New Roman"/>
          <w:sz w:val="20"/>
          <w:szCs w:val="20"/>
        </w:rPr>
        <w:footnoteRef/>
      </w:r>
      <w:r w:rsidRPr="00CA2E93">
        <w:rPr>
          <w:rFonts w:ascii="Times New Roman" w:hAnsi="Times New Roman" w:cs="Times New Roman"/>
          <w:sz w:val="20"/>
          <w:szCs w:val="20"/>
        </w:rPr>
        <w:t xml:space="preserve"> </w:t>
      </w:r>
      <w:r w:rsidRPr="00465EDA">
        <w:rPr>
          <w:rFonts w:ascii="Times New Roman" w:hAnsi="Times New Roman" w:cs="Times New Roman"/>
          <w:sz w:val="20"/>
          <w:szCs w:val="20"/>
        </w:rPr>
        <w:t>Georg Luk</w:t>
      </w:r>
      <w:r w:rsidRPr="00465EDA">
        <w:rPr>
          <w:rFonts w:ascii="Times New Roman" w:hAnsi="Times New Roman" w:cs="Times New Roman"/>
          <w:bCs/>
          <w:sz w:val="20"/>
          <w:szCs w:val="20"/>
        </w:rPr>
        <w:t>á</w:t>
      </w:r>
      <w:r w:rsidRPr="00465EDA">
        <w:rPr>
          <w:rFonts w:ascii="Times New Roman" w:hAnsi="Times New Roman" w:cs="Times New Roman"/>
          <w:sz w:val="20"/>
          <w:szCs w:val="20"/>
        </w:rPr>
        <w:t>cs,</w:t>
      </w:r>
      <w:r w:rsidRPr="00CA2E93">
        <w:rPr>
          <w:rFonts w:ascii="Times New Roman" w:hAnsi="Times New Roman" w:cs="Times New Roman"/>
          <w:sz w:val="20"/>
          <w:szCs w:val="20"/>
        </w:rPr>
        <w:t xml:space="preserve"> </w:t>
      </w:r>
      <w:r w:rsidRPr="00CA2E93">
        <w:rPr>
          <w:rFonts w:ascii="Times New Roman" w:hAnsi="Times New Roman" w:cs="Times New Roman"/>
          <w:i/>
          <w:sz w:val="20"/>
          <w:szCs w:val="20"/>
        </w:rPr>
        <w:t>History and Class Consciousness: Studies in Marxist Dialectics</w:t>
      </w:r>
      <w:r w:rsidRPr="00CA2E93">
        <w:rPr>
          <w:rFonts w:ascii="Times New Roman" w:hAnsi="Times New Roman" w:cs="Times New Roman"/>
          <w:sz w:val="20"/>
          <w:szCs w:val="20"/>
        </w:rPr>
        <w:t>, trans. by Rodney Livingstone (London: Merlin, 1971), p. 65.</w:t>
      </w:r>
    </w:p>
  </w:footnote>
  <w:footnote w:id="754">
    <w:p w:rsidR="003515E3" w:rsidRPr="00CA2E93" w:rsidRDefault="003515E3" w:rsidP="00DD46EC">
      <w:pPr>
        <w:pStyle w:val="FootnoteText"/>
        <w:spacing w:after="0" w:line="240" w:lineRule="auto"/>
        <w:rPr>
          <w:rFonts w:ascii="Times New Roman" w:hAnsi="Times New Roman"/>
        </w:rPr>
      </w:pPr>
      <w:r w:rsidRPr="00CA2E93">
        <w:rPr>
          <w:rStyle w:val="FootnoteReference"/>
          <w:rFonts w:ascii="Times New Roman" w:hAnsi="Times New Roman"/>
        </w:rPr>
        <w:footnoteRef/>
      </w:r>
      <w:r w:rsidRPr="00CA2E93">
        <w:rPr>
          <w:rFonts w:ascii="Times New Roman" w:hAnsi="Times New Roman"/>
        </w:rPr>
        <w:t xml:space="preserve"> </w:t>
      </w:r>
      <w:r w:rsidRPr="00CA2E93">
        <w:rPr>
          <w:rFonts w:ascii="Times New Roman" w:hAnsi="Times New Roman"/>
          <w:i/>
        </w:rPr>
        <w:t>Mysteries of London</w:t>
      </w:r>
      <w:r w:rsidRPr="00CA2E93">
        <w:rPr>
          <w:rFonts w:ascii="Times New Roman" w:hAnsi="Times New Roman"/>
        </w:rPr>
        <w:t>, I, 114.</w:t>
      </w:r>
    </w:p>
  </w:footnote>
  <w:footnote w:id="755">
    <w:p w:rsidR="003515E3" w:rsidRPr="00644D38" w:rsidRDefault="003515E3" w:rsidP="00DD46EC">
      <w:pPr>
        <w:pStyle w:val="FootnoteText"/>
        <w:spacing w:after="0" w:line="240" w:lineRule="auto"/>
        <w:rPr>
          <w:rFonts w:ascii="Times New Roman" w:hAnsi="Times New Roman"/>
        </w:rPr>
      </w:pPr>
      <w:r w:rsidRPr="00CA2E93">
        <w:rPr>
          <w:rStyle w:val="FootnoteReference"/>
          <w:rFonts w:ascii="Times New Roman" w:hAnsi="Times New Roman"/>
        </w:rPr>
        <w:footnoteRef/>
      </w:r>
      <w:r w:rsidRPr="00CA2E93">
        <w:rPr>
          <w:rFonts w:ascii="Times New Roman" w:hAnsi="Times New Roman"/>
        </w:rPr>
        <w:t xml:space="preserve"> Louis James, ‘The View from Brick Lane: Contrasting Perspectives in Working-Class and Middle-Class Fiction of the Early Victorian Period’, </w:t>
      </w:r>
      <w:r w:rsidRPr="00CA2E93">
        <w:rPr>
          <w:rFonts w:ascii="Times New Roman" w:hAnsi="Times New Roman"/>
          <w:i/>
        </w:rPr>
        <w:t>Yearbook of English Studies</w:t>
      </w:r>
      <w:r w:rsidRPr="00CA2E93">
        <w:rPr>
          <w:rFonts w:ascii="Times New Roman" w:hAnsi="Times New Roman"/>
        </w:rPr>
        <w:t>, 11, Literature and Its Audience, II Special Number (1981), 87–101 &lt;</w:t>
      </w:r>
      <w:hyperlink r:id="rId20" w:history="1">
        <w:r w:rsidRPr="00CA2E93">
          <w:rPr>
            <w:rStyle w:val="Hyperlink"/>
            <w:rFonts w:ascii="Times New Roman" w:hAnsi="Times New Roman"/>
            <w:color w:val="auto"/>
            <w:u w:val="none"/>
          </w:rPr>
          <w:t>http://www.jstor.org/stable/3506260</w:t>
        </w:r>
      </w:hyperlink>
      <w:r w:rsidRPr="00CA2E93">
        <w:rPr>
          <w:rFonts w:ascii="Times New Roman" w:hAnsi="Times New Roman"/>
        </w:rPr>
        <w:t>&gt; [accessed 14 February 2014] (p. 100).</w:t>
      </w:r>
    </w:p>
  </w:footnote>
  <w:footnote w:id="756">
    <w:p w:rsidR="003515E3" w:rsidRPr="00F80F36" w:rsidRDefault="003515E3" w:rsidP="00435A13">
      <w:pPr>
        <w:pStyle w:val="FootnoteText"/>
        <w:spacing w:after="0" w:line="240" w:lineRule="auto"/>
        <w:rPr>
          <w:rFonts w:ascii="Times New Roman" w:hAnsi="Times New Roman"/>
        </w:rPr>
      </w:pPr>
      <w:r w:rsidRPr="002625FA">
        <w:rPr>
          <w:rStyle w:val="FootnoteReference"/>
          <w:rFonts w:ascii="Times New Roman" w:hAnsi="Times New Roman"/>
        </w:rPr>
        <w:footnoteRef/>
      </w:r>
      <w:r w:rsidRPr="002625FA">
        <w:rPr>
          <w:rFonts w:ascii="Times New Roman" w:hAnsi="Times New Roman"/>
        </w:rPr>
        <w:t xml:space="preserve"> Q. D. Leavis, </w:t>
      </w:r>
      <w:r w:rsidRPr="002625FA">
        <w:rPr>
          <w:rFonts w:ascii="Times New Roman" w:hAnsi="Times New Roman"/>
          <w:i/>
        </w:rPr>
        <w:t>Fiction and the Reading Public</w:t>
      </w:r>
      <w:r w:rsidRPr="002625FA">
        <w:rPr>
          <w:rFonts w:ascii="Times New Roman" w:hAnsi="Times New Roman"/>
        </w:rPr>
        <w:t xml:space="preserve"> (Harmondsworth: Penguin, 1979), p. 144.</w:t>
      </w:r>
    </w:p>
  </w:footnote>
  <w:footnote w:id="757">
    <w:p w:rsidR="003515E3" w:rsidRPr="006872CB"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 xml:space="preserve">Mysteries of </w:t>
      </w:r>
      <w:r w:rsidRPr="006872CB">
        <w:rPr>
          <w:rFonts w:ascii="Times New Roman" w:hAnsi="Times New Roman"/>
          <w:i/>
        </w:rPr>
        <w:t>London</w:t>
      </w:r>
      <w:r w:rsidRPr="006872CB">
        <w:rPr>
          <w:rFonts w:ascii="Times New Roman" w:hAnsi="Times New Roman"/>
        </w:rPr>
        <w:t>, III, 197.</w:t>
      </w:r>
    </w:p>
  </w:footnote>
  <w:footnote w:id="758">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t>
      </w:r>
      <w:r w:rsidRPr="006872CB">
        <w:rPr>
          <w:rFonts w:ascii="Times New Roman" w:hAnsi="Times New Roman"/>
          <w:i/>
        </w:rPr>
        <w:t>Mysteries of London</w:t>
      </w:r>
      <w:r w:rsidRPr="006872CB">
        <w:rPr>
          <w:rFonts w:ascii="Times New Roman" w:hAnsi="Times New Roman"/>
        </w:rPr>
        <w:t>, III, 197.</w:t>
      </w:r>
    </w:p>
  </w:footnote>
  <w:footnote w:id="759">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t>
      </w:r>
      <w:r w:rsidRPr="006872CB">
        <w:rPr>
          <w:rFonts w:ascii="Times New Roman" w:hAnsi="Times New Roman"/>
          <w:i/>
        </w:rPr>
        <w:t>Mysteries of London</w:t>
      </w:r>
      <w:r w:rsidRPr="006872CB">
        <w:rPr>
          <w:rFonts w:ascii="Times New Roman" w:hAnsi="Times New Roman"/>
        </w:rPr>
        <w:t>, III, 197.</w:t>
      </w:r>
    </w:p>
  </w:footnote>
  <w:footnote w:id="760">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Chapter 3 discussed this in relation to Septimus Chitty’s servant, Betsy, and Mr Muggins’s domestic servant, Mary, both in </w:t>
      </w:r>
      <w:r w:rsidRPr="006872CB">
        <w:rPr>
          <w:rFonts w:ascii="Times New Roman" w:hAnsi="Times New Roman"/>
          <w:i/>
          <w:iCs/>
        </w:rPr>
        <w:t xml:space="preserve">Pickwick Abroad, </w:t>
      </w:r>
      <w:r w:rsidRPr="006872CB">
        <w:rPr>
          <w:rFonts w:ascii="Times New Roman" w:hAnsi="Times New Roman"/>
          <w:iCs/>
        </w:rPr>
        <w:t xml:space="preserve">and </w:t>
      </w:r>
      <w:r w:rsidRPr="006872CB">
        <w:rPr>
          <w:rFonts w:ascii="Times New Roman" w:hAnsi="Times New Roman"/>
        </w:rPr>
        <w:t xml:space="preserve">Mrs Tibenham in </w:t>
      </w:r>
      <w:r w:rsidRPr="006872CB">
        <w:rPr>
          <w:rFonts w:ascii="Times New Roman" w:hAnsi="Times New Roman"/>
          <w:i/>
        </w:rPr>
        <w:t>Joseph Wilmot</w:t>
      </w:r>
      <w:r w:rsidRPr="006872CB">
        <w:rPr>
          <w:rFonts w:ascii="Times New Roman" w:hAnsi="Times New Roman"/>
        </w:rPr>
        <w:t>.</w:t>
      </w:r>
    </w:p>
  </w:footnote>
  <w:footnote w:id="761">
    <w:p w:rsidR="003515E3" w:rsidRPr="00F80F36"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t>
      </w:r>
      <w:r w:rsidRPr="006872CB">
        <w:rPr>
          <w:rFonts w:ascii="Times New Roman" w:hAnsi="Times New Roman"/>
          <w:i/>
        </w:rPr>
        <w:t>Mysteries of London</w:t>
      </w:r>
      <w:r w:rsidRPr="006872CB">
        <w:rPr>
          <w:rFonts w:ascii="Times New Roman" w:hAnsi="Times New Roman"/>
        </w:rPr>
        <w:t>, III, 258.</w:t>
      </w:r>
    </w:p>
  </w:footnote>
  <w:footnote w:id="762">
    <w:p w:rsidR="003515E3" w:rsidRPr="002625FA" w:rsidRDefault="003515E3" w:rsidP="00435A13">
      <w:pPr>
        <w:pStyle w:val="FootnoteText"/>
        <w:spacing w:after="0" w:line="240" w:lineRule="auto"/>
        <w:rPr>
          <w:rFonts w:ascii="Times New Roman" w:hAnsi="Times New Roman"/>
        </w:rPr>
      </w:pPr>
      <w:r w:rsidRPr="002625FA">
        <w:rPr>
          <w:rStyle w:val="FootnoteReference"/>
          <w:rFonts w:ascii="Times New Roman" w:hAnsi="Times New Roman"/>
        </w:rPr>
        <w:footnoteRef/>
      </w:r>
      <w:r w:rsidRPr="002625FA">
        <w:rPr>
          <w:rFonts w:ascii="Times New Roman" w:hAnsi="Times New Roman"/>
        </w:rPr>
        <w:t xml:space="preserve"> </w:t>
      </w:r>
      <w:r w:rsidRPr="002625FA">
        <w:rPr>
          <w:rFonts w:ascii="Times New Roman" w:hAnsi="Times New Roman"/>
          <w:i/>
        </w:rPr>
        <w:t>Mysteries of London</w:t>
      </w:r>
      <w:r w:rsidRPr="002625FA">
        <w:rPr>
          <w:rFonts w:ascii="Times New Roman" w:hAnsi="Times New Roman"/>
        </w:rPr>
        <w:t>, IV, 44.</w:t>
      </w:r>
    </w:p>
  </w:footnote>
  <w:footnote w:id="763">
    <w:p w:rsidR="003515E3" w:rsidRPr="002625FA" w:rsidRDefault="003515E3" w:rsidP="00435A13">
      <w:pPr>
        <w:pStyle w:val="FootnoteText"/>
        <w:spacing w:after="0" w:line="240" w:lineRule="auto"/>
        <w:rPr>
          <w:rFonts w:ascii="Times New Roman" w:hAnsi="Times New Roman"/>
        </w:rPr>
      </w:pPr>
      <w:r w:rsidRPr="002625FA">
        <w:rPr>
          <w:rStyle w:val="FootnoteReference"/>
          <w:rFonts w:ascii="Times New Roman" w:hAnsi="Times New Roman"/>
        </w:rPr>
        <w:footnoteRef/>
      </w:r>
      <w:r w:rsidRPr="002625FA">
        <w:rPr>
          <w:rFonts w:ascii="Times New Roman" w:hAnsi="Times New Roman"/>
        </w:rPr>
        <w:t xml:space="preserve"> </w:t>
      </w:r>
      <w:r w:rsidRPr="002625FA">
        <w:rPr>
          <w:rFonts w:ascii="Times New Roman" w:hAnsi="Times New Roman"/>
          <w:i/>
        </w:rPr>
        <w:t>Mysteries of London</w:t>
      </w:r>
      <w:r w:rsidRPr="002625FA">
        <w:rPr>
          <w:rFonts w:ascii="Times New Roman" w:hAnsi="Times New Roman"/>
        </w:rPr>
        <w:t>, IV, 45.</w:t>
      </w:r>
    </w:p>
  </w:footnote>
  <w:footnote w:id="764">
    <w:p w:rsidR="003515E3" w:rsidRPr="002625FA" w:rsidRDefault="003515E3" w:rsidP="00435A13">
      <w:pPr>
        <w:pStyle w:val="FootnoteText"/>
        <w:tabs>
          <w:tab w:val="left" w:pos="4590"/>
        </w:tabs>
        <w:spacing w:after="0" w:line="240" w:lineRule="auto"/>
        <w:rPr>
          <w:rFonts w:ascii="Times New Roman" w:hAnsi="Times New Roman"/>
        </w:rPr>
      </w:pPr>
      <w:r w:rsidRPr="002625FA">
        <w:rPr>
          <w:rStyle w:val="FootnoteReference"/>
          <w:rFonts w:ascii="Times New Roman" w:hAnsi="Times New Roman"/>
        </w:rPr>
        <w:footnoteRef/>
      </w:r>
      <w:r w:rsidRPr="002625FA">
        <w:rPr>
          <w:rFonts w:ascii="Times New Roman" w:hAnsi="Times New Roman"/>
        </w:rPr>
        <w:t xml:space="preserve"> </w:t>
      </w:r>
      <w:r w:rsidRPr="002625FA">
        <w:rPr>
          <w:rFonts w:ascii="Times New Roman" w:hAnsi="Times New Roman"/>
          <w:i/>
        </w:rPr>
        <w:t>Mysteries of London</w:t>
      </w:r>
      <w:r w:rsidRPr="002625FA">
        <w:rPr>
          <w:rFonts w:ascii="Times New Roman" w:hAnsi="Times New Roman"/>
        </w:rPr>
        <w:t>, IV, 46.</w:t>
      </w:r>
    </w:p>
  </w:footnote>
  <w:footnote w:id="765">
    <w:p w:rsidR="003515E3" w:rsidRPr="002625FA" w:rsidRDefault="003515E3" w:rsidP="00435A13">
      <w:pPr>
        <w:pStyle w:val="FootnoteText"/>
        <w:spacing w:after="0" w:line="240" w:lineRule="auto"/>
        <w:rPr>
          <w:rFonts w:ascii="Times New Roman" w:hAnsi="Times New Roman"/>
        </w:rPr>
      </w:pPr>
      <w:r w:rsidRPr="002625FA">
        <w:rPr>
          <w:rStyle w:val="FootnoteReference"/>
          <w:rFonts w:ascii="Times New Roman" w:hAnsi="Times New Roman"/>
        </w:rPr>
        <w:footnoteRef/>
      </w:r>
      <w:r w:rsidRPr="002625FA">
        <w:rPr>
          <w:rFonts w:ascii="Times New Roman" w:hAnsi="Times New Roman"/>
        </w:rPr>
        <w:t xml:space="preserve"> </w:t>
      </w:r>
      <w:r w:rsidRPr="002625FA">
        <w:rPr>
          <w:rFonts w:ascii="Times New Roman" w:hAnsi="Times New Roman"/>
          <w:i/>
        </w:rPr>
        <w:t>Mysteries of London</w:t>
      </w:r>
      <w:r w:rsidRPr="002625FA">
        <w:rPr>
          <w:rFonts w:ascii="Times New Roman" w:hAnsi="Times New Roman"/>
        </w:rPr>
        <w:t>, II, 121.</w:t>
      </w:r>
    </w:p>
  </w:footnote>
  <w:footnote w:id="766">
    <w:p w:rsidR="003515E3" w:rsidRPr="002625FA" w:rsidRDefault="003515E3" w:rsidP="00435A13">
      <w:pPr>
        <w:pStyle w:val="FootnoteText"/>
        <w:spacing w:after="0" w:line="240" w:lineRule="auto"/>
        <w:rPr>
          <w:rFonts w:ascii="Times New Roman" w:hAnsi="Times New Roman"/>
        </w:rPr>
      </w:pPr>
      <w:r w:rsidRPr="002625FA">
        <w:rPr>
          <w:rStyle w:val="FootnoteReference"/>
          <w:rFonts w:ascii="Times New Roman" w:hAnsi="Times New Roman"/>
        </w:rPr>
        <w:footnoteRef/>
      </w:r>
      <w:r w:rsidRPr="002625FA">
        <w:rPr>
          <w:rFonts w:ascii="Times New Roman" w:hAnsi="Times New Roman"/>
        </w:rPr>
        <w:t xml:space="preserve"> Pamela Horn discusses the vital importance of having a good character reference in order to get employment, writing: ‘Any mistress of a vindictive turn of mind could, by withholding this document, in effect deprive a servant of his or her livelihood.’  </w:t>
      </w:r>
      <w:r w:rsidRPr="002625FA">
        <w:rPr>
          <w:rFonts w:ascii="Times New Roman" w:hAnsi="Times New Roman"/>
          <w:bCs/>
        </w:rPr>
        <w:t xml:space="preserve">Pamela Horn, </w:t>
      </w:r>
      <w:r w:rsidRPr="002625FA">
        <w:rPr>
          <w:rFonts w:ascii="Times New Roman" w:hAnsi="Times New Roman"/>
          <w:bCs/>
          <w:i/>
        </w:rPr>
        <w:t>The Rise and Fall of the Victorian Servant</w:t>
      </w:r>
      <w:r w:rsidRPr="002625FA">
        <w:rPr>
          <w:rFonts w:ascii="Times New Roman" w:hAnsi="Times New Roman"/>
          <w:bCs/>
        </w:rPr>
        <w:t xml:space="preserve"> (Dublin: Gill and Macmillan, 1975), pp. 53</w:t>
      </w:r>
      <w:r w:rsidRPr="002625FA">
        <w:rPr>
          <w:rFonts w:ascii="Times New Roman" w:hAnsi="Times New Roman"/>
        </w:rPr>
        <w:t>–</w:t>
      </w:r>
      <w:r w:rsidRPr="002625FA">
        <w:rPr>
          <w:rFonts w:ascii="Times New Roman" w:hAnsi="Times New Roman"/>
          <w:bCs/>
        </w:rPr>
        <w:t>4.</w:t>
      </w:r>
    </w:p>
  </w:footnote>
  <w:footnote w:id="767">
    <w:p w:rsidR="003515E3" w:rsidRPr="002625FA" w:rsidRDefault="003515E3" w:rsidP="00435A13">
      <w:pPr>
        <w:pStyle w:val="FootnoteText"/>
        <w:spacing w:after="0" w:line="240" w:lineRule="auto"/>
        <w:rPr>
          <w:rFonts w:ascii="Times New Roman" w:hAnsi="Times New Roman"/>
        </w:rPr>
      </w:pPr>
      <w:r w:rsidRPr="002625FA">
        <w:rPr>
          <w:rStyle w:val="FootnoteReference"/>
          <w:rFonts w:ascii="Times New Roman" w:hAnsi="Times New Roman"/>
        </w:rPr>
        <w:footnoteRef/>
      </w:r>
      <w:r w:rsidRPr="002625FA">
        <w:rPr>
          <w:rFonts w:ascii="Times New Roman" w:hAnsi="Times New Roman"/>
        </w:rPr>
        <w:t xml:space="preserve"> </w:t>
      </w:r>
      <w:r w:rsidRPr="002625FA">
        <w:rPr>
          <w:rFonts w:ascii="Times New Roman" w:hAnsi="Times New Roman"/>
          <w:bCs/>
        </w:rPr>
        <w:t xml:space="preserve">Dalziel, </w:t>
      </w:r>
      <w:r w:rsidRPr="002625FA">
        <w:rPr>
          <w:rFonts w:ascii="Times New Roman" w:hAnsi="Times New Roman"/>
        </w:rPr>
        <w:t xml:space="preserve">p. 55; </w:t>
      </w:r>
      <w:r w:rsidRPr="002625FA">
        <w:rPr>
          <w:rFonts w:ascii="Times New Roman" w:hAnsi="Times New Roman"/>
          <w:i/>
        </w:rPr>
        <w:t>Fiction for the Working Man</w:t>
      </w:r>
      <w:r w:rsidRPr="002625FA">
        <w:rPr>
          <w:rFonts w:ascii="Times New Roman" w:hAnsi="Times New Roman"/>
        </w:rPr>
        <w:t>, p. 96.</w:t>
      </w:r>
    </w:p>
  </w:footnote>
  <w:footnote w:id="768">
    <w:p w:rsidR="003515E3" w:rsidRPr="006872CB" w:rsidRDefault="003515E3" w:rsidP="00435A13">
      <w:pPr>
        <w:pStyle w:val="FootnoteText"/>
        <w:spacing w:after="0" w:line="240" w:lineRule="auto"/>
        <w:rPr>
          <w:rFonts w:ascii="Times New Roman" w:hAnsi="Times New Roman"/>
        </w:rPr>
      </w:pPr>
      <w:r w:rsidRPr="002625FA">
        <w:rPr>
          <w:rStyle w:val="FootnoteReference"/>
          <w:rFonts w:ascii="Times New Roman" w:hAnsi="Times New Roman"/>
        </w:rPr>
        <w:footnoteRef/>
      </w:r>
      <w:r w:rsidRPr="002625FA">
        <w:rPr>
          <w:rFonts w:ascii="Times New Roman" w:hAnsi="Times New Roman"/>
        </w:rPr>
        <w:t xml:space="preserve"> </w:t>
      </w:r>
      <w:r w:rsidRPr="006872CB">
        <w:rPr>
          <w:rFonts w:ascii="Times New Roman" w:hAnsi="Times New Roman"/>
        </w:rPr>
        <w:t>Dalziel, p. 75.</w:t>
      </w:r>
    </w:p>
  </w:footnote>
  <w:footnote w:id="769">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Law, p. 210.</w:t>
      </w:r>
    </w:p>
  </w:footnote>
  <w:footnote w:id="770">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Reynolds claimed popularity for the first series of the </w:t>
      </w:r>
      <w:r w:rsidRPr="006872CB">
        <w:rPr>
          <w:rFonts w:ascii="Times New Roman" w:hAnsi="Times New Roman"/>
          <w:i/>
        </w:rPr>
        <w:t>Mysteries of the Court</w:t>
      </w:r>
      <w:r w:rsidRPr="006872CB">
        <w:rPr>
          <w:rFonts w:ascii="Times New Roman" w:hAnsi="Times New Roman"/>
        </w:rPr>
        <w:t xml:space="preserve"> across all ranks of society with the working classes buying penny parts and the middle and upper classes the more expensive bound sets: ‘We know a fashionable library at the West End, that has sold four hundred copies of the Complete Set.’  See Anonymous, ‘Notices to Correspondents’, </w:t>
      </w:r>
      <w:r w:rsidRPr="006872CB">
        <w:rPr>
          <w:rFonts w:ascii="Times New Roman" w:hAnsi="Times New Roman"/>
          <w:i/>
        </w:rPr>
        <w:t>Reynolds’s Miscellany</w:t>
      </w:r>
      <w:r w:rsidRPr="006872CB">
        <w:rPr>
          <w:rFonts w:ascii="Times New Roman" w:hAnsi="Times New Roman"/>
        </w:rPr>
        <w:t xml:space="preserve">, 14 December 1850, pp. 335–36 (p. 336).  Elsewhere he wrote of </w:t>
      </w:r>
      <w:r w:rsidRPr="006872CB">
        <w:rPr>
          <w:rFonts w:ascii="Times New Roman" w:hAnsi="Times New Roman"/>
          <w:i/>
        </w:rPr>
        <w:t>Mary Price</w:t>
      </w:r>
      <w:r w:rsidRPr="006872CB">
        <w:rPr>
          <w:rFonts w:ascii="Times New Roman" w:hAnsi="Times New Roman"/>
        </w:rPr>
        <w:t xml:space="preserve">: ‘One hundred and seven thousand copies of the first and second Numbers of this tale, were sold on the day of publication.’ See Anonymous, ‘Notices to Correspondents’, </w:t>
      </w:r>
      <w:r w:rsidRPr="006872CB">
        <w:rPr>
          <w:rFonts w:ascii="Times New Roman" w:hAnsi="Times New Roman"/>
          <w:i/>
        </w:rPr>
        <w:t>Reynolds’s Miscellany</w:t>
      </w:r>
      <w:r w:rsidRPr="006872CB">
        <w:rPr>
          <w:rFonts w:ascii="Times New Roman" w:hAnsi="Times New Roman"/>
        </w:rPr>
        <w:t>, 6 December 1851, p. 319.</w:t>
      </w:r>
    </w:p>
  </w:footnote>
  <w:footnote w:id="771">
    <w:p w:rsidR="003515E3" w:rsidRPr="002625FA" w:rsidRDefault="003515E3" w:rsidP="00435A13">
      <w:pPr>
        <w:pStyle w:val="FootnoteText"/>
        <w:spacing w:after="0" w:line="240" w:lineRule="auto"/>
        <w:rPr>
          <w:rStyle w:val="FootnoteReference"/>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When re-issued in Penny Numbers, the advertisement introduced </w:t>
      </w:r>
      <w:r w:rsidRPr="006872CB">
        <w:rPr>
          <w:rFonts w:ascii="Times New Roman" w:hAnsi="Times New Roman"/>
          <w:i/>
        </w:rPr>
        <w:t>The Seamstress</w:t>
      </w:r>
      <w:r w:rsidRPr="006872CB">
        <w:rPr>
          <w:rFonts w:ascii="Times New Roman" w:hAnsi="Times New Roman"/>
        </w:rPr>
        <w:t xml:space="preserve"> as ‘</w:t>
      </w:r>
      <w:r w:rsidRPr="006872CB">
        <w:rPr>
          <w:rFonts w:ascii="Times New Roman" w:hAnsi="Times New Roman"/>
          <w:snapToGrid w:val="0"/>
          <w:lang w:val="en-US"/>
        </w:rPr>
        <w:t xml:space="preserve">THE WHITE SLAVES OF ENGLAND’.  See </w:t>
      </w:r>
      <w:r w:rsidRPr="006872CB">
        <w:rPr>
          <w:rFonts w:ascii="Times New Roman" w:hAnsi="Times New Roman"/>
          <w:i/>
          <w:snapToGrid w:val="0"/>
          <w:lang w:val="en-US"/>
        </w:rPr>
        <w:t>Reynolds’s Newspaper</w:t>
      </w:r>
      <w:r w:rsidRPr="006872CB">
        <w:rPr>
          <w:rFonts w:ascii="Times New Roman" w:hAnsi="Times New Roman"/>
          <w:snapToGrid w:val="0"/>
          <w:lang w:val="en-US"/>
        </w:rPr>
        <w:t xml:space="preserve">, 6 March 1853, p. 8.  The advertisement for </w:t>
      </w:r>
      <w:r w:rsidRPr="006872CB">
        <w:rPr>
          <w:rFonts w:ascii="Times New Roman" w:hAnsi="Times New Roman"/>
          <w:i/>
        </w:rPr>
        <w:t>The Soldier’s Wife</w:t>
      </w:r>
      <w:r w:rsidRPr="006872CB">
        <w:rPr>
          <w:rFonts w:ascii="Times New Roman" w:hAnsi="Times New Roman"/>
        </w:rPr>
        <w:t xml:space="preserve"> claimed: ‘</w:t>
      </w:r>
      <w:r w:rsidRPr="006872CB">
        <w:rPr>
          <w:rFonts w:ascii="Times New Roman" w:hAnsi="Times New Roman"/>
          <w:snapToGrid w:val="0"/>
          <w:lang w:val="en-US"/>
        </w:rPr>
        <w:t xml:space="preserve">The object of this work is to deal a blow at the atrocious punishment of the lash - to show that the private soldier is demoralized instead of being reformed thereby - and that it is the vilest feature of that coercive military discipline which aims at mechanizing and embruting the minds of the soldiery.’  See </w:t>
      </w:r>
      <w:r w:rsidRPr="006872CB">
        <w:rPr>
          <w:rFonts w:ascii="Times New Roman" w:hAnsi="Times New Roman"/>
          <w:i/>
          <w:snapToGrid w:val="0"/>
          <w:lang w:val="en-US"/>
        </w:rPr>
        <w:t>Reynolds’s Newspaper</w:t>
      </w:r>
      <w:r w:rsidRPr="006872CB">
        <w:rPr>
          <w:rFonts w:ascii="Times New Roman" w:hAnsi="Times New Roman"/>
          <w:snapToGrid w:val="0"/>
          <w:lang w:val="en-US"/>
        </w:rPr>
        <w:t>, 8 May 1853, p. 8.</w:t>
      </w:r>
    </w:p>
  </w:footnote>
  <w:footnote w:id="772">
    <w:p w:rsidR="003515E3" w:rsidRPr="002625FA" w:rsidRDefault="003515E3" w:rsidP="00435A13">
      <w:pPr>
        <w:pStyle w:val="FootnoteText"/>
        <w:spacing w:after="0" w:line="240" w:lineRule="auto"/>
        <w:rPr>
          <w:rFonts w:ascii="Times New Roman" w:hAnsi="Times New Roman"/>
        </w:rPr>
      </w:pPr>
      <w:r w:rsidRPr="002625FA">
        <w:rPr>
          <w:rStyle w:val="FootnoteReference"/>
          <w:rFonts w:ascii="Times New Roman" w:hAnsi="Times New Roman"/>
        </w:rPr>
        <w:footnoteRef/>
      </w:r>
      <w:r w:rsidRPr="002625FA">
        <w:rPr>
          <w:rFonts w:ascii="Times New Roman" w:hAnsi="Times New Roman"/>
        </w:rPr>
        <w:t xml:space="preserve"> Guy, pp. 131–32.</w:t>
      </w:r>
    </w:p>
  </w:footnote>
  <w:footnote w:id="773">
    <w:p w:rsidR="003515E3" w:rsidRPr="002625FA" w:rsidRDefault="003515E3" w:rsidP="00435A13">
      <w:pPr>
        <w:pStyle w:val="FootnoteText"/>
        <w:spacing w:after="0" w:line="240" w:lineRule="auto"/>
        <w:rPr>
          <w:rFonts w:ascii="Times New Roman" w:hAnsi="Times New Roman"/>
        </w:rPr>
      </w:pPr>
      <w:r w:rsidRPr="002625FA">
        <w:rPr>
          <w:rStyle w:val="FootnoteReference"/>
          <w:rFonts w:ascii="Times New Roman" w:hAnsi="Times New Roman"/>
        </w:rPr>
        <w:footnoteRef/>
      </w:r>
      <w:r w:rsidRPr="002625FA">
        <w:rPr>
          <w:rFonts w:ascii="Times New Roman" w:hAnsi="Times New Roman"/>
        </w:rPr>
        <w:t xml:space="preserve"> </w:t>
      </w:r>
      <w:r w:rsidRPr="002625FA">
        <w:rPr>
          <w:rFonts w:ascii="Times New Roman" w:hAnsi="Times New Roman"/>
          <w:i/>
          <w:iCs/>
        </w:rPr>
        <w:t>Seamstress</w:t>
      </w:r>
      <w:r w:rsidRPr="002625FA">
        <w:rPr>
          <w:rFonts w:ascii="Times New Roman" w:hAnsi="Times New Roman"/>
        </w:rPr>
        <w:t>, pp. 88, 93.</w:t>
      </w:r>
    </w:p>
  </w:footnote>
  <w:footnote w:id="774">
    <w:p w:rsidR="003515E3" w:rsidRPr="002625FA" w:rsidRDefault="003515E3" w:rsidP="00435A13">
      <w:pPr>
        <w:pStyle w:val="Default"/>
        <w:rPr>
          <w:rFonts w:ascii="Times New Roman" w:hAnsi="Times New Roman" w:cs="Times New Roman"/>
          <w:color w:val="auto"/>
          <w:sz w:val="20"/>
          <w:szCs w:val="20"/>
        </w:rPr>
      </w:pPr>
      <w:r w:rsidRPr="002625FA">
        <w:rPr>
          <w:rStyle w:val="FootnoteReference"/>
          <w:rFonts w:ascii="Times New Roman" w:hAnsi="Times New Roman" w:cs="Times New Roman"/>
          <w:color w:val="auto"/>
          <w:sz w:val="20"/>
          <w:szCs w:val="20"/>
        </w:rPr>
        <w:footnoteRef/>
      </w:r>
      <w:r w:rsidRPr="002625FA">
        <w:rPr>
          <w:rFonts w:ascii="Times New Roman" w:hAnsi="Times New Roman" w:cs="Times New Roman"/>
          <w:color w:val="auto"/>
          <w:sz w:val="20"/>
          <w:szCs w:val="20"/>
        </w:rPr>
        <w:t xml:space="preserve"> </w:t>
      </w:r>
      <w:r w:rsidRPr="002625FA">
        <w:rPr>
          <w:rFonts w:ascii="Times New Roman" w:hAnsi="Times New Roman" w:cs="Times New Roman"/>
          <w:i/>
          <w:color w:val="auto"/>
          <w:sz w:val="20"/>
          <w:szCs w:val="20"/>
        </w:rPr>
        <w:t>Soldier’s Wife</w:t>
      </w:r>
      <w:r w:rsidRPr="002625FA">
        <w:rPr>
          <w:rFonts w:ascii="Times New Roman" w:hAnsi="Times New Roman" w:cs="Times New Roman"/>
          <w:color w:val="auto"/>
          <w:sz w:val="20"/>
          <w:szCs w:val="20"/>
        </w:rPr>
        <w:t>, p. 6.</w:t>
      </w:r>
    </w:p>
  </w:footnote>
  <w:footnote w:id="775">
    <w:p w:rsidR="003515E3" w:rsidRPr="002625FA" w:rsidRDefault="003515E3" w:rsidP="00435A13">
      <w:pPr>
        <w:pStyle w:val="FootnoteText"/>
        <w:spacing w:after="0" w:line="240" w:lineRule="auto"/>
        <w:rPr>
          <w:rFonts w:ascii="Times New Roman" w:hAnsi="Times New Roman"/>
        </w:rPr>
      </w:pPr>
      <w:r w:rsidRPr="002625FA">
        <w:rPr>
          <w:rStyle w:val="FootnoteReference"/>
          <w:rFonts w:ascii="Times New Roman" w:hAnsi="Times New Roman"/>
        </w:rPr>
        <w:footnoteRef/>
      </w:r>
      <w:r w:rsidRPr="002625FA">
        <w:rPr>
          <w:rFonts w:ascii="Times New Roman" w:hAnsi="Times New Roman"/>
        </w:rPr>
        <w:t xml:space="preserve"> </w:t>
      </w:r>
      <w:r w:rsidRPr="002625FA">
        <w:rPr>
          <w:rFonts w:ascii="Times New Roman" w:hAnsi="Times New Roman"/>
          <w:i/>
          <w:iCs/>
        </w:rPr>
        <w:t>Mary Price</w:t>
      </w:r>
      <w:r w:rsidRPr="002625FA">
        <w:rPr>
          <w:rFonts w:ascii="Times New Roman" w:hAnsi="Times New Roman"/>
        </w:rPr>
        <w:t xml:space="preserve">, I, 27.  Many characters repeat this view through the novel, including Mr Twisden at Twisden Lodge and the servants at Harlesdon Park who refer to her as ‘lady-like Mary Price’.  See </w:t>
      </w:r>
      <w:r w:rsidRPr="002625FA">
        <w:rPr>
          <w:rFonts w:ascii="Times New Roman" w:hAnsi="Times New Roman"/>
          <w:i/>
          <w:iCs/>
        </w:rPr>
        <w:t>Mary Price</w:t>
      </w:r>
      <w:r w:rsidRPr="002625FA">
        <w:rPr>
          <w:rFonts w:ascii="Times New Roman" w:hAnsi="Times New Roman"/>
        </w:rPr>
        <w:t>, I, 31, 142.</w:t>
      </w:r>
    </w:p>
  </w:footnote>
  <w:footnote w:id="776">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t>
      </w:r>
      <w:r w:rsidRPr="006872CB">
        <w:rPr>
          <w:rFonts w:ascii="Times New Roman" w:hAnsi="Times New Roman"/>
          <w:i/>
        </w:rPr>
        <w:t>Joseph Wilmot</w:t>
      </w:r>
      <w:r w:rsidRPr="006872CB">
        <w:rPr>
          <w:rFonts w:ascii="Times New Roman" w:hAnsi="Times New Roman"/>
        </w:rPr>
        <w:t>, I, 2.</w:t>
      </w:r>
    </w:p>
  </w:footnote>
  <w:footnote w:id="777">
    <w:p w:rsidR="003515E3" w:rsidRPr="006872CB" w:rsidRDefault="003515E3" w:rsidP="00435A13">
      <w:pPr>
        <w:pStyle w:val="Default"/>
        <w:rPr>
          <w:rFonts w:ascii="Times New Roman" w:hAnsi="Times New Roman" w:cs="Times New Roman"/>
          <w:color w:val="auto"/>
          <w:sz w:val="20"/>
          <w:szCs w:val="20"/>
        </w:rPr>
      </w:pPr>
      <w:r w:rsidRPr="006872CB">
        <w:rPr>
          <w:rStyle w:val="FootnoteReference"/>
          <w:rFonts w:ascii="Times New Roman" w:hAnsi="Times New Roman" w:cs="Times New Roman"/>
          <w:color w:val="auto"/>
          <w:sz w:val="20"/>
          <w:szCs w:val="20"/>
        </w:rPr>
        <w:footnoteRef/>
      </w:r>
      <w:r w:rsidRPr="006872CB">
        <w:rPr>
          <w:rFonts w:ascii="Times New Roman" w:hAnsi="Times New Roman" w:cs="Times New Roman"/>
          <w:color w:val="auto"/>
          <w:sz w:val="20"/>
          <w:szCs w:val="20"/>
        </w:rPr>
        <w:t xml:space="preserve"> Reed, ‘Fighting Words: Two Proletarian Military Novels of the Crimean Period’, p. 337.  Frederick is the son of Jane Redburn, the younger sister of Sir Archibald Redburn, Baronet.  See </w:t>
      </w:r>
      <w:r w:rsidRPr="006872CB">
        <w:rPr>
          <w:rFonts w:ascii="Times New Roman" w:hAnsi="Times New Roman" w:cs="Times New Roman"/>
          <w:i/>
          <w:color w:val="auto"/>
          <w:sz w:val="20"/>
          <w:szCs w:val="20"/>
        </w:rPr>
        <w:t>Soldier’s Wife</w:t>
      </w:r>
      <w:r w:rsidRPr="006872CB">
        <w:rPr>
          <w:rFonts w:ascii="Times New Roman" w:hAnsi="Times New Roman" w:cs="Times New Roman"/>
          <w:color w:val="auto"/>
          <w:sz w:val="20"/>
          <w:szCs w:val="20"/>
        </w:rPr>
        <w:t>, pp. 384–85.</w:t>
      </w:r>
    </w:p>
  </w:footnote>
  <w:footnote w:id="778">
    <w:p w:rsidR="003515E3" w:rsidRPr="002625FA" w:rsidRDefault="003515E3" w:rsidP="00435A13">
      <w:pPr>
        <w:pStyle w:val="Default"/>
        <w:rPr>
          <w:rFonts w:ascii="Times New Roman" w:hAnsi="Times New Roman" w:cs="Times New Roman"/>
          <w:color w:val="auto"/>
          <w:sz w:val="20"/>
          <w:szCs w:val="20"/>
        </w:rPr>
      </w:pPr>
      <w:r w:rsidRPr="006872CB">
        <w:rPr>
          <w:rStyle w:val="FootnoteReference"/>
          <w:rFonts w:ascii="Times New Roman" w:hAnsi="Times New Roman" w:cs="Times New Roman"/>
          <w:color w:val="auto"/>
          <w:sz w:val="20"/>
          <w:szCs w:val="20"/>
        </w:rPr>
        <w:footnoteRef/>
      </w:r>
      <w:r w:rsidRPr="006872CB">
        <w:rPr>
          <w:rFonts w:ascii="Times New Roman" w:hAnsi="Times New Roman" w:cs="Times New Roman"/>
          <w:color w:val="auto"/>
          <w:sz w:val="20"/>
          <w:szCs w:val="20"/>
        </w:rPr>
        <w:t xml:space="preserve"> Virginia Mordaunt is the daughter of Lady Augusta Cavendish (see </w:t>
      </w:r>
      <w:r w:rsidRPr="006872CB">
        <w:rPr>
          <w:rFonts w:ascii="Times New Roman" w:hAnsi="Times New Roman" w:cs="Times New Roman"/>
          <w:i/>
          <w:color w:val="auto"/>
          <w:sz w:val="20"/>
          <w:szCs w:val="20"/>
        </w:rPr>
        <w:t>Seamstress</w:t>
      </w:r>
      <w:r w:rsidRPr="006872CB">
        <w:rPr>
          <w:rFonts w:ascii="Times New Roman" w:hAnsi="Times New Roman" w:cs="Times New Roman"/>
          <w:color w:val="auto"/>
          <w:sz w:val="20"/>
          <w:szCs w:val="20"/>
        </w:rPr>
        <w:t xml:space="preserve">, p. 128); Mary Price, through her mother, is a member of the aristocratic Clavering family, see </w:t>
      </w:r>
      <w:r w:rsidRPr="006872CB">
        <w:rPr>
          <w:rFonts w:ascii="Times New Roman" w:hAnsi="Times New Roman" w:cs="Times New Roman"/>
          <w:i/>
          <w:color w:val="auto"/>
          <w:sz w:val="20"/>
          <w:szCs w:val="20"/>
        </w:rPr>
        <w:t>Mary Price</w:t>
      </w:r>
      <w:r w:rsidRPr="006872CB">
        <w:rPr>
          <w:rFonts w:ascii="Times New Roman" w:hAnsi="Times New Roman" w:cs="Times New Roman"/>
          <w:color w:val="auto"/>
          <w:sz w:val="20"/>
          <w:szCs w:val="20"/>
        </w:rPr>
        <w:t xml:space="preserve">, II, 342–46; Joseph Wilmot is the son of the Earl of Eccleston, as he announces to Sir Matthew Heseltine (see </w:t>
      </w:r>
      <w:r w:rsidRPr="006872CB">
        <w:rPr>
          <w:rFonts w:ascii="Times New Roman" w:hAnsi="Times New Roman" w:cs="Times New Roman"/>
          <w:i/>
          <w:color w:val="auto"/>
          <w:sz w:val="20"/>
          <w:szCs w:val="20"/>
        </w:rPr>
        <w:t>Joseph Wilmot</w:t>
      </w:r>
      <w:r w:rsidRPr="006872CB">
        <w:rPr>
          <w:rFonts w:ascii="Times New Roman" w:hAnsi="Times New Roman" w:cs="Times New Roman"/>
          <w:color w:val="auto"/>
          <w:sz w:val="20"/>
          <w:szCs w:val="20"/>
        </w:rPr>
        <w:t>, II, 363.</w:t>
      </w:r>
    </w:p>
  </w:footnote>
  <w:footnote w:id="779">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xml:space="preserve">, I, 404.  Mary reaffirms this shortly after even as her predicament worsens: ‘though I had good friends in other parts of the country, it could only be the bitterest need that would incline me to apply to them’.  See </w:t>
      </w:r>
      <w:r w:rsidRPr="00F80F36">
        <w:rPr>
          <w:rFonts w:ascii="Times New Roman" w:hAnsi="Times New Roman"/>
          <w:i/>
          <w:iCs/>
        </w:rPr>
        <w:t>Mary Price</w:t>
      </w:r>
      <w:r w:rsidRPr="00F80F36">
        <w:rPr>
          <w:rFonts w:ascii="Times New Roman" w:hAnsi="Times New Roman"/>
        </w:rPr>
        <w:t>, I, 408.</w:t>
      </w:r>
    </w:p>
  </w:footnote>
  <w:footnote w:id="780">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 411.</w:t>
      </w:r>
    </w:p>
  </w:footnote>
  <w:footnote w:id="781">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263.</w:t>
      </w:r>
    </w:p>
  </w:footnote>
  <w:footnote w:id="782">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264.</w:t>
      </w:r>
    </w:p>
  </w:footnote>
  <w:footnote w:id="783">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Soldier’s Wife</w:t>
      </w:r>
      <w:r w:rsidRPr="00F80F36">
        <w:rPr>
          <w:rFonts w:ascii="Times New Roman" w:hAnsi="Times New Roman"/>
        </w:rPr>
        <w:t>, p. 82.</w:t>
      </w:r>
    </w:p>
  </w:footnote>
  <w:footnote w:id="784">
    <w:p w:rsidR="003515E3" w:rsidRPr="00F80F36" w:rsidRDefault="003515E3" w:rsidP="00435A13">
      <w:pPr>
        <w:spacing w:after="0" w:line="240" w:lineRule="auto"/>
        <w:rPr>
          <w:rFonts w:ascii="Times New Roman" w:hAnsi="Times New Roman" w:cs="Times New Roman"/>
          <w:sz w:val="20"/>
          <w:szCs w:val="20"/>
        </w:rPr>
      </w:pPr>
      <w:r w:rsidRPr="00F80F36">
        <w:rPr>
          <w:rStyle w:val="FootnoteReference"/>
          <w:rFonts w:ascii="Times New Roman" w:hAnsi="Times New Roman" w:cs="Times New Roman"/>
          <w:sz w:val="20"/>
          <w:szCs w:val="20"/>
        </w:rPr>
        <w:footnoteRef/>
      </w:r>
      <w:r w:rsidRPr="00F80F36">
        <w:rPr>
          <w:rFonts w:ascii="Times New Roman" w:hAnsi="Times New Roman" w:cs="Times New Roman"/>
          <w:sz w:val="20"/>
          <w:szCs w:val="20"/>
        </w:rPr>
        <w:t xml:space="preserve"> E. P. Thompson, </w:t>
      </w:r>
      <w:r w:rsidRPr="00F80F36">
        <w:rPr>
          <w:rFonts w:ascii="Times New Roman" w:hAnsi="Times New Roman" w:cs="Times New Roman"/>
          <w:i/>
          <w:sz w:val="20"/>
          <w:szCs w:val="20"/>
        </w:rPr>
        <w:t>The Making of the English Working Class</w:t>
      </w:r>
      <w:r w:rsidRPr="00F80F36">
        <w:rPr>
          <w:rFonts w:ascii="Times New Roman" w:hAnsi="Times New Roman" w:cs="Times New Roman"/>
          <w:sz w:val="20"/>
          <w:szCs w:val="20"/>
        </w:rPr>
        <w:t xml:space="preserve">, rev. edn (Harmondsworth: Penguin, 1986), p. 285.  Reynolds noted the declining conditions when he wrote that Lucy Lonsdale earned fifteen shillings a week, adding ‘be it observed that at the time we are writing, this kind of work was ten times better paid than it is at the present day’.  See </w:t>
      </w:r>
      <w:r w:rsidRPr="00F80F36">
        <w:rPr>
          <w:rFonts w:ascii="Times New Roman" w:hAnsi="Times New Roman" w:cs="Times New Roman"/>
          <w:i/>
          <w:sz w:val="20"/>
          <w:szCs w:val="20"/>
        </w:rPr>
        <w:t>Soldier’s Wife</w:t>
      </w:r>
      <w:r w:rsidRPr="00F80F36">
        <w:rPr>
          <w:rFonts w:ascii="Times New Roman" w:hAnsi="Times New Roman" w:cs="Times New Roman"/>
          <w:sz w:val="20"/>
          <w:szCs w:val="20"/>
        </w:rPr>
        <w:t xml:space="preserve">, p. 82.  His comment referred to the early 1830s; whereas the events in </w:t>
      </w:r>
      <w:r w:rsidRPr="00F80F36">
        <w:rPr>
          <w:rFonts w:ascii="Times New Roman" w:hAnsi="Times New Roman" w:cs="Times New Roman"/>
          <w:i/>
          <w:sz w:val="20"/>
          <w:szCs w:val="20"/>
        </w:rPr>
        <w:t>The Seamstress</w:t>
      </w:r>
      <w:r w:rsidRPr="00F80F36">
        <w:rPr>
          <w:rFonts w:ascii="Times New Roman" w:hAnsi="Times New Roman" w:cs="Times New Roman"/>
          <w:sz w:val="20"/>
          <w:szCs w:val="20"/>
        </w:rPr>
        <w:t xml:space="preserve"> take place from the beginning of 1844 to the start of 1846.</w:t>
      </w:r>
    </w:p>
  </w:footnote>
  <w:footnote w:id="785">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Ian Haywood analyses the ‘five steps on the ladder of increasing surplus value’ that is extracted from her labour.  See </w:t>
      </w:r>
      <w:r w:rsidRPr="00F80F36">
        <w:rPr>
          <w:rFonts w:ascii="Times New Roman" w:hAnsi="Times New Roman"/>
          <w:i/>
        </w:rPr>
        <w:t>Revolution in Popular Literature</w:t>
      </w:r>
      <w:r w:rsidRPr="00F80F36">
        <w:rPr>
          <w:rFonts w:ascii="Times New Roman" w:hAnsi="Times New Roman"/>
        </w:rPr>
        <w:t>, p. 211.</w:t>
      </w:r>
    </w:p>
  </w:footnote>
  <w:footnote w:id="786">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Seamstress</w:t>
      </w:r>
      <w:r w:rsidRPr="00F80F36">
        <w:rPr>
          <w:rFonts w:ascii="Times New Roman" w:hAnsi="Times New Roman"/>
        </w:rPr>
        <w:t>, p. 11.</w:t>
      </w:r>
    </w:p>
  </w:footnote>
  <w:footnote w:id="787">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Seamstress</w:t>
      </w:r>
      <w:r w:rsidRPr="00F80F36">
        <w:rPr>
          <w:rFonts w:ascii="Times New Roman" w:hAnsi="Times New Roman"/>
        </w:rPr>
        <w:t>, p. 18.</w:t>
      </w:r>
    </w:p>
  </w:footnote>
  <w:footnote w:id="788">
    <w:p w:rsidR="003515E3" w:rsidRPr="006872CB"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6872CB">
        <w:rPr>
          <w:rFonts w:ascii="Times New Roman" w:hAnsi="Times New Roman"/>
          <w:i/>
          <w:iCs/>
        </w:rPr>
        <w:t>Seamstress</w:t>
      </w:r>
      <w:r w:rsidRPr="006872CB">
        <w:rPr>
          <w:rFonts w:ascii="Times New Roman" w:hAnsi="Times New Roman"/>
        </w:rPr>
        <w:t>, p. 7.</w:t>
      </w:r>
    </w:p>
  </w:footnote>
  <w:footnote w:id="789">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Later, Virginia expresses the same independence when she visits Mr Lavenham in prison and rejects his offer of money, fearing he has misunderstood the reason for her visit: ‘“Do you suppose that I was influenced by selfish motives in coming hither?  Ah! Mr. Lavenham you have wounded me to the very quick!”—and she burst into tears.’  See </w:t>
      </w:r>
      <w:r w:rsidRPr="006872CB">
        <w:rPr>
          <w:rFonts w:ascii="Times New Roman" w:hAnsi="Times New Roman"/>
          <w:i/>
          <w:iCs/>
        </w:rPr>
        <w:t>Seamstress</w:t>
      </w:r>
      <w:r w:rsidRPr="006872CB">
        <w:rPr>
          <w:rFonts w:ascii="Times New Roman" w:hAnsi="Times New Roman"/>
        </w:rPr>
        <w:t>, p. 60.</w:t>
      </w:r>
    </w:p>
  </w:footnote>
  <w:footnote w:id="790">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t>
      </w:r>
      <w:r w:rsidRPr="006872CB">
        <w:rPr>
          <w:rFonts w:ascii="Times New Roman" w:hAnsi="Times New Roman"/>
          <w:i/>
          <w:iCs/>
        </w:rPr>
        <w:t>Seamstress</w:t>
      </w:r>
      <w:r w:rsidRPr="006872CB">
        <w:rPr>
          <w:rFonts w:ascii="Times New Roman" w:hAnsi="Times New Roman"/>
        </w:rPr>
        <w:t>, p. 14.</w:t>
      </w:r>
    </w:p>
  </w:footnote>
  <w:footnote w:id="791">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t>
      </w:r>
      <w:r w:rsidRPr="006872CB">
        <w:rPr>
          <w:rFonts w:ascii="Times New Roman" w:hAnsi="Times New Roman"/>
          <w:i/>
          <w:iCs/>
        </w:rPr>
        <w:t>Seamstress</w:t>
      </w:r>
      <w:r w:rsidRPr="006872CB">
        <w:rPr>
          <w:rFonts w:ascii="Times New Roman" w:hAnsi="Times New Roman"/>
        </w:rPr>
        <w:t>, p. 48.</w:t>
      </w:r>
    </w:p>
  </w:footnote>
  <w:footnote w:id="792">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t>
      </w:r>
      <w:r w:rsidRPr="006872CB">
        <w:rPr>
          <w:rFonts w:ascii="Times New Roman" w:hAnsi="Times New Roman"/>
          <w:i/>
          <w:iCs/>
        </w:rPr>
        <w:t>Seamstress</w:t>
      </w:r>
      <w:r w:rsidRPr="006872CB">
        <w:rPr>
          <w:rFonts w:ascii="Times New Roman" w:hAnsi="Times New Roman"/>
        </w:rPr>
        <w:t>, p. 48.</w:t>
      </w:r>
    </w:p>
  </w:footnote>
  <w:footnote w:id="793">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t>
      </w:r>
      <w:r w:rsidRPr="006872CB">
        <w:rPr>
          <w:rFonts w:ascii="Times New Roman" w:hAnsi="Times New Roman"/>
          <w:i/>
          <w:iCs/>
        </w:rPr>
        <w:t>Seamstress</w:t>
      </w:r>
      <w:r w:rsidRPr="006872CB">
        <w:rPr>
          <w:rFonts w:ascii="Times New Roman" w:hAnsi="Times New Roman"/>
        </w:rPr>
        <w:t>, pp. 63–64.</w:t>
      </w:r>
    </w:p>
  </w:footnote>
  <w:footnote w:id="794">
    <w:p w:rsidR="003515E3" w:rsidRPr="009D75D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t>
      </w:r>
      <w:r w:rsidRPr="006872CB">
        <w:rPr>
          <w:rFonts w:ascii="Times New Roman" w:hAnsi="Times New Roman"/>
          <w:i/>
          <w:iCs/>
        </w:rPr>
        <w:t>Seamstress</w:t>
      </w:r>
      <w:r w:rsidRPr="006872CB">
        <w:rPr>
          <w:rFonts w:ascii="Times New Roman" w:hAnsi="Times New Roman"/>
        </w:rPr>
        <w:t>, p. 66.</w:t>
      </w:r>
    </w:p>
  </w:footnote>
  <w:footnote w:id="795">
    <w:p w:rsidR="003515E3" w:rsidRPr="009D75DB" w:rsidRDefault="003515E3" w:rsidP="00435A13">
      <w:pPr>
        <w:pStyle w:val="FootnoteText"/>
        <w:spacing w:after="0" w:line="240" w:lineRule="auto"/>
        <w:rPr>
          <w:rFonts w:ascii="Times New Roman" w:hAnsi="Times New Roman"/>
        </w:rPr>
      </w:pPr>
      <w:r w:rsidRPr="009D75DB">
        <w:rPr>
          <w:rStyle w:val="FootnoteReference"/>
          <w:rFonts w:ascii="Times New Roman" w:hAnsi="Times New Roman"/>
        </w:rPr>
        <w:footnoteRef/>
      </w:r>
      <w:r w:rsidRPr="009D75DB">
        <w:rPr>
          <w:rFonts w:ascii="Times New Roman" w:hAnsi="Times New Roman"/>
        </w:rPr>
        <w:t xml:space="preserve"> Clementine’s desire to escape modest circumstances for material luxury without moral concerns highlights the purity of Virginia’s struggle.  It is exemplified by her view of the matrimonial state: ‘it is better to be a Marchioness hated by her husband, than a mere lady’s maid who may be scolded and buffeted about by a capricious master and mistress’.  See </w:t>
      </w:r>
      <w:r w:rsidRPr="009D75DB">
        <w:rPr>
          <w:rFonts w:ascii="Times New Roman" w:hAnsi="Times New Roman"/>
          <w:i/>
          <w:iCs/>
        </w:rPr>
        <w:t>Seamstress</w:t>
      </w:r>
      <w:r w:rsidRPr="009D75DB">
        <w:rPr>
          <w:rFonts w:ascii="Times New Roman" w:hAnsi="Times New Roman"/>
        </w:rPr>
        <w:t>, p. 80.</w:t>
      </w:r>
    </w:p>
  </w:footnote>
  <w:footnote w:id="796">
    <w:p w:rsidR="003515E3" w:rsidRPr="009D75DB" w:rsidRDefault="003515E3" w:rsidP="00435A13">
      <w:pPr>
        <w:pStyle w:val="FootnoteText"/>
        <w:spacing w:after="0" w:line="240" w:lineRule="auto"/>
        <w:rPr>
          <w:rFonts w:ascii="Times New Roman" w:hAnsi="Times New Roman"/>
        </w:rPr>
      </w:pPr>
      <w:r w:rsidRPr="009D75DB">
        <w:rPr>
          <w:rStyle w:val="FootnoteReference"/>
          <w:rFonts w:ascii="Times New Roman" w:hAnsi="Times New Roman"/>
        </w:rPr>
        <w:footnoteRef/>
      </w:r>
      <w:r w:rsidRPr="009D75DB">
        <w:rPr>
          <w:rFonts w:ascii="Times New Roman" w:hAnsi="Times New Roman"/>
        </w:rPr>
        <w:t xml:space="preserve"> </w:t>
      </w:r>
      <w:r w:rsidRPr="009D75DB">
        <w:rPr>
          <w:rFonts w:ascii="Times New Roman" w:hAnsi="Times New Roman"/>
          <w:i/>
          <w:iCs/>
        </w:rPr>
        <w:t>Seamstress</w:t>
      </w:r>
      <w:r w:rsidRPr="009D75DB">
        <w:rPr>
          <w:rFonts w:ascii="Times New Roman" w:hAnsi="Times New Roman"/>
        </w:rPr>
        <w:t>, p. 86.</w:t>
      </w:r>
    </w:p>
  </w:footnote>
  <w:footnote w:id="797">
    <w:p w:rsidR="003515E3" w:rsidRPr="009D75DB" w:rsidRDefault="003515E3" w:rsidP="00435A13">
      <w:pPr>
        <w:pStyle w:val="FootnoteText"/>
        <w:spacing w:after="0" w:line="240" w:lineRule="auto"/>
        <w:rPr>
          <w:rFonts w:ascii="Times New Roman" w:hAnsi="Times New Roman"/>
        </w:rPr>
      </w:pPr>
      <w:r w:rsidRPr="009D75DB">
        <w:rPr>
          <w:rStyle w:val="FootnoteReference"/>
          <w:rFonts w:ascii="Times New Roman" w:hAnsi="Times New Roman"/>
        </w:rPr>
        <w:footnoteRef/>
      </w:r>
      <w:r w:rsidRPr="009D75DB">
        <w:rPr>
          <w:rFonts w:ascii="Times New Roman" w:hAnsi="Times New Roman"/>
        </w:rPr>
        <w:t xml:space="preserve"> </w:t>
      </w:r>
      <w:r w:rsidRPr="009D75DB">
        <w:rPr>
          <w:rFonts w:ascii="Times New Roman" w:hAnsi="Times New Roman"/>
          <w:i/>
          <w:iCs/>
        </w:rPr>
        <w:t>Seamstress</w:t>
      </w:r>
      <w:r w:rsidRPr="009D75DB">
        <w:rPr>
          <w:rFonts w:ascii="Times New Roman" w:hAnsi="Times New Roman"/>
        </w:rPr>
        <w:t>, p. 86.</w:t>
      </w:r>
    </w:p>
  </w:footnote>
  <w:footnote w:id="798">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Seamstress</w:t>
      </w:r>
      <w:r w:rsidRPr="00F80F36">
        <w:rPr>
          <w:rFonts w:ascii="Times New Roman" w:hAnsi="Times New Roman"/>
        </w:rPr>
        <w:t>, p. 87.</w:t>
      </w:r>
    </w:p>
  </w:footnote>
  <w:footnote w:id="799">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Seamstress</w:t>
      </w:r>
      <w:r w:rsidRPr="00F80F36">
        <w:rPr>
          <w:rFonts w:ascii="Times New Roman" w:hAnsi="Times New Roman"/>
        </w:rPr>
        <w:t>, p. 86.</w:t>
      </w:r>
    </w:p>
  </w:footnote>
  <w:footnote w:id="800">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Seamstress</w:t>
      </w:r>
      <w:r w:rsidRPr="00F80F36">
        <w:rPr>
          <w:rFonts w:ascii="Times New Roman" w:hAnsi="Times New Roman"/>
        </w:rPr>
        <w:t>, p. 91.</w:t>
      </w:r>
    </w:p>
  </w:footnote>
  <w:footnote w:id="801">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Seamstress</w:t>
      </w:r>
      <w:r w:rsidRPr="00F80F36">
        <w:rPr>
          <w:rFonts w:ascii="Times New Roman" w:hAnsi="Times New Roman"/>
        </w:rPr>
        <w:t>, p. 96.</w:t>
      </w:r>
    </w:p>
  </w:footnote>
  <w:footnote w:id="802">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Soldier’s Wife</w:t>
      </w:r>
      <w:r w:rsidRPr="00F80F36">
        <w:rPr>
          <w:rFonts w:ascii="Times New Roman" w:hAnsi="Times New Roman"/>
        </w:rPr>
        <w:t>, p. 83.</w:t>
      </w:r>
    </w:p>
  </w:footnote>
  <w:footnote w:id="803">
    <w:p w:rsidR="003515E3" w:rsidRPr="002625FA" w:rsidRDefault="003515E3" w:rsidP="00435A13">
      <w:pPr>
        <w:pStyle w:val="Default"/>
        <w:rPr>
          <w:rFonts w:ascii="Times New Roman" w:hAnsi="Times New Roman" w:cs="Times New Roman"/>
          <w:color w:val="auto"/>
          <w:sz w:val="20"/>
          <w:szCs w:val="20"/>
        </w:rPr>
      </w:pPr>
      <w:r w:rsidRPr="002625FA">
        <w:rPr>
          <w:rStyle w:val="FootnoteReference"/>
          <w:rFonts w:ascii="Times New Roman" w:hAnsi="Times New Roman" w:cs="Times New Roman"/>
          <w:color w:val="auto"/>
          <w:sz w:val="20"/>
          <w:szCs w:val="20"/>
        </w:rPr>
        <w:footnoteRef/>
      </w:r>
      <w:r w:rsidRPr="002625FA">
        <w:rPr>
          <w:rFonts w:ascii="Times New Roman" w:hAnsi="Times New Roman" w:cs="Times New Roman"/>
          <w:color w:val="auto"/>
          <w:sz w:val="20"/>
          <w:szCs w:val="20"/>
        </w:rPr>
        <w:t xml:space="preserve"> T. J. Edelstein, ‘They Sang "The Song of the Shirt": The Visual Iconology of the Seamstress’, </w:t>
      </w:r>
      <w:r w:rsidRPr="002625FA">
        <w:rPr>
          <w:rFonts w:ascii="Times New Roman" w:hAnsi="Times New Roman" w:cs="Times New Roman"/>
          <w:i/>
          <w:color w:val="auto"/>
          <w:sz w:val="20"/>
          <w:szCs w:val="20"/>
        </w:rPr>
        <w:t>Victorian Studies</w:t>
      </w:r>
      <w:r w:rsidRPr="002625FA">
        <w:rPr>
          <w:rFonts w:ascii="Times New Roman" w:hAnsi="Times New Roman" w:cs="Times New Roman"/>
          <w:color w:val="auto"/>
          <w:sz w:val="20"/>
          <w:szCs w:val="20"/>
        </w:rPr>
        <w:t>, 23.2 (Winter 1980), 183–210 &lt;</w:t>
      </w:r>
      <w:hyperlink r:id="rId21" w:history="1">
        <w:r w:rsidRPr="002625FA">
          <w:rPr>
            <w:rStyle w:val="Hyperlink"/>
            <w:rFonts w:ascii="Times New Roman" w:hAnsi="Times New Roman" w:cs="Times New Roman"/>
            <w:color w:val="auto"/>
            <w:sz w:val="20"/>
            <w:szCs w:val="20"/>
            <w:u w:val="none"/>
          </w:rPr>
          <w:t>http://www.jstor.org/stable/3827085</w:t>
        </w:r>
      </w:hyperlink>
      <w:r w:rsidRPr="002625FA">
        <w:rPr>
          <w:rFonts w:ascii="Times New Roman" w:hAnsi="Times New Roman" w:cs="Times New Roman"/>
          <w:color w:val="auto"/>
          <w:sz w:val="20"/>
          <w:szCs w:val="20"/>
        </w:rPr>
        <w:t>&gt; [accessed: 15 May 2015] (p. 198).</w:t>
      </w:r>
    </w:p>
  </w:footnote>
  <w:footnote w:id="804">
    <w:p w:rsidR="003515E3" w:rsidRPr="002625FA" w:rsidRDefault="003515E3" w:rsidP="00435A13">
      <w:pPr>
        <w:pStyle w:val="FootnoteText"/>
        <w:spacing w:after="0" w:line="240" w:lineRule="auto"/>
        <w:rPr>
          <w:rFonts w:ascii="Times New Roman" w:hAnsi="Times New Roman"/>
        </w:rPr>
      </w:pPr>
      <w:r w:rsidRPr="002625FA">
        <w:rPr>
          <w:rStyle w:val="FootnoteReference"/>
          <w:rFonts w:ascii="Times New Roman" w:hAnsi="Times New Roman"/>
        </w:rPr>
        <w:footnoteRef/>
      </w:r>
      <w:r w:rsidRPr="002625FA">
        <w:rPr>
          <w:rFonts w:ascii="Times New Roman" w:hAnsi="Times New Roman"/>
        </w:rPr>
        <w:t xml:space="preserve"> </w:t>
      </w:r>
      <w:r w:rsidRPr="002625FA">
        <w:rPr>
          <w:rFonts w:ascii="Times New Roman" w:hAnsi="Times New Roman"/>
          <w:i/>
          <w:iCs/>
        </w:rPr>
        <w:t>Seamstress</w:t>
      </w:r>
      <w:r w:rsidRPr="002625FA">
        <w:rPr>
          <w:rFonts w:ascii="Times New Roman" w:hAnsi="Times New Roman"/>
        </w:rPr>
        <w:t>, p. 95.</w:t>
      </w:r>
    </w:p>
  </w:footnote>
  <w:footnote w:id="805">
    <w:p w:rsidR="003515E3" w:rsidRPr="002625FA" w:rsidRDefault="003515E3" w:rsidP="00435A13">
      <w:pPr>
        <w:spacing w:after="0" w:line="240" w:lineRule="auto"/>
        <w:rPr>
          <w:rFonts w:ascii="Times New Roman" w:hAnsi="Times New Roman" w:cs="Times New Roman"/>
          <w:sz w:val="20"/>
          <w:szCs w:val="20"/>
        </w:rPr>
      </w:pPr>
      <w:r w:rsidRPr="002625FA">
        <w:rPr>
          <w:rStyle w:val="FootnoteReference"/>
          <w:rFonts w:ascii="Times New Roman" w:hAnsi="Times New Roman" w:cs="Times New Roman"/>
          <w:sz w:val="20"/>
          <w:szCs w:val="20"/>
        </w:rPr>
        <w:footnoteRef/>
      </w:r>
      <w:r w:rsidRPr="002625FA">
        <w:rPr>
          <w:rFonts w:ascii="Times New Roman" w:hAnsi="Times New Roman" w:cs="Times New Roman"/>
          <w:sz w:val="20"/>
          <w:szCs w:val="20"/>
        </w:rPr>
        <w:t xml:space="preserve"> In contrast, providence or extreme good fortune is repeatedly evident in the experiences of Mary Price.  An example occurs when she acquires Eustace’s ‘unpurchased’ promotion to Captain via the auspices of an unnamed Minister.  The unexpected nature of the event leads her to write: ‘I attributed it to fortune!  No it was to Providence—and heaven itself in its own good time will ensure our happiness.’  See </w:t>
      </w:r>
      <w:r w:rsidRPr="002625FA">
        <w:rPr>
          <w:rFonts w:ascii="Times New Roman" w:hAnsi="Times New Roman" w:cs="Times New Roman"/>
          <w:i/>
          <w:iCs/>
          <w:sz w:val="20"/>
          <w:szCs w:val="20"/>
        </w:rPr>
        <w:t>Mary Price</w:t>
      </w:r>
      <w:r w:rsidRPr="002625FA">
        <w:rPr>
          <w:rFonts w:ascii="Times New Roman" w:hAnsi="Times New Roman" w:cs="Times New Roman"/>
          <w:sz w:val="20"/>
          <w:szCs w:val="20"/>
        </w:rPr>
        <w:t>, I, 312.</w:t>
      </w:r>
    </w:p>
  </w:footnote>
  <w:footnote w:id="806">
    <w:p w:rsidR="003515E3" w:rsidRPr="002625FA" w:rsidRDefault="003515E3" w:rsidP="00435A13">
      <w:pPr>
        <w:pStyle w:val="FootnoteText"/>
        <w:spacing w:after="0" w:line="240" w:lineRule="auto"/>
        <w:rPr>
          <w:rFonts w:ascii="Times New Roman" w:hAnsi="Times New Roman"/>
        </w:rPr>
      </w:pPr>
      <w:r w:rsidRPr="002625FA">
        <w:rPr>
          <w:rStyle w:val="FootnoteReference"/>
          <w:rFonts w:ascii="Times New Roman" w:hAnsi="Times New Roman"/>
        </w:rPr>
        <w:footnoteRef/>
      </w:r>
      <w:r w:rsidRPr="002625FA">
        <w:rPr>
          <w:rFonts w:ascii="Times New Roman" w:hAnsi="Times New Roman"/>
        </w:rPr>
        <w:t xml:space="preserve"> </w:t>
      </w:r>
      <w:r>
        <w:rPr>
          <w:rFonts w:ascii="Times New Roman" w:hAnsi="Times New Roman"/>
          <w:i/>
          <w:iCs/>
        </w:rPr>
        <w:t>S</w:t>
      </w:r>
      <w:r w:rsidRPr="002625FA">
        <w:rPr>
          <w:rFonts w:ascii="Times New Roman" w:hAnsi="Times New Roman"/>
          <w:i/>
          <w:iCs/>
        </w:rPr>
        <w:t>oldier’s Wife</w:t>
      </w:r>
      <w:r w:rsidRPr="002625FA">
        <w:rPr>
          <w:rFonts w:ascii="Times New Roman" w:hAnsi="Times New Roman"/>
        </w:rPr>
        <w:t>, p. 62.</w:t>
      </w:r>
    </w:p>
  </w:footnote>
  <w:footnote w:id="807">
    <w:p w:rsidR="003515E3" w:rsidRPr="00F80F36" w:rsidRDefault="003515E3" w:rsidP="00435A13">
      <w:pPr>
        <w:pStyle w:val="FootnoteText"/>
        <w:spacing w:after="0" w:line="240" w:lineRule="auto"/>
        <w:rPr>
          <w:rFonts w:ascii="Times New Roman" w:hAnsi="Times New Roman"/>
          <w:bCs/>
        </w:rPr>
      </w:pPr>
      <w:r w:rsidRPr="00F80F36">
        <w:rPr>
          <w:rStyle w:val="FootnoteReference"/>
          <w:rFonts w:ascii="Times New Roman" w:hAnsi="Times New Roman"/>
          <w:bCs/>
        </w:rPr>
        <w:footnoteRef/>
      </w:r>
      <w:r w:rsidRPr="00F80F36">
        <w:rPr>
          <w:rFonts w:ascii="Times New Roman" w:hAnsi="Times New Roman"/>
          <w:bCs/>
        </w:rPr>
        <w:t xml:space="preserve"> Dalziel, p. 142.</w:t>
      </w:r>
    </w:p>
  </w:footnote>
  <w:footnote w:id="808">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Vargish, p. 57.</w:t>
      </w:r>
    </w:p>
  </w:footnote>
  <w:footnote w:id="809">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Vargish, p. 46.</w:t>
      </w:r>
    </w:p>
  </w:footnote>
  <w:footnote w:id="810">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Reynolds wrote: ‘</w:t>
      </w:r>
      <w:r w:rsidRPr="00F80F36">
        <w:rPr>
          <w:rFonts w:ascii="Times New Roman" w:hAnsi="Times New Roman"/>
          <w:snapToGrid w:val="0"/>
          <w:lang w:val="en-US"/>
        </w:rPr>
        <w:t xml:space="preserve">This work will have the same high moral purpose in view as that which was aimed at in “MARY PRICE”:- namely, the elevation of a specific section of the community, by exposing the wrongs and tyrannies to which they are but too often subjected at the hands of masters and mistresses.  The autobiographical form will again be adopted as the most suitable for such a narrative; and the work will constitute an appropriate companion to “MARY PRICE.”’  See </w:t>
      </w:r>
      <w:r w:rsidRPr="00F80F36">
        <w:rPr>
          <w:rFonts w:ascii="Times New Roman" w:hAnsi="Times New Roman"/>
          <w:i/>
          <w:snapToGrid w:val="0"/>
          <w:lang w:val="en-US"/>
        </w:rPr>
        <w:t>Reynolds’s Weekly Newspaper</w:t>
      </w:r>
      <w:r w:rsidRPr="00F80F36">
        <w:rPr>
          <w:rFonts w:ascii="Times New Roman" w:hAnsi="Times New Roman"/>
          <w:snapToGrid w:val="0"/>
          <w:lang w:val="en-US"/>
        </w:rPr>
        <w:t>, 17 July 1853, p.8.</w:t>
      </w:r>
    </w:p>
  </w:footnote>
  <w:footnote w:id="811">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Reynolds made the following request: ‘</w:t>
      </w:r>
      <w:r w:rsidRPr="006872CB">
        <w:rPr>
          <w:rFonts w:ascii="Times New Roman" w:hAnsi="Times New Roman"/>
          <w:snapToGrid w:val="0"/>
          <w:lang w:val="en-US"/>
        </w:rPr>
        <w:t xml:space="preserve">Servants who have special grievances to complain of, would do well to send the particulars to Mr. Reynolds, who will render the information available in the working out of his story.’  See G. W. M. Reynolds, </w:t>
      </w:r>
      <w:r w:rsidRPr="006872CB">
        <w:rPr>
          <w:rFonts w:ascii="Times New Roman" w:hAnsi="Times New Roman"/>
          <w:i/>
          <w:snapToGrid w:val="0"/>
          <w:lang w:val="en-US"/>
        </w:rPr>
        <w:t>Reynolds’s Newspaper</w:t>
      </w:r>
      <w:r w:rsidRPr="006872CB">
        <w:rPr>
          <w:rFonts w:ascii="Times New Roman" w:hAnsi="Times New Roman"/>
          <w:snapToGrid w:val="0"/>
          <w:lang w:val="en-US"/>
        </w:rPr>
        <w:t>, 9 November 1851, p.8.</w:t>
      </w:r>
    </w:p>
  </w:footnote>
  <w:footnote w:id="812">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Law, ‘Reynolds’s ‘Memoirs’ and ‘The Literature of the Kitchen’’, p. 210.</w:t>
      </w:r>
    </w:p>
  </w:footnote>
  <w:footnote w:id="813">
    <w:p w:rsidR="003515E3" w:rsidRPr="00F80F36"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He acknowledges ‘the fatal error into which my moral weakness had lulled her’.  See </w:t>
      </w:r>
      <w:r w:rsidRPr="006872CB">
        <w:rPr>
          <w:rFonts w:ascii="Times New Roman" w:hAnsi="Times New Roman"/>
          <w:i/>
        </w:rPr>
        <w:t>Joseph Wilmot</w:t>
      </w:r>
      <w:r w:rsidRPr="006872CB">
        <w:rPr>
          <w:rFonts w:ascii="Times New Roman" w:hAnsi="Times New Roman"/>
        </w:rPr>
        <w:t>, I, 127.</w:t>
      </w:r>
    </w:p>
  </w:footnote>
  <w:footnote w:id="814">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Mary Price</w:t>
      </w:r>
      <w:r w:rsidRPr="00F80F36">
        <w:rPr>
          <w:rFonts w:ascii="Times New Roman" w:hAnsi="Times New Roman"/>
        </w:rPr>
        <w:t>, I, p. 20.</w:t>
      </w:r>
    </w:p>
  </w:footnote>
  <w:footnote w:id="815">
    <w:p w:rsidR="003515E3" w:rsidRPr="006872CB"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A powerful example of </w:t>
      </w:r>
      <w:r w:rsidRPr="006872CB">
        <w:rPr>
          <w:rFonts w:ascii="Times New Roman" w:hAnsi="Times New Roman"/>
        </w:rPr>
        <w:t>such self-criticism is seen when Nicholas Nickleby at Dotheboys Hall feels party to the cruelty of Wackford Squeers towards the boys: ‘when he recollected that, being there as an assistant, he actually seemed—no matter what unhappy train of circumstances had brought him to that pass—to be the aider and abettor of a system which filled him with honest disgust and indignation, he loathed himself, and felt, for the moment, as though the mere consciousness of his present situation must, through all time to come, prevent his raising his head again.’  See Charles Dickens,</w:t>
      </w:r>
      <w:r w:rsidRPr="006872CB">
        <w:rPr>
          <w:rStyle w:val="Emphasis"/>
          <w:rFonts w:ascii="Times New Roman" w:hAnsi="Times New Roman"/>
        </w:rPr>
        <w:t xml:space="preserve"> The Life &amp; Adventures of Nicholas Nickleby</w:t>
      </w:r>
      <w:r w:rsidRPr="006872CB">
        <w:rPr>
          <w:rFonts w:ascii="Times New Roman" w:hAnsi="Times New Roman"/>
        </w:rPr>
        <w:t>, (London: Oxford University Press, 1971), pp. 95–96.</w:t>
      </w:r>
    </w:p>
  </w:footnote>
  <w:footnote w:id="816">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t>
      </w:r>
      <w:r w:rsidRPr="006872CB">
        <w:rPr>
          <w:rFonts w:ascii="Times New Roman" w:hAnsi="Times New Roman"/>
          <w:i/>
        </w:rPr>
        <w:t>Mary Price</w:t>
      </w:r>
      <w:r w:rsidRPr="006872CB">
        <w:rPr>
          <w:rFonts w:ascii="Times New Roman" w:hAnsi="Times New Roman"/>
        </w:rPr>
        <w:t>, I, 247.</w:t>
      </w:r>
    </w:p>
  </w:footnote>
  <w:footnote w:id="817">
    <w:p w:rsidR="003515E3" w:rsidRPr="00F80F36"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Mary later angrily spurns Lady Davenport’s offer of a bribe not to expose her affair with Lord Harlesdon: ‘if you address me in these terms you will destroy whatever amount of sympathy I may at present experience towards you’.  See </w:t>
      </w:r>
      <w:r w:rsidRPr="006872CB">
        <w:rPr>
          <w:rFonts w:ascii="Times New Roman" w:hAnsi="Times New Roman"/>
          <w:i/>
        </w:rPr>
        <w:t>Mary Price</w:t>
      </w:r>
      <w:r w:rsidRPr="006872CB">
        <w:rPr>
          <w:rFonts w:ascii="Times New Roman" w:hAnsi="Times New Roman"/>
        </w:rPr>
        <w:t>, I, 343.</w:t>
      </w:r>
    </w:p>
  </w:footnote>
  <w:footnote w:id="818">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128.</w:t>
      </w:r>
    </w:p>
  </w:footnote>
  <w:footnote w:id="819">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128.</w:t>
      </w:r>
    </w:p>
  </w:footnote>
  <w:footnote w:id="820">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 399.</w:t>
      </w:r>
    </w:p>
  </w:footnote>
  <w:footnote w:id="821">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244.</w:t>
      </w:r>
    </w:p>
  </w:footnote>
  <w:footnote w:id="822">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Mary Price</w:t>
      </w:r>
      <w:r w:rsidRPr="00F80F36">
        <w:rPr>
          <w:rFonts w:ascii="Times New Roman" w:hAnsi="Times New Roman"/>
        </w:rPr>
        <w:t>, I, 254.</w:t>
      </w:r>
    </w:p>
  </w:footnote>
  <w:footnote w:id="823">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Mary Price</w:t>
      </w:r>
      <w:r w:rsidRPr="00F80F36">
        <w:rPr>
          <w:rFonts w:ascii="Times New Roman" w:hAnsi="Times New Roman"/>
        </w:rPr>
        <w:t>, I, 292.</w:t>
      </w:r>
    </w:p>
  </w:footnote>
  <w:footnote w:id="824">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Mary Price</w:t>
      </w:r>
      <w:r w:rsidRPr="00F80F36">
        <w:rPr>
          <w:rFonts w:ascii="Times New Roman" w:hAnsi="Times New Roman"/>
        </w:rPr>
        <w:t>, I, 285.</w:t>
      </w:r>
    </w:p>
  </w:footnote>
  <w:footnote w:id="825">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 284.</w:t>
      </w:r>
    </w:p>
  </w:footnote>
  <w:footnote w:id="826">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163.</w:t>
      </w:r>
    </w:p>
  </w:footnote>
  <w:footnote w:id="827">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163.</w:t>
      </w:r>
    </w:p>
  </w:footnote>
  <w:footnote w:id="828">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163.</w:t>
      </w:r>
    </w:p>
  </w:footnote>
  <w:footnote w:id="829">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 200.</w:t>
      </w:r>
    </w:p>
  </w:footnote>
  <w:footnote w:id="830">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 200.</w:t>
      </w:r>
    </w:p>
  </w:footnote>
  <w:footnote w:id="831">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 212.</w:t>
      </w:r>
    </w:p>
  </w:footnote>
  <w:footnote w:id="832">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318.</w:t>
      </w:r>
    </w:p>
  </w:footnote>
  <w:footnote w:id="833">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317–18.</w:t>
      </w:r>
    </w:p>
  </w:footnote>
  <w:footnote w:id="834">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318.</w:t>
      </w:r>
    </w:p>
  </w:footnote>
  <w:footnote w:id="835">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Joseph’s attitude is consistent with the sense of propriety contained in the advice on the pages of the </w:t>
      </w:r>
      <w:r w:rsidRPr="00F80F36">
        <w:rPr>
          <w:rFonts w:ascii="Times New Roman" w:hAnsi="Times New Roman"/>
          <w:i/>
        </w:rPr>
        <w:t>Miscellany</w:t>
      </w:r>
      <w:r w:rsidRPr="00F80F36">
        <w:rPr>
          <w:rFonts w:ascii="Times New Roman" w:hAnsi="Times New Roman"/>
        </w:rPr>
        <w:t xml:space="preserve">.  One example is the following reply: ‘A POOR APPRENTICE: Being of age you can break your indentures, but such a proceeding without just cause is dishonourable and subjects your securities to a penalty.’  Anonymous, ‘Notices to Correspondents’, Reynolds’s </w:t>
      </w:r>
      <w:r w:rsidRPr="00F80F36">
        <w:rPr>
          <w:rFonts w:ascii="Times New Roman" w:hAnsi="Times New Roman"/>
          <w:i/>
        </w:rPr>
        <w:t>Miscellany</w:t>
      </w:r>
      <w:r w:rsidRPr="00F80F36">
        <w:rPr>
          <w:rFonts w:ascii="Times New Roman" w:hAnsi="Times New Roman"/>
        </w:rPr>
        <w:t>, 9 October 1852, p. 175.</w:t>
      </w:r>
    </w:p>
  </w:footnote>
  <w:footnote w:id="836">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 43.</w:t>
      </w:r>
    </w:p>
  </w:footnote>
  <w:footnote w:id="837">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 47.</w:t>
      </w:r>
    </w:p>
  </w:footnote>
  <w:footnote w:id="838">
    <w:p w:rsidR="003515E3" w:rsidRPr="00F80F36" w:rsidRDefault="003515E3" w:rsidP="00435A13">
      <w:pPr>
        <w:pStyle w:val="FootnoteText"/>
        <w:spacing w:after="0" w:line="240" w:lineRule="auto"/>
        <w:rPr>
          <w:rFonts w:ascii="Times New Roman" w:hAnsi="Times New Roman"/>
        </w:rPr>
      </w:pPr>
      <w:r w:rsidRPr="004408B0">
        <w:rPr>
          <w:rStyle w:val="FootnoteReference"/>
          <w:rFonts w:ascii="Times New Roman" w:hAnsi="Times New Roman"/>
        </w:rPr>
        <w:footnoteRef/>
      </w:r>
      <w:r w:rsidRPr="004408B0">
        <w:rPr>
          <w:rFonts w:ascii="Times New Roman" w:hAnsi="Times New Roman"/>
        </w:rPr>
        <w:t xml:space="preserve"> </w:t>
      </w:r>
      <w:r w:rsidRPr="004408B0">
        <w:rPr>
          <w:rFonts w:ascii="Times New Roman" w:hAnsi="Times New Roman"/>
          <w:i/>
        </w:rPr>
        <w:t>Joseph Wilmot</w:t>
      </w:r>
      <w:r w:rsidRPr="004408B0">
        <w:rPr>
          <w:rFonts w:ascii="Times New Roman" w:hAnsi="Times New Roman"/>
        </w:rPr>
        <w:t>, I, 215.</w:t>
      </w:r>
    </w:p>
  </w:footnote>
  <w:footnote w:id="839">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 196.</w:t>
      </w:r>
    </w:p>
  </w:footnote>
  <w:footnote w:id="840">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90.</w:t>
      </w:r>
    </w:p>
  </w:footnote>
  <w:footnote w:id="841">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Mary Price</w:t>
      </w:r>
      <w:r w:rsidRPr="00F80F36">
        <w:rPr>
          <w:rFonts w:ascii="Times New Roman" w:hAnsi="Times New Roman"/>
        </w:rPr>
        <w:t>, I, 200–02.</w:t>
      </w:r>
    </w:p>
  </w:footnote>
  <w:footnote w:id="842">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Mary Price</w:t>
      </w:r>
      <w:r w:rsidRPr="00F80F36">
        <w:rPr>
          <w:rFonts w:ascii="Times New Roman" w:hAnsi="Times New Roman"/>
        </w:rPr>
        <w:t>, I, 98.</w:t>
      </w:r>
    </w:p>
  </w:footnote>
  <w:footnote w:id="843">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Mary Price</w:t>
      </w:r>
      <w:r w:rsidRPr="00F80F36">
        <w:rPr>
          <w:rFonts w:ascii="Times New Roman" w:hAnsi="Times New Roman"/>
        </w:rPr>
        <w:t>, I, 98.</w:t>
      </w:r>
    </w:p>
  </w:footnote>
  <w:footnote w:id="844">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207.</w:t>
      </w:r>
    </w:p>
  </w:footnote>
  <w:footnote w:id="845">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 61.</w:t>
      </w:r>
    </w:p>
  </w:footnote>
  <w:footnote w:id="846">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 61.</w:t>
      </w:r>
    </w:p>
  </w:footnote>
  <w:footnote w:id="847">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Mary repeats this restraint after rescuing the baby, Isabella, when she suffers the condescension of Harlesdon who offers her five guineas and reminds his wife that regardless of her deeds, Mary ‘is but a servant’. Mary’s reaction is to leave the room feeling ‘mingled astonishment and bitter mortification’.  See </w:t>
      </w:r>
      <w:r w:rsidRPr="00F80F36">
        <w:rPr>
          <w:rFonts w:ascii="Times New Roman" w:hAnsi="Times New Roman"/>
          <w:i/>
          <w:iCs/>
        </w:rPr>
        <w:t>Mary Price</w:t>
      </w:r>
      <w:r w:rsidRPr="00F80F36">
        <w:rPr>
          <w:rFonts w:ascii="Times New Roman" w:hAnsi="Times New Roman"/>
        </w:rPr>
        <w:t>, I, 91.</w:t>
      </w:r>
    </w:p>
  </w:footnote>
  <w:footnote w:id="848">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272.</w:t>
      </w:r>
    </w:p>
  </w:footnote>
  <w:footnote w:id="849">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274.</w:t>
      </w:r>
    </w:p>
  </w:footnote>
  <w:footnote w:id="850">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 273.</w:t>
      </w:r>
    </w:p>
  </w:footnote>
  <w:footnote w:id="851">
    <w:p w:rsidR="003515E3" w:rsidRPr="006872CB"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At Inch Methglin, when Joseph is introduced to other servants he notes ‘I was received with a friendliness which at once made me feel quite at home’.  See </w:t>
      </w:r>
      <w:r w:rsidRPr="00F80F36">
        <w:rPr>
          <w:rFonts w:ascii="Times New Roman" w:hAnsi="Times New Roman"/>
          <w:i/>
        </w:rPr>
        <w:t>Joseph Wilmot</w:t>
      </w:r>
      <w:r w:rsidRPr="00F80F36">
        <w:rPr>
          <w:rFonts w:ascii="Times New Roman" w:hAnsi="Times New Roman"/>
        </w:rPr>
        <w:t xml:space="preserve">, I, 202.  When among the servants of the Rowland </w:t>
      </w:r>
      <w:r w:rsidRPr="006872CB">
        <w:rPr>
          <w:rFonts w:ascii="Times New Roman" w:hAnsi="Times New Roman"/>
        </w:rPr>
        <w:t xml:space="preserve">household he notes ‘I found myself the object of the most generous sympathy’.  See </w:t>
      </w:r>
      <w:r w:rsidRPr="006872CB">
        <w:rPr>
          <w:rFonts w:ascii="Times New Roman" w:hAnsi="Times New Roman"/>
          <w:i/>
        </w:rPr>
        <w:t>Joseph Wilmot</w:t>
      </w:r>
      <w:r w:rsidRPr="006872CB">
        <w:rPr>
          <w:rFonts w:ascii="Times New Roman" w:hAnsi="Times New Roman"/>
        </w:rPr>
        <w:t xml:space="preserve">, I, 266. He also enjoys ‘Good humour and harmless mirth’ with the servants of the aristocratic Chilham family.  See </w:t>
      </w:r>
      <w:r w:rsidRPr="006872CB">
        <w:rPr>
          <w:rFonts w:ascii="Times New Roman" w:hAnsi="Times New Roman"/>
          <w:i/>
        </w:rPr>
        <w:t>Joseph Wilmot</w:t>
      </w:r>
      <w:r w:rsidRPr="006872CB">
        <w:rPr>
          <w:rFonts w:ascii="Times New Roman" w:hAnsi="Times New Roman"/>
        </w:rPr>
        <w:t>, I, 271</w:t>
      </w:r>
    </w:p>
  </w:footnote>
  <w:footnote w:id="852">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See </w:t>
      </w:r>
      <w:r w:rsidRPr="006872CB">
        <w:rPr>
          <w:rFonts w:ascii="Times New Roman" w:hAnsi="Times New Roman"/>
          <w:i/>
        </w:rPr>
        <w:t>Joseph Wilmot</w:t>
      </w:r>
      <w:r w:rsidRPr="006872CB">
        <w:rPr>
          <w:rFonts w:ascii="Times New Roman" w:hAnsi="Times New Roman"/>
        </w:rPr>
        <w:t xml:space="preserve">, I, 338–40.  The household forms a sharp contrast to Laura Maitland’s servants at Guernsey in </w:t>
      </w:r>
      <w:r w:rsidRPr="006872CB">
        <w:rPr>
          <w:rFonts w:ascii="Times New Roman" w:hAnsi="Times New Roman"/>
          <w:i/>
        </w:rPr>
        <w:t>Mary Price</w:t>
      </w:r>
      <w:r w:rsidRPr="006872CB">
        <w:rPr>
          <w:rFonts w:ascii="Times New Roman" w:hAnsi="Times New Roman"/>
        </w:rPr>
        <w:t xml:space="preserve">, discussed in chapter 3.  </w:t>
      </w:r>
    </w:p>
  </w:footnote>
  <w:footnote w:id="853">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t>
      </w:r>
      <w:r w:rsidRPr="006872CB">
        <w:rPr>
          <w:rFonts w:ascii="Times New Roman" w:hAnsi="Times New Roman"/>
          <w:i/>
        </w:rPr>
        <w:t>Joseph Wilmot</w:t>
      </w:r>
      <w:r w:rsidRPr="006872CB">
        <w:rPr>
          <w:rFonts w:ascii="Times New Roman" w:hAnsi="Times New Roman"/>
        </w:rPr>
        <w:t>, I, 70.</w:t>
      </w:r>
    </w:p>
  </w:footnote>
  <w:footnote w:id="854">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t>
      </w:r>
      <w:r w:rsidRPr="006872CB">
        <w:rPr>
          <w:rFonts w:ascii="Times New Roman" w:hAnsi="Times New Roman"/>
          <w:i/>
        </w:rPr>
        <w:t>Joseph Wilmot</w:t>
      </w:r>
      <w:r w:rsidRPr="006872CB">
        <w:rPr>
          <w:rFonts w:ascii="Times New Roman" w:hAnsi="Times New Roman"/>
        </w:rPr>
        <w:t>, I, 76.</w:t>
      </w:r>
    </w:p>
  </w:footnote>
  <w:footnote w:id="855">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t>
      </w:r>
      <w:r w:rsidRPr="006872CB">
        <w:rPr>
          <w:rFonts w:ascii="Times New Roman" w:hAnsi="Times New Roman"/>
          <w:i/>
        </w:rPr>
        <w:t>Joseph Wilmot</w:t>
      </w:r>
      <w:r w:rsidRPr="006872CB">
        <w:rPr>
          <w:rFonts w:ascii="Times New Roman" w:hAnsi="Times New Roman"/>
        </w:rPr>
        <w:t>, I, 95.</w:t>
      </w:r>
    </w:p>
  </w:footnote>
  <w:footnote w:id="856">
    <w:p w:rsidR="003515E3" w:rsidRPr="00F80F36"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Even amid the traditional strictures of the Vennachar estate, Emmeline’s maid Grace rebels against the treatment endured by her mistress when she conspires with Joseph in the melodramatic flight to freedom. See </w:t>
      </w:r>
      <w:r w:rsidRPr="006872CB">
        <w:rPr>
          <w:rFonts w:ascii="Times New Roman" w:hAnsi="Times New Roman"/>
          <w:i/>
        </w:rPr>
        <w:t>Joseph Wilmot</w:t>
      </w:r>
      <w:r w:rsidRPr="006872CB">
        <w:rPr>
          <w:rFonts w:ascii="Times New Roman" w:hAnsi="Times New Roman"/>
        </w:rPr>
        <w:t>, I, 247.</w:t>
      </w:r>
    </w:p>
  </w:footnote>
  <w:footnote w:id="857">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II, 357.</w:t>
      </w:r>
    </w:p>
  </w:footnote>
  <w:footnote w:id="858">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II, 357.</w:t>
      </w:r>
    </w:p>
  </w:footnote>
  <w:footnote w:id="859">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 p. 70.</w:t>
      </w:r>
    </w:p>
  </w:footnote>
  <w:footnote w:id="860">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II, 220.</w:t>
      </w:r>
    </w:p>
  </w:footnote>
  <w:footnote w:id="861">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II, 220.</w:t>
      </w:r>
    </w:p>
  </w:footnote>
  <w:footnote w:id="862">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II, 222.</w:t>
      </w:r>
    </w:p>
  </w:footnote>
  <w:footnote w:id="863">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 134.</w:t>
      </w:r>
    </w:p>
  </w:footnote>
  <w:footnote w:id="864">
    <w:p w:rsidR="003515E3" w:rsidRPr="006872CB"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Soldier’s Wife</w:t>
      </w:r>
      <w:r w:rsidRPr="00F80F36">
        <w:rPr>
          <w:rFonts w:ascii="Times New Roman" w:hAnsi="Times New Roman"/>
        </w:rPr>
        <w:t>, p. 96</w:t>
      </w:r>
      <w:r w:rsidRPr="006872CB">
        <w:rPr>
          <w:rFonts w:ascii="Times New Roman" w:hAnsi="Times New Roman"/>
        </w:rPr>
        <w:t>.</w:t>
      </w:r>
    </w:p>
  </w:footnote>
  <w:footnote w:id="865">
    <w:p w:rsidR="003515E3" w:rsidRPr="006872CB"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The most notable example is Mr Dorchester who initially defrauds Joseph in Manchester and then deceives him upon the Continent.  See </w:t>
      </w:r>
      <w:r w:rsidRPr="006872CB">
        <w:rPr>
          <w:rFonts w:ascii="Times New Roman" w:hAnsi="Times New Roman"/>
          <w:i/>
        </w:rPr>
        <w:t>Joseph Wilmot</w:t>
      </w:r>
      <w:r w:rsidRPr="006872CB">
        <w:rPr>
          <w:rFonts w:ascii="Times New Roman" w:hAnsi="Times New Roman"/>
        </w:rPr>
        <w:t>, I, 261–63; II, 99–103.</w:t>
      </w:r>
    </w:p>
  </w:footnote>
  <w:footnote w:id="866">
    <w:p w:rsidR="003515E3" w:rsidRPr="00F80F36" w:rsidRDefault="003515E3" w:rsidP="00435A13">
      <w:pPr>
        <w:pStyle w:val="FootnoteText"/>
        <w:spacing w:after="0" w:line="240" w:lineRule="auto"/>
        <w:rPr>
          <w:rFonts w:ascii="Times New Roman" w:hAnsi="Times New Roman"/>
        </w:rPr>
      </w:pPr>
      <w:r w:rsidRPr="006872CB">
        <w:rPr>
          <w:rStyle w:val="FootnoteReference"/>
          <w:rFonts w:ascii="Times New Roman" w:hAnsi="Times New Roman"/>
        </w:rPr>
        <w:footnoteRef/>
      </w:r>
      <w:r w:rsidRPr="006872CB">
        <w:rPr>
          <w:rFonts w:ascii="Times New Roman" w:hAnsi="Times New Roman"/>
        </w:rPr>
        <w:t xml:space="preserve"> </w:t>
      </w:r>
      <w:r w:rsidRPr="006872CB">
        <w:rPr>
          <w:rFonts w:ascii="Times New Roman" w:hAnsi="Times New Roman"/>
          <w:i/>
        </w:rPr>
        <w:t>Mary Price</w:t>
      </w:r>
      <w:r w:rsidRPr="006872CB">
        <w:rPr>
          <w:rFonts w:ascii="Times New Roman" w:hAnsi="Times New Roman"/>
        </w:rPr>
        <w:t>, I, 68.</w:t>
      </w:r>
    </w:p>
  </w:footnote>
  <w:footnote w:id="867">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Mary Price</w:t>
      </w:r>
      <w:r w:rsidRPr="00F80F36">
        <w:rPr>
          <w:rFonts w:ascii="Times New Roman" w:hAnsi="Times New Roman"/>
        </w:rPr>
        <w:t>, I, 39.</w:t>
      </w:r>
    </w:p>
  </w:footnote>
  <w:footnote w:id="868">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Mary Price</w:t>
      </w:r>
      <w:r w:rsidRPr="00F80F36">
        <w:rPr>
          <w:rFonts w:ascii="Times New Roman" w:hAnsi="Times New Roman"/>
        </w:rPr>
        <w:t>, I, 56.</w:t>
      </w:r>
    </w:p>
  </w:footnote>
  <w:footnote w:id="869">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Mary Price</w:t>
      </w:r>
      <w:r w:rsidRPr="00F80F36">
        <w:rPr>
          <w:rFonts w:ascii="Times New Roman" w:hAnsi="Times New Roman"/>
        </w:rPr>
        <w:t>, I, 60.</w:t>
      </w:r>
    </w:p>
  </w:footnote>
  <w:footnote w:id="870">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Mary Price</w:t>
      </w:r>
      <w:r w:rsidRPr="00F80F36">
        <w:rPr>
          <w:rFonts w:ascii="Times New Roman" w:hAnsi="Times New Roman"/>
        </w:rPr>
        <w:t>, II, 139.</w:t>
      </w:r>
    </w:p>
  </w:footnote>
  <w:footnote w:id="871">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Mary Price</w:t>
      </w:r>
      <w:r w:rsidRPr="00F80F36">
        <w:rPr>
          <w:rFonts w:ascii="Times New Roman" w:hAnsi="Times New Roman"/>
        </w:rPr>
        <w:t>, II, 139.</w:t>
      </w:r>
    </w:p>
  </w:footnote>
  <w:footnote w:id="872">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II, 142.</w:t>
      </w:r>
    </w:p>
  </w:footnote>
  <w:footnote w:id="873">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II, 379.</w:t>
      </w:r>
    </w:p>
  </w:footnote>
  <w:footnote w:id="874">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II, 378.</w:t>
      </w:r>
    </w:p>
  </w:footnote>
  <w:footnote w:id="875">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II, 379.</w:t>
      </w:r>
    </w:p>
  </w:footnote>
  <w:footnote w:id="876">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rPr>
        <w:t>Joseph Wilmot</w:t>
      </w:r>
      <w:r w:rsidRPr="00F80F36">
        <w:rPr>
          <w:rFonts w:ascii="Times New Roman" w:hAnsi="Times New Roman"/>
        </w:rPr>
        <w:t>, II, 374.</w:t>
      </w:r>
    </w:p>
  </w:footnote>
  <w:footnote w:id="877">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II, 135.</w:t>
      </w:r>
    </w:p>
  </w:footnote>
  <w:footnote w:id="878">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II, 135.</w:t>
      </w:r>
    </w:p>
  </w:footnote>
  <w:footnote w:id="879">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II, 137.</w:t>
      </w:r>
    </w:p>
  </w:footnote>
  <w:footnote w:id="880">
    <w:p w:rsidR="003515E3" w:rsidRPr="00F80F36" w:rsidRDefault="003515E3" w:rsidP="00435A13">
      <w:pPr>
        <w:pStyle w:val="FootnoteText"/>
        <w:spacing w:after="0" w:line="240" w:lineRule="auto"/>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II, 137.</w:t>
      </w:r>
    </w:p>
  </w:footnote>
  <w:footnote w:id="881">
    <w:p w:rsidR="003515E3" w:rsidRPr="00F80F36" w:rsidRDefault="003515E3" w:rsidP="00435A13">
      <w:pPr>
        <w:pStyle w:val="FootnoteText"/>
        <w:rPr>
          <w:rFonts w:ascii="Times New Roman" w:hAnsi="Times New Roman"/>
        </w:rPr>
      </w:pPr>
      <w:r w:rsidRPr="00F80F36">
        <w:rPr>
          <w:rStyle w:val="FootnoteReference"/>
          <w:rFonts w:ascii="Times New Roman" w:hAnsi="Times New Roman"/>
        </w:rPr>
        <w:footnoteRef/>
      </w:r>
      <w:r w:rsidRPr="00F80F36">
        <w:rPr>
          <w:rFonts w:ascii="Times New Roman" w:hAnsi="Times New Roman"/>
        </w:rPr>
        <w:t xml:space="preserve"> </w:t>
      </w:r>
      <w:r w:rsidRPr="00F80F36">
        <w:rPr>
          <w:rFonts w:ascii="Times New Roman" w:hAnsi="Times New Roman"/>
          <w:i/>
          <w:iCs/>
        </w:rPr>
        <w:t>Mary Price</w:t>
      </w:r>
      <w:r w:rsidRPr="00F80F36">
        <w:rPr>
          <w:rFonts w:ascii="Times New Roman" w:hAnsi="Times New Roman"/>
        </w:rPr>
        <w:t>, II, 139.</w:t>
      </w:r>
    </w:p>
  </w:footnote>
  <w:footnote w:id="882">
    <w:p w:rsidR="003515E3" w:rsidRPr="009331EF" w:rsidRDefault="003515E3" w:rsidP="00422D80">
      <w:pPr>
        <w:spacing w:after="0" w:line="240" w:lineRule="auto"/>
        <w:rPr>
          <w:rFonts w:ascii="Times New Roman" w:hAnsi="Times New Roman" w:cs="Times New Roman"/>
          <w:sz w:val="20"/>
          <w:szCs w:val="20"/>
        </w:rPr>
      </w:pPr>
      <w:r w:rsidRPr="00E63708">
        <w:rPr>
          <w:rStyle w:val="FootnoteReference"/>
          <w:rFonts w:ascii="Times New Roman" w:hAnsi="Times New Roman" w:cs="Times New Roman"/>
          <w:sz w:val="20"/>
          <w:szCs w:val="20"/>
        </w:rPr>
        <w:footnoteRef/>
      </w:r>
      <w:r w:rsidRPr="00E63708">
        <w:rPr>
          <w:rFonts w:ascii="Times New Roman" w:hAnsi="Times New Roman" w:cs="Times New Roman"/>
          <w:sz w:val="20"/>
          <w:szCs w:val="20"/>
        </w:rPr>
        <w:t xml:space="preserve"> </w:t>
      </w:r>
      <w:r w:rsidRPr="009331EF">
        <w:rPr>
          <w:rFonts w:ascii="Times New Roman" w:hAnsi="Times New Roman" w:cs="Times New Roman"/>
          <w:sz w:val="20"/>
          <w:szCs w:val="20"/>
        </w:rPr>
        <w:t>Carlyle, p. 174.</w:t>
      </w:r>
    </w:p>
  </w:footnote>
  <w:footnote w:id="883">
    <w:p w:rsidR="003515E3" w:rsidRPr="00E63708"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rPr>
        <w:t>Sybil</w:t>
      </w:r>
      <w:r w:rsidRPr="009331EF">
        <w:rPr>
          <w:rFonts w:ascii="Times New Roman" w:hAnsi="Times New Roman"/>
        </w:rPr>
        <w:t>, pp. 375–76.</w:t>
      </w:r>
    </w:p>
  </w:footnote>
  <w:footnote w:id="884">
    <w:p w:rsidR="003515E3" w:rsidRPr="009331EF" w:rsidRDefault="003515E3" w:rsidP="00422D80">
      <w:pPr>
        <w:pStyle w:val="FootnoteText"/>
        <w:spacing w:after="0" w:line="240" w:lineRule="auto"/>
        <w:rPr>
          <w:rFonts w:ascii="Times New Roman" w:hAnsi="Times New Roman"/>
          <w:u w:val="single"/>
        </w:rPr>
      </w:pPr>
      <w:r w:rsidRPr="00004D65">
        <w:rPr>
          <w:rStyle w:val="FootnoteReference"/>
          <w:rFonts w:ascii="Times New Roman" w:hAnsi="Times New Roman"/>
        </w:rPr>
        <w:footnoteRef/>
      </w:r>
      <w:r w:rsidRPr="00004D65">
        <w:rPr>
          <w:rFonts w:ascii="Times New Roman" w:hAnsi="Times New Roman"/>
        </w:rPr>
        <w:t xml:space="preserve"> Among the wishes they express are that the owners be ordered to break their machines, that they can send their </w:t>
      </w:r>
      <w:r w:rsidRPr="009331EF">
        <w:rPr>
          <w:rFonts w:ascii="Times New Roman" w:hAnsi="Times New Roman"/>
        </w:rPr>
        <w:t xml:space="preserve">children to work and that members of Parliament wear calico shirts to do ‘the Lancashire weavers a great kindness”.  As Shirley Foster notes, the scene captures the intensity of their feelings but at the same time omits reference to the political aspect of the workers’ representation to Parliament.  See Foster, ‘Explanatory Notes’, in </w:t>
      </w:r>
      <w:r w:rsidRPr="009331EF">
        <w:rPr>
          <w:rFonts w:ascii="Times New Roman" w:hAnsi="Times New Roman"/>
          <w:i/>
        </w:rPr>
        <w:t>Mary Barton</w:t>
      </w:r>
      <w:r w:rsidRPr="009331EF">
        <w:rPr>
          <w:rFonts w:ascii="Times New Roman" w:hAnsi="Times New Roman"/>
        </w:rPr>
        <w:t>, pp. 415–37 (p.423).</w:t>
      </w:r>
    </w:p>
  </w:footnote>
  <w:footnote w:id="885">
    <w:p w:rsidR="003515E3" w:rsidRPr="009331EF" w:rsidRDefault="003515E3" w:rsidP="00422D80">
      <w:pPr>
        <w:spacing w:after="0" w:line="240" w:lineRule="auto"/>
        <w:rPr>
          <w:rFonts w:ascii="Times New Roman" w:hAnsi="Times New Roman" w:cs="Times New Roman"/>
          <w:sz w:val="20"/>
          <w:szCs w:val="20"/>
        </w:rPr>
      </w:pPr>
      <w:r w:rsidRPr="009331EF">
        <w:rPr>
          <w:rStyle w:val="FootnoteReference"/>
          <w:rFonts w:ascii="Times New Roman" w:hAnsi="Times New Roman" w:cs="Times New Roman"/>
          <w:sz w:val="20"/>
          <w:szCs w:val="20"/>
        </w:rPr>
        <w:footnoteRef/>
      </w:r>
      <w:r w:rsidRPr="009331EF">
        <w:rPr>
          <w:rFonts w:ascii="Times New Roman" w:hAnsi="Times New Roman" w:cs="Times New Roman"/>
          <w:sz w:val="20"/>
          <w:szCs w:val="20"/>
        </w:rPr>
        <w:t xml:space="preserve"> In </w:t>
      </w:r>
      <w:r w:rsidRPr="009331EF">
        <w:rPr>
          <w:rFonts w:ascii="Times New Roman" w:hAnsi="Times New Roman" w:cs="Times New Roman"/>
          <w:i/>
          <w:iCs/>
          <w:sz w:val="20"/>
          <w:szCs w:val="20"/>
        </w:rPr>
        <w:t>Mary Barton</w:t>
      </w:r>
      <w:r w:rsidRPr="009331EF">
        <w:rPr>
          <w:rFonts w:ascii="Times New Roman" w:hAnsi="Times New Roman" w:cs="Times New Roman"/>
          <w:sz w:val="20"/>
          <w:szCs w:val="20"/>
        </w:rPr>
        <w:t xml:space="preserve">, ‘knob-sticks’ are beaten up and suffer acid attacks by striking weavers.  See </w:t>
      </w:r>
      <w:r w:rsidRPr="009331EF">
        <w:rPr>
          <w:rFonts w:ascii="Times New Roman" w:hAnsi="Times New Roman" w:cs="Times New Roman"/>
          <w:i/>
          <w:iCs/>
          <w:sz w:val="20"/>
          <w:szCs w:val="20"/>
        </w:rPr>
        <w:t>Mary Barton</w:t>
      </w:r>
      <w:r w:rsidRPr="009331EF">
        <w:rPr>
          <w:rFonts w:ascii="Times New Roman" w:hAnsi="Times New Roman" w:cs="Times New Roman"/>
          <w:iCs/>
          <w:sz w:val="20"/>
          <w:szCs w:val="20"/>
        </w:rPr>
        <w:t>, pp. 168, 177.</w:t>
      </w:r>
      <w:r w:rsidRPr="009331EF">
        <w:rPr>
          <w:rFonts w:ascii="Times New Roman" w:hAnsi="Times New Roman" w:cs="Times New Roman"/>
          <w:sz w:val="20"/>
          <w:szCs w:val="20"/>
        </w:rPr>
        <w:t xml:space="preserve">  In </w:t>
      </w:r>
      <w:r w:rsidRPr="009331EF">
        <w:rPr>
          <w:rFonts w:ascii="Times New Roman" w:hAnsi="Times New Roman" w:cs="Times New Roman"/>
          <w:i/>
          <w:sz w:val="20"/>
          <w:szCs w:val="20"/>
        </w:rPr>
        <w:t>Alton Locke</w:t>
      </w:r>
      <w:r w:rsidRPr="009331EF">
        <w:rPr>
          <w:rFonts w:ascii="Times New Roman" w:hAnsi="Times New Roman" w:cs="Times New Roman"/>
          <w:sz w:val="20"/>
          <w:szCs w:val="20"/>
        </w:rPr>
        <w:t xml:space="preserve">, hungry farm workers attack Hall Farm for food but their uncontrolled emotions lead to riot and arson.  See Charles Kingsley, </w:t>
      </w:r>
      <w:r w:rsidRPr="009331EF">
        <w:rPr>
          <w:rFonts w:ascii="Times New Roman" w:hAnsi="Times New Roman" w:cs="Times New Roman"/>
          <w:i/>
          <w:sz w:val="20"/>
          <w:szCs w:val="20"/>
        </w:rPr>
        <w:t>Alton Locke, Tailor and Poet: An Autobiography</w:t>
      </w:r>
      <w:r w:rsidRPr="009331EF">
        <w:rPr>
          <w:rFonts w:ascii="Times New Roman" w:hAnsi="Times New Roman" w:cs="Times New Roman"/>
          <w:sz w:val="20"/>
          <w:szCs w:val="20"/>
        </w:rPr>
        <w:t>, 2 vols (London: Chapman and Hall, 1850), II, 100–07.</w:t>
      </w:r>
    </w:p>
  </w:footnote>
  <w:footnote w:id="886">
    <w:p w:rsidR="003515E3" w:rsidRPr="009331EF" w:rsidRDefault="003515E3" w:rsidP="00422D80">
      <w:pPr>
        <w:spacing w:after="0" w:line="240" w:lineRule="auto"/>
        <w:rPr>
          <w:rFonts w:ascii="Times New Roman" w:hAnsi="Times New Roman" w:cs="Times New Roman"/>
          <w:sz w:val="20"/>
          <w:szCs w:val="20"/>
        </w:rPr>
      </w:pPr>
      <w:r w:rsidRPr="009331EF">
        <w:rPr>
          <w:rStyle w:val="FootnoteReference"/>
          <w:rFonts w:ascii="Times New Roman" w:hAnsi="Times New Roman" w:cs="Times New Roman"/>
          <w:sz w:val="20"/>
          <w:szCs w:val="20"/>
        </w:rPr>
        <w:footnoteRef/>
      </w:r>
      <w:r w:rsidRPr="009331EF">
        <w:rPr>
          <w:rFonts w:ascii="Times New Roman" w:hAnsi="Times New Roman" w:cs="Times New Roman"/>
          <w:sz w:val="20"/>
          <w:szCs w:val="20"/>
        </w:rPr>
        <w:t xml:space="preserve"> Carlyle</w:t>
      </w:r>
      <w:r w:rsidRPr="00B079F4">
        <w:rPr>
          <w:rFonts w:ascii="Times New Roman" w:hAnsi="Times New Roman" w:cs="Times New Roman"/>
          <w:sz w:val="20"/>
          <w:szCs w:val="20"/>
        </w:rPr>
        <w:t>, p. 166.</w:t>
      </w:r>
    </w:p>
  </w:footnote>
  <w:footnote w:id="887">
    <w:p w:rsidR="003515E3" w:rsidRPr="009331EF" w:rsidRDefault="003515E3" w:rsidP="00422D80">
      <w:pPr>
        <w:spacing w:after="0" w:line="240" w:lineRule="auto"/>
        <w:rPr>
          <w:rFonts w:ascii="Times New Roman" w:hAnsi="Times New Roman" w:cs="Times New Roman"/>
          <w:sz w:val="20"/>
          <w:szCs w:val="20"/>
        </w:rPr>
      </w:pPr>
      <w:r w:rsidRPr="009331EF">
        <w:rPr>
          <w:rStyle w:val="FootnoteReference"/>
          <w:rFonts w:ascii="Times New Roman" w:hAnsi="Times New Roman" w:cs="Times New Roman"/>
          <w:sz w:val="20"/>
          <w:szCs w:val="20"/>
        </w:rPr>
        <w:footnoteRef/>
      </w:r>
      <w:r w:rsidRPr="009331EF">
        <w:rPr>
          <w:rFonts w:ascii="Times New Roman" w:hAnsi="Times New Roman" w:cs="Times New Roman"/>
          <w:sz w:val="20"/>
          <w:szCs w:val="20"/>
        </w:rPr>
        <w:t xml:space="preserve"> </w:t>
      </w:r>
      <w:r w:rsidRPr="009331EF">
        <w:rPr>
          <w:rFonts w:ascii="Times New Roman" w:hAnsi="Times New Roman" w:cs="Times New Roman"/>
          <w:i/>
          <w:sz w:val="20"/>
          <w:szCs w:val="20"/>
        </w:rPr>
        <w:t>Sybil</w:t>
      </w:r>
      <w:r w:rsidRPr="009331EF">
        <w:rPr>
          <w:rFonts w:ascii="Times New Roman" w:hAnsi="Times New Roman" w:cs="Times New Roman"/>
          <w:sz w:val="20"/>
          <w:szCs w:val="20"/>
        </w:rPr>
        <w:t>, p. 373.</w:t>
      </w:r>
    </w:p>
  </w:footnote>
  <w:footnote w:id="888">
    <w:p w:rsidR="003515E3" w:rsidRPr="009331EF" w:rsidRDefault="003515E3" w:rsidP="00422D80">
      <w:pPr>
        <w:spacing w:after="0" w:line="240" w:lineRule="auto"/>
        <w:rPr>
          <w:rFonts w:ascii="Times New Roman" w:hAnsi="Times New Roman" w:cs="Times New Roman"/>
          <w:sz w:val="20"/>
          <w:szCs w:val="20"/>
        </w:rPr>
      </w:pPr>
      <w:r w:rsidRPr="009331EF">
        <w:rPr>
          <w:rStyle w:val="FootnoteReference"/>
          <w:rFonts w:ascii="Times New Roman" w:hAnsi="Times New Roman" w:cs="Times New Roman"/>
          <w:sz w:val="20"/>
          <w:szCs w:val="20"/>
        </w:rPr>
        <w:footnoteRef/>
      </w:r>
      <w:r w:rsidRPr="009331EF">
        <w:rPr>
          <w:rFonts w:ascii="Times New Roman" w:hAnsi="Times New Roman" w:cs="Times New Roman"/>
          <w:sz w:val="20"/>
          <w:szCs w:val="20"/>
        </w:rPr>
        <w:t xml:space="preserve"> </w:t>
      </w:r>
      <w:r w:rsidRPr="009331EF">
        <w:rPr>
          <w:rFonts w:ascii="Times New Roman" w:hAnsi="Times New Roman" w:cs="Times New Roman"/>
          <w:i/>
          <w:sz w:val="20"/>
          <w:szCs w:val="20"/>
        </w:rPr>
        <w:t>Sybil</w:t>
      </w:r>
      <w:r w:rsidRPr="009331EF">
        <w:rPr>
          <w:rFonts w:ascii="Times New Roman" w:hAnsi="Times New Roman" w:cs="Times New Roman"/>
          <w:sz w:val="20"/>
          <w:szCs w:val="20"/>
        </w:rPr>
        <w:t>, p. 374.</w:t>
      </w:r>
    </w:p>
  </w:footnote>
  <w:footnote w:id="889">
    <w:p w:rsidR="003515E3" w:rsidRPr="00004D65" w:rsidRDefault="003515E3" w:rsidP="00422D80">
      <w:pPr>
        <w:spacing w:after="0" w:line="240" w:lineRule="auto"/>
        <w:rPr>
          <w:rFonts w:ascii="Times New Roman" w:hAnsi="Times New Roman" w:cs="Times New Roman"/>
          <w:sz w:val="20"/>
          <w:szCs w:val="20"/>
        </w:rPr>
      </w:pPr>
      <w:r w:rsidRPr="009331EF">
        <w:rPr>
          <w:rStyle w:val="FootnoteReference"/>
          <w:rFonts w:ascii="Times New Roman" w:hAnsi="Times New Roman" w:cs="Times New Roman"/>
          <w:sz w:val="20"/>
          <w:szCs w:val="20"/>
        </w:rPr>
        <w:footnoteRef/>
      </w:r>
      <w:r w:rsidRPr="009331EF">
        <w:rPr>
          <w:rFonts w:ascii="Times New Roman" w:hAnsi="Times New Roman" w:cs="Times New Roman"/>
          <w:sz w:val="20"/>
          <w:szCs w:val="20"/>
        </w:rPr>
        <w:t xml:space="preserve"> </w:t>
      </w:r>
      <w:r w:rsidRPr="009331EF">
        <w:rPr>
          <w:rFonts w:ascii="Times New Roman" w:hAnsi="Times New Roman" w:cs="Times New Roman"/>
          <w:i/>
          <w:sz w:val="20"/>
          <w:szCs w:val="20"/>
        </w:rPr>
        <w:t>North and South</w:t>
      </w:r>
      <w:r w:rsidRPr="009331EF">
        <w:rPr>
          <w:rFonts w:ascii="Times New Roman" w:hAnsi="Times New Roman" w:cs="Times New Roman"/>
          <w:sz w:val="20"/>
          <w:szCs w:val="20"/>
        </w:rPr>
        <w:t>, pp. 131–32.</w:t>
      </w:r>
    </w:p>
  </w:footnote>
  <w:footnote w:id="890">
    <w:p w:rsidR="003515E3" w:rsidRPr="009331EF" w:rsidRDefault="003515E3" w:rsidP="00422D80">
      <w:pPr>
        <w:spacing w:after="0" w:line="240" w:lineRule="auto"/>
        <w:rPr>
          <w:rFonts w:ascii="Times New Roman" w:hAnsi="Times New Roman" w:cs="Times New Roman"/>
          <w:sz w:val="20"/>
          <w:szCs w:val="20"/>
        </w:rPr>
      </w:pPr>
      <w:r w:rsidRPr="00004D65">
        <w:rPr>
          <w:rStyle w:val="FootnoteReference"/>
          <w:rFonts w:ascii="Times New Roman" w:hAnsi="Times New Roman"/>
          <w:sz w:val="20"/>
          <w:szCs w:val="20"/>
        </w:rPr>
        <w:footnoteRef/>
      </w:r>
      <w:r w:rsidRPr="00004D65">
        <w:rPr>
          <w:rFonts w:ascii="Times New Roman" w:hAnsi="Times New Roman" w:cs="Times New Roman"/>
          <w:sz w:val="20"/>
          <w:szCs w:val="20"/>
        </w:rPr>
        <w:t xml:space="preserve"> For the climax of </w:t>
      </w:r>
      <w:r w:rsidRPr="009331EF">
        <w:rPr>
          <w:rFonts w:ascii="Times New Roman" w:hAnsi="Times New Roman" w:cs="Times New Roman"/>
          <w:sz w:val="20"/>
          <w:szCs w:val="20"/>
        </w:rPr>
        <w:t xml:space="preserve">the attack upon Mowbray Castle led by the Hell-cats and local miners, see </w:t>
      </w:r>
      <w:r w:rsidRPr="009331EF">
        <w:rPr>
          <w:rFonts w:ascii="Times New Roman" w:hAnsi="Times New Roman" w:cs="Times New Roman"/>
          <w:i/>
          <w:sz w:val="20"/>
          <w:szCs w:val="20"/>
        </w:rPr>
        <w:t>Sybil</w:t>
      </w:r>
      <w:r w:rsidRPr="009331EF">
        <w:rPr>
          <w:rFonts w:ascii="Times New Roman" w:hAnsi="Times New Roman" w:cs="Times New Roman"/>
          <w:sz w:val="20"/>
          <w:szCs w:val="20"/>
        </w:rPr>
        <w:t>, pp. 411</w:t>
      </w:r>
      <w:r w:rsidRPr="009331EF">
        <w:rPr>
          <w:rFonts w:ascii="Times New Roman" w:hAnsi="Times New Roman"/>
          <w:sz w:val="20"/>
          <w:szCs w:val="20"/>
        </w:rPr>
        <w:t>–</w:t>
      </w:r>
      <w:r w:rsidRPr="009331EF">
        <w:rPr>
          <w:rFonts w:ascii="Times New Roman" w:hAnsi="Times New Roman" w:cs="Times New Roman"/>
          <w:sz w:val="20"/>
          <w:szCs w:val="20"/>
        </w:rPr>
        <w:t xml:space="preserve">17. For the riot outside Thornton’s factory, see </w:t>
      </w:r>
      <w:r w:rsidRPr="009331EF">
        <w:rPr>
          <w:rFonts w:ascii="Times New Roman" w:hAnsi="Times New Roman" w:cs="Times New Roman"/>
          <w:i/>
          <w:sz w:val="20"/>
          <w:szCs w:val="20"/>
        </w:rPr>
        <w:t>North and South</w:t>
      </w:r>
      <w:r w:rsidRPr="009331EF">
        <w:rPr>
          <w:rFonts w:ascii="Times New Roman" w:hAnsi="Times New Roman" w:cs="Times New Roman"/>
          <w:sz w:val="20"/>
          <w:szCs w:val="20"/>
        </w:rPr>
        <w:t>, pp. 174</w:t>
      </w:r>
      <w:r w:rsidRPr="009331EF">
        <w:rPr>
          <w:rFonts w:ascii="Times New Roman" w:hAnsi="Times New Roman"/>
          <w:sz w:val="20"/>
          <w:szCs w:val="20"/>
        </w:rPr>
        <w:t>–</w:t>
      </w:r>
      <w:r w:rsidRPr="009331EF">
        <w:rPr>
          <w:rFonts w:ascii="Times New Roman" w:hAnsi="Times New Roman" w:cs="Times New Roman"/>
          <w:sz w:val="20"/>
          <w:szCs w:val="20"/>
        </w:rPr>
        <w:t>80.</w:t>
      </w:r>
    </w:p>
  </w:footnote>
  <w:footnote w:id="891">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This anonymous story, ‘The Strike, A Tale of the Manufacturing Districts’, signed Eugene Aram, appears in </w:t>
      </w:r>
      <w:r w:rsidRPr="009331EF">
        <w:rPr>
          <w:rFonts w:ascii="Times New Roman" w:hAnsi="Times New Roman"/>
          <w:i/>
        </w:rPr>
        <w:t>The London Saturday Journal, New and Pictorial Series</w:t>
      </w:r>
      <w:r w:rsidRPr="009331EF">
        <w:rPr>
          <w:rFonts w:ascii="Times New Roman" w:hAnsi="Times New Roman"/>
        </w:rPr>
        <w:t xml:space="preserve"> (London: Brittain, 1841), 17 July 1841–31 July 1841, pp. 31–34, 42–45, 55–58.</w:t>
      </w:r>
    </w:p>
  </w:footnote>
  <w:footnote w:id="892">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‘The Strike’, </w:t>
      </w:r>
      <w:r w:rsidRPr="009331EF">
        <w:rPr>
          <w:rFonts w:ascii="Times New Roman" w:hAnsi="Times New Roman"/>
          <w:i/>
        </w:rPr>
        <w:t>London Saturday Journal</w:t>
      </w:r>
      <w:r w:rsidRPr="009331EF">
        <w:rPr>
          <w:rFonts w:ascii="Times New Roman" w:hAnsi="Times New Roman"/>
        </w:rPr>
        <w:t>, 24 July 1841, p. 43.</w:t>
      </w:r>
    </w:p>
  </w:footnote>
  <w:footnote w:id="893">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Contemporary writers generally moved to the Midlands and Northern counties to depict industrial conflicts.  Charles Kingsley’s </w:t>
      </w:r>
      <w:r w:rsidRPr="009331EF">
        <w:rPr>
          <w:rFonts w:ascii="Times New Roman" w:hAnsi="Times New Roman"/>
          <w:i/>
        </w:rPr>
        <w:t>Alton Locke</w:t>
      </w:r>
      <w:r w:rsidRPr="009331EF">
        <w:rPr>
          <w:rFonts w:ascii="Times New Roman" w:hAnsi="Times New Roman"/>
        </w:rPr>
        <w:t xml:space="preserve">, published virtually at the same time as Reynolds’s </w:t>
      </w:r>
      <w:r w:rsidRPr="009331EF">
        <w:rPr>
          <w:rFonts w:ascii="Times New Roman" w:hAnsi="Times New Roman"/>
          <w:i/>
        </w:rPr>
        <w:t>The Seamstress</w:t>
      </w:r>
      <w:r w:rsidRPr="009331EF">
        <w:rPr>
          <w:rFonts w:ascii="Times New Roman" w:hAnsi="Times New Roman"/>
        </w:rPr>
        <w:t xml:space="preserve"> and also dealing with the slop trade in London is an exception.</w:t>
      </w:r>
    </w:p>
  </w:footnote>
  <w:footnote w:id="894">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See John Stevenson, </w:t>
      </w:r>
      <w:r w:rsidRPr="009331EF">
        <w:rPr>
          <w:rFonts w:ascii="Times New Roman" w:hAnsi="Times New Roman"/>
          <w:i/>
        </w:rPr>
        <w:t>Popular Disturbances in England, 1700</w:t>
      </w:r>
      <w:r w:rsidRPr="009331EF">
        <w:rPr>
          <w:rFonts w:ascii="Times New Roman" w:hAnsi="Times New Roman"/>
        </w:rPr>
        <w:t>–</w:t>
      </w:r>
      <w:r w:rsidRPr="009331EF">
        <w:rPr>
          <w:rFonts w:ascii="Times New Roman" w:hAnsi="Times New Roman"/>
          <w:i/>
        </w:rPr>
        <w:t>1832</w:t>
      </w:r>
      <w:r w:rsidRPr="009331EF">
        <w:rPr>
          <w:rFonts w:ascii="Times New Roman" w:hAnsi="Times New Roman"/>
        </w:rPr>
        <w:t>, 2</w:t>
      </w:r>
      <w:r w:rsidRPr="009331EF">
        <w:rPr>
          <w:rFonts w:ascii="Times New Roman" w:hAnsi="Times New Roman"/>
          <w:vertAlign w:val="superscript"/>
        </w:rPr>
        <w:t>nd</w:t>
      </w:r>
      <w:r w:rsidRPr="009331EF">
        <w:rPr>
          <w:rFonts w:ascii="Times New Roman" w:hAnsi="Times New Roman"/>
        </w:rPr>
        <w:t xml:space="preserve"> edn (Harlow: Longman Group UK, 1992), pp. 226–51.</w:t>
      </w:r>
    </w:p>
  </w:footnote>
  <w:footnote w:id="895">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Iorwerth Prothero details the activities of the apprenticeship campaign, 1809–13, and the wave of strikes across various industries, 1825–27.  See Prothero, pp. 51–61, 210–25.</w:t>
      </w:r>
    </w:p>
  </w:footnote>
  <w:footnote w:id="896">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heme="majorBidi" w:hAnsiTheme="majorBidi" w:cstheme="majorBidi"/>
        </w:rPr>
        <w:t xml:space="preserve">David Worrall, </w:t>
      </w:r>
      <w:r w:rsidRPr="009331EF">
        <w:rPr>
          <w:rFonts w:asciiTheme="majorBidi" w:hAnsiTheme="majorBidi" w:cstheme="majorBidi"/>
          <w:i/>
          <w:iCs/>
        </w:rPr>
        <w:t>Radical Culture, Discourse, Resistance and Surveillance, 1790</w:t>
      </w:r>
      <w:r w:rsidRPr="009331EF">
        <w:rPr>
          <w:rFonts w:ascii="Times New Roman" w:hAnsi="Times New Roman"/>
        </w:rPr>
        <w:t>–</w:t>
      </w:r>
      <w:r w:rsidRPr="009331EF">
        <w:rPr>
          <w:rFonts w:asciiTheme="majorBidi" w:hAnsiTheme="majorBidi" w:cstheme="majorBidi"/>
          <w:i/>
          <w:iCs/>
        </w:rPr>
        <w:t>1820</w:t>
      </w:r>
      <w:r w:rsidRPr="009331EF">
        <w:rPr>
          <w:rFonts w:asciiTheme="majorBidi" w:hAnsiTheme="majorBidi" w:cstheme="majorBidi"/>
        </w:rPr>
        <w:t xml:space="preserve"> (Hemel Hempstead: Harvester Wheatsheaf, 1992), </w:t>
      </w:r>
      <w:r w:rsidRPr="009331EF">
        <w:rPr>
          <w:rFonts w:ascii="Times New Roman" w:hAnsi="Times New Roman"/>
        </w:rPr>
        <w:t>pp. 96–113, 187–200.</w:t>
      </w:r>
    </w:p>
  </w:footnote>
  <w:footnote w:id="897">
    <w:p w:rsidR="003515E3" w:rsidRPr="00004D65"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George Rudé suggests the Queen Caroline affair along with the 1848 People’s Charter demonstration marked the only two periods of ‘radical </w:t>
      </w:r>
      <w:r w:rsidRPr="00CA22F7">
        <w:rPr>
          <w:rFonts w:ascii="Times New Roman" w:hAnsi="Times New Roman"/>
        </w:rPr>
        <w:t>revival’ in the capital</w:t>
      </w:r>
      <w:r w:rsidRPr="009331EF">
        <w:rPr>
          <w:rFonts w:ascii="Times New Roman" w:hAnsi="Times New Roman"/>
        </w:rPr>
        <w:t xml:space="preserve"> during the first half of the nineteenth century.  See George Rudé, </w:t>
      </w:r>
      <w:r w:rsidRPr="009331EF">
        <w:rPr>
          <w:rFonts w:ascii="Times New Roman" w:hAnsi="Times New Roman"/>
          <w:i/>
        </w:rPr>
        <w:t>Ideology and Popular Protest</w:t>
      </w:r>
      <w:r w:rsidRPr="009331EF">
        <w:rPr>
          <w:rFonts w:ascii="Times New Roman" w:hAnsi="Times New Roman"/>
        </w:rPr>
        <w:t xml:space="preserve"> (London: Lawrence and Wishart, 1980), p. 149.</w:t>
      </w:r>
    </w:p>
  </w:footnote>
  <w:footnote w:id="898">
    <w:p w:rsidR="003515E3" w:rsidRPr="009331EF"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John Wardroper suggests that despite occasional jostling and </w:t>
      </w:r>
      <w:r w:rsidRPr="009331EF">
        <w:rPr>
          <w:rFonts w:ascii="Times New Roman" w:hAnsi="Times New Roman"/>
        </w:rPr>
        <w:t xml:space="preserve">breaking of windows the general mood of the Queen Caroline demonstrations was not menacing.  See John Wardroper, </w:t>
      </w:r>
      <w:r w:rsidRPr="009331EF">
        <w:rPr>
          <w:rFonts w:ascii="Times New Roman" w:hAnsi="Times New Roman"/>
          <w:i/>
        </w:rPr>
        <w:t>Kings, Lords and Wicked Libellers: Satire and Protest 1760</w:t>
      </w:r>
      <w:r w:rsidRPr="009331EF">
        <w:rPr>
          <w:rFonts w:ascii="Times New Roman" w:hAnsi="Times New Roman"/>
        </w:rPr>
        <w:t>–</w:t>
      </w:r>
      <w:r w:rsidRPr="009331EF">
        <w:rPr>
          <w:rFonts w:ascii="Times New Roman" w:hAnsi="Times New Roman"/>
          <w:i/>
        </w:rPr>
        <w:t>1837</w:t>
      </w:r>
      <w:r w:rsidRPr="009331EF">
        <w:rPr>
          <w:rFonts w:ascii="Times New Roman" w:hAnsi="Times New Roman"/>
        </w:rPr>
        <w:t xml:space="preserve"> (London: Murray, 1973), p. 217.  Iorweth Prothero suggests a more threatening picture.  See Prothero, pp. 132–55.</w:t>
      </w:r>
    </w:p>
  </w:footnote>
  <w:footnote w:id="899">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From Caroline’s arrival in England in volume two she is subjected to vindictive treatment by the Royal Family and their aristocratic allies, climaxing with the plot to destroy her reputation for her relationship with the Prince of Bergami that takes up considerable parts of volumes three and four.  In contrast, Reynolds makes few comments upon the popular feeling for Caroline, the following being the most significant.  ‘But, as it will hereafter become our pleasing duty to show, the millions adopted a far different line of conduct when the period arrived for pronouncing an opinion between the Prince and the Princess;—and on </w:t>
      </w:r>
      <w:r w:rsidRPr="009331EF">
        <w:rPr>
          <w:rFonts w:ascii="Times New Roman" w:hAnsi="Times New Roman"/>
          <w:i/>
        </w:rPr>
        <w:t>tha</w:t>
      </w:r>
      <w:r w:rsidRPr="009331EF">
        <w:rPr>
          <w:rFonts w:ascii="Times New Roman" w:hAnsi="Times New Roman"/>
        </w:rPr>
        <w:t xml:space="preserve">t occasion, as on </w:t>
      </w:r>
      <w:r w:rsidRPr="009331EF">
        <w:rPr>
          <w:rFonts w:ascii="Times New Roman" w:hAnsi="Times New Roman"/>
          <w:i/>
        </w:rPr>
        <w:t>all others</w:t>
      </w:r>
      <w:r w:rsidRPr="009331EF">
        <w:rPr>
          <w:rFonts w:ascii="Times New Roman" w:hAnsi="Times New Roman"/>
        </w:rPr>
        <w:t xml:space="preserve">, did the honest, intelligent, and generous-hearted working classes of these islands adopt the cause of the weak against the strong—of the oppressed against the oppressor—of right against wrong—and of justice against tyranny!’  See </w:t>
      </w:r>
      <w:r w:rsidRPr="009331EF">
        <w:rPr>
          <w:rFonts w:ascii="Times New Roman" w:hAnsi="Times New Roman"/>
          <w:i/>
        </w:rPr>
        <w:t>Mysteries of the Court</w:t>
      </w:r>
      <w:r w:rsidRPr="009331EF">
        <w:rPr>
          <w:rFonts w:ascii="Times New Roman" w:hAnsi="Times New Roman"/>
        </w:rPr>
        <w:t xml:space="preserve">, II, 225.  Additionally, the character Mary Owen makes a similar comparison: ‘They know that each time a blow is struck, and that the Princess rises up unhurt from the assault, the effect is only to invest her cause with a larger amount of popularity and increase the odium attaching itself to her persecutors.  In proportion to the sympathy bestowed upon the Princess by the naturally generous-hearted and noble-minded working-classes of England, so is the indignation excited against her enemies.’  See </w:t>
      </w:r>
      <w:r w:rsidRPr="009331EF">
        <w:rPr>
          <w:rFonts w:ascii="Times New Roman" w:hAnsi="Times New Roman"/>
          <w:i/>
        </w:rPr>
        <w:t>Mysteries of the Court</w:t>
      </w:r>
      <w:r w:rsidRPr="009331EF">
        <w:rPr>
          <w:rFonts w:ascii="Times New Roman" w:hAnsi="Times New Roman"/>
        </w:rPr>
        <w:t>, III, 101.</w:t>
      </w:r>
    </w:p>
  </w:footnote>
  <w:footnote w:id="900">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rPr>
        <w:t>Mysteries of London</w:t>
      </w:r>
      <w:r w:rsidRPr="009331EF">
        <w:rPr>
          <w:rFonts w:ascii="Times New Roman" w:hAnsi="Times New Roman"/>
        </w:rPr>
        <w:t>, I, 356–57.</w:t>
      </w:r>
    </w:p>
  </w:footnote>
  <w:footnote w:id="901">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When Meg is introduced to the narrative, it is 1 January, 1840 and she is twenty five years old; she works in the mines from seven to twelve years of age.</w:t>
      </w:r>
    </w:p>
  </w:footnote>
  <w:footnote w:id="902">
    <w:p w:rsidR="003515E3" w:rsidRPr="005F5C90"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See Malcolm Chase, </w:t>
      </w:r>
      <w:r w:rsidRPr="009331EF">
        <w:rPr>
          <w:rFonts w:ascii="Times New Roman" w:hAnsi="Times New Roman"/>
          <w:i/>
        </w:rPr>
        <w:t>Chartism a New History</w:t>
      </w:r>
      <w:r w:rsidRPr="009331EF">
        <w:rPr>
          <w:rFonts w:ascii="Times New Roman" w:hAnsi="Times New Roman"/>
        </w:rPr>
        <w:t xml:space="preserve"> (Manchester: Manchester University Press, 2007), pp. 211–12.</w:t>
      </w:r>
    </w:p>
  </w:footnote>
  <w:footnote w:id="903">
    <w:p w:rsidR="003515E3" w:rsidRPr="009331EF"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Janet Grose comments that Meg’s tale, with its references to the </w:t>
      </w:r>
      <w:r w:rsidRPr="00E63708">
        <w:rPr>
          <w:rFonts w:ascii="Times New Roman" w:hAnsi="Times New Roman"/>
          <w:i/>
        </w:rPr>
        <w:t>1842 Report of the Children’s Employment Commission</w:t>
      </w:r>
      <w:r w:rsidRPr="00E63708">
        <w:rPr>
          <w:rFonts w:ascii="Times New Roman" w:hAnsi="Times New Roman"/>
        </w:rPr>
        <w:t xml:space="preserve"> is to evoke ‘empathy […] horror and indignation’ in the reader.  See Janet L. Grose, ‘G. W. M. Reynolds’s “The Rattlesnake’s History</w:t>
      </w:r>
      <w:r w:rsidRPr="009331EF">
        <w:rPr>
          <w:rFonts w:ascii="Times New Roman" w:hAnsi="Times New Roman"/>
        </w:rPr>
        <w:t xml:space="preserve">”: ‘Social Reform through Sensationalized Realism’, </w:t>
      </w:r>
      <w:r w:rsidRPr="009331EF">
        <w:rPr>
          <w:rFonts w:ascii="Times New Roman" w:hAnsi="Times New Roman"/>
          <w:i/>
        </w:rPr>
        <w:t>Studies in the Literary Imagination</w:t>
      </w:r>
      <w:r w:rsidRPr="009331EF">
        <w:rPr>
          <w:rFonts w:ascii="Times New Roman" w:hAnsi="Times New Roman"/>
        </w:rPr>
        <w:t xml:space="preserve"> 29.1 Spring 1996, pp. 35–42, (p. 37).</w:t>
      </w:r>
    </w:p>
  </w:footnote>
  <w:footnote w:id="904">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Eric Hobsbawm and George Rud</w:t>
      </w:r>
      <w:r w:rsidRPr="009331EF">
        <w:rPr>
          <w:rStyle w:val="Emphasis"/>
          <w:rFonts w:ascii="Times New Roman" w:hAnsi="Times New Roman"/>
          <w:b/>
          <w:bCs/>
          <w:i w:val="0"/>
          <w:iCs w:val="0"/>
          <w:shd w:val="clear" w:color="auto" w:fill="FFFFFF"/>
        </w:rPr>
        <w:t>é</w:t>
      </w:r>
      <w:r w:rsidRPr="009331EF">
        <w:rPr>
          <w:rFonts w:ascii="Times New Roman" w:hAnsi="Times New Roman"/>
        </w:rPr>
        <w:t xml:space="preserve"> detail the protests throughout the South East, emphasising the importance of Kent.  See E. J. Hobsbawm and George Rud</w:t>
      </w:r>
      <w:r w:rsidRPr="009331EF">
        <w:rPr>
          <w:rStyle w:val="Emphasis"/>
          <w:rFonts w:ascii="Times New Roman" w:hAnsi="Times New Roman"/>
          <w:b/>
          <w:bCs/>
          <w:i w:val="0"/>
          <w:iCs w:val="0"/>
          <w:shd w:val="clear" w:color="auto" w:fill="FFFFFF"/>
        </w:rPr>
        <w:t>é</w:t>
      </w:r>
      <w:r w:rsidRPr="009331EF">
        <w:rPr>
          <w:rFonts w:ascii="Times New Roman" w:hAnsi="Times New Roman"/>
        </w:rPr>
        <w:t xml:space="preserve">, </w:t>
      </w:r>
      <w:r w:rsidRPr="009331EF">
        <w:rPr>
          <w:rFonts w:ascii="Times New Roman" w:hAnsi="Times New Roman"/>
          <w:i/>
        </w:rPr>
        <w:t>Captain Swing</w:t>
      </w:r>
      <w:r w:rsidRPr="009331EF">
        <w:rPr>
          <w:rFonts w:ascii="Times New Roman" w:hAnsi="Times New Roman"/>
        </w:rPr>
        <w:t xml:space="preserve"> (London: Lawrence and Wishart, 1969), pp. 97–115.  Appendix III details the individual instances of protest associated with ‘Swing’ made over the period.  For the sections of narrative corresponding with this period of activity, see </w:t>
      </w:r>
      <w:r w:rsidRPr="009331EF">
        <w:rPr>
          <w:rFonts w:ascii="Times New Roman" w:hAnsi="Times New Roman"/>
          <w:i/>
        </w:rPr>
        <w:t>Mary Price</w:t>
      </w:r>
      <w:r w:rsidRPr="009331EF">
        <w:rPr>
          <w:rFonts w:ascii="Times New Roman" w:hAnsi="Times New Roman"/>
        </w:rPr>
        <w:t xml:space="preserve">, </w:t>
      </w:r>
      <w:r w:rsidRPr="009331EF">
        <w:rPr>
          <w:rFonts w:asciiTheme="majorBidi" w:hAnsiTheme="majorBidi" w:cstheme="majorBidi"/>
        </w:rPr>
        <w:t>I, 354</w:t>
      </w:r>
      <w:r w:rsidRPr="009331EF">
        <w:rPr>
          <w:rFonts w:ascii="Times New Roman" w:hAnsi="Times New Roman"/>
        </w:rPr>
        <w:t>–</w:t>
      </w:r>
      <w:r w:rsidRPr="009331EF">
        <w:rPr>
          <w:rFonts w:asciiTheme="majorBidi" w:hAnsiTheme="majorBidi" w:cstheme="majorBidi"/>
        </w:rPr>
        <w:t>414, II, 1</w:t>
      </w:r>
      <w:r w:rsidRPr="009331EF">
        <w:rPr>
          <w:rFonts w:ascii="Times New Roman" w:hAnsi="Times New Roman"/>
        </w:rPr>
        <w:t>–</w:t>
      </w:r>
      <w:r w:rsidRPr="009331EF">
        <w:rPr>
          <w:rFonts w:asciiTheme="majorBidi" w:hAnsiTheme="majorBidi" w:cstheme="majorBidi"/>
        </w:rPr>
        <w:t>180.</w:t>
      </w:r>
    </w:p>
  </w:footnote>
  <w:footnote w:id="905">
    <w:p w:rsidR="003515E3" w:rsidRPr="009331EF" w:rsidRDefault="003515E3" w:rsidP="00422D80">
      <w:pPr>
        <w:spacing w:after="0" w:line="240" w:lineRule="auto"/>
        <w:rPr>
          <w:rFonts w:ascii="Times New Roman" w:hAnsi="Times New Roman" w:cs="Times New Roman"/>
          <w:sz w:val="20"/>
          <w:szCs w:val="20"/>
        </w:rPr>
      </w:pPr>
      <w:r w:rsidRPr="009331EF">
        <w:rPr>
          <w:rStyle w:val="FootnoteReference"/>
          <w:rFonts w:ascii="Times New Roman" w:hAnsi="Times New Roman" w:cs="Times New Roman"/>
          <w:sz w:val="20"/>
          <w:szCs w:val="20"/>
        </w:rPr>
        <w:footnoteRef/>
      </w:r>
      <w:r w:rsidRPr="009331EF">
        <w:rPr>
          <w:rFonts w:ascii="Times New Roman" w:hAnsi="Times New Roman" w:cs="Times New Roman"/>
          <w:sz w:val="20"/>
          <w:szCs w:val="20"/>
        </w:rPr>
        <w:t xml:space="preserve"> William Cobbett, ‘</w:t>
      </w:r>
      <w:r w:rsidRPr="009331EF">
        <w:rPr>
          <w:rStyle w:val="mini"/>
          <w:rFonts w:ascii="Times New Roman" w:hAnsi="Times New Roman" w:cs="Times New Roman"/>
          <w:sz w:val="20"/>
          <w:szCs w:val="20"/>
        </w:rPr>
        <w:t>Labourers’ War.</w:t>
      </w:r>
      <w:r w:rsidRPr="009331EF">
        <w:rPr>
          <w:rFonts w:ascii="Times New Roman" w:hAnsi="Times New Roman" w:cs="Times New Roman"/>
          <w:sz w:val="20"/>
          <w:szCs w:val="20"/>
        </w:rPr>
        <w:t>—</w:t>
      </w:r>
      <w:r w:rsidRPr="009331EF">
        <w:rPr>
          <w:rStyle w:val="mini"/>
          <w:rFonts w:ascii="Times New Roman" w:hAnsi="Times New Roman" w:cs="Times New Roman"/>
          <w:sz w:val="20"/>
          <w:szCs w:val="20"/>
        </w:rPr>
        <w:t>Kent</w:t>
      </w:r>
      <w:r w:rsidRPr="009331EF">
        <w:rPr>
          <w:rFonts w:ascii="Times New Roman" w:hAnsi="Times New Roman" w:cs="Times New Roman"/>
          <w:sz w:val="20"/>
          <w:szCs w:val="20"/>
        </w:rPr>
        <w:t xml:space="preserve">’, </w:t>
      </w:r>
      <w:r w:rsidRPr="009331EF">
        <w:rPr>
          <w:rStyle w:val="mini"/>
          <w:rFonts w:ascii="Times New Roman" w:hAnsi="Times New Roman" w:cs="Times New Roman"/>
          <w:bCs/>
          <w:i/>
          <w:iCs/>
          <w:sz w:val="20"/>
          <w:szCs w:val="20"/>
        </w:rPr>
        <w:t>Cobbett's Weekly Political Register</w:t>
      </w:r>
      <w:r w:rsidRPr="009331EF">
        <w:rPr>
          <w:rStyle w:val="mini"/>
          <w:rFonts w:ascii="Times New Roman" w:hAnsi="Times New Roman" w:cs="Times New Roman"/>
          <w:sz w:val="20"/>
          <w:szCs w:val="20"/>
        </w:rPr>
        <w:t>, 20 November 1830, column 788.</w:t>
      </w:r>
    </w:p>
  </w:footnote>
  <w:footnote w:id="906">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bCs/>
        </w:rPr>
        <w:t xml:space="preserve">A. R. Schoyen, </w:t>
      </w:r>
      <w:r w:rsidRPr="009331EF">
        <w:rPr>
          <w:rFonts w:ascii="Times New Roman" w:hAnsi="Times New Roman"/>
          <w:i/>
        </w:rPr>
        <w:t>The Chartist Challenge: A Portrait of George Julian Harney</w:t>
      </w:r>
      <w:r w:rsidRPr="009331EF">
        <w:rPr>
          <w:rFonts w:ascii="Times New Roman" w:hAnsi="Times New Roman"/>
        </w:rPr>
        <w:t xml:space="preserve"> (London: Heinemann, 1958), p 108.</w:t>
      </w:r>
    </w:p>
  </w:footnote>
  <w:footnote w:id="907">
    <w:p w:rsidR="003515E3" w:rsidRPr="00E63708"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rPr>
        <w:t>Condition of the Working-Class</w:t>
      </w:r>
      <w:r w:rsidRPr="009331EF">
        <w:rPr>
          <w:rFonts w:ascii="Times New Roman" w:hAnsi="Times New Roman"/>
        </w:rPr>
        <w:t xml:space="preserve">, </w:t>
      </w:r>
      <w:r w:rsidRPr="009331EF">
        <w:rPr>
          <w:rFonts w:ascii="Times New Roman" w:hAnsi="Times New Roman"/>
          <w:bCs/>
        </w:rPr>
        <w:t xml:space="preserve">p. 227.  On the same page </w:t>
      </w:r>
      <w:r w:rsidRPr="009331EF">
        <w:rPr>
          <w:rFonts w:ascii="Times New Roman" w:hAnsi="Times New Roman"/>
        </w:rPr>
        <w:t xml:space="preserve">Engels writes that </w:t>
      </w:r>
      <w:r w:rsidRPr="009331EF">
        <w:rPr>
          <w:rFonts w:asciiTheme="majorBidi" w:hAnsiTheme="majorBidi" w:cstheme="majorBidi"/>
        </w:rPr>
        <w:t>Ibbetson was a hard-line master who used ‘exclusive employment of knobsticks’.</w:t>
      </w:r>
    </w:p>
  </w:footnote>
  <w:footnote w:id="908">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III, 232.</w:t>
      </w:r>
    </w:p>
  </w:footnote>
  <w:footnote w:id="909">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During his speech at Kennington Common on 10 April 1848, Reynolds refers to the Irish having been ‘crushed down’ and ‘deprived of advancement by the determination of the English aristocracy to place only its own scions and placemen in office’.  See Anonymous, ‘Presentation of the National Petition — Great Chartist Demonstration’, </w:t>
      </w:r>
      <w:r w:rsidRPr="00E63708">
        <w:rPr>
          <w:rStyle w:val="mini"/>
          <w:rFonts w:ascii="Times New Roman" w:hAnsi="Times New Roman"/>
          <w:i/>
          <w:iCs/>
        </w:rPr>
        <w:t>Northern Star and National Trades' Journal</w:t>
      </w:r>
      <w:r w:rsidRPr="00E63708">
        <w:rPr>
          <w:rFonts w:ascii="Times New Roman" w:hAnsi="Times New Roman"/>
        </w:rPr>
        <w:t xml:space="preserve">, 15 April 1848, pp. 6–7 (p. 7).  In a later leading article, he writes ‘English policy towards Ireland has been composed of neglect and repression’ and has ‘had recourse to massacres that shock the reader of history, and to exterminations that almost makes us loathe the name of Englishman’.  See G. W. M. Reynolds, ‘What Ireland Is, and What She Might Be’, </w:t>
      </w:r>
      <w:r w:rsidRPr="00E63708">
        <w:rPr>
          <w:rFonts w:ascii="Times New Roman" w:hAnsi="Times New Roman"/>
          <w:i/>
        </w:rPr>
        <w:t>Reynolds’s Weekly Newspaper</w:t>
      </w:r>
      <w:r w:rsidRPr="00E63708">
        <w:rPr>
          <w:rFonts w:ascii="Times New Roman" w:hAnsi="Times New Roman"/>
        </w:rPr>
        <w:t>, 23 February 1851, p. 8.</w:t>
      </w:r>
    </w:p>
  </w:footnote>
  <w:footnote w:id="910">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III, 191.</w:t>
      </w:r>
    </w:p>
  </w:footnote>
  <w:footnote w:id="911">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III, 219.</w:t>
      </w:r>
    </w:p>
  </w:footnote>
  <w:footnote w:id="912">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III, 219.</w:t>
      </w:r>
    </w:p>
  </w:footnote>
  <w:footnote w:id="913">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 286.</w:t>
      </w:r>
    </w:p>
  </w:footnote>
  <w:footnote w:id="914">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 287.</w:t>
      </w:r>
    </w:p>
  </w:footnote>
  <w:footnote w:id="915">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 287.</w:t>
      </w:r>
    </w:p>
  </w:footnote>
  <w:footnote w:id="916">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Mikhail Bakhtin, </w:t>
      </w:r>
      <w:r w:rsidRPr="00E63708">
        <w:rPr>
          <w:rFonts w:ascii="Times New Roman" w:hAnsi="Times New Roman"/>
          <w:i/>
          <w:iCs/>
        </w:rPr>
        <w:t>Rabelais and his World</w:t>
      </w:r>
      <w:r w:rsidRPr="00E63708">
        <w:rPr>
          <w:rFonts w:ascii="Times New Roman" w:hAnsi="Times New Roman"/>
        </w:rPr>
        <w:t>, trans. by Helene Iswolsky (Bloomington: Indiana University Press, 1984), pp. 9–10.</w:t>
      </w:r>
    </w:p>
  </w:footnote>
  <w:footnote w:id="917">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Noel Parker, </w:t>
      </w:r>
      <w:r w:rsidRPr="00E63708">
        <w:rPr>
          <w:rFonts w:asciiTheme="majorBidi" w:hAnsiTheme="majorBidi" w:cstheme="majorBidi"/>
          <w:i/>
        </w:rPr>
        <w:t>Portrayals of Revolution. Images, Debates and Patterns of Thought on the French Revolution</w:t>
      </w:r>
      <w:r w:rsidRPr="00E63708">
        <w:rPr>
          <w:rFonts w:asciiTheme="majorBidi" w:hAnsiTheme="majorBidi" w:cstheme="majorBidi"/>
        </w:rPr>
        <w:t xml:space="preserve"> (Hemel Hempstead: Harvester Wheatsheaf, 1990)</w:t>
      </w:r>
      <w:r w:rsidRPr="00E63708">
        <w:rPr>
          <w:rFonts w:ascii="Times New Roman" w:hAnsi="Times New Roman"/>
        </w:rPr>
        <w:t>, p. 52.</w:t>
      </w:r>
    </w:p>
  </w:footnote>
  <w:footnote w:id="918">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Posthumous Papers of the</w:t>
      </w:r>
      <w:r w:rsidRPr="00E63708">
        <w:rPr>
          <w:rFonts w:ascii="Times New Roman" w:hAnsi="Times New Roman"/>
        </w:rPr>
        <w:t xml:space="preserve"> </w:t>
      </w:r>
      <w:r w:rsidRPr="00E63708">
        <w:rPr>
          <w:rFonts w:ascii="Times New Roman" w:hAnsi="Times New Roman"/>
          <w:i/>
          <w:iCs/>
        </w:rPr>
        <w:t>Pickwick Club</w:t>
      </w:r>
      <w:r w:rsidRPr="00E63708">
        <w:rPr>
          <w:rFonts w:ascii="Times New Roman" w:hAnsi="Times New Roman"/>
        </w:rPr>
        <w:t>, p. 196.</w:t>
      </w:r>
    </w:p>
  </w:footnote>
  <w:footnote w:id="919">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 147.</w:t>
      </w:r>
    </w:p>
  </w:footnote>
  <w:footnote w:id="920">
    <w:p w:rsidR="003515E3" w:rsidRPr="00E63708" w:rsidRDefault="003515E3" w:rsidP="00422D80">
      <w:pPr>
        <w:spacing w:after="0" w:line="240" w:lineRule="auto"/>
        <w:rPr>
          <w:rFonts w:ascii="Times New Roman" w:hAnsi="Times New Roman" w:cs="Times New Roman"/>
          <w:sz w:val="20"/>
          <w:szCs w:val="20"/>
        </w:rPr>
      </w:pPr>
      <w:r w:rsidRPr="00E63708">
        <w:rPr>
          <w:rStyle w:val="FootnoteReference"/>
          <w:rFonts w:ascii="Times New Roman" w:hAnsi="Times New Roman"/>
          <w:sz w:val="20"/>
          <w:szCs w:val="20"/>
        </w:rPr>
        <w:footnoteRef/>
      </w:r>
      <w:r w:rsidRPr="00E63708">
        <w:rPr>
          <w:rFonts w:ascii="Times New Roman" w:hAnsi="Times New Roman" w:cs="Times New Roman"/>
          <w:sz w:val="20"/>
          <w:szCs w:val="20"/>
        </w:rPr>
        <w:t xml:space="preserve"> </w:t>
      </w:r>
      <w:r w:rsidRPr="00E63708">
        <w:rPr>
          <w:rFonts w:ascii="Times New Roman" w:hAnsi="Times New Roman" w:cs="Times New Roman"/>
          <w:i/>
          <w:sz w:val="20"/>
          <w:szCs w:val="20"/>
        </w:rPr>
        <w:t xml:space="preserve">Coningsby, </w:t>
      </w:r>
      <w:r w:rsidRPr="00E63708">
        <w:rPr>
          <w:rFonts w:ascii="Times New Roman" w:hAnsi="Times New Roman" w:cs="Times New Roman"/>
          <w:sz w:val="20"/>
          <w:szCs w:val="20"/>
        </w:rPr>
        <w:t>p. 248.</w:t>
      </w:r>
    </w:p>
  </w:footnote>
  <w:footnote w:id="921">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Posthumous Papers of the</w:t>
      </w:r>
      <w:r w:rsidRPr="00E63708">
        <w:rPr>
          <w:rFonts w:ascii="Times New Roman" w:hAnsi="Times New Roman"/>
        </w:rPr>
        <w:t xml:space="preserve"> </w:t>
      </w:r>
      <w:r w:rsidRPr="00E63708">
        <w:rPr>
          <w:rFonts w:ascii="Times New Roman" w:hAnsi="Times New Roman"/>
          <w:i/>
          <w:iCs/>
        </w:rPr>
        <w:t>Pickwick Club</w:t>
      </w:r>
      <w:r w:rsidRPr="00E63708">
        <w:rPr>
          <w:rFonts w:ascii="Times New Roman" w:hAnsi="Times New Roman"/>
        </w:rPr>
        <w:t>, p. 197.</w:t>
      </w:r>
    </w:p>
  </w:footnote>
  <w:footnote w:id="922">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James C. Scott, </w:t>
      </w:r>
      <w:r w:rsidRPr="00E63708">
        <w:rPr>
          <w:rFonts w:ascii="Times New Roman" w:hAnsi="Times New Roman"/>
          <w:i/>
          <w:iCs/>
        </w:rPr>
        <w:t>Domination and the Arts of Resistance: Hidden Transcripts</w:t>
      </w:r>
      <w:r w:rsidRPr="00E63708">
        <w:rPr>
          <w:rFonts w:ascii="Times New Roman" w:hAnsi="Times New Roman"/>
        </w:rPr>
        <w:t xml:space="preserve"> (New Haven: Yale University Press, 1990), pp. 178–82.</w:t>
      </w:r>
    </w:p>
  </w:footnote>
  <w:footnote w:id="923">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 147.</w:t>
      </w:r>
    </w:p>
  </w:footnote>
  <w:footnote w:id="924">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Bakhtin, p. 10.</w:t>
      </w:r>
    </w:p>
  </w:footnote>
  <w:footnote w:id="925">
    <w:p w:rsidR="003515E3" w:rsidRPr="00E63708" w:rsidRDefault="003515E3" w:rsidP="00422D80">
      <w:pPr>
        <w:spacing w:after="0" w:line="240" w:lineRule="auto"/>
        <w:rPr>
          <w:rFonts w:asciiTheme="majorBidi" w:hAnsiTheme="majorBidi" w:cstheme="majorBidi"/>
          <w:sz w:val="20"/>
          <w:szCs w:val="20"/>
        </w:rPr>
      </w:pPr>
      <w:r w:rsidRPr="00E63708">
        <w:rPr>
          <w:rStyle w:val="FootnoteReference"/>
          <w:rFonts w:asciiTheme="majorBidi" w:hAnsiTheme="majorBidi" w:cstheme="majorBidi"/>
          <w:sz w:val="20"/>
          <w:szCs w:val="20"/>
        </w:rPr>
        <w:footnoteRef/>
      </w:r>
      <w:r w:rsidRPr="00E63708">
        <w:rPr>
          <w:rFonts w:asciiTheme="majorBidi" w:hAnsiTheme="majorBidi" w:cstheme="majorBidi"/>
          <w:sz w:val="20"/>
          <w:szCs w:val="20"/>
        </w:rPr>
        <w:t xml:space="preserve"> </w:t>
      </w:r>
      <w:r w:rsidRPr="00E63708">
        <w:rPr>
          <w:rFonts w:asciiTheme="majorBidi" w:hAnsiTheme="majorBidi" w:cstheme="majorBidi"/>
          <w:i/>
          <w:sz w:val="20"/>
          <w:szCs w:val="20"/>
        </w:rPr>
        <w:t>Sybil</w:t>
      </w:r>
      <w:r w:rsidRPr="00E63708">
        <w:rPr>
          <w:rFonts w:asciiTheme="majorBidi" w:hAnsiTheme="majorBidi" w:cstheme="majorBidi"/>
          <w:sz w:val="20"/>
          <w:szCs w:val="20"/>
        </w:rPr>
        <w:t>, p. 144.</w:t>
      </w:r>
    </w:p>
  </w:footnote>
  <w:footnote w:id="926">
    <w:p w:rsidR="003515E3" w:rsidRPr="00E63708" w:rsidRDefault="003515E3" w:rsidP="00422D80">
      <w:pPr>
        <w:spacing w:after="0" w:line="240" w:lineRule="auto"/>
        <w:rPr>
          <w:rFonts w:ascii="Times New Roman" w:hAnsi="Times New Roman" w:cs="Times New Roman"/>
          <w:sz w:val="20"/>
          <w:szCs w:val="20"/>
        </w:rPr>
      </w:pPr>
      <w:r w:rsidRPr="00E63708">
        <w:rPr>
          <w:rStyle w:val="FootnoteReference"/>
          <w:rFonts w:ascii="Times New Roman" w:hAnsi="Times New Roman"/>
          <w:sz w:val="20"/>
          <w:szCs w:val="20"/>
        </w:rPr>
        <w:footnoteRef/>
      </w:r>
      <w:r w:rsidRPr="00E63708">
        <w:rPr>
          <w:rFonts w:ascii="Times New Roman" w:hAnsi="Times New Roman" w:cs="Times New Roman"/>
          <w:sz w:val="20"/>
          <w:szCs w:val="20"/>
        </w:rPr>
        <w:t xml:space="preserve"> </w:t>
      </w:r>
      <w:r w:rsidRPr="00E63708">
        <w:rPr>
          <w:rFonts w:ascii="Times New Roman" w:hAnsi="Times New Roman" w:cs="Times New Roman"/>
          <w:i/>
          <w:sz w:val="20"/>
          <w:szCs w:val="20"/>
        </w:rPr>
        <w:t>Sybil</w:t>
      </w:r>
      <w:r w:rsidRPr="00E63708">
        <w:rPr>
          <w:rFonts w:ascii="Times New Roman" w:hAnsi="Times New Roman" w:cs="Times New Roman"/>
          <w:sz w:val="20"/>
          <w:szCs w:val="20"/>
        </w:rPr>
        <w:t>, p. 371.</w:t>
      </w:r>
    </w:p>
  </w:footnote>
  <w:footnote w:id="927">
    <w:p w:rsidR="003515E3" w:rsidRPr="00E63708" w:rsidRDefault="003515E3" w:rsidP="00422D80">
      <w:pPr>
        <w:spacing w:after="0" w:line="240" w:lineRule="auto"/>
        <w:rPr>
          <w:rFonts w:ascii="Times New Roman" w:hAnsi="Times New Roman" w:cs="Times New Roman"/>
          <w:sz w:val="20"/>
          <w:szCs w:val="20"/>
        </w:rPr>
      </w:pPr>
      <w:r w:rsidRPr="00E63708">
        <w:rPr>
          <w:rStyle w:val="FootnoteReference"/>
          <w:rFonts w:ascii="Times New Roman" w:hAnsi="Times New Roman"/>
          <w:sz w:val="20"/>
          <w:szCs w:val="20"/>
        </w:rPr>
        <w:footnoteRef/>
      </w:r>
      <w:r w:rsidRPr="00E63708">
        <w:rPr>
          <w:rFonts w:ascii="Times New Roman" w:hAnsi="Times New Roman" w:cs="Times New Roman"/>
          <w:sz w:val="20"/>
          <w:szCs w:val="20"/>
        </w:rPr>
        <w:t xml:space="preserve"> </w:t>
      </w:r>
      <w:r w:rsidRPr="00E63708">
        <w:rPr>
          <w:rFonts w:ascii="Times New Roman" w:hAnsi="Times New Roman" w:cs="Times New Roman"/>
          <w:i/>
          <w:sz w:val="20"/>
          <w:szCs w:val="20"/>
        </w:rPr>
        <w:t>Sybil</w:t>
      </w:r>
      <w:r w:rsidRPr="00E63708">
        <w:rPr>
          <w:rFonts w:ascii="Times New Roman" w:hAnsi="Times New Roman" w:cs="Times New Roman"/>
          <w:sz w:val="20"/>
          <w:szCs w:val="20"/>
        </w:rPr>
        <w:t>, pp. 370</w:t>
      </w:r>
      <w:r w:rsidRPr="00E63708">
        <w:rPr>
          <w:rFonts w:ascii="Times New Roman" w:hAnsi="Times New Roman"/>
          <w:sz w:val="20"/>
          <w:szCs w:val="20"/>
        </w:rPr>
        <w:t>–</w:t>
      </w:r>
      <w:r w:rsidRPr="00E63708">
        <w:rPr>
          <w:rFonts w:ascii="Times New Roman" w:hAnsi="Times New Roman" w:cs="Times New Roman"/>
          <w:sz w:val="20"/>
          <w:szCs w:val="20"/>
        </w:rPr>
        <w:t>71.</w:t>
      </w:r>
    </w:p>
  </w:footnote>
  <w:footnote w:id="928">
    <w:p w:rsidR="003515E3" w:rsidRPr="00E63708" w:rsidRDefault="003515E3" w:rsidP="00422D80">
      <w:pPr>
        <w:spacing w:after="0" w:line="240" w:lineRule="auto"/>
        <w:rPr>
          <w:rFonts w:asciiTheme="majorBidi" w:hAnsiTheme="majorBidi" w:cstheme="majorBidi"/>
          <w:sz w:val="20"/>
          <w:szCs w:val="20"/>
        </w:rPr>
      </w:pPr>
      <w:r w:rsidRPr="00E63708">
        <w:rPr>
          <w:rStyle w:val="FootnoteReference"/>
          <w:rFonts w:asciiTheme="majorBidi" w:hAnsiTheme="majorBidi" w:cstheme="majorBidi"/>
          <w:sz w:val="20"/>
          <w:szCs w:val="20"/>
        </w:rPr>
        <w:footnoteRef/>
      </w:r>
      <w:r w:rsidRPr="00E63708">
        <w:rPr>
          <w:rFonts w:asciiTheme="majorBidi" w:hAnsiTheme="majorBidi" w:cstheme="majorBidi"/>
          <w:sz w:val="20"/>
          <w:szCs w:val="20"/>
        </w:rPr>
        <w:t xml:space="preserve"> </w:t>
      </w:r>
      <w:r w:rsidRPr="00E63708">
        <w:rPr>
          <w:rFonts w:asciiTheme="majorBidi" w:hAnsiTheme="majorBidi" w:cstheme="majorBidi"/>
          <w:i/>
          <w:sz w:val="20"/>
          <w:szCs w:val="20"/>
        </w:rPr>
        <w:t>Sybil</w:t>
      </w:r>
      <w:r w:rsidRPr="00E63708">
        <w:rPr>
          <w:rFonts w:asciiTheme="majorBidi" w:hAnsiTheme="majorBidi" w:cstheme="majorBidi"/>
          <w:sz w:val="20"/>
          <w:szCs w:val="20"/>
        </w:rPr>
        <w:t>, p. 355.</w:t>
      </w:r>
    </w:p>
  </w:footnote>
  <w:footnote w:id="929">
    <w:p w:rsidR="003515E3" w:rsidRPr="00E63708" w:rsidRDefault="003515E3" w:rsidP="00422D80">
      <w:pPr>
        <w:spacing w:after="0" w:line="240" w:lineRule="auto"/>
        <w:rPr>
          <w:rFonts w:asciiTheme="majorBidi" w:hAnsiTheme="majorBidi" w:cstheme="majorBidi"/>
          <w:sz w:val="20"/>
          <w:szCs w:val="20"/>
        </w:rPr>
      </w:pPr>
      <w:r w:rsidRPr="00E63708">
        <w:rPr>
          <w:rStyle w:val="FootnoteReference"/>
          <w:rFonts w:asciiTheme="majorBidi" w:hAnsiTheme="majorBidi" w:cstheme="majorBidi"/>
          <w:sz w:val="20"/>
          <w:szCs w:val="20"/>
        </w:rPr>
        <w:footnoteRef/>
      </w:r>
      <w:r w:rsidRPr="00E63708">
        <w:rPr>
          <w:rFonts w:asciiTheme="majorBidi" w:hAnsiTheme="majorBidi" w:cstheme="majorBidi"/>
          <w:sz w:val="20"/>
          <w:szCs w:val="20"/>
        </w:rPr>
        <w:t xml:space="preserve"> </w:t>
      </w:r>
      <w:r w:rsidRPr="00E63708">
        <w:rPr>
          <w:rFonts w:asciiTheme="majorBidi" w:hAnsiTheme="majorBidi" w:cstheme="majorBidi"/>
          <w:i/>
          <w:sz w:val="20"/>
          <w:szCs w:val="20"/>
        </w:rPr>
        <w:t>Sybil</w:t>
      </w:r>
      <w:r w:rsidRPr="00E63708">
        <w:rPr>
          <w:rFonts w:asciiTheme="majorBidi" w:hAnsiTheme="majorBidi" w:cstheme="majorBidi"/>
          <w:sz w:val="20"/>
          <w:szCs w:val="20"/>
        </w:rPr>
        <w:t>, p. 357.</w:t>
      </w:r>
    </w:p>
  </w:footnote>
  <w:footnote w:id="930">
    <w:p w:rsidR="003515E3" w:rsidRPr="00E63708" w:rsidRDefault="003515E3" w:rsidP="00422D80">
      <w:pPr>
        <w:spacing w:after="0" w:line="240" w:lineRule="auto"/>
        <w:rPr>
          <w:rFonts w:ascii="Times New Roman" w:hAnsi="Times New Roman" w:cs="Times New Roman"/>
          <w:sz w:val="20"/>
          <w:szCs w:val="20"/>
        </w:rPr>
      </w:pPr>
      <w:r w:rsidRPr="00E63708">
        <w:rPr>
          <w:rStyle w:val="FootnoteReference"/>
          <w:rFonts w:ascii="Times New Roman" w:hAnsi="Times New Roman"/>
          <w:sz w:val="20"/>
          <w:szCs w:val="20"/>
        </w:rPr>
        <w:footnoteRef/>
      </w:r>
      <w:r w:rsidRPr="00E63708">
        <w:rPr>
          <w:rFonts w:ascii="Times New Roman" w:hAnsi="Times New Roman" w:cs="Times New Roman"/>
          <w:sz w:val="20"/>
          <w:szCs w:val="20"/>
        </w:rPr>
        <w:t xml:space="preserve"> </w:t>
      </w:r>
      <w:r w:rsidRPr="00E63708">
        <w:rPr>
          <w:rFonts w:ascii="Times New Roman" w:hAnsi="Times New Roman" w:cs="Times New Roman"/>
          <w:i/>
          <w:sz w:val="20"/>
          <w:szCs w:val="20"/>
        </w:rPr>
        <w:t>Mary Barton</w:t>
      </w:r>
      <w:r w:rsidRPr="00E63708">
        <w:rPr>
          <w:rFonts w:ascii="Times New Roman" w:hAnsi="Times New Roman" w:cs="Times New Roman"/>
          <w:sz w:val="20"/>
          <w:szCs w:val="20"/>
        </w:rPr>
        <w:t>, p. 180.</w:t>
      </w:r>
    </w:p>
  </w:footnote>
  <w:footnote w:id="931">
    <w:p w:rsidR="003515E3" w:rsidRPr="00E63708" w:rsidRDefault="003515E3" w:rsidP="00422D80">
      <w:pPr>
        <w:spacing w:after="0" w:line="240" w:lineRule="auto"/>
        <w:rPr>
          <w:rFonts w:ascii="Times New Roman" w:hAnsi="Times New Roman" w:cs="Times New Roman"/>
          <w:sz w:val="20"/>
          <w:szCs w:val="20"/>
        </w:rPr>
      </w:pPr>
      <w:r w:rsidRPr="00E63708">
        <w:rPr>
          <w:rStyle w:val="FootnoteReference"/>
          <w:rFonts w:ascii="Times New Roman" w:hAnsi="Times New Roman"/>
          <w:sz w:val="20"/>
          <w:szCs w:val="20"/>
        </w:rPr>
        <w:footnoteRef/>
      </w:r>
      <w:r w:rsidRPr="00E63708">
        <w:rPr>
          <w:rFonts w:ascii="Times New Roman" w:hAnsi="Times New Roman" w:cs="Times New Roman"/>
          <w:sz w:val="20"/>
          <w:szCs w:val="20"/>
        </w:rPr>
        <w:t xml:space="preserve"> Frances Trollope depicts her hero, Michael Armstrong, attending a mass gathering at York to sign a petition to Parliament limiting work in factories to a ten-hour day.  Despite alcohol being freely available, the crowd behave well and disperse peacefully.  Michael visits public houses before and after the event and those he meets speak with reason and good judgment.  See Frances Trollope, </w:t>
      </w:r>
      <w:r w:rsidRPr="00E63708">
        <w:rPr>
          <w:rFonts w:ascii="Times New Roman" w:hAnsi="Times New Roman" w:cs="Times New Roman"/>
          <w:i/>
          <w:sz w:val="20"/>
          <w:szCs w:val="20"/>
        </w:rPr>
        <w:t>The Life and Adventures of Michael Armstrong The Factory Boy</w:t>
      </w:r>
      <w:r w:rsidRPr="00E63708">
        <w:rPr>
          <w:rFonts w:ascii="Times New Roman" w:hAnsi="Times New Roman" w:cs="Times New Roman"/>
          <w:sz w:val="20"/>
          <w:szCs w:val="20"/>
        </w:rPr>
        <w:t xml:space="preserve"> (London: Cass, 1968), pp. 312</w:t>
      </w:r>
      <w:r w:rsidRPr="00E63708">
        <w:rPr>
          <w:rFonts w:ascii="Times New Roman" w:hAnsi="Times New Roman"/>
          <w:sz w:val="20"/>
          <w:szCs w:val="20"/>
        </w:rPr>
        <w:t>–</w:t>
      </w:r>
      <w:r w:rsidRPr="00E63708">
        <w:rPr>
          <w:rFonts w:ascii="Times New Roman" w:hAnsi="Times New Roman" w:cs="Times New Roman"/>
          <w:sz w:val="20"/>
          <w:szCs w:val="20"/>
        </w:rPr>
        <w:t xml:space="preserve">21.  Although less directly political, Thomas Miller frequently describes public houses being places of good fellowship, as when the landlord of the ‘Fallow Dear’ supplies Gideon Giles with money to set up a ropery business after learning of his unjust dismissal by the master roper, Brown.  See Thomas Miller, </w:t>
      </w:r>
      <w:r w:rsidRPr="00E63708">
        <w:rPr>
          <w:rFonts w:ascii="Times New Roman" w:hAnsi="Times New Roman" w:cs="Times New Roman"/>
          <w:i/>
          <w:sz w:val="20"/>
          <w:szCs w:val="20"/>
        </w:rPr>
        <w:t>Gideon Giles the Roper</w:t>
      </w:r>
      <w:r w:rsidRPr="00E63708">
        <w:rPr>
          <w:rFonts w:ascii="Times New Roman" w:hAnsi="Times New Roman" w:cs="Times New Roman"/>
          <w:sz w:val="20"/>
          <w:szCs w:val="20"/>
        </w:rPr>
        <w:t xml:space="preserve"> (London: Hayward, 1841), pp. 18</w:t>
      </w:r>
      <w:r w:rsidRPr="00E63708">
        <w:rPr>
          <w:rFonts w:ascii="Times New Roman" w:hAnsi="Times New Roman"/>
          <w:sz w:val="20"/>
          <w:szCs w:val="20"/>
        </w:rPr>
        <w:t>–</w:t>
      </w:r>
      <w:r w:rsidRPr="00E63708">
        <w:rPr>
          <w:rFonts w:ascii="Times New Roman" w:hAnsi="Times New Roman" w:cs="Times New Roman"/>
          <w:sz w:val="20"/>
          <w:szCs w:val="20"/>
        </w:rPr>
        <w:t>21.</w:t>
      </w:r>
    </w:p>
  </w:footnote>
  <w:footnote w:id="932">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Edward Royle writes that the Green Dragon society which ‘discussed and debated the ideas put forward by Paine, Voltaire, Rousseau and other favourite authors’ were hounded by the authorities from tavern to tavern in the 1790s.  See Edward Royle, </w:t>
      </w:r>
      <w:r w:rsidRPr="00E63708">
        <w:rPr>
          <w:rFonts w:ascii="Times New Roman" w:hAnsi="Times New Roman"/>
          <w:i/>
        </w:rPr>
        <w:t>Victorian Infidels The Origins of the British Secularist Movement 1791</w:t>
      </w:r>
      <w:r w:rsidRPr="00E63708">
        <w:rPr>
          <w:rFonts w:ascii="Times New Roman" w:hAnsi="Times New Roman"/>
        </w:rPr>
        <w:t>–</w:t>
      </w:r>
      <w:r w:rsidRPr="00E63708">
        <w:rPr>
          <w:rFonts w:ascii="Times New Roman" w:hAnsi="Times New Roman"/>
          <w:i/>
        </w:rPr>
        <w:t>1866</w:t>
      </w:r>
      <w:r w:rsidRPr="00E63708">
        <w:rPr>
          <w:rFonts w:ascii="Times New Roman" w:hAnsi="Times New Roman"/>
        </w:rPr>
        <w:t xml:space="preserve"> (Manchester: Manchester University Press, 1974), p. 30.  </w:t>
      </w:r>
      <w:r w:rsidRPr="00E63708">
        <w:rPr>
          <w:rFonts w:asciiTheme="majorBidi" w:hAnsiTheme="majorBidi" w:cstheme="majorBidi"/>
        </w:rPr>
        <w:t xml:space="preserve">Iain McCalman writes how in the 1830s the public house, along with the coffee house and chapel, was a centre of political protest.  See </w:t>
      </w:r>
      <w:r w:rsidRPr="00E63708">
        <w:rPr>
          <w:rFonts w:ascii="Times New Roman" w:hAnsi="Times New Roman"/>
        </w:rPr>
        <w:t xml:space="preserve">Iain McCalman, </w:t>
      </w:r>
      <w:r w:rsidRPr="00E63708">
        <w:rPr>
          <w:rFonts w:ascii="Times New Roman" w:hAnsi="Times New Roman"/>
          <w:i/>
        </w:rPr>
        <w:t>Prophets, Revolutionaries and Pornographers in London, 1785</w:t>
      </w:r>
      <w:r w:rsidRPr="00E63708">
        <w:rPr>
          <w:rFonts w:ascii="Times New Roman" w:hAnsi="Times New Roman"/>
        </w:rPr>
        <w:t>–</w:t>
      </w:r>
      <w:r w:rsidRPr="00E63708">
        <w:rPr>
          <w:rFonts w:ascii="Times New Roman" w:hAnsi="Times New Roman"/>
          <w:i/>
        </w:rPr>
        <w:t>1840</w:t>
      </w:r>
      <w:r w:rsidRPr="00E63708">
        <w:rPr>
          <w:rFonts w:ascii="Times New Roman" w:hAnsi="Times New Roman"/>
        </w:rPr>
        <w:t xml:space="preserve"> (Cambridge: Cambridge University Press, 1988), p. 198.</w:t>
      </w:r>
    </w:p>
  </w:footnote>
  <w:footnote w:id="933">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Henry Mayhew, </w:t>
      </w:r>
      <w:r w:rsidRPr="00E63708">
        <w:rPr>
          <w:rFonts w:ascii="Times New Roman" w:hAnsi="Times New Roman"/>
          <w:i/>
        </w:rPr>
        <w:t>The Morning Chronicle Survey of Labour and the Poor: The Metropolitan Districts</w:t>
      </w:r>
      <w:r w:rsidRPr="00E63708">
        <w:rPr>
          <w:rFonts w:ascii="Times New Roman" w:hAnsi="Times New Roman"/>
        </w:rPr>
        <w:t>, 6 vols (Firle: Caliban Books, 1980), I, p.59.</w:t>
      </w:r>
    </w:p>
  </w:footnote>
  <w:footnote w:id="934">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Reynolds’s most active engagement with the Chartist movement, other than his short association during March and April 1848, appears to have been from mid-1849, just as the </w:t>
      </w:r>
      <w:r w:rsidRPr="00E63708">
        <w:rPr>
          <w:rFonts w:ascii="Times New Roman" w:hAnsi="Times New Roman"/>
          <w:i/>
        </w:rPr>
        <w:t xml:space="preserve">Political Instructor </w:t>
      </w:r>
      <w:r w:rsidRPr="00E63708">
        <w:rPr>
          <w:rFonts w:ascii="Times New Roman" w:hAnsi="Times New Roman"/>
        </w:rPr>
        <w:t xml:space="preserve">was set up, to his resignation because of ill-health in late-September 1851. See </w:t>
      </w:r>
      <w:r w:rsidRPr="00E63708">
        <w:rPr>
          <w:rFonts w:ascii="Times New Roman" w:hAnsi="Times New Roman"/>
          <w:i/>
        </w:rPr>
        <w:t>Reynolds’s Newspaper</w:t>
      </w:r>
      <w:r w:rsidRPr="00E63708">
        <w:rPr>
          <w:rFonts w:ascii="Times New Roman" w:hAnsi="Times New Roman"/>
        </w:rPr>
        <w:t>, 28 September 1851, p. 14.</w:t>
      </w:r>
    </w:p>
  </w:footnote>
  <w:footnote w:id="935">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David </w:t>
      </w:r>
      <w:r w:rsidRPr="00E63708">
        <w:rPr>
          <w:rFonts w:asciiTheme="majorBidi" w:hAnsiTheme="majorBidi" w:cstheme="majorBidi"/>
        </w:rPr>
        <w:t xml:space="preserve">Worrall’s discussion of the ‘free and easy’ societies in the early nineteenth century lists several taverns that may have been settings for the planning of the Spa Fields uprising in December1816.  See Worrall, </w:t>
      </w:r>
      <w:r w:rsidRPr="00E63708">
        <w:rPr>
          <w:rFonts w:ascii="Times New Roman" w:hAnsi="Times New Roman"/>
        </w:rPr>
        <w:t>pp. 89–</w:t>
      </w:r>
      <w:r w:rsidRPr="00021906">
        <w:rPr>
          <w:rFonts w:ascii="Times New Roman" w:hAnsi="Times New Roman"/>
        </w:rPr>
        <w:t>96.</w:t>
      </w:r>
    </w:p>
  </w:footnote>
  <w:footnote w:id="936">
    <w:p w:rsidR="003515E3" w:rsidRPr="00E63708" w:rsidRDefault="003515E3" w:rsidP="00422D80">
      <w:pPr>
        <w:tabs>
          <w:tab w:val="left" w:pos="7995"/>
        </w:tabs>
        <w:spacing w:after="0" w:line="240" w:lineRule="auto"/>
        <w:rPr>
          <w:rFonts w:asciiTheme="majorBidi" w:hAnsiTheme="majorBidi" w:cstheme="majorBidi"/>
          <w:sz w:val="20"/>
          <w:szCs w:val="20"/>
        </w:rPr>
      </w:pPr>
      <w:r w:rsidRPr="00E63708">
        <w:rPr>
          <w:rStyle w:val="FootnoteReference"/>
          <w:rFonts w:asciiTheme="majorBidi" w:hAnsiTheme="majorBidi" w:cstheme="majorBidi"/>
          <w:sz w:val="20"/>
          <w:szCs w:val="20"/>
        </w:rPr>
        <w:footnoteRef/>
      </w:r>
      <w:r w:rsidRPr="00E63708">
        <w:rPr>
          <w:rFonts w:asciiTheme="majorBidi" w:hAnsiTheme="majorBidi" w:cstheme="majorBidi"/>
          <w:sz w:val="20"/>
          <w:szCs w:val="20"/>
        </w:rPr>
        <w:t xml:space="preserve"> </w:t>
      </w:r>
      <w:r w:rsidRPr="00E63708">
        <w:rPr>
          <w:rFonts w:ascii="Times New Roman" w:hAnsi="Times New Roman" w:cs="Times New Roman"/>
          <w:bCs/>
          <w:i/>
          <w:iCs/>
          <w:sz w:val="20"/>
          <w:szCs w:val="20"/>
        </w:rPr>
        <w:t>Steam Packet</w:t>
      </w:r>
      <w:r w:rsidRPr="00E63708">
        <w:rPr>
          <w:rFonts w:ascii="Times New Roman" w:hAnsi="Times New Roman" w:cs="Times New Roman"/>
          <w:bCs/>
          <w:sz w:val="20"/>
          <w:szCs w:val="20"/>
        </w:rPr>
        <w:t xml:space="preserve">, </w:t>
      </w:r>
      <w:r w:rsidRPr="00E63708">
        <w:rPr>
          <w:rFonts w:asciiTheme="majorBidi" w:hAnsiTheme="majorBidi" w:cstheme="majorBidi"/>
          <w:bCs/>
          <w:sz w:val="20"/>
          <w:szCs w:val="20"/>
        </w:rPr>
        <w:t>p. 32.</w:t>
      </w:r>
    </w:p>
  </w:footnote>
  <w:footnote w:id="937">
    <w:p w:rsidR="003515E3" w:rsidRPr="00E63708" w:rsidRDefault="003515E3" w:rsidP="00422D80">
      <w:pPr>
        <w:tabs>
          <w:tab w:val="left" w:pos="7995"/>
        </w:tabs>
        <w:spacing w:after="0" w:line="240" w:lineRule="auto"/>
        <w:rPr>
          <w:rFonts w:asciiTheme="majorBidi" w:hAnsiTheme="majorBidi" w:cstheme="majorBidi"/>
          <w:sz w:val="20"/>
          <w:szCs w:val="20"/>
        </w:rPr>
      </w:pPr>
      <w:r w:rsidRPr="00E63708">
        <w:rPr>
          <w:rStyle w:val="FootnoteReference"/>
          <w:rFonts w:asciiTheme="majorBidi" w:hAnsiTheme="majorBidi" w:cstheme="majorBidi"/>
          <w:sz w:val="20"/>
          <w:szCs w:val="20"/>
        </w:rPr>
        <w:footnoteRef/>
      </w:r>
      <w:r w:rsidRPr="00E63708">
        <w:rPr>
          <w:rFonts w:asciiTheme="majorBidi" w:hAnsiTheme="majorBidi" w:cstheme="majorBidi"/>
          <w:sz w:val="20"/>
          <w:szCs w:val="20"/>
        </w:rPr>
        <w:t xml:space="preserve"> Donald Read and Eric Glasgow describe O’Connor’s demagogic speeches during 1838 addressed to the working classes which threatened a death or glory battle for their rights.  His direct manner appealed to areas badly hit by trade depression and encouraged physical force elements of the Chartist movement to drill and arm themselves.  Later, when released from York prison on 30 August 1841, he appeared wearing a working-man’s suit of fustian.  See Donald Read and Eric Glasgow, </w:t>
      </w:r>
      <w:r w:rsidRPr="00E63708">
        <w:rPr>
          <w:rFonts w:asciiTheme="majorBidi" w:hAnsiTheme="majorBidi" w:cstheme="majorBidi"/>
          <w:i/>
          <w:iCs/>
          <w:sz w:val="20"/>
          <w:szCs w:val="20"/>
        </w:rPr>
        <w:t>Feargus O’Connor Irishman and Chartist</w:t>
      </w:r>
      <w:r w:rsidRPr="00E63708">
        <w:rPr>
          <w:rFonts w:asciiTheme="majorBidi" w:hAnsiTheme="majorBidi" w:cstheme="majorBidi"/>
          <w:sz w:val="20"/>
          <w:szCs w:val="20"/>
        </w:rPr>
        <w:t xml:space="preserve"> (London: Arnold, 1961), pp. 68</w:t>
      </w:r>
      <w:r w:rsidRPr="00E63708">
        <w:rPr>
          <w:rFonts w:ascii="Times New Roman" w:hAnsi="Times New Roman"/>
          <w:sz w:val="20"/>
          <w:szCs w:val="20"/>
        </w:rPr>
        <w:t>–</w:t>
      </w:r>
      <w:r w:rsidRPr="00E63708">
        <w:rPr>
          <w:rFonts w:asciiTheme="majorBidi" w:hAnsiTheme="majorBidi" w:cstheme="majorBidi"/>
          <w:sz w:val="20"/>
          <w:szCs w:val="20"/>
        </w:rPr>
        <w:t>80, 96.</w:t>
      </w:r>
    </w:p>
  </w:footnote>
  <w:footnote w:id="938">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heme="majorBidi" w:hAnsiTheme="majorBidi" w:cstheme="majorBidi"/>
        </w:rPr>
        <w:t xml:space="preserve">Prothero, </w:t>
      </w:r>
      <w:r w:rsidRPr="00E63708">
        <w:rPr>
          <w:rFonts w:ascii="Times New Roman" w:hAnsi="Times New Roman"/>
        </w:rPr>
        <w:t>p. 221.</w:t>
      </w:r>
    </w:p>
  </w:footnote>
  <w:footnote w:id="939">
    <w:p w:rsidR="003515E3" w:rsidRPr="00E63708" w:rsidRDefault="003515E3" w:rsidP="00422D80">
      <w:pPr>
        <w:pStyle w:val="FootnoteText"/>
        <w:spacing w:after="0" w:line="240" w:lineRule="auto"/>
        <w:rPr>
          <w:rFonts w:ascii="Times New Roman" w:hAnsi="Times New Roman"/>
          <w:u w:val="single"/>
        </w:rPr>
      </w:pPr>
      <w:r w:rsidRPr="00E63708">
        <w:rPr>
          <w:rStyle w:val="FootnoteReference"/>
          <w:rFonts w:ascii="Times New Roman" w:hAnsi="Times New Roman"/>
        </w:rPr>
        <w:footnoteRef/>
      </w:r>
      <w:r w:rsidRPr="00E63708">
        <w:rPr>
          <w:rFonts w:ascii="Times New Roman" w:hAnsi="Times New Roman"/>
        </w:rPr>
        <w:t xml:space="preserve"> Louis James dates the final number of volume 4 of </w:t>
      </w:r>
      <w:r w:rsidRPr="00E63708">
        <w:rPr>
          <w:rFonts w:ascii="Times New Roman" w:hAnsi="Times New Roman"/>
          <w:i/>
        </w:rPr>
        <w:t>The</w:t>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xml:space="preserve"> as 16 September 1848.  (See Louis James, ‘</w:t>
      </w:r>
      <w:r w:rsidRPr="00E63708">
        <w:rPr>
          <w:rFonts w:ascii="Times New Roman" w:hAnsi="Times New Roman"/>
          <w:i/>
        </w:rPr>
        <w:t>A Bibliography of Works by G. W. M. Reynolds’</w:t>
      </w:r>
      <w:r w:rsidRPr="00E63708">
        <w:rPr>
          <w:rFonts w:ascii="Times New Roman" w:hAnsi="Times New Roman"/>
        </w:rPr>
        <w:t xml:space="preserve">, in </w:t>
      </w:r>
      <w:r w:rsidRPr="00E63708">
        <w:rPr>
          <w:rFonts w:ascii="Times New Roman" w:hAnsi="Times New Roman"/>
          <w:i/>
        </w:rPr>
        <w:t>G. W. M. Reynolds: Nineteenth-Century Fiction, Politics, and the Press</w:t>
      </w:r>
      <w:r w:rsidRPr="00E63708">
        <w:rPr>
          <w:rFonts w:ascii="Times New Roman" w:hAnsi="Times New Roman"/>
        </w:rPr>
        <w:t xml:space="preserve">, ed. by Anne Humpherys and Louis James, pp. 273–84 (p. 275). This scene, appearing 3 numbers beforehand would have been published during August.  An example of Reynolds’s more relaxed attitude by this time is seen in the description of the supper table of the benevolent Mr West where the hearty foodstuffs are ‘flanked with two silver flagons filled with home-brewed ale’. See </w:t>
      </w:r>
      <w:r w:rsidRPr="00E63708">
        <w:rPr>
          <w:rFonts w:asciiTheme="majorBidi" w:hAnsiTheme="majorBidi" w:cstheme="majorBidi"/>
          <w:i/>
        </w:rPr>
        <w:t>Days of Hogarth</w:t>
      </w:r>
      <w:r w:rsidRPr="00E63708">
        <w:rPr>
          <w:rFonts w:asciiTheme="majorBidi" w:hAnsiTheme="majorBidi" w:cstheme="majorBidi"/>
        </w:rPr>
        <w:t>, p. 44.</w:t>
      </w:r>
    </w:p>
  </w:footnote>
  <w:footnote w:id="940">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IV, 391.</w:t>
      </w:r>
    </w:p>
  </w:footnote>
  <w:footnote w:id="941">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III, 350.</w:t>
      </w:r>
    </w:p>
  </w:footnote>
  <w:footnote w:id="942">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 50.</w:t>
      </w:r>
    </w:p>
  </w:footnote>
  <w:footnote w:id="943">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IV, 391.</w:t>
      </w:r>
    </w:p>
  </w:footnote>
  <w:footnote w:id="944">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IV, 393.</w:t>
      </w:r>
    </w:p>
  </w:footnote>
  <w:footnote w:id="945">
    <w:p w:rsidR="003515E3" w:rsidRPr="00E63708" w:rsidRDefault="003515E3" w:rsidP="00422D80">
      <w:pPr>
        <w:pStyle w:val="FootnoteText"/>
        <w:spacing w:after="0" w:line="240" w:lineRule="auto"/>
      </w:pPr>
      <w:r w:rsidRPr="00E63708">
        <w:rPr>
          <w:rStyle w:val="FootnoteReference"/>
          <w:rFonts w:asciiTheme="majorBidi" w:hAnsiTheme="majorBidi" w:cstheme="majorBidi"/>
        </w:rPr>
        <w:footnoteRef/>
      </w:r>
      <w:r w:rsidRPr="00E63708">
        <w:rPr>
          <w:rFonts w:asciiTheme="majorBidi" w:hAnsiTheme="majorBidi" w:cstheme="majorBidi"/>
        </w:rPr>
        <w:t xml:space="preserve"> Joyce Marlow discusses the reports of the press regarding the numbers of participants and the general</w:t>
      </w:r>
      <w:r w:rsidRPr="00E63708">
        <w:rPr>
          <w:rFonts w:ascii="Times New Roman" w:hAnsi="Times New Roman"/>
        </w:rPr>
        <w:t xml:space="preserve"> agreement over and surprise towards the good behaviour of those involved.  See Joyce Marlow, </w:t>
      </w:r>
      <w:r w:rsidRPr="00E63708">
        <w:rPr>
          <w:rFonts w:ascii="Times New Roman" w:hAnsi="Times New Roman"/>
          <w:i/>
        </w:rPr>
        <w:t>The Tolpuddle Martyrs</w:t>
      </w:r>
      <w:r w:rsidRPr="00E63708">
        <w:rPr>
          <w:rFonts w:ascii="Times New Roman" w:hAnsi="Times New Roman"/>
        </w:rPr>
        <w:t xml:space="preserve"> (London: Deutsch, 1972), pp. 129–30.</w:t>
      </w:r>
    </w:p>
  </w:footnote>
  <w:footnote w:id="946">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Prothero, p. 229.</w:t>
      </w:r>
    </w:p>
  </w:footnote>
  <w:footnote w:id="947">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Henry Mayhew, </w:t>
      </w:r>
      <w:r w:rsidRPr="00E63708">
        <w:rPr>
          <w:rFonts w:ascii="Times New Roman" w:hAnsi="Times New Roman"/>
          <w:i/>
        </w:rPr>
        <w:t>The Morning Chronicle Survey of Labour and the Poor: The Metropolitan Districts</w:t>
      </w:r>
      <w:r w:rsidRPr="00E63708">
        <w:rPr>
          <w:rFonts w:ascii="Times New Roman" w:hAnsi="Times New Roman"/>
        </w:rPr>
        <w:t>, 6 vols (Horsham: Caliban Books, 1980–82), II (1981), 150.</w:t>
      </w:r>
    </w:p>
  </w:footnote>
  <w:footnote w:id="948">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Morning Chronicle Survey of Labour and the Poor</w:t>
      </w:r>
      <w:r w:rsidRPr="00E63708">
        <w:rPr>
          <w:rFonts w:ascii="Times New Roman" w:hAnsi="Times New Roman"/>
        </w:rPr>
        <w:t>, II, 150–51.</w:t>
      </w:r>
    </w:p>
  </w:footnote>
  <w:footnote w:id="949">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 156.</w:t>
      </w:r>
    </w:p>
  </w:footnote>
  <w:footnote w:id="950">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 156.</w:t>
      </w:r>
    </w:p>
  </w:footnote>
  <w:footnote w:id="951">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 146.</w:t>
      </w:r>
    </w:p>
  </w:footnote>
  <w:footnote w:id="952">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To some extent this passage must be seen as self-promotion by Reynolds since he was foreign editor of the </w:t>
      </w:r>
      <w:r w:rsidRPr="00E63708">
        <w:rPr>
          <w:rFonts w:ascii="Times New Roman" w:hAnsi="Times New Roman"/>
          <w:i/>
        </w:rPr>
        <w:t>Weekly Dispatch</w:t>
      </w:r>
      <w:r w:rsidRPr="00E63708">
        <w:rPr>
          <w:rFonts w:ascii="Times New Roman" w:hAnsi="Times New Roman"/>
        </w:rPr>
        <w:t xml:space="preserve"> at this time.  Andrew King notes he held the post from 1842–48.  See King, ‘</w:t>
      </w:r>
      <w:r w:rsidRPr="00E63708">
        <w:rPr>
          <w:rFonts w:ascii="Times New Roman" w:hAnsi="Times New Roman"/>
          <w:i/>
        </w:rPr>
        <w:t>Reynolds’s Miscellany</w:t>
      </w:r>
      <w:r w:rsidRPr="00E63708">
        <w:rPr>
          <w:rFonts w:ascii="Times New Roman" w:hAnsi="Times New Roman"/>
        </w:rPr>
        <w:t>, 1846</w:t>
      </w:r>
      <w:r w:rsidRPr="00E63708">
        <w:rPr>
          <w:rFonts w:ascii="Times New Roman" w:hAnsi="Times New Roman"/>
          <w:i/>
        </w:rPr>
        <w:t>–</w:t>
      </w:r>
      <w:r w:rsidRPr="00E63708">
        <w:rPr>
          <w:rFonts w:ascii="Times New Roman" w:hAnsi="Times New Roman"/>
        </w:rPr>
        <w:t>1849: Advertising Networks and Politics’, p. 67.</w:t>
      </w:r>
    </w:p>
  </w:footnote>
  <w:footnote w:id="953">
    <w:p w:rsidR="003515E3" w:rsidRPr="00E63708" w:rsidRDefault="003515E3" w:rsidP="00422D80">
      <w:pPr>
        <w:spacing w:after="0" w:line="240" w:lineRule="auto"/>
        <w:rPr>
          <w:sz w:val="20"/>
          <w:szCs w:val="20"/>
        </w:rPr>
      </w:pPr>
      <w:r w:rsidRPr="00E63708">
        <w:rPr>
          <w:rStyle w:val="FootnoteReference"/>
          <w:rFonts w:ascii="Times New Roman" w:hAnsi="Times New Roman"/>
          <w:sz w:val="20"/>
          <w:szCs w:val="20"/>
        </w:rPr>
        <w:footnoteRef/>
      </w:r>
      <w:r w:rsidRPr="00E63708">
        <w:rPr>
          <w:rFonts w:ascii="Times New Roman" w:hAnsi="Times New Roman" w:cs="Times New Roman"/>
          <w:sz w:val="20"/>
          <w:szCs w:val="20"/>
        </w:rPr>
        <w:t xml:space="preserve"> The </w:t>
      </w:r>
      <w:r w:rsidRPr="00E63708">
        <w:rPr>
          <w:rFonts w:ascii="Times New Roman" w:hAnsi="Times New Roman" w:cs="Times New Roman"/>
          <w:i/>
          <w:sz w:val="20"/>
          <w:szCs w:val="20"/>
        </w:rPr>
        <w:t>Newcastle Courant</w:t>
      </w:r>
      <w:r w:rsidRPr="00E63708">
        <w:rPr>
          <w:rFonts w:ascii="Times New Roman" w:hAnsi="Times New Roman" w:cs="Times New Roman"/>
          <w:sz w:val="20"/>
          <w:szCs w:val="20"/>
        </w:rPr>
        <w:t xml:space="preserve"> wrote of </w:t>
      </w:r>
      <w:r w:rsidRPr="00E63708">
        <w:rPr>
          <w:rFonts w:ascii="Times New Roman" w:hAnsi="Times New Roman" w:cs="Times New Roman"/>
          <w:i/>
          <w:sz w:val="20"/>
          <w:szCs w:val="20"/>
        </w:rPr>
        <w:t>Pickwick Abroad</w:t>
      </w:r>
      <w:r w:rsidRPr="00E63708">
        <w:rPr>
          <w:rFonts w:ascii="Times New Roman" w:hAnsi="Times New Roman" w:cs="Times New Roman"/>
          <w:sz w:val="20"/>
          <w:szCs w:val="20"/>
        </w:rPr>
        <w:t xml:space="preserve">, ‘The main object of the writer seems to be to laud France and the French, at the expense of England and the English.’ See Anonymous, ‘Literature’, </w:t>
      </w:r>
      <w:r w:rsidRPr="00E63708">
        <w:rPr>
          <w:rFonts w:ascii="Times New Roman" w:hAnsi="Times New Roman" w:cs="Times New Roman"/>
          <w:i/>
          <w:sz w:val="20"/>
          <w:szCs w:val="20"/>
        </w:rPr>
        <w:t>Newcastle Courant</w:t>
      </w:r>
      <w:r w:rsidRPr="00E63708">
        <w:rPr>
          <w:rFonts w:ascii="Times New Roman" w:hAnsi="Times New Roman" w:cs="Times New Roman"/>
          <w:sz w:val="20"/>
          <w:szCs w:val="20"/>
        </w:rPr>
        <w:t xml:space="preserve">, 30 March 1838, p 2.  The </w:t>
      </w:r>
      <w:r w:rsidRPr="00E63708">
        <w:rPr>
          <w:rFonts w:ascii="Times New Roman" w:hAnsi="Times New Roman" w:cs="Times New Roman"/>
          <w:i/>
          <w:sz w:val="20"/>
          <w:szCs w:val="20"/>
        </w:rPr>
        <w:t>Morning Post</w:t>
      </w:r>
      <w:r w:rsidRPr="00E63708">
        <w:rPr>
          <w:rFonts w:ascii="Times New Roman" w:hAnsi="Times New Roman" w:cs="Times New Roman"/>
          <w:sz w:val="20"/>
          <w:szCs w:val="20"/>
        </w:rPr>
        <w:t xml:space="preserve"> wrote of </w:t>
      </w:r>
      <w:r w:rsidRPr="00E63708">
        <w:rPr>
          <w:rFonts w:ascii="Times New Roman" w:hAnsi="Times New Roman" w:cs="Times New Roman"/>
          <w:i/>
          <w:sz w:val="20"/>
          <w:szCs w:val="20"/>
        </w:rPr>
        <w:t>Robert Macaire</w:t>
      </w:r>
      <w:r w:rsidRPr="00E63708">
        <w:rPr>
          <w:rFonts w:ascii="Times New Roman" w:hAnsi="Times New Roman" w:cs="Times New Roman"/>
          <w:sz w:val="20"/>
          <w:szCs w:val="20"/>
        </w:rPr>
        <w:t xml:space="preserve">: ‘The author is evidently an enthusiastic admirer of everything French, and has a profound contempt for everything English’.  See Anonymous, ‘Literature’, </w:t>
      </w:r>
      <w:r w:rsidRPr="00E63708">
        <w:rPr>
          <w:rFonts w:ascii="Times New Roman" w:hAnsi="Times New Roman" w:cs="Times New Roman"/>
          <w:i/>
          <w:iCs/>
          <w:sz w:val="20"/>
          <w:szCs w:val="20"/>
        </w:rPr>
        <w:t>Morning Post</w:t>
      </w:r>
      <w:r w:rsidRPr="00E63708">
        <w:rPr>
          <w:rFonts w:ascii="Times New Roman" w:hAnsi="Times New Roman" w:cs="Times New Roman"/>
          <w:sz w:val="20"/>
          <w:szCs w:val="20"/>
        </w:rPr>
        <w:t>, 19 December 1840, p. 3.</w:t>
      </w:r>
    </w:p>
  </w:footnote>
  <w:footnote w:id="954">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The Grand Duke Angelo III calls upon the support of Austrian troops to put down all opposition.  This results in Richard’s decision to lead the rebellion.  See </w:t>
      </w:r>
      <w:r w:rsidRPr="00E63708">
        <w:rPr>
          <w:rFonts w:ascii="Times New Roman" w:hAnsi="Times New Roman"/>
          <w:i/>
        </w:rPr>
        <w:t>Mysteries of London</w:t>
      </w:r>
      <w:r w:rsidRPr="00E63708">
        <w:rPr>
          <w:rFonts w:ascii="Times New Roman" w:hAnsi="Times New Roman"/>
        </w:rPr>
        <w:t>, II, 156, 311.</w:t>
      </w:r>
    </w:p>
  </w:footnote>
  <w:footnote w:id="955">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IV, 199.</w:t>
      </w:r>
    </w:p>
  </w:footnote>
  <w:footnote w:id="956">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IV, 199.</w:t>
      </w:r>
    </w:p>
  </w:footnote>
  <w:footnote w:id="957">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In public meetings, Reynolds called for British troops to be sent to combat Russian and Austrian tyranny and support the struggle for Hungarian independence.  See Anonymous, </w:t>
      </w:r>
      <w:r w:rsidRPr="00E63708">
        <w:rPr>
          <w:rStyle w:val="mini"/>
          <w:rFonts w:asciiTheme="majorBidi" w:hAnsiTheme="majorBidi" w:cstheme="majorBidi"/>
        </w:rPr>
        <w:t xml:space="preserve">‘Rome and Hungary’, </w:t>
      </w:r>
      <w:r w:rsidRPr="00E63708">
        <w:rPr>
          <w:rStyle w:val="mini"/>
          <w:rFonts w:ascii="Times New Roman" w:hAnsi="Times New Roman"/>
          <w:i/>
          <w:iCs/>
        </w:rPr>
        <w:t>Northern Star and National Trades' Journal</w:t>
      </w:r>
      <w:r w:rsidRPr="00E63708">
        <w:rPr>
          <w:rFonts w:ascii="Times New Roman" w:hAnsi="Times New Roman"/>
        </w:rPr>
        <w:t xml:space="preserve">, 28 </w:t>
      </w:r>
      <w:r w:rsidRPr="00E63708">
        <w:rPr>
          <w:rStyle w:val="mini"/>
          <w:rFonts w:asciiTheme="majorBidi" w:hAnsiTheme="majorBidi" w:cstheme="majorBidi"/>
        </w:rPr>
        <w:t xml:space="preserve">July 1849, p. 5; and </w:t>
      </w:r>
      <w:r w:rsidRPr="00E63708">
        <w:rPr>
          <w:rFonts w:ascii="Times New Roman" w:hAnsi="Times New Roman"/>
        </w:rPr>
        <w:t xml:space="preserve">Anonymous, </w:t>
      </w:r>
      <w:r w:rsidRPr="00E63708">
        <w:rPr>
          <w:rStyle w:val="mini"/>
          <w:rFonts w:asciiTheme="majorBidi" w:hAnsiTheme="majorBidi" w:cstheme="majorBidi"/>
        </w:rPr>
        <w:t>‘Hungarian Independence’,</w:t>
      </w:r>
      <w:r w:rsidRPr="00E63708">
        <w:rPr>
          <w:rStyle w:val="mini"/>
          <w:rFonts w:asciiTheme="majorBidi" w:hAnsiTheme="majorBidi" w:cstheme="majorBidi"/>
          <w:i/>
          <w:iCs/>
        </w:rPr>
        <w:t xml:space="preserve"> </w:t>
      </w:r>
      <w:r w:rsidRPr="00E63708">
        <w:rPr>
          <w:rStyle w:val="mini"/>
          <w:rFonts w:ascii="Times New Roman" w:hAnsi="Times New Roman"/>
          <w:i/>
          <w:iCs/>
        </w:rPr>
        <w:t>Northern Star and National Trades' Journal</w:t>
      </w:r>
      <w:r w:rsidRPr="00E63708">
        <w:rPr>
          <w:rFonts w:ascii="Times New Roman" w:hAnsi="Times New Roman"/>
        </w:rPr>
        <w:t xml:space="preserve">, 28 </w:t>
      </w:r>
      <w:r w:rsidRPr="00E63708">
        <w:rPr>
          <w:rStyle w:val="mini"/>
          <w:rFonts w:asciiTheme="majorBidi" w:hAnsiTheme="majorBidi" w:cstheme="majorBidi"/>
        </w:rPr>
        <w:t>July 1849, p. 8</w:t>
      </w:r>
      <w:r w:rsidRPr="00E63708">
        <w:rPr>
          <w:rFonts w:ascii="Times New Roman" w:hAnsi="Times New Roman"/>
        </w:rPr>
        <w:t>.</w:t>
      </w:r>
    </w:p>
  </w:footnote>
  <w:footnote w:id="958">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Reynolds writes: ‘The Revolution of 1830, in extending the liberties of France, has formed a bourgeoisie whose will is the government of the country, whose name becomes daily more respectable, and whose numerical force is rapidly increasing.’  See </w:t>
      </w:r>
      <w:r w:rsidRPr="00E63708">
        <w:rPr>
          <w:rFonts w:ascii="Times New Roman" w:hAnsi="Times New Roman"/>
          <w:i/>
        </w:rPr>
        <w:t>Pickwick Abroad</w:t>
      </w:r>
      <w:r w:rsidRPr="00E63708">
        <w:rPr>
          <w:rFonts w:ascii="Times New Roman" w:hAnsi="Times New Roman"/>
        </w:rPr>
        <w:t>, p. 233.</w:t>
      </w:r>
    </w:p>
  </w:footnote>
  <w:footnote w:id="959">
    <w:p w:rsidR="003515E3" w:rsidRPr="00E63708" w:rsidRDefault="003515E3" w:rsidP="00422D80">
      <w:pPr>
        <w:spacing w:after="0" w:line="240" w:lineRule="auto"/>
        <w:rPr>
          <w:sz w:val="20"/>
          <w:szCs w:val="20"/>
        </w:rPr>
      </w:pPr>
      <w:r w:rsidRPr="00E63708">
        <w:rPr>
          <w:rStyle w:val="FootnoteReference"/>
          <w:rFonts w:asciiTheme="majorBidi" w:hAnsiTheme="majorBidi" w:cstheme="majorBidi"/>
          <w:sz w:val="20"/>
          <w:szCs w:val="20"/>
        </w:rPr>
        <w:footnoteRef/>
      </w:r>
      <w:r w:rsidRPr="00E63708">
        <w:rPr>
          <w:rFonts w:asciiTheme="majorBidi" w:hAnsiTheme="majorBidi" w:cstheme="majorBidi"/>
          <w:sz w:val="20"/>
          <w:szCs w:val="20"/>
        </w:rPr>
        <w:t xml:space="preserve"> </w:t>
      </w:r>
      <w:r w:rsidRPr="00E63708">
        <w:rPr>
          <w:rFonts w:asciiTheme="majorBidi" w:hAnsiTheme="majorBidi" w:cstheme="majorBidi"/>
          <w:bCs/>
          <w:i/>
          <w:sz w:val="20"/>
          <w:szCs w:val="20"/>
        </w:rPr>
        <w:t>Alfred</w:t>
      </w:r>
      <w:r w:rsidRPr="00E63708">
        <w:rPr>
          <w:rFonts w:asciiTheme="majorBidi" w:hAnsiTheme="majorBidi" w:cstheme="majorBidi"/>
          <w:bCs/>
          <w:sz w:val="20"/>
          <w:szCs w:val="20"/>
        </w:rPr>
        <w:t>, p. 172.</w:t>
      </w:r>
    </w:p>
  </w:footnote>
  <w:footnote w:id="960">
    <w:p w:rsidR="003515E3" w:rsidRPr="00E63708" w:rsidRDefault="003515E3" w:rsidP="00422D80">
      <w:pPr>
        <w:spacing w:after="0" w:line="240" w:lineRule="auto"/>
        <w:rPr>
          <w:sz w:val="20"/>
          <w:szCs w:val="20"/>
        </w:rPr>
      </w:pPr>
      <w:r w:rsidRPr="00E63708">
        <w:rPr>
          <w:rStyle w:val="FootnoteReference"/>
          <w:rFonts w:asciiTheme="majorBidi" w:hAnsiTheme="majorBidi" w:cstheme="majorBidi"/>
          <w:sz w:val="20"/>
          <w:szCs w:val="20"/>
        </w:rPr>
        <w:footnoteRef/>
      </w:r>
      <w:r w:rsidRPr="00E63708">
        <w:rPr>
          <w:rFonts w:asciiTheme="majorBidi" w:hAnsiTheme="majorBidi" w:cstheme="majorBidi"/>
          <w:sz w:val="20"/>
          <w:szCs w:val="20"/>
        </w:rPr>
        <w:t xml:space="preserve"> Engels writes: ‘It is said on the Continent that the English, and especially the working-men, are cowardly, that they cannot carry out a revolution because, unlike the French, they do not riot at intervals, because they apparently accept the bourgeois </w:t>
      </w:r>
      <w:r w:rsidRPr="00E63708">
        <w:rPr>
          <w:rFonts w:asciiTheme="majorBidi" w:hAnsiTheme="majorBidi" w:cstheme="majorBidi"/>
          <w:i/>
          <w:sz w:val="20"/>
          <w:szCs w:val="20"/>
        </w:rPr>
        <w:t>regime</w:t>
      </w:r>
      <w:r w:rsidRPr="00E63708">
        <w:rPr>
          <w:rFonts w:asciiTheme="majorBidi" w:hAnsiTheme="majorBidi" w:cstheme="majorBidi"/>
          <w:sz w:val="20"/>
          <w:szCs w:val="20"/>
        </w:rPr>
        <w:t xml:space="preserve"> so quietly.  This is a complete mistake.  The English working-men are second to none in courage; they are quite as restless as the French, but they fight differently.’  See </w:t>
      </w:r>
      <w:r w:rsidRPr="00E63708">
        <w:rPr>
          <w:rFonts w:asciiTheme="majorBidi" w:hAnsiTheme="majorBidi" w:cstheme="majorBidi"/>
          <w:bCs/>
          <w:i/>
          <w:sz w:val="20"/>
          <w:szCs w:val="20"/>
        </w:rPr>
        <w:t>Condition of the Working Class in England</w:t>
      </w:r>
      <w:r w:rsidRPr="00E63708">
        <w:rPr>
          <w:rFonts w:asciiTheme="majorBidi" w:hAnsiTheme="majorBidi" w:cstheme="majorBidi"/>
          <w:bCs/>
          <w:sz w:val="20"/>
          <w:szCs w:val="20"/>
        </w:rPr>
        <w:t>, p. 231.</w:t>
      </w:r>
    </w:p>
  </w:footnote>
  <w:footnote w:id="961">
    <w:p w:rsidR="003515E3" w:rsidRPr="00E63708" w:rsidRDefault="003515E3" w:rsidP="00422D80">
      <w:pPr>
        <w:pStyle w:val="FootnoteText"/>
        <w:spacing w:after="0" w:line="240" w:lineRule="auto"/>
        <w:rPr>
          <w:rFonts w:ascii="Times New Roman" w:hAnsi="Times New Roman"/>
        </w:rPr>
      </w:pPr>
      <w:r w:rsidRPr="00293EDA">
        <w:rPr>
          <w:rStyle w:val="FootnoteReference"/>
          <w:rFonts w:ascii="Times New Roman" w:hAnsi="Times New Roman"/>
        </w:rPr>
        <w:footnoteRef/>
      </w:r>
      <w:r w:rsidRPr="00293EDA">
        <w:rPr>
          <w:rFonts w:ascii="Times New Roman" w:hAnsi="Times New Roman"/>
        </w:rPr>
        <w:t xml:space="preserve"> Regarded here in line with Gerard Genette’s definition as those elements that surround and extend a text,</w:t>
      </w:r>
      <w:r w:rsidRPr="00E63708">
        <w:rPr>
          <w:rFonts w:ascii="Times New Roman" w:hAnsi="Times New Roman"/>
        </w:rPr>
        <w:t xml:space="preserve"> </w:t>
      </w:r>
      <w:r w:rsidRPr="00293EDA">
        <w:rPr>
          <w:rFonts w:ascii="Times New Roman" w:hAnsi="Times New Roman"/>
        </w:rPr>
        <w:t>serving to reinforce its central message.  Genette does not specify footnotes but like those he includes such as prefaces, titles and advertisements, they are separated from the main text and stray away from the narrative by</w:t>
      </w:r>
      <w:r w:rsidRPr="00E63708">
        <w:rPr>
          <w:rFonts w:ascii="Times New Roman" w:hAnsi="Times New Roman"/>
        </w:rPr>
        <w:t xml:space="preserve"> introducing wider social and political issues.  See Gerard Genette, </w:t>
      </w:r>
      <w:r w:rsidRPr="00E63708">
        <w:rPr>
          <w:rFonts w:ascii="Times New Roman" w:hAnsi="Times New Roman"/>
          <w:i/>
        </w:rPr>
        <w:t>Parataxis Thresholds of Interpretation</w:t>
      </w:r>
      <w:r w:rsidRPr="00E63708">
        <w:rPr>
          <w:rFonts w:ascii="Times New Roman" w:hAnsi="Times New Roman"/>
        </w:rPr>
        <w:t>, trans. by Jane E. Lewin (Cambridge: Cambridge University Press, 1997), pp. 1–2.</w:t>
      </w:r>
    </w:p>
  </w:footnote>
  <w:footnote w:id="962">
    <w:p w:rsidR="003515E3" w:rsidRPr="00E63708" w:rsidRDefault="003515E3" w:rsidP="00422D80">
      <w:pPr>
        <w:pStyle w:val="FootnoteText"/>
        <w:spacing w:after="0" w:line="240" w:lineRule="auto"/>
        <w:rPr>
          <w:rFonts w:ascii="Times New Roman" w:hAnsi="Times New Roman"/>
        </w:rPr>
      </w:pPr>
      <w:r w:rsidRPr="00293EDA">
        <w:rPr>
          <w:rStyle w:val="FootnoteReference"/>
          <w:rFonts w:ascii="Times New Roman" w:hAnsi="Times New Roman"/>
        </w:rPr>
        <w:footnoteRef/>
      </w:r>
      <w:r w:rsidRPr="00293EDA">
        <w:rPr>
          <w:rFonts w:ascii="Times New Roman" w:hAnsi="Times New Roman"/>
        </w:rPr>
        <w:t xml:space="preserve"> Quoted in </w:t>
      </w:r>
      <w:r w:rsidRPr="00293EDA">
        <w:rPr>
          <w:rFonts w:ascii="Times New Roman" w:hAnsi="Times New Roman"/>
          <w:i/>
        </w:rPr>
        <w:t>Mysteries of London</w:t>
      </w:r>
      <w:r w:rsidRPr="00293EDA">
        <w:rPr>
          <w:rFonts w:ascii="Times New Roman" w:hAnsi="Times New Roman"/>
        </w:rPr>
        <w:t>, IV, 201.</w:t>
      </w:r>
    </w:p>
  </w:footnote>
  <w:footnote w:id="963">
    <w:p w:rsidR="003515E3" w:rsidRPr="009331EF" w:rsidRDefault="003515E3" w:rsidP="00422D80">
      <w:pPr>
        <w:spacing w:after="0" w:line="240" w:lineRule="auto"/>
        <w:rPr>
          <w:rFonts w:ascii="Times New Roman" w:hAnsi="Times New Roman" w:cs="Times New Roman"/>
          <w:sz w:val="20"/>
          <w:szCs w:val="20"/>
        </w:rPr>
      </w:pPr>
      <w:r w:rsidRPr="00E63708">
        <w:rPr>
          <w:rStyle w:val="FootnoteReference"/>
          <w:rFonts w:asciiTheme="majorBidi" w:hAnsiTheme="majorBidi" w:cstheme="majorBidi"/>
          <w:sz w:val="20"/>
          <w:szCs w:val="20"/>
        </w:rPr>
        <w:footnoteRef/>
      </w:r>
      <w:r w:rsidRPr="00E63708">
        <w:rPr>
          <w:rFonts w:asciiTheme="majorBidi" w:hAnsiTheme="majorBidi" w:cstheme="majorBidi"/>
          <w:sz w:val="20"/>
          <w:szCs w:val="20"/>
        </w:rPr>
        <w:t xml:space="preserve"> This replays an incident during the July Days of 1830: </w:t>
      </w:r>
      <w:r w:rsidRPr="00E63708">
        <w:rPr>
          <w:rFonts w:ascii="Times New Roman" w:hAnsi="Times New Roman" w:cs="Times New Roman"/>
          <w:sz w:val="20"/>
          <w:szCs w:val="20"/>
        </w:rPr>
        <w:t>‘it is a well-substantiated fact that the most</w:t>
      </w:r>
      <w:r w:rsidRPr="00E63708">
        <w:rPr>
          <w:sz w:val="20"/>
          <w:szCs w:val="20"/>
        </w:rPr>
        <w:t xml:space="preserve"> </w:t>
      </w:r>
      <w:r w:rsidRPr="00E63708">
        <w:rPr>
          <w:rFonts w:ascii="Times New Roman" w:hAnsi="Times New Roman" w:cs="Times New Roman"/>
          <w:sz w:val="20"/>
          <w:szCs w:val="20"/>
        </w:rPr>
        <w:t xml:space="preserve">indigent and </w:t>
      </w:r>
      <w:r w:rsidRPr="009331EF">
        <w:rPr>
          <w:rFonts w:ascii="Times New Roman" w:hAnsi="Times New Roman" w:cs="Times New Roman"/>
          <w:sz w:val="20"/>
          <w:szCs w:val="20"/>
        </w:rPr>
        <w:t xml:space="preserve">poverty-stricken of the sentries placed in different directions, not only refrained from touching a jewel of the smallest value, but also threatened to put to death any one who attempted to take advantage of the tumult, and appropriate the wealth he might find in the palace of the Tuileries to his own use’.  See </w:t>
      </w:r>
      <w:r w:rsidRPr="009331EF">
        <w:rPr>
          <w:rFonts w:ascii="Times New Roman" w:hAnsi="Times New Roman" w:cs="Times New Roman"/>
          <w:bCs/>
          <w:i/>
          <w:sz w:val="20"/>
          <w:szCs w:val="20"/>
        </w:rPr>
        <w:t>Alfred</w:t>
      </w:r>
      <w:r w:rsidRPr="009331EF">
        <w:rPr>
          <w:rFonts w:ascii="Times New Roman" w:hAnsi="Times New Roman" w:cs="Times New Roman"/>
          <w:bCs/>
          <w:sz w:val="20"/>
          <w:szCs w:val="20"/>
        </w:rPr>
        <w:t>, p. 224.</w:t>
      </w:r>
    </w:p>
  </w:footnote>
  <w:footnote w:id="964">
    <w:p w:rsidR="003515E3" w:rsidRPr="00E63708"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Quoted in </w:t>
      </w:r>
      <w:r w:rsidRPr="009331EF">
        <w:rPr>
          <w:rFonts w:ascii="Times New Roman" w:hAnsi="Times New Roman"/>
          <w:i/>
        </w:rPr>
        <w:t>Mysteries of London</w:t>
      </w:r>
      <w:r w:rsidRPr="009331EF">
        <w:rPr>
          <w:rFonts w:ascii="Times New Roman" w:hAnsi="Times New Roman"/>
        </w:rPr>
        <w:t>, IV, 202.</w:t>
      </w:r>
    </w:p>
  </w:footnote>
  <w:footnote w:id="965">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Shannon, p. </w:t>
      </w:r>
      <w:r>
        <w:rPr>
          <w:rFonts w:ascii="Times New Roman" w:hAnsi="Times New Roman"/>
        </w:rPr>
        <w:t>8</w:t>
      </w:r>
      <w:r w:rsidRPr="00E63708">
        <w:rPr>
          <w:rFonts w:ascii="Times New Roman" w:hAnsi="Times New Roman"/>
        </w:rPr>
        <w:t xml:space="preserve">1.  </w:t>
      </w:r>
      <w:r>
        <w:rPr>
          <w:rFonts w:ascii="Times New Roman" w:hAnsi="Times New Roman"/>
        </w:rPr>
        <w:t>For S</w:t>
      </w:r>
      <w:r w:rsidRPr="00E63708">
        <w:rPr>
          <w:rFonts w:ascii="Times New Roman" w:hAnsi="Times New Roman"/>
        </w:rPr>
        <w:t>hannon</w:t>
      </w:r>
      <w:r>
        <w:rPr>
          <w:rFonts w:ascii="Times New Roman" w:hAnsi="Times New Roman"/>
        </w:rPr>
        <w:t>’s detailed analysis of Reynolds’s use of paratext and narrative digression in presenting the Trafalgar Square meeting, see Shannon, pp. 77</w:t>
      </w:r>
      <w:r w:rsidRPr="00E63708">
        <w:rPr>
          <w:rFonts w:ascii="Times New Roman" w:hAnsi="Times New Roman"/>
        </w:rPr>
        <w:t>–</w:t>
      </w:r>
      <w:r>
        <w:rPr>
          <w:rFonts w:ascii="Times New Roman" w:hAnsi="Times New Roman"/>
        </w:rPr>
        <w:t>82.</w:t>
      </w:r>
    </w:p>
  </w:footnote>
  <w:footnote w:id="966">
    <w:p w:rsidR="003515E3" w:rsidRPr="009331EF" w:rsidRDefault="003515E3" w:rsidP="00422D80">
      <w:pPr>
        <w:pStyle w:val="FootnoteText"/>
        <w:spacing w:after="0" w:line="240" w:lineRule="auto"/>
        <w:rPr>
          <w:rFonts w:ascii="Times New Roman" w:hAnsi="Times New Roman"/>
        </w:rPr>
      </w:pPr>
      <w:r w:rsidRPr="00C11ACB">
        <w:rPr>
          <w:rStyle w:val="FootnoteReference"/>
          <w:rFonts w:ascii="Times New Roman" w:hAnsi="Times New Roman"/>
        </w:rPr>
        <w:footnoteRef/>
      </w:r>
      <w:r w:rsidRPr="00C11ACB">
        <w:rPr>
          <w:rFonts w:ascii="Times New Roman" w:hAnsi="Times New Roman"/>
        </w:rPr>
        <w:t xml:space="preserve"> Quoted </w:t>
      </w:r>
      <w:r w:rsidRPr="009331EF">
        <w:rPr>
          <w:rFonts w:ascii="Times New Roman" w:hAnsi="Times New Roman"/>
        </w:rPr>
        <w:t xml:space="preserve">in </w:t>
      </w:r>
      <w:r w:rsidRPr="009331EF">
        <w:rPr>
          <w:rFonts w:ascii="Times New Roman" w:hAnsi="Times New Roman"/>
          <w:i/>
        </w:rPr>
        <w:t>Mysteries of London</w:t>
      </w:r>
      <w:r w:rsidRPr="009331EF">
        <w:rPr>
          <w:rFonts w:ascii="Times New Roman" w:hAnsi="Times New Roman"/>
        </w:rPr>
        <w:t>, IV, 202.</w:t>
      </w:r>
    </w:p>
  </w:footnote>
  <w:footnote w:id="967">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rPr>
        <w:t>Mysteries of London</w:t>
      </w:r>
      <w:r w:rsidRPr="009331EF">
        <w:rPr>
          <w:rFonts w:ascii="Times New Roman" w:hAnsi="Times New Roman"/>
        </w:rPr>
        <w:t>, IV, 201–02.</w:t>
      </w:r>
    </w:p>
  </w:footnote>
  <w:footnote w:id="968">
    <w:p w:rsidR="003515E3" w:rsidRPr="00E63708"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In France, Reynolds eagerly anticipated the triumph of ‘Red Republican and Socialist spirit’ against the military measure taken by ‘Monkey Bonaparte’ and ‘the scoundrel-upholders of tyranny and oppression’.  See G. W. M. Reynolds, ‘The Good Cause’, </w:t>
      </w:r>
      <w:r w:rsidRPr="009331EF">
        <w:rPr>
          <w:rFonts w:ascii="Times New Roman" w:hAnsi="Times New Roman"/>
          <w:i/>
        </w:rPr>
        <w:t xml:space="preserve">Reynolds’s </w:t>
      </w:r>
      <w:r w:rsidRPr="009331EF">
        <w:rPr>
          <w:rFonts w:asciiTheme="majorBidi" w:hAnsiTheme="majorBidi" w:cstheme="majorBidi"/>
          <w:i/>
        </w:rPr>
        <w:t>P</w:t>
      </w:r>
      <w:r w:rsidRPr="009331EF">
        <w:rPr>
          <w:rFonts w:ascii="Times New Roman" w:hAnsi="Times New Roman"/>
          <w:i/>
        </w:rPr>
        <w:t>olitical Instructor</w:t>
      </w:r>
      <w:r w:rsidRPr="009331EF">
        <w:rPr>
          <w:rFonts w:ascii="Times New Roman" w:hAnsi="Times New Roman"/>
        </w:rPr>
        <w:t>, 16 March 1850, p. 146.</w:t>
      </w:r>
    </w:p>
  </w:footnote>
  <w:footnote w:id="969">
    <w:p w:rsidR="003515E3" w:rsidRPr="009331EF" w:rsidRDefault="003515E3" w:rsidP="00422D80">
      <w:pPr>
        <w:spacing w:after="0" w:line="240" w:lineRule="auto"/>
        <w:rPr>
          <w:rFonts w:ascii="Times New Roman" w:hAnsi="Times New Roman" w:cs="Times New Roman"/>
          <w:sz w:val="20"/>
          <w:szCs w:val="20"/>
        </w:rPr>
      </w:pPr>
      <w:r w:rsidRPr="00004D65">
        <w:rPr>
          <w:rStyle w:val="FootnoteReference"/>
          <w:rFonts w:ascii="Times New Roman" w:hAnsi="Times New Roman" w:cs="Times New Roman"/>
          <w:sz w:val="20"/>
          <w:szCs w:val="20"/>
        </w:rPr>
        <w:footnoteRef/>
      </w:r>
      <w:r w:rsidRPr="00004D65">
        <w:rPr>
          <w:rFonts w:ascii="Times New Roman" w:hAnsi="Times New Roman" w:cs="Times New Roman"/>
          <w:sz w:val="20"/>
          <w:szCs w:val="20"/>
        </w:rPr>
        <w:t xml:space="preserve"> The </w:t>
      </w:r>
      <w:r w:rsidRPr="009331EF">
        <w:rPr>
          <w:rFonts w:ascii="Times New Roman" w:hAnsi="Times New Roman" w:cs="Times New Roman"/>
          <w:sz w:val="20"/>
          <w:szCs w:val="20"/>
        </w:rPr>
        <w:t xml:space="preserve">article presents illustrations from the </w:t>
      </w:r>
      <w:r w:rsidRPr="009331EF">
        <w:rPr>
          <w:rFonts w:ascii="Times New Roman" w:hAnsi="Times New Roman" w:cs="Times New Roman"/>
          <w:i/>
          <w:sz w:val="20"/>
          <w:szCs w:val="20"/>
        </w:rPr>
        <w:t>Man in the Moon</w:t>
      </w:r>
      <w:r w:rsidRPr="009331EF">
        <w:rPr>
          <w:rFonts w:ascii="Times New Roman" w:hAnsi="Times New Roman" w:cs="Times New Roman"/>
          <w:sz w:val="20"/>
          <w:szCs w:val="20"/>
        </w:rPr>
        <w:t xml:space="preserve">, with their focus upon Reynolds, and from </w:t>
      </w:r>
      <w:r w:rsidRPr="009331EF">
        <w:rPr>
          <w:rFonts w:ascii="Times New Roman" w:hAnsi="Times New Roman" w:cs="Times New Roman"/>
          <w:i/>
          <w:sz w:val="20"/>
          <w:szCs w:val="20"/>
        </w:rPr>
        <w:t>Punch</w:t>
      </w:r>
      <w:r w:rsidRPr="009331EF">
        <w:rPr>
          <w:rFonts w:ascii="Times New Roman" w:hAnsi="Times New Roman" w:cs="Times New Roman"/>
          <w:sz w:val="20"/>
          <w:szCs w:val="20"/>
        </w:rPr>
        <w:t xml:space="preserve">, which range more widely.  See Ian Haywood, ‘George W. M. Reynolds and ‘The Trafalgar Square Revolution’: radicalism, the carnivalesque and popular culture in mid-Victorian England’, </w:t>
      </w:r>
      <w:r w:rsidRPr="009331EF">
        <w:rPr>
          <w:rFonts w:ascii="Times New Roman" w:hAnsi="Times New Roman" w:cs="Times New Roman"/>
          <w:i/>
          <w:sz w:val="20"/>
          <w:szCs w:val="20"/>
        </w:rPr>
        <w:t>Journal of Victorian Culture</w:t>
      </w:r>
      <w:r w:rsidRPr="009331EF">
        <w:rPr>
          <w:rFonts w:ascii="Times New Roman" w:hAnsi="Times New Roman" w:cs="Times New Roman"/>
          <w:sz w:val="20"/>
          <w:szCs w:val="20"/>
        </w:rPr>
        <w:t>, 7.1, 23–59 &lt;</w:t>
      </w:r>
      <w:hyperlink r:id="rId22" w:history="1">
        <w:r w:rsidRPr="009331EF">
          <w:rPr>
            <w:rStyle w:val="Hyperlink"/>
            <w:rFonts w:ascii="Times New Roman" w:hAnsi="Times New Roman" w:cs="Times New Roman"/>
            <w:color w:val="auto"/>
            <w:sz w:val="20"/>
            <w:szCs w:val="20"/>
            <w:u w:val="none"/>
          </w:rPr>
          <w:t>http://dx.doi.org/10.3366/jvc.2002.7.1.23</w:t>
        </w:r>
      </w:hyperlink>
      <w:r w:rsidRPr="009331EF">
        <w:rPr>
          <w:rStyle w:val="Hyperlink"/>
          <w:rFonts w:ascii="Times New Roman" w:hAnsi="Times New Roman" w:cs="Times New Roman"/>
          <w:color w:val="auto"/>
          <w:sz w:val="20"/>
          <w:szCs w:val="20"/>
          <w:u w:val="none"/>
        </w:rPr>
        <w:t>&gt;</w:t>
      </w:r>
      <w:r w:rsidRPr="009331EF">
        <w:rPr>
          <w:rFonts w:ascii="Times New Roman" w:hAnsi="Times New Roman" w:cs="Times New Roman"/>
          <w:sz w:val="20"/>
          <w:szCs w:val="20"/>
        </w:rPr>
        <w:t xml:space="preserve"> (p.26)</w:t>
      </w:r>
    </w:p>
  </w:footnote>
  <w:footnote w:id="970">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rPr>
        <w:t>Mysteries of London</w:t>
      </w:r>
      <w:r w:rsidRPr="009331EF">
        <w:rPr>
          <w:rFonts w:ascii="Times New Roman" w:hAnsi="Times New Roman"/>
        </w:rPr>
        <w:t>, IV, 233–34.</w:t>
      </w:r>
    </w:p>
  </w:footnote>
  <w:footnote w:id="971">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This was in contrast to the </w:t>
      </w:r>
      <w:r w:rsidRPr="009331EF">
        <w:rPr>
          <w:rFonts w:ascii="Times New Roman" w:hAnsi="Times New Roman"/>
          <w:i/>
        </w:rPr>
        <w:t>Times</w:t>
      </w:r>
      <w:r w:rsidRPr="009331EF">
        <w:rPr>
          <w:rFonts w:ascii="Times New Roman" w:hAnsi="Times New Roman"/>
        </w:rPr>
        <w:t xml:space="preserve"> which combined descriptions of the juvenile element in the rioting with an emphasis upon the widespread breaking of windows, street lamps and looting of shops.  See Anonymous, ‘The Open-Air Meeting in Trafalgar Square’, </w:t>
      </w:r>
      <w:r w:rsidRPr="009331EF">
        <w:rPr>
          <w:rFonts w:ascii="Times New Roman" w:hAnsi="Times New Roman"/>
          <w:i/>
        </w:rPr>
        <w:t>The Times</w:t>
      </w:r>
      <w:r w:rsidRPr="009331EF">
        <w:rPr>
          <w:rFonts w:ascii="Times New Roman" w:hAnsi="Times New Roman"/>
        </w:rPr>
        <w:t>, 7 March 1848, p. 8.</w:t>
      </w:r>
    </w:p>
  </w:footnote>
  <w:footnote w:id="972">
    <w:p w:rsidR="003515E3" w:rsidRPr="00004D65"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rPr>
        <w:t>Mysteries of London</w:t>
      </w:r>
      <w:r w:rsidRPr="009331EF">
        <w:rPr>
          <w:rFonts w:ascii="Times New Roman" w:hAnsi="Times New Roman"/>
        </w:rPr>
        <w:t>, IV, 37.</w:t>
      </w:r>
    </w:p>
  </w:footnote>
  <w:footnote w:id="973">
    <w:p w:rsidR="003515E3" w:rsidRPr="009331EF" w:rsidRDefault="003515E3" w:rsidP="00422D80">
      <w:pPr>
        <w:pStyle w:val="FootnoteText"/>
        <w:spacing w:after="0" w:line="240" w:lineRule="auto"/>
        <w:rPr>
          <w:rFonts w:ascii="Times New Roman" w:hAnsi="Times New Roman"/>
        </w:rPr>
      </w:pPr>
      <w:r w:rsidRPr="0036169F">
        <w:rPr>
          <w:rStyle w:val="FootnoteReference"/>
          <w:rFonts w:ascii="Times New Roman" w:hAnsi="Times New Roman"/>
        </w:rPr>
        <w:footnoteRef/>
      </w:r>
      <w:r w:rsidRPr="0036169F">
        <w:rPr>
          <w:rFonts w:ascii="Times New Roman" w:hAnsi="Times New Roman"/>
        </w:rPr>
        <w:t xml:space="preserve"> For Devilsdust, see </w:t>
      </w:r>
      <w:r w:rsidRPr="0036169F">
        <w:rPr>
          <w:rFonts w:ascii="Times New Roman" w:hAnsi="Times New Roman"/>
          <w:i/>
        </w:rPr>
        <w:t>Sybil</w:t>
      </w:r>
      <w:r w:rsidRPr="0036169F">
        <w:rPr>
          <w:rFonts w:ascii="Times New Roman" w:hAnsi="Times New Roman"/>
        </w:rPr>
        <w:t xml:space="preserve">, p. 99.  For </w:t>
      </w:r>
      <w:r w:rsidRPr="009331EF">
        <w:rPr>
          <w:rFonts w:ascii="Times New Roman" w:hAnsi="Times New Roman"/>
        </w:rPr>
        <w:t xml:space="preserve">an example of Higgins’s arguments upon strikes and the manufacturers, see </w:t>
      </w:r>
      <w:r w:rsidRPr="009331EF">
        <w:rPr>
          <w:rFonts w:ascii="Times New Roman" w:hAnsi="Times New Roman"/>
          <w:i/>
        </w:rPr>
        <w:t>North and South</w:t>
      </w:r>
      <w:r w:rsidRPr="009331EF">
        <w:rPr>
          <w:rFonts w:ascii="Times New Roman" w:hAnsi="Times New Roman"/>
        </w:rPr>
        <w:t>, pp. 133–35.</w:t>
      </w:r>
    </w:p>
  </w:footnote>
  <w:footnote w:id="974">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For Ellingham’s proposals, see </w:t>
      </w:r>
      <w:r w:rsidRPr="009331EF">
        <w:rPr>
          <w:rFonts w:ascii="Times New Roman" w:hAnsi="Times New Roman"/>
          <w:i/>
        </w:rPr>
        <w:t>Mysteries of London</w:t>
      </w:r>
      <w:r w:rsidRPr="009331EF">
        <w:rPr>
          <w:rFonts w:ascii="Times New Roman" w:hAnsi="Times New Roman"/>
        </w:rPr>
        <w:t xml:space="preserve">, III, 368–71; for Markham’s statement upon the reforms in Castelcicala, see </w:t>
      </w:r>
      <w:r w:rsidRPr="009331EF">
        <w:rPr>
          <w:rFonts w:ascii="Times New Roman" w:hAnsi="Times New Roman"/>
          <w:i/>
        </w:rPr>
        <w:t>Mysteries of London</w:t>
      </w:r>
      <w:r w:rsidRPr="009331EF">
        <w:rPr>
          <w:rFonts w:ascii="Times New Roman" w:hAnsi="Times New Roman"/>
        </w:rPr>
        <w:t>, IV, 88–94.</w:t>
      </w:r>
    </w:p>
  </w:footnote>
  <w:footnote w:id="975">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rPr>
        <w:t>Mysteries of London</w:t>
      </w:r>
      <w:r w:rsidRPr="009331EF">
        <w:rPr>
          <w:rFonts w:ascii="Times New Roman" w:hAnsi="Times New Roman"/>
        </w:rPr>
        <w:t>, III, 369.</w:t>
      </w:r>
    </w:p>
  </w:footnote>
  <w:footnote w:id="976">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rPr>
        <w:t>Mysteries of London</w:t>
      </w:r>
      <w:r w:rsidRPr="009331EF">
        <w:rPr>
          <w:rFonts w:ascii="Times New Roman" w:hAnsi="Times New Roman"/>
        </w:rPr>
        <w:t>, III, 371.</w:t>
      </w:r>
    </w:p>
  </w:footnote>
  <w:footnote w:id="977">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Miles Taylor writes this timidity was due to concern that tax reform might ‘jeopardize the stability of the national finances’. See Miles </w:t>
      </w:r>
      <w:r w:rsidRPr="009331EF">
        <w:rPr>
          <w:rFonts w:asciiTheme="majorBidi" w:hAnsiTheme="majorBidi" w:cstheme="majorBidi"/>
        </w:rPr>
        <w:t xml:space="preserve">Taylor, </w:t>
      </w:r>
      <w:r w:rsidRPr="009331EF">
        <w:rPr>
          <w:rFonts w:asciiTheme="majorBidi" w:hAnsiTheme="majorBidi" w:cstheme="majorBidi"/>
          <w:i/>
          <w:iCs/>
        </w:rPr>
        <w:t>The Decline of British Radicalism, 1847</w:t>
      </w:r>
      <w:r w:rsidRPr="009331EF">
        <w:rPr>
          <w:rFonts w:ascii="Times New Roman" w:hAnsi="Times New Roman"/>
        </w:rPr>
        <w:t>–</w:t>
      </w:r>
      <w:r w:rsidRPr="009331EF">
        <w:rPr>
          <w:rFonts w:asciiTheme="majorBidi" w:hAnsiTheme="majorBidi" w:cstheme="majorBidi"/>
          <w:i/>
          <w:iCs/>
        </w:rPr>
        <w:t>1860</w:t>
      </w:r>
      <w:r w:rsidRPr="009331EF">
        <w:rPr>
          <w:rFonts w:asciiTheme="majorBidi" w:hAnsiTheme="majorBidi" w:cstheme="majorBidi"/>
        </w:rPr>
        <w:t xml:space="preserve"> (Oxford: Oxford University Press, 1995), p. 183</w:t>
      </w:r>
      <w:r w:rsidRPr="009331EF">
        <w:rPr>
          <w:rFonts w:ascii="Times New Roman" w:hAnsi="Times New Roman"/>
        </w:rPr>
        <w:t>.</w:t>
      </w:r>
    </w:p>
  </w:footnote>
  <w:footnote w:id="978">
    <w:p w:rsidR="003515E3" w:rsidRPr="00E63708"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rPr>
        <w:t>Mysteries of London</w:t>
      </w:r>
      <w:r w:rsidRPr="009331EF">
        <w:rPr>
          <w:rFonts w:ascii="Times New Roman" w:hAnsi="Times New Roman"/>
        </w:rPr>
        <w:t>, III, 368.</w:t>
      </w:r>
    </w:p>
  </w:footnote>
  <w:footnote w:id="979">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III, 371.</w:t>
      </w:r>
    </w:p>
  </w:footnote>
  <w:footnote w:id="980">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III, 368.</w:t>
      </w:r>
    </w:p>
  </w:footnote>
  <w:footnote w:id="981">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IV, 40.</w:t>
      </w:r>
    </w:p>
  </w:footnote>
  <w:footnote w:id="982">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IV, 42.</w:t>
      </w:r>
    </w:p>
  </w:footnote>
  <w:footnote w:id="983">
    <w:p w:rsidR="003515E3" w:rsidRPr="00E63708" w:rsidRDefault="003515E3" w:rsidP="00422D80">
      <w:pPr>
        <w:spacing w:after="0" w:line="240" w:lineRule="auto"/>
        <w:rPr>
          <w:rFonts w:ascii="Times New Roman" w:hAnsi="Times New Roman" w:cs="Times New Roman"/>
          <w:sz w:val="20"/>
          <w:szCs w:val="20"/>
        </w:rPr>
      </w:pPr>
      <w:r w:rsidRPr="00E63708">
        <w:rPr>
          <w:rStyle w:val="FootnoteReference"/>
          <w:rFonts w:ascii="Times New Roman" w:hAnsi="Times New Roman"/>
          <w:sz w:val="20"/>
          <w:szCs w:val="20"/>
        </w:rPr>
        <w:footnoteRef/>
      </w:r>
      <w:r w:rsidRPr="00E63708">
        <w:rPr>
          <w:rFonts w:ascii="Times New Roman" w:hAnsi="Times New Roman" w:cs="Times New Roman"/>
          <w:sz w:val="20"/>
          <w:szCs w:val="20"/>
        </w:rPr>
        <w:t xml:space="preserve"> Quoted in Morris Edmund Speare, </w:t>
      </w:r>
      <w:r w:rsidRPr="00E63708">
        <w:rPr>
          <w:rFonts w:ascii="Times New Roman" w:hAnsi="Times New Roman" w:cs="Times New Roman"/>
          <w:i/>
          <w:sz w:val="20"/>
          <w:szCs w:val="20"/>
        </w:rPr>
        <w:t>The Political Novel Its Development in England and America</w:t>
      </w:r>
      <w:r w:rsidRPr="00E63708">
        <w:rPr>
          <w:rFonts w:ascii="Times New Roman" w:hAnsi="Times New Roman" w:cs="Times New Roman"/>
          <w:sz w:val="20"/>
          <w:szCs w:val="20"/>
        </w:rPr>
        <w:t xml:space="preserve"> (New York: Oxford University Press, 1924), p. 55.</w:t>
      </w:r>
    </w:p>
  </w:footnote>
  <w:footnote w:id="984">
    <w:p w:rsidR="003515E3" w:rsidRPr="00E63708" w:rsidRDefault="003515E3" w:rsidP="00422D80">
      <w:pPr>
        <w:spacing w:after="0" w:line="240" w:lineRule="auto"/>
        <w:rPr>
          <w:rFonts w:ascii="Times New Roman" w:hAnsi="Times New Roman" w:cs="Times New Roman"/>
          <w:sz w:val="20"/>
          <w:szCs w:val="20"/>
        </w:rPr>
      </w:pPr>
      <w:r w:rsidRPr="00E63708">
        <w:rPr>
          <w:rStyle w:val="FootnoteReference"/>
          <w:rFonts w:ascii="Times New Roman" w:hAnsi="Times New Roman"/>
          <w:sz w:val="20"/>
          <w:szCs w:val="20"/>
        </w:rPr>
        <w:footnoteRef/>
      </w:r>
      <w:r w:rsidRPr="00E63708">
        <w:rPr>
          <w:rFonts w:ascii="Times New Roman" w:hAnsi="Times New Roman" w:cs="Times New Roman"/>
          <w:sz w:val="20"/>
          <w:szCs w:val="20"/>
        </w:rPr>
        <w:t xml:space="preserve"> Richard Faber, </w:t>
      </w:r>
      <w:r w:rsidRPr="00E63708">
        <w:rPr>
          <w:rFonts w:ascii="Times New Roman" w:hAnsi="Times New Roman" w:cs="Times New Roman"/>
          <w:i/>
          <w:iCs/>
          <w:sz w:val="20"/>
          <w:szCs w:val="20"/>
        </w:rPr>
        <w:t>Young England</w:t>
      </w:r>
      <w:r w:rsidRPr="00E63708">
        <w:rPr>
          <w:rFonts w:ascii="Times New Roman" w:hAnsi="Times New Roman" w:cs="Times New Roman"/>
          <w:sz w:val="20"/>
          <w:szCs w:val="20"/>
        </w:rPr>
        <w:t xml:space="preserve"> (London: Faber and Faber, 1987), p. 183.</w:t>
      </w:r>
    </w:p>
  </w:footnote>
  <w:footnote w:id="985">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Reynolds repeatedly expresses kinship with private soldiers, complaining how their plight is ignored, even by the ‘liberal portion of the press’.  See ‘A Word on Behalf of Private Soldiers’, </w:t>
      </w:r>
      <w:r w:rsidRPr="00E63708">
        <w:rPr>
          <w:rFonts w:ascii="Times New Roman" w:hAnsi="Times New Roman"/>
          <w:i/>
        </w:rPr>
        <w:t>Reynolds’s Newspaper</w:t>
      </w:r>
      <w:r w:rsidRPr="00E63708">
        <w:rPr>
          <w:rFonts w:ascii="Times New Roman" w:hAnsi="Times New Roman"/>
        </w:rPr>
        <w:t xml:space="preserve">, 11 May 1851, p. 8.  </w:t>
      </w:r>
      <w:r w:rsidRPr="00AF2A01">
        <w:rPr>
          <w:rFonts w:ascii="Times New Roman" w:hAnsi="Times New Roman"/>
        </w:rPr>
        <w:t xml:space="preserve">[Reynolds claimed authorship of the first one hundred and sixty five unsigned leading articles.  See ‘Notices to Correspondents’, </w:t>
      </w:r>
      <w:r w:rsidRPr="00AF2A01">
        <w:rPr>
          <w:rFonts w:ascii="Times New Roman" w:hAnsi="Times New Roman"/>
          <w:i/>
        </w:rPr>
        <w:t>Reynolds’s Newspaper</w:t>
      </w:r>
      <w:r w:rsidRPr="00AF2A01">
        <w:rPr>
          <w:rFonts w:ascii="Times New Roman" w:hAnsi="Times New Roman"/>
        </w:rPr>
        <w:t xml:space="preserve">, 16 October 1853, p. 8.] </w:t>
      </w:r>
      <w:r w:rsidRPr="00342990">
        <w:rPr>
          <w:rFonts w:ascii="Times New Roman" w:hAnsi="Times New Roman"/>
          <w:color w:val="002060"/>
        </w:rPr>
        <w:t xml:space="preserve"> </w:t>
      </w:r>
      <w:r w:rsidRPr="00E63708">
        <w:rPr>
          <w:rFonts w:ascii="Times New Roman" w:hAnsi="Times New Roman"/>
        </w:rPr>
        <w:t xml:space="preserve">This is highlighted by the support he gives to James Hutchins and Walter Ford, two soldiers arrested for riotous behaviour while attending the 1855 demonstration in Hyde Park against the Sunday Trading Bill, which forbad buying and selling on a Sunday, the only day that working people had off work.  See Anonymous, ‘Notices to Correspondents’, </w:t>
      </w:r>
      <w:r w:rsidRPr="00E63708">
        <w:rPr>
          <w:rFonts w:ascii="Times New Roman" w:hAnsi="Times New Roman"/>
          <w:bCs/>
          <w:i/>
          <w:iCs/>
        </w:rPr>
        <w:t>Reynolds’s Newspaper</w:t>
      </w:r>
      <w:r w:rsidRPr="00E63708">
        <w:rPr>
          <w:rFonts w:ascii="Times New Roman" w:hAnsi="Times New Roman"/>
        </w:rPr>
        <w:t xml:space="preserve">, 15 July 1855, p. 8. Reynolds set up a support fund to which he donated one guinea and reported several times upon the case.  See Anonymous, ‘Notices to Correspondents’, </w:t>
      </w:r>
      <w:r w:rsidRPr="00E63708">
        <w:rPr>
          <w:rFonts w:ascii="Times New Roman" w:hAnsi="Times New Roman"/>
          <w:bCs/>
          <w:i/>
          <w:iCs/>
        </w:rPr>
        <w:t>Reynolds’s Newspaper</w:t>
      </w:r>
      <w:r w:rsidRPr="00E63708">
        <w:rPr>
          <w:rFonts w:ascii="Times New Roman" w:hAnsi="Times New Roman"/>
        </w:rPr>
        <w:t>, 29 July 1855, p. 8.</w:t>
      </w:r>
    </w:p>
  </w:footnote>
  <w:footnote w:id="986">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A comment upon Hutchins and Ford states: ‘They joined a demonstration […] against an arbitrary, tyrannous, and infamous attempt to curtail the liberty and enjoyments of the working classes—to which order private soldiers themselves belong.’  See Anonymous, ‘Notices to Correspondents’, </w:t>
      </w:r>
      <w:r w:rsidRPr="00E63708">
        <w:rPr>
          <w:rFonts w:ascii="Times New Roman" w:hAnsi="Times New Roman"/>
          <w:bCs/>
          <w:i/>
          <w:iCs/>
        </w:rPr>
        <w:t>Reynolds’s Newspaper</w:t>
      </w:r>
      <w:r w:rsidRPr="00E63708">
        <w:rPr>
          <w:rFonts w:ascii="Times New Roman" w:hAnsi="Times New Roman"/>
        </w:rPr>
        <w:t>, 22 July 1855, p. 8.</w:t>
      </w:r>
    </w:p>
  </w:footnote>
  <w:footnote w:id="987">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Reynolds writes that under the ferocious discipline of the army: ‘The soldier dares not openly express an opinion adverse to the exclusive interests of “the powers that be:” […] and if he dare show that he possesses the independent spirit of a man, then he is treated worse than a brute.’  See ‘A Word on Behalf of Private Soldiers', p. 8.</w:t>
      </w:r>
    </w:p>
  </w:footnote>
  <w:footnote w:id="988">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Wade comments upon to the increase of commissions and consequent rise in the </w:t>
      </w:r>
      <w:r w:rsidRPr="00E63708">
        <w:rPr>
          <w:rFonts w:ascii="Times New Roman" w:hAnsi="Times New Roman"/>
          <w:i/>
        </w:rPr>
        <w:t>Dead Weight</w:t>
      </w:r>
      <w:r w:rsidRPr="00E63708">
        <w:rPr>
          <w:rFonts w:ascii="Times New Roman" w:hAnsi="Times New Roman"/>
        </w:rPr>
        <w:t xml:space="preserve">, the amount of half and full-pay for military officers, during times of peace, writing: ‘The Aristocracy look upon the Army, the Navy, the Church, and Public Offices, as so many branches of their patrimony’.  See Wade, </w:t>
      </w:r>
      <w:r w:rsidRPr="00E63708">
        <w:rPr>
          <w:rFonts w:ascii="Times New Roman" w:hAnsi="Times New Roman"/>
          <w:i/>
          <w:iCs/>
        </w:rPr>
        <w:t>Extraordinary Black Book</w:t>
      </w:r>
      <w:r w:rsidRPr="00E63708">
        <w:rPr>
          <w:rFonts w:ascii="Times New Roman" w:hAnsi="Times New Roman"/>
        </w:rPr>
        <w:t>, pp. 482–84.</w:t>
      </w:r>
    </w:p>
  </w:footnote>
  <w:footnote w:id="989">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iCs/>
        </w:rPr>
        <w:t>Soldier’s Wife</w:t>
      </w:r>
      <w:r w:rsidRPr="00E63708">
        <w:rPr>
          <w:rFonts w:ascii="Times New Roman" w:hAnsi="Times New Roman"/>
        </w:rPr>
        <w:t>, p. 44.</w:t>
      </w:r>
    </w:p>
  </w:footnote>
  <w:footnote w:id="990">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Reports of the attempts by Officers to prevent troops reading </w:t>
      </w:r>
      <w:r w:rsidRPr="00E63708">
        <w:rPr>
          <w:rFonts w:ascii="Times New Roman" w:hAnsi="Times New Roman"/>
          <w:bCs/>
          <w:i/>
          <w:iCs/>
        </w:rPr>
        <w:t>Reynolds’s Newspaper</w:t>
      </w:r>
      <w:r w:rsidRPr="00E63708">
        <w:rPr>
          <w:rFonts w:ascii="Times New Roman" w:hAnsi="Times New Roman"/>
        </w:rPr>
        <w:t xml:space="preserve"> appeared in the ‘Notices to Correspondents’ columns.  One details a commanding officer sending a letter to Mr. Pringle, a Newcastle bookseller, ordering him to discontinue orders of the journal to Newcastle Barracks.  See Anonymous, ‘Tyranny in Barracks’, </w:t>
      </w:r>
      <w:r w:rsidRPr="00E63708">
        <w:rPr>
          <w:rFonts w:ascii="Times New Roman" w:hAnsi="Times New Roman"/>
          <w:bCs/>
          <w:i/>
          <w:iCs/>
        </w:rPr>
        <w:t>Reynolds’s Newspaper</w:t>
      </w:r>
      <w:r w:rsidRPr="00E63708">
        <w:rPr>
          <w:rFonts w:ascii="Times New Roman" w:hAnsi="Times New Roman"/>
        </w:rPr>
        <w:t xml:space="preserve">, 1 January 1854, p. 9.  An entry titled ‘The Military Bashaws at Aldershott’ reports a commanding officer banning the journal at the camp.  See Anonymous, ‘Notices to Correspondents’, </w:t>
      </w:r>
      <w:r w:rsidRPr="00E63708">
        <w:rPr>
          <w:rFonts w:ascii="Times New Roman" w:hAnsi="Times New Roman"/>
          <w:bCs/>
          <w:i/>
          <w:iCs/>
        </w:rPr>
        <w:t>Reynolds’s Newspaper</w:t>
      </w:r>
      <w:r w:rsidRPr="00E63708">
        <w:rPr>
          <w:rFonts w:ascii="Times New Roman" w:hAnsi="Times New Roman"/>
        </w:rPr>
        <w:t>, 2 September 1855, p. 8.</w:t>
      </w:r>
    </w:p>
  </w:footnote>
  <w:footnote w:id="991">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iCs/>
        </w:rPr>
        <w:t>Soldier’s Wife</w:t>
      </w:r>
      <w:r w:rsidRPr="00E63708">
        <w:rPr>
          <w:rFonts w:ascii="Times New Roman" w:hAnsi="Times New Roman"/>
        </w:rPr>
        <w:t>, p. 44.</w:t>
      </w:r>
    </w:p>
  </w:footnote>
  <w:footnote w:id="992">
    <w:p w:rsidR="003515E3" w:rsidRPr="009331EF"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iCs/>
        </w:rPr>
        <w:t>Soldier’s Wife</w:t>
      </w:r>
      <w:r w:rsidRPr="00E63708">
        <w:rPr>
          <w:rFonts w:ascii="Times New Roman" w:hAnsi="Times New Roman"/>
        </w:rPr>
        <w:t xml:space="preserve">, p. </w:t>
      </w:r>
      <w:r w:rsidRPr="009331EF">
        <w:rPr>
          <w:rFonts w:ascii="Times New Roman" w:hAnsi="Times New Roman"/>
        </w:rPr>
        <w:t>146.</w:t>
      </w:r>
    </w:p>
  </w:footnote>
  <w:footnote w:id="993">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Reynolds could point to Alexander Somerville’s autobiography in support of this portrayal.  Published in 1848, it gives an account of the Scots Greys stationed at Birmingham during 1831.  Somerville writes how the officers’ orders for ‘rough-sharpened’ swords led to dissent among troops who said they would not inflict hurt on peaceful protesters even if ordered, although they would be duty-bound to do so against rioters.  See </w:t>
      </w:r>
      <w:r w:rsidRPr="009331EF">
        <w:rPr>
          <w:rFonts w:ascii="Times New Roman" w:hAnsi="Times New Roman"/>
          <w:i/>
          <w:iCs/>
        </w:rPr>
        <w:t>Autobiography of a Working Man</w:t>
      </w:r>
      <w:r w:rsidRPr="009331EF">
        <w:rPr>
          <w:rFonts w:ascii="Times New Roman" w:hAnsi="Times New Roman"/>
        </w:rPr>
        <w:t>, pp. 156–60.</w:t>
      </w:r>
    </w:p>
  </w:footnote>
  <w:footnote w:id="994">
    <w:p w:rsidR="003515E3" w:rsidRPr="00E63708"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iCs/>
        </w:rPr>
        <w:t>Soldier’s Wife</w:t>
      </w:r>
      <w:r w:rsidRPr="009331EF">
        <w:rPr>
          <w:rFonts w:ascii="Times New Roman" w:hAnsi="Times New Roman"/>
        </w:rPr>
        <w:t>, p. 167.</w:t>
      </w:r>
    </w:p>
  </w:footnote>
  <w:footnote w:id="995">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iCs/>
        </w:rPr>
        <w:t>Soldier’s Wife</w:t>
      </w:r>
      <w:r w:rsidRPr="00E63708">
        <w:rPr>
          <w:rFonts w:ascii="Times New Roman" w:hAnsi="Times New Roman"/>
        </w:rPr>
        <w:t>, p. 168.</w:t>
      </w:r>
    </w:p>
  </w:footnote>
  <w:footnote w:id="996">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bCs/>
        </w:rPr>
        <w:t>M. L. Bush’s description of events on16 August 1819 at St Peter’s Field, Manchester suggests how closely Reynolds evoked the gathering</w:t>
      </w:r>
      <w:r w:rsidRPr="00EC07ED">
        <w:rPr>
          <w:rFonts w:ascii="Times New Roman" w:hAnsi="Times New Roman"/>
          <w:bCs/>
        </w:rPr>
        <w:t>.  Similarities include the working-class nature of the large crowd, many from surrounding areas, including large numbers of women, its banners and peaceable behaviour, and the speaker Henry Hunt, a leading advocate of universal suffrage.  The 654 injuries, including at least 17 deaths, caused by cavalry with sharpened sabres backed by truncheons of the constabulary and infantry bayonets, were perpetrated in 10</w:t>
      </w:r>
      <w:r w:rsidRPr="00EC07ED">
        <w:rPr>
          <w:rFonts w:ascii="Times New Roman" w:hAnsi="Times New Roman"/>
        </w:rPr>
        <w:t>–15 minutes</w:t>
      </w:r>
      <w:r w:rsidRPr="00EC07ED">
        <w:rPr>
          <w:rFonts w:ascii="Times New Roman" w:hAnsi="Times New Roman"/>
          <w:bCs/>
        </w:rPr>
        <w:t xml:space="preserve">.  See M. L. Bush, </w:t>
      </w:r>
      <w:r w:rsidRPr="00EC07ED">
        <w:rPr>
          <w:rFonts w:ascii="Times New Roman" w:hAnsi="Times New Roman"/>
          <w:bCs/>
          <w:i/>
        </w:rPr>
        <w:t>The Casualties of Peterloo</w:t>
      </w:r>
      <w:r w:rsidRPr="00EC07ED">
        <w:rPr>
          <w:rFonts w:ascii="Times New Roman" w:hAnsi="Times New Roman"/>
          <w:bCs/>
        </w:rPr>
        <w:t xml:space="preserve"> (Lancaster: Carnegie Publishing</w:t>
      </w:r>
      <w:r w:rsidRPr="00E63708">
        <w:rPr>
          <w:rFonts w:ascii="Times New Roman" w:hAnsi="Times New Roman"/>
          <w:bCs/>
        </w:rPr>
        <w:t xml:space="preserve"> Ltd., 2005), pp. 1</w:t>
      </w:r>
      <w:r w:rsidRPr="00E63708">
        <w:rPr>
          <w:rFonts w:ascii="Times New Roman" w:hAnsi="Times New Roman"/>
        </w:rPr>
        <w:t>–2, 46.</w:t>
      </w:r>
      <w:r>
        <w:rPr>
          <w:rFonts w:ascii="Times New Roman" w:hAnsi="Times New Roman"/>
        </w:rPr>
        <w:t xml:space="preserve">  </w:t>
      </w:r>
      <w:r w:rsidRPr="00700418">
        <w:rPr>
          <w:rFonts w:ascii="Times New Roman" w:hAnsi="Times New Roman"/>
        </w:rPr>
        <w:t xml:space="preserve">Reynolds’s Middleton gathering has the same social composition with people arriving from nearby towns to hear speeches that touch upon democratic rights.  Those in attendance suffer a similar attack with the field being cleared in ‘a few minutes’ except for the troops and ‘twenty or thirty unfortunate persons who had been slain or grievously wounded’.  See </w:t>
      </w:r>
      <w:r w:rsidRPr="00700418">
        <w:rPr>
          <w:rFonts w:ascii="Times New Roman" w:hAnsi="Times New Roman"/>
          <w:i/>
          <w:iCs/>
        </w:rPr>
        <w:t>Soldier’s Wife</w:t>
      </w:r>
      <w:r w:rsidRPr="00700418">
        <w:rPr>
          <w:rFonts w:ascii="Times New Roman" w:hAnsi="Times New Roman"/>
        </w:rPr>
        <w:t>, p. 167.</w:t>
      </w:r>
    </w:p>
  </w:footnote>
  <w:footnote w:id="997">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iCs/>
        </w:rPr>
        <w:t>Soldier’s Wife</w:t>
      </w:r>
      <w:r w:rsidRPr="00E63708">
        <w:rPr>
          <w:rFonts w:ascii="Times New Roman" w:hAnsi="Times New Roman"/>
        </w:rPr>
        <w:t xml:space="preserve">, pp. 164–68. </w:t>
      </w:r>
    </w:p>
  </w:footnote>
  <w:footnote w:id="998">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IV, 39.</w:t>
      </w:r>
    </w:p>
  </w:footnote>
  <w:footnote w:id="999">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Reynolds wrote: ‘The Charter alone would be comparatively of little avail: it would give political rights; but something more is needed.’  He continued: ‘it is something far more important than the mere fact of exercising political rights: it is a </w:t>
      </w:r>
      <w:r w:rsidRPr="00E63708">
        <w:rPr>
          <w:rFonts w:ascii="Times New Roman" w:hAnsi="Times New Roman"/>
          <w:i/>
        </w:rPr>
        <w:t>wages’ question</w:t>
      </w:r>
      <w:r w:rsidRPr="00E63708">
        <w:rPr>
          <w:rFonts w:ascii="Times New Roman" w:hAnsi="Times New Roman"/>
        </w:rPr>
        <w:t xml:space="preserve">—a </w:t>
      </w:r>
      <w:r w:rsidRPr="00E63708">
        <w:rPr>
          <w:rFonts w:ascii="Times New Roman" w:hAnsi="Times New Roman"/>
          <w:i/>
        </w:rPr>
        <w:t>labour question</w:t>
      </w:r>
      <w:r w:rsidRPr="00E63708">
        <w:rPr>
          <w:rFonts w:ascii="Times New Roman" w:hAnsi="Times New Roman"/>
        </w:rPr>
        <w:t xml:space="preserve">—a </w:t>
      </w:r>
      <w:r w:rsidRPr="00E63708">
        <w:rPr>
          <w:rFonts w:ascii="Times New Roman" w:hAnsi="Times New Roman"/>
          <w:i/>
        </w:rPr>
        <w:t>social improvement question</w:t>
      </w:r>
      <w:r w:rsidRPr="00E63708">
        <w:rPr>
          <w:rFonts w:ascii="Times New Roman" w:hAnsi="Times New Roman"/>
        </w:rPr>
        <w:t>.’ See G. W. M. Reynolds, ‘</w:t>
      </w:r>
      <w:r w:rsidRPr="00E63708">
        <w:rPr>
          <w:rFonts w:ascii="Times New Roman" w:hAnsi="Times New Roman"/>
          <w:i/>
        </w:rPr>
        <w:t>The Chartist Agitation</w:t>
      </w:r>
      <w:r w:rsidRPr="00E63708">
        <w:rPr>
          <w:rFonts w:ascii="Times New Roman" w:hAnsi="Times New Roman"/>
        </w:rPr>
        <w:t xml:space="preserve">’, </w:t>
      </w:r>
      <w:r w:rsidRPr="00B32E07">
        <w:rPr>
          <w:rFonts w:ascii="Times New Roman" w:hAnsi="Times New Roman"/>
          <w:i/>
        </w:rPr>
        <w:t xml:space="preserve">Reynolds’s </w:t>
      </w:r>
      <w:r w:rsidRPr="00B32E07">
        <w:rPr>
          <w:rFonts w:asciiTheme="majorBidi" w:hAnsiTheme="majorBidi" w:cstheme="majorBidi"/>
          <w:i/>
        </w:rPr>
        <w:t>P</w:t>
      </w:r>
      <w:r w:rsidRPr="00E63708">
        <w:rPr>
          <w:rFonts w:asciiTheme="majorBidi" w:hAnsiTheme="majorBidi" w:cstheme="majorBidi"/>
          <w:i/>
        </w:rPr>
        <w:t>olitical Instructor</w:t>
      </w:r>
      <w:r w:rsidRPr="00E63708">
        <w:rPr>
          <w:rFonts w:asciiTheme="majorBidi" w:hAnsiTheme="majorBidi" w:cstheme="majorBidi"/>
        </w:rPr>
        <w:t>, 23 March 1850, p. 154</w:t>
      </w:r>
      <w:r w:rsidRPr="00E63708">
        <w:rPr>
          <w:rFonts w:ascii="Times New Roman" w:hAnsi="Times New Roman"/>
        </w:rPr>
        <w:t>.</w:t>
      </w:r>
    </w:p>
  </w:footnote>
  <w:footnote w:id="1000">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iCs/>
        </w:rPr>
        <w:t>Soldier’s Wife</w:t>
      </w:r>
      <w:r w:rsidRPr="00E63708">
        <w:rPr>
          <w:rFonts w:ascii="Times New Roman" w:hAnsi="Times New Roman"/>
        </w:rPr>
        <w:t>, p. 165.</w:t>
      </w:r>
    </w:p>
  </w:footnote>
  <w:footnote w:id="1001">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iCs/>
        </w:rPr>
        <w:t>Soldier’s Wife</w:t>
      </w:r>
      <w:r w:rsidRPr="00E63708">
        <w:rPr>
          <w:rFonts w:ascii="Times New Roman" w:hAnsi="Times New Roman"/>
        </w:rPr>
        <w:t>, p. 166.</w:t>
      </w:r>
    </w:p>
  </w:footnote>
  <w:footnote w:id="1002">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iCs/>
        </w:rPr>
        <w:t>Soldier’s Wife</w:t>
      </w:r>
      <w:r w:rsidRPr="00E63708">
        <w:rPr>
          <w:rFonts w:ascii="Times New Roman" w:hAnsi="Times New Roman"/>
        </w:rPr>
        <w:t>, p. 166.</w:t>
      </w:r>
    </w:p>
  </w:footnote>
  <w:footnote w:id="1003">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iCs/>
        </w:rPr>
        <w:t>Soldier’s Wife</w:t>
      </w:r>
      <w:r w:rsidRPr="00E63708">
        <w:rPr>
          <w:rFonts w:ascii="Times New Roman" w:hAnsi="Times New Roman"/>
        </w:rPr>
        <w:t>, p. 166.</w:t>
      </w:r>
    </w:p>
  </w:footnote>
  <w:footnote w:id="1004">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iCs/>
        </w:rPr>
        <w:t>Soldier’s Wife</w:t>
      </w:r>
      <w:r w:rsidRPr="00E63708">
        <w:rPr>
          <w:rFonts w:ascii="Times New Roman" w:hAnsi="Times New Roman"/>
        </w:rPr>
        <w:t>, p. 166.</w:t>
      </w:r>
    </w:p>
  </w:footnote>
  <w:footnote w:id="1005">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An example of this was a letter soon after the London demonstration in support of the 1848 Petition which </w:t>
      </w:r>
      <w:r w:rsidRPr="00E63708">
        <w:rPr>
          <w:rFonts w:ascii="Times New Roman" w:hAnsi="Times New Roman"/>
          <w:iCs/>
        </w:rPr>
        <w:t xml:space="preserve">politely asks for a personal conversation with Victoria about the problems faced by the masses.  Addressed to ‘The Queen’s Most Excellent Majesty’ it ends with the signatories, several leading Chartists including Ernest Jones, Sam Kydd and P. M. M‘Douall, describing themselves as ‘Your Majesty’s faithful subjects’.  See </w:t>
      </w:r>
      <w:r w:rsidRPr="00E63708">
        <w:rPr>
          <w:rFonts w:ascii="Times New Roman" w:hAnsi="Times New Roman"/>
        </w:rPr>
        <w:t xml:space="preserve">Anonymous, </w:t>
      </w:r>
      <w:r w:rsidRPr="00E63708">
        <w:rPr>
          <w:rFonts w:ascii="Times New Roman" w:hAnsi="Times New Roman"/>
          <w:iCs/>
        </w:rPr>
        <w:t xml:space="preserve">‘Memorial to the Queen’, </w:t>
      </w:r>
      <w:r w:rsidRPr="00E63708">
        <w:rPr>
          <w:rStyle w:val="mini"/>
          <w:rFonts w:ascii="Times New Roman" w:hAnsi="Times New Roman"/>
          <w:i/>
          <w:iCs/>
        </w:rPr>
        <w:t>Northern Star and National Trades' Journal</w:t>
      </w:r>
      <w:r w:rsidRPr="00E63708">
        <w:rPr>
          <w:rFonts w:ascii="Times New Roman" w:hAnsi="Times New Roman"/>
        </w:rPr>
        <w:t>, 3 June 1848, p.1.</w:t>
      </w:r>
    </w:p>
  </w:footnote>
  <w:footnote w:id="1006">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iCs/>
        </w:rPr>
        <w:t>Soldier’s Wife</w:t>
      </w:r>
      <w:r w:rsidRPr="00E63708">
        <w:rPr>
          <w:rFonts w:ascii="Times New Roman" w:hAnsi="Times New Roman"/>
        </w:rPr>
        <w:t>, p. 167.</w:t>
      </w:r>
    </w:p>
  </w:footnote>
  <w:footnote w:id="1007">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iCs/>
        </w:rPr>
        <w:t>Soldier’s Wife</w:t>
      </w:r>
      <w:r w:rsidRPr="00E63708">
        <w:rPr>
          <w:rFonts w:ascii="Times New Roman" w:hAnsi="Times New Roman"/>
        </w:rPr>
        <w:t>, p. 168.</w:t>
      </w:r>
    </w:p>
  </w:footnote>
  <w:footnote w:id="1008">
    <w:p w:rsidR="003515E3" w:rsidRPr="00E63708" w:rsidRDefault="003515E3" w:rsidP="00422D80">
      <w:pPr>
        <w:spacing w:after="0" w:line="240" w:lineRule="auto"/>
        <w:rPr>
          <w:rFonts w:ascii="Times New Roman" w:hAnsi="Times New Roman"/>
          <w:sz w:val="20"/>
          <w:szCs w:val="20"/>
        </w:rPr>
      </w:pPr>
      <w:r w:rsidRPr="00E63708">
        <w:rPr>
          <w:rStyle w:val="FootnoteReference"/>
          <w:rFonts w:ascii="Times New Roman" w:hAnsi="Times New Roman"/>
          <w:sz w:val="20"/>
          <w:szCs w:val="20"/>
        </w:rPr>
        <w:footnoteRef/>
      </w:r>
      <w:r w:rsidRPr="00E63708">
        <w:rPr>
          <w:rFonts w:ascii="Times New Roman" w:hAnsi="Times New Roman"/>
          <w:sz w:val="20"/>
          <w:szCs w:val="20"/>
        </w:rPr>
        <w:t xml:space="preserve"> The lock-out resulted from the demand to </w:t>
      </w:r>
      <w:r w:rsidRPr="00E63708">
        <w:rPr>
          <w:rFonts w:ascii="Times New Roman" w:hAnsi="Times New Roman"/>
          <w:iCs/>
          <w:sz w:val="20"/>
          <w:szCs w:val="20"/>
        </w:rPr>
        <w:t xml:space="preserve">restore the ten per cent pay cut imposed in 1847 during a period of trade depression.  See H. I. </w:t>
      </w:r>
      <w:r w:rsidRPr="00E63708">
        <w:rPr>
          <w:rFonts w:asciiTheme="majorBidi" w:hAnsiTheme="majorBidi" w:cstheme="majorBidi"/>
          <w:sz w:val="20"/>
          <w:szCs w:val="20"/>
        </w:rPr>
        <w:t xml:space="preserve">Dutton and J. E. King, </w:t>
      </w:r>
      <w:r w:rsidRPr="00E63708">
        <w:rPr>
          <w:rFonts w:asciiTheme="majorBidi" w:hAnsiTheme="majorBidi" w:cstheme="majorBidi"/>
          <w:i/>
          <w:sz w:val="20"/>
          <w:szCs w:val="20"/>
        </w:rPr>
        <w:t>‘Ten Per Cent and No Surrender’: The Preston Strike, 1853</w:t>
      </w:r>
      <w:r w:rsidRPr="00E63708">
        <w:rPr>
          <w:rFonts w:ascii="Times New Roman" w:hAnsi="Times New Roman"/>
          <w:sz w:val="20"/>
          <w:szCs w:val="20"/>
        </w:rPr>
        <w:t>–</w:t>
      </w:r>
      <w:r w:rsidRPr="00E63708">
        <w:rPr>
          <w:rFonts w:asciiTheme="majorBidi" w:hAnsiTheme="majorBidi" w:cstheme="majorBidi"/>
          <w:i/>
          <w:sz w:val="20"/>
          <w:szCs w:val="20"/>
        </w:rPr>
        <w:t>1854</w:t>
      </w:r>
      <w:r w:rsidRPr="00E63708">
        <w:rPr>
          <w:rFonts w:asciiTheme="majorBidi" w:hAnsiTheme="majorBidi" w:cstheme="majorBidi"/>
          <w:sz w:val="20"/>
          <w:szCs w:val="20"/>
        </w:rPr>
        <w:t xml:space="preserve"> (Cambridge: Cambridge University Press, 1981), </w:t>
      </w:r>
      <w:r w:rsidRPr="00E63708">
        <w:rPr>
          <w:rFonts w:ascii="Times New Roman" w:hAnsi="Times New Roman"/>
          <w:sz w:val="20"/>
          <w:szCs w:val="20"/>
        </w:rPr>
        <w:t>pp. 175–94.</w:t>
      </w:r>
    </w:p>
  </w:footnote>
  <w:footnote w:id="1009">
    <w:p w:rsidR="003515E3" w:rsidRPr="00E65704"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bCs/>
          <w:i/>
          <w:iCs/>
        </w:rPr>
        <w:t>Reynolds’s Newspaper</w:t>
      </w:r>
      <w:r w:rsidRPr="00E63708">
        <w:rPr>
          <w:rFonts w:ascii="Times New Roman" w:hAnsi="Times New Roman"/>
        </w:rPr>
        <w:t>, Anonymous, ‘The Lancashire Strikes.—Symptoms of Breaking Up of the Mill-</w:t>
      </w:r>
      <w:r w:rsidRPr="00E65704">
        <w:rPr>
          <w:rFonts w:ascii="Times New Roman" w:hAnsi="Times New Roman"/>
        </w:rPr>
        <w:t>Owners’ Combination’, 15 January 1854, p. 8.</w:t>
      </w:r>
    </w:p>
  </w:footnote>
  <w:footnote w:id="1010">
    <w:p w:rsidR="003515E3" w:rsidRPr="009331EF" w:rsidRDefault="003515E3" w:rsidP="00422D80">
      <w:pPr>
        <w:pStyle w:val="FootnoteText"/>
        <w:spacing w:after="0" w:line="240" w:lineRule="auto"/>
        <w:rPr>
          <w:rFonts w:ascii="Times New Roman" w:hAnsi="Times New Roman"/>
        </w:rPr>
      </w:pPr>
      <w:r w:rsidRPr="00E65704">
        <w:rPr>
          <w:rStyle w:val="FootnoteReference"/>
          <w:rFonts w:ascii="Times New Roman" w:hAnsi="Times New Roman"/>
        </w:rPr>
        <w:footnoteRef/>
      </w:r>
      <w:r w:rsidRPr="00E65704">
        <w:rPr>
          <w:rFonts w:ascii="Times New Roman" w:hAnsi="Times New Roman"/>
        </w:rPr>
        <w:t xml:space="preserve"> For details of the failure because of strains that </w:t>
      </w:r>
      <w:r w:rsidRPr="00EC07ED">
        <w:rPr>
          <w:rFonts w:ascii="Times New Roman" w:hAnsi="Times New Roman"/>
        </w:rPr>
        <w:t xml:space="preserve">arose during the extended dispute, see </w:t>
      </w:r>
      <w:r w:rsidRPr="00EC07ED">
        <w:rPr>
          <w:rFonts w:asciiTheme="majorBidi" w:hAnsiTheme="majorBidi" w:cstheme="majorBidi"/>
        </w:rPr>
        <w:t>Dutton and King</w:t>
      </w:r>
      <w:r w:rsidRPr="00EC07ED">
        <w:rPr>
          <w:rFonts w:ascii="Times New Roman" w:hAnsi="Times New Roman"/>
        </w:rPr>
        <w:t>, pp. 185–94.</w:t>
      </w:r>
    </w:p>
  </w:footnote>
  <w:footnote w:id="1011">
    <w:p w:rsidR="003515E3" w:rsidRPr="00004D65" w:rsidRDefault="003515E3" w:rsidP="00422D80">
      <w:pPr>
        <w:pStyle w:val="FootnoteText"/>
        <w:spacing w:after="0" w:line="240" w:lineRule="auto"/>
        <w:rPr>
          <w:rFonts w:ascii="Times New Roman" w:hAnsi="Times New Roman"/>
        </w:rPr>
      </w:pPr>
      <w:r w:rsidRPr="00004D65">
        <w:rPr>
          <w:rStyle w:val="FootnoteReference"/>
          <w:rFonts w:ascii="Times New Roman" w:hAnsi="Times New Roman"/>
        </w:rPr>
        <w:footnoteRef/>
      </w:r>
      <w:r w:rsidRPr="00004D65">
        <w:rPr>
          <w:rFonts w:ascii="Times New Roman" w:hAnsi="Times New Roman"/>
        </w:rPr>
        <w:t xml:space="preserve"> </w:t>
      </w:r>
      <w:r w:rsidRPr="00004D65">
        <w:rPr>
          <w:rFonts w:ascii="Times New Roman" w:hAnsi="Times New Roman"/>
          <w:i/>
          <w:iCs/>
        </w:rPr>
        <w:t>Reynolds’s</w:t>
      </w:r>
      <w:r w:rsidRPr="00004D65">
        <w:rPr>
          <w:rFonts w:ascii="Times New Roman" w:hAnsi="Times New Roman"/>
          <w:iCs/>
        </w:rPr>
        <w:t xml:space="preserve"> provided extensive coverage, including </w:t>
      </w:r>
      <w:r w:rsidRPr="00004D65">
        <w:rPr>
          <w:rFonts w:ascii="Times New Roman" w:hAnsi="Times New Roman"/>
        </w:rPr>
        <w:t xml:space="preserve">a front-page address, lead articles and entries in the Notices to Correspondents columns.  Harrison notes the paper’s support and that ‘Reynolds sold the posters which summoned the meetings in his shop’.  See Brian Harrison, ‘The Sunday Trading Riots of 1855’, </w:t>
      </w:r>
      <w:r w:rsidRPr="00004D65">
        <w:rPr>
          <w:rFonts w:ascii="Times New Roman" w:hAnsi="Times New Roman"/>
          <w:i/>
        </w:rPr>
        <w:t>The Historical Journal</w:t>
      </w:r>
      <w:r w:rsidRPr="00004D65">
        <w:rPr>
          <w:rFonts w:ascii="Times New Roman" w:hAnsi="Times New Roman"/>
        </w:rPr>
        <w:t>, 8.2 (1965), pp. 219–45 &lt;</w:t>
      </w:r>
      <w:hyperlink r:id="rId23" w:history="1">
        <w:r w:rsidRPr="00004D65">
          <w:rPr>
            <w:rStyle w:val="Hyperlink"/>
            <w:rFonts w:ascii="Times New Roman" w:hAnsi="Times New Roman"/>
            <w:color w:val="auto"/>
            <w:u w:val="none"/>
          </w:rPr>
          <w:t>http://www.jstor.org/stable/3020459</w:t>
        </w:r>
      </w:hyperlink>
      <w:r w:rsidRPr="00004D65">
        <w:rPr>
          <w:rStyle w:val="Hyperlink"/>
          <w:rFonts w:ascii="Times New Roman" w:hAnsi="Times New Roman"/>
          <w:color w:val="auto"/>
          <w:u w:val="none"/>
        </w:rPr>
        <w:t>&gt;</w:t>
      </w:r>
      <w:r w:rsidRPr="00004D65">
        <w:rPr>
          <w:rFonts w:ascii="Times New Roman" w:hAnsi="Times New Roman"/>
        </w:rPr>
        <w:t xml:space="preserve"> [accessed: 29 November 2016] (p. 226).</w:t>
      </w:r>
    </w:p>
  </w:footnote>
  <w:footnote w:id="1012">
    <w:p w:rsidR="003515E3" w:rsidRPr="009331EF" w:rsidRDefault="003515E3" w:rsidP="00422D80">
      <w:pPr>
        <w:pStyle w:val="FootnoteText"/>
        <w:spacing w:after="0" w:line="240" w:lineRule="auto"/>
        <w:rPr>
          <w:rFonts w:ascii="Times New Roman" w:hAnsi="Times New Roman"/>
        </w:rPr>
      </w:pPr>
      <w:r w:rsidRPr="00004D65">
        <w:rPr>
          <w:rStyle w:val="FootnoteReference"/>
          <w:rFonts w:ascii="Times New Roman" w:hAnsi="Times New Roman"/>
        </w:rPr>
        <w:footnoteRef/>
      </w:r>
      <w:r w:rsidRPr="00004D65">
        <w:rPr>
          <w:rFonts w:ascii="Times New Roman" w:hAnsi="Times New Roman"/>
        </w:rPr>
        <w:t xml:space="preserve"> G. W. M. Reynolds, ‘The Two </w:t>
      </w:r>
      <w:r w:rsidRPr="009331EF">
        <w:rPr>
          <w:rFonts w:ascii="Times New Roman" w:hAnsi="Times New Roman"/>
        </w:rPr>
        <w:t xml:space="preserve">Demonstrations in Hyde Park’, </w:t>
      </w:r>
      <w:r w:rsidRPr="009331EF">
        <w:rPr>
          <w:rFonts w:ascii="Times New Roman" w:hAnsi="Times New Roman"/>
          <w:bCs/>
          <w:i/>
          <w:iCs/>
        </w:rPr>
        <w:t>Reynolds’s Newspaper</w:t>
      </w:r>
      <w:r w:rsidRPr="009331EF">
        <w:rPr>
          <w:rFonts w:ascii="Times New Roman" w:hAnsi="Times New Roman"/>
        </w:rPr>
        <w:t>, 8 July 1855, p. 1.</w:t>
      </w:r>
    </w:p>
  </w:footnote>
  <w:footnote w:id="1013">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Brian </w:t>
      </w:r>
      <w:r w:rsidRPr="009331EF">
        <w:rPr>
          <w:rFonts w:ascii="Times New Roman" w:hAnsi="Times New Roman"/>
          <w:iCs/>
        </w:rPr>
        <w:t>Harrison writes that there were five gatherings, the final three on 8, 15 and 22 July 1855 were much smaller and descended into violence.  See ‘</w:t>
      </w:r>
      <w:r w:rsidRPr="009331EF">
        <w:rPr>
          <w:rFonts w:ascii="Times New Roman" w:hAnsi="Times New Roman"/>
        </w:rPr>
        <w:t xml:space="preserve">The Sunday Trading Riots of 1855’, p. 224. </w:t>
      </w:r>
    </w:p>
  </w:footnote>
  <w:footnote w:id="1014">
    <w:p w:rsidR="003515E3" w:rsidRPr="00004D65"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‘The Two Demonstrations in Hyde Park’, p. 1.</w:t>
      </w:r>
    </w:p>
  </w:footnote>
  <w:footnote w:id="1015">
    <w:p w:rsidR="003515E3" w:rsidRPr="00E63708" w:rsidRDefault="003515E3" w:rsidP="00422D80">
      <w:pPr>
        <w:pStyle w:val="FootnoteText"/>
        <w:spacing w:after="0" w:line="240" w:lineRule="auto"/>
        <w:rPr>
          <w:rFonts w:asciiTheme="majorBidi" w:hAnsiTheme="majorBidi" w:cstheme="majorBidi"/>
        </w:rPr>
      </w:pPr>
      <w:r w:rsidRPr="00E63708">
        <w:rPr>
          <w:rStyle w:val="FootnoteReference"/>
          <w:rFonts w:asciiTheme="majorBidi" w:hAnsiTheme="majorBidi" w:cstheme="majorBidi"/>
        </w:rPr>
        <w:footnoteRef/>
      </w:r>
      <w:r w:rsidRPr="00E63708">
        <w:rPr>
          <w:rFonts w:asciiTheme="majorBidi" w:hAnsiTheme="majorBidi" w:cstheme="majorBidi"/>
        </w:rPr>
        <w:t xml:space="preserve"> G. W. M. </w:t>
      </w:r>
      <w:r w:rsidRPr="00E63708">
        <w:rPr>
          <w:rFonts w:ascii="Times New Roman" w:hAnsi="Times New Roman"/>
        </w:rPr>
        <w:t>Reynolds,</w:t>
      </w:r>
      <w:r w:rsidRPr="00E63708">
        <w:rPr>
          <w:rFonts w:asciiTheme="majorBidi" w:hAnsiTheme="majorBidi" w:cstheme="majorBidi"/>
          <w:i/>
        </w:rPr>
        <w:t xml:space="preserve"> </w:t>
      </w:r>
      <w:r w:rsidRPr="00E63708">
        <w:rPr>
          <w:rFonts w:asciiTheme="majorBidi" w:hAnsiTheme="majorBidi" w:cstheme="majorBidi"/>
        </w:rPr>
        <w:t xml:space="preserve">‘A Federal Union of Democrats’, </w:t>
      </w:r>
      <w:r w:rsidRPr="00E63708">
        <w:rPr>
          <w:rFonts w:asciiTheme="majorBidi" w:hAnsiTheme="majorBidi" w:cstheme="majorBidi"/>
          <w:i/>
        </w:rPr>
        <w:t>Reynolds’s Weekly Newspaper</w:t>
      </w:r>
      <w:r w:rsidRPr="00E63708">
        <w:rPr>
          <w:rFonts w:asciiTheme="majorBidi" w:hAnsiTheme="majorBidi" w:cstheme="majorBidi"/>
        </w:rPr>
        <w:t>, 11 August 1850, p. 1.</w:t>
      </w:r>
    </w:p>
  </w:footnote>
  <w:footnote w:id="1016">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 pp. 69–70.</w:t>
      </w:r>
    </w:p>
  </w:footnote>
  <w:footnote w:id="1017">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III, p. 394.</w:t>
      </w:r>
    </w:p>
  </w:footnote>
  <w:footnote w:id="1018">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III, pp. 321–22.</w:t>
      </w:r>
    </w:p>
  </w:footnote>
  <w:footnote w:id="1019">
    <w:p w:rsidR="003515E3" w:rsidRPr="00004D65" w:rsidRDefault="003515E3" w:rsidP="00422D80">
      <w:pPr>
        <w:pStyle w:val="FootnoteText"/>
        <w:spacing w:after="0" w:line="240" w:lineRule="auto"/>
        <w:rPr>
          <w:rFonts w:ascii="Times New Roman" w:hAnsi="Times New Roman"/>
        </w:rPr>
      </w:pPr>
      <w:r w:rsidRPr="00004D65">
        <w:rPr>
          <w:rStyle w:val="FootnoteReference"/>
          <w:rFonts w:ascii="Times New Roman" w:hAnsi="Times New Roman"/>
        </w:rPr>
        <w:footnoteRef/>
      </w:r>
      <w:r w:rsidRPr="00004D65">
        <w:rPr>
          <w:rFonts w:ascii="Times New Roman" w:hAnsi="Times New Roman"/>
        </w:rPr>
        <w:t xml:space="preserve"> </w:t>
      </w:r>
      <w:r w:rsidRPr="00004D65">
        <w:rPr>
          <w:rFonts w:ascii="Times New Roman" w:hAnsi="Times New Roman"/>
          <w:i/>
        </w:rPr>
        <w:t>Mysteries of London</w:t>
      </w:r>
      <w:r w:rsidRPr="00004D65">
        <w:rPr>
          <w:rFonts w:ascii="Times New Roman" w:hAnsi="Times New Roman"/>
        </w:rPr>
        <w:t xml:space="preserve">, III, p. 360.  Contemporary radicals voiced the same concern.  George Julian Harney believed the opening ceremony for the 1851 Great Exhibition encouraged ‘the spirit of flunkeyism’, ruefully noting that it inspired ‘the working as well as the other classes’.  See ‘The Great Exhibition’, </w:t>
      </w:r>
      <w:r w:rsidRPr="00004D65">
        <w:rPr>
          <w:rFonts w:ascii="Times New Roman" w:hAnsi="Times New Roman"/>
          <w:i/>
        </w:rPr>
        <w:t>Friend of the People</w:t>
      </w:r>
      <w:r w:rsidRPr="00004D65">
        <w:rPr>
          <w:rFonts w:ascii="Times New Roman" w:hAnsi="Times New Roman"/>
        </w:rPr>
        <w:t>, 10 May 1851, pp. 189–90 (p.189).</w:t>
      </w:r>
    </w:p>
  </w:footnote>
  <w:footnote w:id="1020">
    <w:p w:rsidR="003515E3" w:rsidRPr="00004D65" w:rsidRDefault="003515E3" w:rsidP="00422D80">
      <w:pPr>
        <w:pStyle w:val="FootnoteText"/>
        <w:spacing w:after="0" w:line="240" w:lineRule="auto"/>
        <w:rPr>
          <w:rFonts w:ascii="Times New Roman" w:hAnsi="Times New Roman"/>
        </w:rPr>
      </w:pPr>
      <w:r w:rsidRPr="00004D65">
        <w:rPr>
          <w:rStyle w:val="FootnoteReference"/>
          <w:rFonts w:ascii="Times New Roman" w:hAnsi="Times New Roman"/>
        </w:rPr>
        <w:footnoteRef/>
      </w:r>
      <w:r w:rsidRPr="00004D65">
        <w:rPr>
          <w:rFonts w:ascii="Times New Roman" w:hAnsi="Times New Roman"/>
        </w:rPr>
        <w:t xml:space="preserve"> Helen Rogers, ‘"The Good Are Not Always Powerful, nor the Powerful Always Good": The Politics of Women's Needlework in Mid-Victorian London’, </w:t>
      </w:r>
      <w:r w:rsidRPr="00004D65">
        <w:rPr>
          <w:rFonts w:ascii="Times New Roman" w:hAnsi="Times New Roman"/>
          <w:i/>
        </w:rPr>
        <w:t>Victorian Studies</w:t>
      </w:r>
      <w:r w:rsidRPr="00004D65">
        <w:rPr>
          <w:rFonts w:ascii="Times New Roman" w:hAnsi="Times New Roman"/>
        </w:rPr>
        <w:t>, 40.4 (Summer 1997), 589–623 &lt;</w:t>
      </w:r>
      <w:hyperlink r:id="rId24" w:history="1">
        <w:r w:rsidRPr="00004D65">
          <w:rPr>
            <w:rStyle w:val="Hyperlink"/>
            <w:rFonts w:ascii="Times New Roman" w:hAnsi="Times New Roman"/>
            <w:color w:val="auto"/>
            <w:u w:val="none"/>
          </w:rPr>
          <w:t>http://www.jstor.org/stable/3828748</w:t>
        </w:r>
      </w:hyperlink>
      <w:r w:rsidRPr="00004D65">
        <w:rPr>
          <w:rFonts w:ascii="Times New Roman" w:hAnsi="Times New Roman"/>
        </w:rPr>
        <w:t>&gt; [accessed: 15 May 2015] p. 610.</w:t>
      </w:r>
    </w:p>
  </w:footnote>
  <w:footnote w:id="1021">
    <w:p w:rsidR="003515E3" w:rsidRPr="00004D65" w:rsidRDefault="003515E3" w:rsidP="00422D80">
      <w:pPr>
        <w:pStyle w:val="FootnoteText"/>
        <w:spacing w:after="0" w:line="240" w:lineRule="auto"/>
        <w:rPr>
          <w:rFonts w:ascii="Times New Roman" w:hAnsi="Times New Roman"/>
        </w:rPr>
      </w:pPr>
      <w:r w:rsidRPr="00004D65">
        <w:rPr>
          <w:rStyle w:val="FootnoteReference"/>
          <w:rFonts w:ascii="Times New Roman" w:hAnsi="Times New Roman"/>
        </w:rPr>
        <w:footnoteRef/>
      </w:r>
      <w:r w:rsidRPr="00004D65">
        <w:rPr>
          <w:rFonts w:ascii="Times New Roman" w:hAnsi="Times New Roman"/>
        </w:rPr>
        <w:t xml:space="preserve"> </w:t>
      </w:r>
      <w:r w:rsidRPr="00004D65">
        <w:rPr>
          <w:rFonts w:ascii="Times New Roman" w:hAnsi="Times New Roman"/>
          <w:i/>
        </w:rPr>
        <w:t>Seamstress</w:t>
      </w:r>
      <w:r w:rsidRPr="00004D65">
        <w:rPr>
          <w:rFonts w:ascii="Times New Roman" w:hAnsi="Times New Roman"/>
        </w:rPr>
        <w:t>, pp. 15, 87.</w:t>
      </w:r>
    </w:p>
  </w:footnote>
  <w:footnote w:id="1022">
    <w:p w:rsidR="003515E3" w:rsidRPr="00004D65" w:rsidRDefault="003515E3" w:rsidP="00422D80">
      <w:pPr>
        <w:pStyle w:val="FootnoteText"/>
        <w:spacing w:after="0" w:line="240" w:lineRule="auto"/>
        <w:rPr>
          <w:rFonts w:ascii="Times New Roman" w:hAnsi="Times New Roman"/>
        </w:rPr>
      </w:pPr>
      <w:r w:rsidRPr="00004D65">
        <w:rPr>
          <w:rStyle w:val="FootnoteReference"/>
          <w:rFonts w:ascii="Times New Roman" w:hAnsi="Times New Roman"/>
        </w:rPr>
        <w:footnoteRef/>
      </w:r>
      <w:r w:rsidRPr="00004D65">
        <w:rPr>
          <w:rFonts w:ascii="Times New Roman" w:hAnsi="Times New Roman"/>
        </w:rPr>
        <w:t xml:space="preserve"> </w:t>
      </w:r>
      <w:r w:rsidRPr="00004D65">
        <w:rPr>
          <w:rFonts w:ascii="Times New Roman" w:hAnsi="Times New Roman"/>
          <w:i/>
        </w:rPr>
        <w:t>Seamstress</w:t>
      </w:r>
      <w:r w:rsidRPr="00004D65">
        <w:rPr>
          <w:rFonts w:ascii="Times New Roman" w:hAnsi="Times New Roman"/>
        </w:rPr>
        <w:t>, p. 93.</w:t>
      </w:r>
    </w:p>
  </w:footnote>
  <w:footnote w:id="1023">
    <w:p w:rsidR="003515E3" w:rsidRPr="00004D65" w:rsidRDefault="003515E3" w:rsidP="00422D80">
      <w:pPr>
        <w:pStyle w:val="FootnoteText"/>
        <w:spacing w:after="0" w:line="240" w:lineRule="auto"/>
        <w:rPr>
          <w:rFonts w:ascii="Times New Roman" w:hAnsi="Times New Roman"/>
        </w:rPr>
      </w:pPr>
      <w:r w:rsidRPr="00004D65">
        <w:rPr>
          <w:rStyle w:val="FootnoteReference"/>
          <w:rFonts w:ascii="Times New Roman" w:hAnsi="Times New Roman"/>
        </w:rPr>
        <w:footnoteRef/>
      </w:r>
      <w:r w:rsidRPr="00004D65">
        <w:rPr>
          <w:rFonts w:ascii="Times New Roman" w:hAnsi="Times New Roman"/>
        </w:rPr>
        <w:t xml:space="preserve"> </w:t>
      </w:r>
      <w:r w:rsidRPr="00004D65">
        <w:rPr>
          <w:rFonts w:ascii="Times New Roman" w:hAnsi="Times New Roman"/>
          <w:i/>
        </w:rPr>
        <w:t>Seamstress</w:t>
      </w:r>
      <w:r w:rsidRPr="00004D65">
        <w:rPr>
          <w:rFonts w:ascii="Times New Roman" w:hAnsi="Times New Roman"/>
        </w:rPr>
        <w:t>, p. 95.</w:t>
      </w:r>
    </w:p>
  </w:footnote>
  <w:footnote w:id="1024">
    <w:p w:rsidR="003515E3" w:rsidRPr="00004D65" w:rsidRDefault="003515E3" w:rsidP="00422D80">
      <w:pPr>
        <w:autoSpaceDE w:val="0"/>
        <w:autoSpaceDN w:val="0"/>
        <w:adjustRightInd w:val="0"/>
        <w:spacing w:after="0" w:line="240" w:lineRule="auto"/>
        <w:rPr>
          <w:rFonts w:ascii="Times New Roman" w:hAnsi="Times New Roman" w:cs="Times New Roman"/>
          <w:sz w:val="20"/>
          <w:szCs w:val="20"/>
        </w:rPr>
      </w:pPr>
      <w:r w:rsidRPr="00004D65">
        <w:rPr>
          <w:rStyle w:val="FootnoteReference"/>
          <w:rFonts w:ascii="Times New Roman" w:hAnsi="Times New Roman" w:cs="Times New Roman"/>
          <w:sz w:val="20"/>
          <w:szCs w:val="20"/>
        </w:rPr>
        <w:footnoteRef/>
      </w:r>
      <w:r w:rsidRPr="00004D65">
        <w:rPr>
          <w:rFonts w:ascii="Times New Roman" w:hAnsi="Times New Roman" w:cs="Times New Roman"/>
          <w:sz w:val="20"/>
          <w:szCs w:val="20"/>
        </w:rPr>
        <w:t xml:space="preserve"> Sara Hackenberg, ‘Vampires and Resurrection Men: The Perils and Pleasures of the Embodied Past in 1840s Sensational Fiction’, </w:t>
      </w:r>
      <w:r w:rsidRPr="00004D65">
        <w:rPr>
          <w:rFonts w:ascii="Times New Roman" w:hAnsi="Times New Roman" w:cs="Times New Roman"/>
          <w:i/>
          <w:sz w:val="20"/>
          <w:szCs w:val="20"/>
        </w:rPr>
        <w:t>Victorian Studies</w:t>
      </w:r>
      <w:r w:rsidRPr="00004D65">
        <w:rPr>
          <w:rFonts w:ascii="Times New Roman" w:hAnsi="Times New Roman" w:cs="Times New Roman"/>
          <w:sz w:val="20"/>
          <w:szCs w:val="20"/>
        </w:rPr>
        <w:t>, 52.1, Special Issue (Autumn 2009), pp. 63–75 &lt;</w:t>
      </w:r>
      <w:hyperlink r:id="rId25" w:history="1">
        <w:r w:rsidRPr="00004D65">
          <w:rPr>
            <w:rStyle w:val="Hyperlink"/>
            <w:rFonts w:ascii="Times New Roman" w:hAnsi="Times New Roman" w:cs="Times New Roman"/>
            <w:color w:val="auto"/>
            <w:sz w:val="20"/>
            <w:szCs w:val="20"/>
            <w:u w:val="none"/>
          </w:rPr>
          <w:t>http://www.jstor.org/stable/10.2979/VIC.2009.52.1.63</w:t>
        </w:r>
      </w:hyperlink>
      <w:r w:rsidRPr="00004D65">
        <w:rPr>
          <w:rFonts w:ascii="Times New Roman" w:hAnsi="Times New Roman" w:cs="Times New Roman"/>
          <w:sz w:val="20"/>
          <w:szCs w:val="20"/>
        </w:rPr>
        <w:t>&gt; [accessed: 4 October 2013] (p 71).</w:t>
      </w:r>
    </w:p>
  </w:footnote>
  <w:footnote w:id="1025">
    <w:p w:rsidR="003515E3" w:rsidRPr="00004D65" w:rsidRDefault="003515E3" w:rsidP="00422D80">
      <w:pPr>
        <w:pStyle w:val="FootnoteText"/>
        <w:spacing w:after="0" w:line="240" w:lineRule="auto"/>
        <w:rPr>
          <w:rFonts w:ascii="Times New Roman" w:hAnsi="Times New Roman"/>
        </w:rPr>
      </w:pPr>
      <w:r w:rsidRPr="00004D65">
        <w:rPr>
          <w:rStyle w:val="FootnoteReference"/>
          <w:rFonts w:ascii="Times New Roman" w:hAnsi="Times New Roman"/>
        </w:rPr>
        <w:footnoteRef/>
      </w:r>
      <w:r w:rsidRPr="00004D65">
        <w:rPr>
          <w:rFonts w:ascii="Times New Roman" w:hAnsi="Times New Roman"/>
        </w:rPr>
        <w:t xml:space="preserve"> </w:t>
      </w:r>
      <w:r w:rsidRPr="00004D65">
        <w:rPr>
          <w:rFonts w:ascii="Times New Roman" w:hAnsi="Times New Roman"/>
          <w:i/>
        </w:rPr>
        <w:t>Mysteries of London</w:t>
      </w:r>
      <w:r w:rsidRPr="00004D65">
        <w:rPr>
          <w:rFonts w:ascii="Times New Roman" w:hAnsi="Times New Roman"/>
        </w:rPr>
        <w:t>, II, 46.</w:t>
      </w:r>
    </w:p>
  </w:footnote>
  <w:footnote w:id="1026">
    <w:p w:rsidR="003515E3" w:rsidRPr="00004D65" w:rsidRDefault="003515E3" w:rsidP="00422D80">
      <w:pPr>
        <w:spacing w:after="0" w:line="240" w:lineRule="auto"/>
        <w:rPr>
          <w:rFonts w:ascii="Times New Roman" w:hAnsi="Times New Roman" w:cs="Times New Roman"/>
          <w:sz w:val="20"/>
          <w:szCs w:val="20"/>
        </w:rPr>
      </w:pPr>
      <w:r w:rsidRPr="00004D65">
        <w:rPr>
          <w:rStyle w:val="FootnoteReference"/>
          <w:rFonts w:ascii="Times New Roman" w:hAnsi="Times New Roman" w:cs="Times New Roman"/>
          <w:sz w:val="20"/>
          <w:szCs w:val="20"/>
        </w:rPr>
        <w:footnoteRef/>
      </w:r>
      <w:r w:rsidRPr="00004D65">
        <w:rPr>
          <w:rFonts w:ascii="Times New Roman" w:hAnsi="Times New Roman" w:cs="Times New Roman"/>
          <w:sz w:val="20"/>
          <w:szCs w:val="20"/>
        </w:rPr>
        <w:t xml:space="preserve"> References to secret messages and passwords occur throughout the novel, many associated with Auguste Leblond whom during the ‘July Days’ Alfred De Rosann  recognizes as being one of the ‘original conspirators’ and organisers of the uprising.  See</w:t>
      </w:r>
      <w:r w:rsidRPr="00004D65">
        <w:rPr>
          <w:rFonts w:ascii="Times New Roman" w:hAnsi="Times New Roman" w:cs="Times New Roman"/>
          <w:bCs/>
          <w:sz w:val="20"/>
          <w:szCs w:val="20"/>
        </w:rPr>
        <w:t xml:space="preserve"> </w:t>
      </w:r>
      <w:r w:rsidRPr="00004D65">
        <w:rPr>
          <w:rFonts w:ascii="Times New Roman" w:hAnsi="Times New Roman" w:cs="Times New Roman"/>
          <w:bCs/>
          <w:i/>
          <w:sz w:val="20"/>
          <w:szCs w:val="20"/>
        </w:rPr>
        <w:t>Alfred</w:t>
      </w:r>
      <w:r w:rsidRPr="00004D65">
        <w:rPr>
          <w:rFonts w:ascii="Times New Roman" w:hAnsi="Times New Roman" w:cs="Times New Roman"/>
          <w:bCs/>
          <w:sz w:val="20"/>
          <w:szCs w:val="20"/>
        </w:rPr>
        <w:t>, p. 223.</w:t>
      </w:r>
    </w:p>
  </w:footnote>
  <w:footnote w:id="1027">
    <w:p w:rsidR="003515E3" w:rsidRPr="00004D65" w:rsidRDefault="003515E3" w:rsidP="00422D80">
      <w:pPr>
        <w:spacing w:after="0" w:line="240" w:lineRule="auto"/>
        <w:rPr>
          <w:rFonts w:ascii="Times New Roman" w:hAnsi="Times New Roman" w:cs="Times New Roman"/>
          <w:sz w:val="20"/>
          <w:szCs w:val="20"/>
        </w:rPr>
      </w:pPr>
      <w:r w:rsidRPr="00004D65">
        <w:rPr>
          <w:rStyle w:val="FootnoteReference"/>
          <w:rFonts w:ascii="Times New Roman" w:hAnsi="Times New Roman" w:cs="Times New Roman"/>
          <w:sz w:val="20"/>
          <w:szCs w:val="20"/>
        </w:rPr>
        <w:footnoteRef/>
      </w:r>
      <w:r w:rsidRPr="00004D65">
        <w:rPr>
          <w:rFonts w:ascii="Times New Roman" w:hAnsi="Times New Roman" w:cs="Times New Roman"/>
          <w:sz w:val="20"/>
          <w:szCs w:val="20"/>
        </w:rPr>
        <w:t xml:space="preserve"> For Reynolds’s coverage of the ‘July Days’, see </w:t>
      </w:r>
      <w:r w:rsidRPr="00004D65">
        <w:rPr>
          <w:rFonts w:ascii="Times New Roman" w:hAnsi="Times New Roman" w:cs="Times New Roman"/>
          <w:bCs/>
          <w:i/>
          <w:sz w:val="20"/>
          <w:szCs w:val="20"/>
        </w:rPr>
        <w:t>Alfred</w:t>
      </w:r>
      <w:r w:rsidRPr="00004D65">
        <w:rPr>
          <w:rFonts w:ascii="Times New Roman" w:hAnsi="Times New Roman" w:cs="Times New Roman"/>
          <w:bCs/>
          <w:sz w:val="20"/>
          <w:szCs w:val="20"/>
        </w:rPr>
        <w:t>, pp. 220</w:t>
      </w:r>
      <w:r w:rsidRPr="00004D65">
        <w:rPr>
          <w:rFonts w:ascii="Times New Roman" w:hAnsi="Times New Roman" w:cs="Times New Roman"/>
          <w:sz w:val="20"/>
          <w:szCs w:val="20"/>
        </w:rPr>
        <w:t>–</w:t>
      </w:r>
      <w:r w:rsidRPr="00004D65">
        <w:rPr>
          <w:rFonts w:ascii="Times New Roman" w:hAnsi="Times New Roman" w:cs="Times New Roman"/>
          <w:bCs/>
          <w:sz w:val="20"/>
          <w:szCs w:val="20"/>
        </w:rPr>
        <w:t>29.</w:t>
      </w:r>
    </w:p>
  </w:footnote>
  <w:footnote w:id="1028">
    <w:p w:rsidR="003515E3" w:rsidRPr="00004D65" w:rsidRDefault="003515E3" w:rsidP="00422D80">
      <w:pPr>
        <w:pStyle w:val="FootnoteText"/>
        <w:spacing w:after="0" w:line="240" w:lineRule="auto"/>
        <w:rPr>
          <w:rFonts w:ascii="Times New Roman" w:hAnsi="Times New Roman"/>
        </w:rPr>
      </w:pPr>
      <w:r w:rsidRPr="00004D65">
        <w:rPr>
          <w:rStyle w:val="FootnoteReference"/>
          <w:rFonts w:ascii="Times New Roman" w:hAnsi="Times New Roman"/>
        </w:rPr>
        <w:footnoteRef/>
      </w:r>
      <w:r w:rsidRPr="00004D65">
        <w:rPr>
          <w:rFonts w:ascii="Times New Roman" w:hAnsi="Times New Roman"/>
        </w:rPr>
        <w:t xml:space="preserve"> </w:t>
      </w:r>
      <w:r w:rsidRPr="00004D65">
        <w:rPr>
          <w:rFonts w:ascii="Times New Roman" w:hAnsi="Times New Roman"/>
          <w:i/>
        </w:rPr>
        <w:t>Mysteries of London</w:t>
      </w:r>
      <w:r w:rsidRPr="00004D65">
        <w:rPr>
          <w:rFonts w:ascii="Times New Roman" w:hAnsi="Times New Roman"/>
        </w:rPr>
        <w:t>, II, 166.</w:t>
      </w:r>
    </w:p>
  </w:footnote>
  <w:footnote w:id="1029">
    <w:p w:rsidR="003515E3" w:rsidRPr="00004D65" w:rsidRDefault="003515E3" w:rsidP="00422D80">
      <w:pPr>
        <w:pStyle w:val="FootnoteText"/>
        <w:spacing w:after="0" w:line="240" w:lineRule="auto"/>
        <w:rPr>
          <w:rFonts w:ascii="Times New Roman" w:hAnsi="Times New Roman"/>
        </w:rPr>
      </w:pPr>
      <w:r w:rsidRPr="00004D65">
        <w:rPr>
          <w:rStyle w:val="FootnoteReference"/>
          <w:rFonts w:ascii="Times New Roman" w:hAnsi="Times New Roman"/>
        </w:rPr>
        <w:footnoteRef/>
      </w:r>
      <w:r w:rsidRPr="00004D65">
        <w:rPr>
          <w:rFonts w:ascii="Times New Roman" w:hAnsi="Times New Roman"/>
        </w:rPr>
        <w:t xml:space="preserve"> In similar fashion, when Markham reviews the Constitutionalist troops the population of Piacere repair to the neighbouring plain ‘to witness the martial spectacle’.  See </w:t>
      </w:r>
      <w:r w:rsidRPr="00004D65">
        <w:rPr>
          <w:rFonts w:ascii="Times New Roman" w:hAnsi="Times New Roman"/>
          <w:i/>
        </w:rPr>
        <w:t>Mysteries of London</w:t>
      </w:r>
      <w:r w:rsidRPr="00004D65">
        <w:rPr>
          <w:rFonts w:ascii="Times New Roman" w:hAnsi="Times New Roman"/>
        </w:rPr>
        <w:t>, II, 167.</w:t>
      </w:r>
    </w:p>
  </w:footnote>
  <w:footnote w:id="1030">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 163, 172.</w:t>
      </w:r>
    </w:p>
  </w:footnote>
  <w:footnote w:id="1031">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Prothero, p. 225.  </w:t>
      </w:r>
      <w:r w:rsidRPr="008E1BB0">
        <w:rPr>
          <w:rFonts w:ascii="Times New Roman" w:hAnsi="Times New Roman"/>
        </w:rPr>
        <w:t>For a summary of how shipwright John Gast (1772–1837), spokesperson for skilled artisans, included in his view of ‘respectability’ a sense of the importance of campaigning and united action by workers, see Prothero, pp. 14–24</w:t>
      </w:r>
      <w:r>
        <w:rPr>
          <w:rFonts w:ascii="Times New Roman" w:hAnsi="Times New Roman"/>
        </w:rPr>
        <w:t>.</w:t>
      </w:r>
    </w:p>
  </w:footnote>
  <w:footnote w:id="1032">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Thompson, p. 225. Thompson argues that their spokesmen questioned not only political institutions but the social and economic structure of industrial capitalism: ‘To the facts of orthodox political economy they opposed their own facts and their own arithmetic.’  He continues with the example of Leicester framework knitters who in 1817 ‘put forward in a series of resolutions, an under-consumption theory of capitalist crisis’.</w:t>
      </w:r>
    </w:p>
  </w:footnote>
  <w:footnote w:id="1033">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III, 373; IV, 232.</w:t>
      </w:r>
    </w:p>
  </w:footnote>
  <w:footnote w:id="1034">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IV, 42.</w:t>
      </w:r>
    </w:p>
  </w:footnote>
  <w:footnote w:id="1035">
    <w:p w:rsidR="003515E3" w:rsidRPr="009331EF"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 xml:space="preserve">Mysteries of </w:t>
      </w:r>
      <w:r w:rsidRPr="009331EF">
        <w:rPr>
          <w:rFonts w:ascii="Times New Roman" w:hAnsi="Times New Roman"/>
          <w:i/>
        </w:rPr>
        <w:t>London</w:t>
      </w:r>
      <w:r w:rsidRPr="009331EF">
        <w:rPr>
          <w:rFonts w:ascii="Times New Roman" w:hAnsi="Times New Roman"/>
        </w:rPr>
        <w:t>, IV, 39.</w:t>
      </w:r>
    </w:p>
  </w:footnote>
  <w:footnote w:id="1036">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rPr>
        <w:t>Mysteries of London</w:t>
      </w:r>
      <w:r w:rsidRPr="009331EF">
        <w:rPr>
          <w:rFonts w:ascii="Times New Roman" w:hAnsi="Times New Roman"/>
        </w:rPr>
        <w:t>, III, 380.</w:t>
      </w:r>
    </w:p>
  </w:footnote>
  <w:footnote w:id="1037">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In addition to the first number, other front page portraits appeared in the </w:t>
      </w:r>
      <w:r w:rsidRPr="009331EF">
        <w:rPr>
          <w:rFonts w:ascii="Times New Roman" w:hAnsi="Times New Roman"/>
          <w:i/>
        </w:rPr>
        <w:t>Miscellany</w:t>
      </w:r>
      <w:r w:rsidRPr="009331EF">
        <w:rPr>
          <w:rFonts w:ascii="Times New Roman" w:hAnsi="Times New Roman"/>
        </w:rPr>
        <w:t xml:space="preserve">, including the issue for </w:t>
      </w:r>
      <w:r w:rsidRPr="009331EF">
        <w:rPr>
          <w:rFonts w:asciiTheme="majorBidi" w:hAnsiTheme="majorBidi" w:cstheme="majorBidi"/>
        </w:rPr>
        <w:t xml:space="preserve">28 July 1849 and that for 5 December 1859 to celebrate the six hundredth number. </w:t>
      </w:r>
    </w:p>
  </w:footnote>
  <w:footnote w:id="1038">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For Reynolds’s account of his sudden conversion to teetotalism see Anonymous, ‘Analysis of the Discussion: Between J. H. Donaldson and G. W. M. Reynolds’, </w:t>
      </w:r>
      <w:r w:rsidRPr="009331EF">
        <w:rPr>
          <w:rFonts w:ascii="Times New Roman" w:hAnsi="Times New Roman"/>
          <w:i/>
        </w:rPr>
        <w:t>Teetotaler</w:t>
      </w:r>
      <w:r w:rsidRPr="009331EF">
        <w:rPr>
          <w:rFonts w:asciiTheme="majorBidi" w:hAnsiTheme="majorBidi" w:cstheme="majorBidi"/>
        </w:rPr>
        <w:t>, 27 June 1840, pp. 5</w:t>
      </w:r>
      <w:r w:rsidRPr="009331EF">
        <w:rPr>
          <w:rFonts w:ascii="Times New Roman" w:hAnsi="Times New Roman"/>
        </w:rPr>
        <w:t>–</w:t>
      </w:r>
      <w:r w:rsidRPr="009331EF">
        <w:rPr>
          <w:rFonts w:asciiTheme="majorBidi" w:hAnsiTheme="majorBidi" w:cstheme="majorBidi"/>
        </w:rPr>
        <w:t>6.</w:t>
      </w:r>
    </w:p>
  </w:footnote>
  <w:footnote w:id="1039">
    <w:p w:rsidR="003515E3" w:rsidRPr="00E63708"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The </w:t>
      </w:r>
      <w:r w:rsidRPr="009331EF">
        <w:rPr>
          <w:rFonts w:ascii="Times New Roman" w:hAnsi="Times New Roman"/>
          <w:i/>
        </w:rPr>
        <w:t>Northern Star</w:t>
      </w:r>
      <w:r w:rsidRPr="009331EF">
        <w:rPr>
          <w:rFonts w:ascii="Times New Roman" w:hAnsi="Times New Roman"/>
        </w:rPr>
        <w:t xml:space="preserve"> report indicates there were many other speakers, including Doyle, Clark, Fussell, Tapp, Dr. Mingay Sider, Archer, Sharpe and Christopher Doyle. See Anonymous, ‘Great Public Meeting on Clerkenwell-Green in Favour of the People’s Charter’, </w:t>
      </w:r>
      <w:r w:rsidRPr="009331EF">
        <w:rPr>
          <w:rStyle w:val="mini"/>
          <w:rFonts w:ascii="Times New Roman" w:hAnsi="Times New Roman"/>
          <w:i/>
          <w:iCs/>
        </w:rPr>
        <w:t>Northern Star and National Trades' Journal</w:t>
      </w:r>
      <w:r w:rsidRPr="009331EF">
        <w:rPr>
          <w:rFonts w:ascii="Times New Roman" w:hAnsi="Times New Roman"/>
        </w:rPr>
        <w:t>, 11 March 1848, p.1.</w:t>
      </w:r>
    </w:p>
  </w:footnote>
  <w:footnote w:id="1040">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IV, 233–34.</w:t>
      </w:r>
    </w:p>
  </w:footnote>
  <w:footnote w:id="1041">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Shannon, p. 71.  Shannon points out that such insertions ‘blurred the line between political speech-making, newspaper reporting and radical fiction’ in the process of which ‘His imagined network of readers became actualized as real protestors’.  See Shannon, p. 70.</w:t>
      </w:r>
    </w:p>
  </w:footnote>
  <w:footnote w:id="1042">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heme="majorBidi" w:hAnsiTheme="majorBidi" w:cstheme="majorBidi"/>
        </w:rPr>
        <w:t>Patrick Joyce,</w:t>
      </w:r>
      <w:r w:rsidRPr="00E63708">
        <w:rPr>
          <w:rFonts w:asciiTheme="majorBidi" w:hAnsiTheme="majorBidi" w:cstheme="majorBidi"/>
          <w:i/>
        </w:rPr>
        <w:t xml:space="preserve"> Visions of the People.  Industrial England and the Question of Class 1848-1914</w:t>
      </w:r>
      <w:r w:rsidRPr="00E63708">
        <w:rPr>
          <w:rFonts w:asciiTheme="majorBidi" w:hAnsiTheme="majorBidi" w:cstheme="majorBidi"/>
        </w:rPr>
        <w:t xml:space="preserve"> (Cambridge: Cambridge University Press, 1991),</w:t>
      </w:r>
      <w:r w:rsidRPr="00E63708">
        <w:rPr>
          <w:rFonts w:ascii="Times New Roman" w:hAnsi="Times New Roman"/>
        </w:rPr>
        <w:t xml:space="preserve"> p. 46.</w:t>
      </w:r>
    </w:p>
  </w:footnote>
  <w:footnote w:id="1043">
    <w:p w:rsidR="003515E3" w:rsidRPr="00E63708" w:rsidRDefault="003515E3" w:rsidP="00422D80">
      <w:pPr>
        <w:pStyle w:val="FootnoteText"/>
        <w:spacing w:after="0" w:line="240" w:lineRule="auto"/>
        <w:rPr>
          <w:rFonts w:ascii="Times New Roman" w:hAnsi="Times New Roman"/>
        </w:rPr>
      </w:pPr>
      <w:r w:rsidRPr="00E63708">
        <w:rPr>
          <w:rStyle w:val="FootnoteReference"/>
          <w:rFonts w:ascii="Times New Roman" w:hAnsi="Times New Roman"/>
        </w:rPr>
        <w:footnoteRef/>
      </w:r>
      <w:r w:rsidRPr="00E63708">
        <w:rPr>
          <w:rFonts w:ascii="Times New Roman" w:hAnsi="Times New Roman"/>
        </w:rPr>
        <w:t xml:space="preserve"> </w:t>
      </w:r>
      <w:r w:rsidRPr="00E63708">
        <w:rPr>
          <w:rFonts w:ascii="Times New Roman" w:hAnsi="Times New Roman"/>
          <w:i/>
        </w:rPr>
        <w:t>Mysteries of London</w:t>
      </w:r>
      <w:r w:rsidRPr="00E63708">
        <w:rPr>
          <w:rFonts w:ascii="Times New Roman" w:hAnsi="Times New Roman"/>
        </w:rPr>
        <w:t>, III, 293.</w:t>
      </w:r>
    </w:p>
  </w:footnote>
  <w:footnote w:id="1044">
    <w:p w:rsidR="003515E3" w:rsidRPr="00820B22" w:rsidRDefault="003515E3" w:rsidP="00422D80">
      <w:pPr>
        <w:pStyle w:val="FootnoteText"/>
        <w:spacing w:after="0" w:line="240" w:lineRule="auto"/>
        <w:rPr>
          <w:rFonts w:ascii="Times New Roman" w:hAnsi="Times New Roman"/>
        </w:rPr>
      </w:pPr>
      <w:r w:rsidRPr="00820B22">
        <w:rPr>
          <w:rStyle w:val="FootnoteReference"/>
          <w:rFonts w:ascii="Times New Roman" w:hAnsi="Times New Roman"/>
        </w:rPr>
        <w:footnoteRef/>
      </w:r>
      <w:r w:rsidRPr="00820B22">
        <w:rPr>
          <w:rFonts w:ascii="Times New Roman" w:hAnsi="Times New Roman"/>
        </w:rPr>
        <w:t xml:space="preserve"> </w:t>
      </w:r>
      <w:r w:rsidRPr="00820B22">
        <w:rPr>
          <w:rFonts w:ascii="Times New Roman" w:hAnsi="Times New Roman"/>
          <w:i/>
        </w:rPr>
        <w:t>Seamstress</w:t>
      </w:r>
      <w:r w:rsidRPr="00820B22">
        <w:rPr>
          <w:rFonts w:ascii="Times New Roman" w:hAnsi="Times New Roman"/>
        </w:rPr>
        <w:t>, pp. 94, 99.</w:t>
      </w:r>
    </w:p>
  </w:footnote>
  <w:footnote w:id="1045">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rPr>
        <w:t>Seamstress</w:t>
      </w:r>
      <w:r w:rsidRPr="009331EF">
        <w:rPr>
          <w:rFonts w:ascii="Times New Roman" w:hAnsi="Times New Roman"/>
        </w:rPr>
        <w:t>, p. 90.</w:t>
      </w:r>
    </w:p>
  </w:footnote>
  <w:footnote w:id="1046">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rPr>
        <w:t>Seamstress</w:t>
      </w:r>
      <w:r w:rsidRPr="009331EF">
        <w:rPr>
          <w:rFonts w:ascii="Times New Roman" w:hAnsi="Times New Roman"/>
        </w:rPr>
        <w:t>, p. 90.</w:t>
      </w:r>
    </w:p>
  </w:footnote>
  <w:footnote w:id="1047">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rPr>
        <w:t>Seamstress</w:t>
      </w:r>
      <w:r w:rsidRPr="009331EF">
        <w:rPr>
          <w:rFonts w:ascii="Times New Roman" w:hAnsi="Times New Roman"/>
        </w:rPr>
        <w:t>, p. 96.</w:t>
      </w:r>
    </w:p>
  </w:footnote>
  <w:footnote w:id="1048">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iCs/>
        </w:rPr>
        <w:t>Seamstress</w:t>
      </w:r>
      <w:r w:rsidRPr="009331EF">
        <w:rPr>
          <w:rFonts w:ascii="Times New Roman" w:hAnsi="Times New Roman"/>
        </w:rPr>
        <w:t>, p. 96.</w:t>
      </w:r>
    </w:p>
  </w:footnote>
  <w:footnote w:id="1049">
    <w:p w:rsidR="003515E3" w:rsidRPr="00820B22"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iCs/>
        </w:rPr>
        <w:t>Soldier’s Wife</w:t>
      </w:r>
      <w:r w:rsidRPr="009331EF">
        <w:rPr>
          <w:rFonts w:ascii="Times New Roman" w:hAnsi="Times New Roman"/>
        </w:rPr>
        <w:t>, p. 43.</w:t>
      </w:r>
    </w:p>
  </w:footnote>
  <w:footnote w:id="1050">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For an example, see G. W. M. Reynolds, ‘The Army and the Lash’, </w:t>
      </w:r>
      <w:r w:rsidRPr="009331EF">
        <w:rPr>
          <w:rFonts w:ascii="Times New Roman" w:hAnsi="Times New Roman"/>
          <w:i/>
          <w:iCs/>
        </w:rPr>
        <w:t>Reynolds’s Newspaper</w:t>
      </w:r>
      <w:r w:rsidRPr="009331EF">
        <w:rPr>
          <w:rFonts w:ascii="Times New Roman" w:hAnsi="Times New Roman"/>
        </w:rPr>
        <w:t>, 13 February 1853, p. 1.</w:t>
      </w:r>
    </w:p>
  </w:footnote>
  <w:footnote w:id="1051">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i/>
          <w:iCs/>
        </w:rPr>
        <w:t>Soldier’s Wife</w:t>
      </w:r>
      <w:r w:rsidRPr="009331EF">
        <w:rPr>
          <w:rFonts w:ascii="Times New Roman" w:hAnsi="Times New Roman"/>
        </w:rPr>
        <w:t>, p. 44.</w:t>
      </w:r>
    </w:p>
  </w:footnote>
  <w:footnote w:id="1052">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Antonio Gramsci, </w:t>
      </w:r>
      <w:r w:rsidRPr="009331EF">
        <w:rPr>
          <w:rFonts w:ascii="Times New Roman" w:hAnsi="Times New Roman"/>
          <w:i/>
          <w:iCs/>
        </w:rPr>
        <w:t>Selections from the Prison Notebooks of Antonio Gramsci</w:t>
      </w:r>
      <w:r w:rsidRPr="009331EF">
        <w:rPr>
          <w:rFonts w:ascii="Times New Roman" w:hAnsi="Times New Roman"/>
        </w:rPr>
        <w:t>, ed. and trans. by Quintin Hoare and Geoffrey Nowell Smith (London: Lawrence and Wishart, 1971), p. 5.</w:t>
      </w:r>
    </w:p>
  </w:footnote>
  <w:footnote w:id="1053">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Gramsci, p. 10.</w:t>
      </w:r>
    </w:p>
  </w:footnote>
  <w:footnote w:id="1054">
    <w:p w:rsidR="003515E3" w:rsidRPr="009331EF"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w:t>
      </w:r>
      <w:r w:rsidRPr="009331EF">
        <w:rPr>
          <w:rFonts w:ascii="Times New Roman" w:hAnsi="Times New Roman"/>
          <w:bCs/>
        </w:rPr>
        <w:t xml:space="preserve">Terry Eagleton, </w:t>
      </w:r>
      <w:r w:rsidRPr="009331EF">
        <w:rPr>
          <w:rFonts w:ascii="Times New Roman" w:hAnsi="Times New Roman"/>
          <w:bCs/>
          <w:i/>
        </w:rPr>
        <w:t>Ideology: An Introduction</w:t>
      </w:r>
      <w:r w:rsidRPr="009331EF">
        <w:rPr>
          <w:rFonts w:ascii="Times New Roman" w:hAnsi="Times New Roman"/>
          <w:bCs/>
        </w:rPr>
        <w:t xml:space="preserve"> (London: Verso, 1991), pp. 118</w:t>
      </w:r>
      <w:r w:rsidRPr="009331EF">
        <w:rPr>
          <w:rFonts w:ascii="Times New Roman" w:hAnsi="Times New Roman"/>
        </w:rPr>
        <w:t>–</w:t>
      </w:r>
      <w:r w:rsidRPr="009331EF">
        <w:rPr>
          <w:rFonts w:ascii="Times New Roman" w:hAnsi="Times New Roman"/>
          <w:bCs/>
        </w:rPr>
        <w:t>-19</w:t>
      </w:r>
      <w:r w:rsidRPr="009331EF">
        <w:rPr>
          <w:rFonts w:ascii="Times New Roman" w:hAnsi="Times New Roman"/>
        </w:rPr>
        <w:t>.</w:t>
      </w:r>
    </w:p>
  </w:footnote>
  <w:footnote w:id="1055">
    <w:p w:rsidR="003515E3" w:rsidRPr="009331EF" w:rsidRDefault="003515E3" w:rsidP="00422D80">
      <w:pPr>
        <w:pStyle w:val="FootnoteText"/>
        <w:spacing w:after="0" w:line="240" w:lineRule="auto"/>
        <w:rPr>
          <w:rFonts w:ascii="Times New Roman" w:hAnsi="Times New Roman"/>
        </w:rPr>
      </w:pPr>
      <w:r w:rsidRPr="007F767D">
        <w:rPr>
          <w:rStyle w:val="FootnoteReference"/>
          <w:rFonts w:ascii="Times New Roman" w:hAnsi="Times New Roman"/>
        </w:rPr>
        <w:footnoteRef/>
      </w:r>
      <w:r w:rsidRPr="007F767D">
        <w:rPr>
          <w:rFonts w:ascii="Times New Roman" w:hAnsi="Times New Roman"/>
        </w:rPr>
        <w:t xml:space="preserve"> ‘George W. M. Reynolds and the radicalization of Victorian serial fiction’</w:t>
      </w:r>
      <w:r>
        <w:rPr>
          <w:rFonts w:ascii="Times New Roman" w:hAnsi="Times New Roman"/>
        </w:rPr>
        <w:t xml:space="preserve">, </w:t>
      </w:r>
      <w:r w:rsidRPr="007F767D">
        <w:rPr>
          <w:rFonts w:ascii="Times New Roman" w:hAnsi="Times New Roman"/>
        </w:rPr>
        <w:t>p. 132.</w:t>
      </w:r>
    </w:p>
  </w:footnote>
  <w:footnote w:id="1056">
    <w:p w:rsidR="003515E3" w:rsidRPr="00004D65" w:rsidRDefault="003515E3" w:rsidP="00422D80">
      <w:pPr>
        <w:pStyle w:val="FootnoteText"/>
        <w:spacing w:after="0" w:line="240" w:lineRule="auto"/>
        <w:rPr>
          <w:rFonts w:ascii="Times New Roman" w:hAnsi="Times New Roman"/>
        </w:rPr>
      </w:pPr>
      <w:r w:rsidRPr="009331EF">
        <w:rPr>
          <w:rStyle w:val="FootnoteReference"/>
          <w:rFonts w:ascii="Times New Roman" w:hAnsi="Times New Roman"/>
        </w:rPr>
        <w:footnoteRef/>
      </w:r>
      <w:r w:rsidRPr="009331EF">
        <w:rPr>
          <w:rFonts w:ascii="Times New Roman" w:hAnsi="Times New Roman"/>
        </w:rPr>
        <w:t xml:space="preserve"> A reply to ‘W.K.’ states that ‘notwithstanding several commanding officers forbid it being read by their soldiers’ before Sebastopol, over 400 copies are despatched from the office to the camp each week.  See Anonymous, ‘Notices to Correspondents’, </w:t>
      </w:r>
      <w:r w:rsidRPr="009331EF">
        <w:rPr>
          <w:rFonts w:ascii="Times New Roman" w:hAnsi="Times New Roman"/>
          <w:bCs/>
          <w:i/>
          <w:iCs/>
        </w:rPr>
        <w:t>Reynolds’s Newspaper</w:t>
      </w:r>
      <w:r w:rsidRPr="009331EF">
        <w:rPr>
          <w:rFonts w:ascii="Times New Roman" w:hAnsi="Times New Roman"/>
        </w:rPr>
        <w:t>, 4 March 1855, p. 8.</w:t>
      </w:r>
    </w:p>
  </w:footnote>
  <w:footnote w:id="1057">
    <w:p w:rsidR="003515E3" w:rsidRPr="00752F02" w:rsidRDefault="003515E3" w:rsidP="0005445D">
      <w:pPr>
        <w:pStyle w:val="FootnoteText"/>
        <w:spacing w:after="0" w:line="240" w:lineRule="auto"/>
        <w:rPr>
          <w:rFonts w:ascii="Times New Roman" w:hAnsi="Times New Roman"/>
        </w:rPr>
      </w:pPr>
      <w:r w:rsidRPr="00752F02">
        <w:rPr>
          <w:rStyle w:val="FootnoteReference"/>
          <w:rFonts w:ascii="Times New Roman" w:hAnsi="Times New Roman"/>
        </w:rPr>
        <w:footnoteRef/>
      </w:r>
      <w:r w:rsidRPr="00752F02">
        <w:rPr>
          <w:rFonts w:ascii="Times New Roman" w:hAnsi="Times New Roman"/>
        </w:rPr>
        <w:t xml:space="preserve"> Louis </w:t>
      </w:r>
      <w:r w:rsidRPr="00752F02">
        <w:rPr>
          <w:rFonts w:ascii="Times New Roman" w:eastAsia="Times New Roman" w:hAnsi="Times New Roman"/>
          <w:lang w:eastAsia="en-GB"/>
        </w:rPr>
        <w:t xml:space="preserve">Chevalier wrote that in early nineteenth century France the term designated mental states in which ‘the patient retained the use of all his faculties and was insane on only one subject or a few subjects, but otherwise felt, acted and reasoned as he had before he fell sick’.  See Louis Chevalier, </w:t>
      </w:r>
      <w:r w:rsidRPr="00752F02">
        <w:rPr>
          <w:rFonts w:ascii="Times New Roman" w:eastAsia="Times New Roman" w:hAnsi="Times New Roman"/>
          <w:i/>
          <w:lang w:eastAsia="en-GB"/>
        </w:rPr>
        <w:t>Labouring Classes and Dangerous Classes In Paris During the First Half of the Nineteenth Century</w:t>
      </w:r>
      <w:r w:rsidRPr="00752F02">
        <w:rPr>
          <w:rFonts w:ascii="Times New Roman" w:eastAsia="Times New Roman" w:hAnsi="Times New Roman"/>
          <w:lang w:eastAsia="en-GB"/>
        </w:rPr>
        <w:t xml:space="preserve">, trans. by Frank </w:t>
      </w:r>
      <w:r w:rsidRPr="0005445D">
        <w:rPr>
          <w:rFonts w:ascii="Times New Roman" w:eastAsia="Times New Roman" w:hAnsi="Times New Roman"/>
          <w:lang w:eastAsia="en-GB"/>
        </w:rPr>
        <w:t>Jellinek (London</w:t>
      </w:r>
      <w:r w:rsidRPr="00752F02">
        <w:rPr>
          <w:rFonts w:ascii="Times New Roman" w:eastAsia="Times New Roman" w:hAnsi="Times New Roman"/>
          <w:lang w:eastAsia="en-GB"/>
        </w:rPr>
        <w:t>: Routledge and Kegan Paul, 1973), p. 278.</w:t>
      </w:r>
    </w:p>
  </w:footnote>
  <w:footnote w:id="1058">
    <w:p w:rsidR="003515E3" w:rsidRPr="00C51C34" w:rsidRDefault="003515E3" w:rsidP="0005445D">
      <w:pPr>
        <w:pStyle w:val="FootnoteText"/>
        <w:spacing w:after="0" w:line="240" w:lineRule="auto"/>
        <w:rPr>
          <w:rFonts w:ascii="Times New Roman" w:hAnsi="Times New Roman"/>
        </w:rPr>
      </w:pPr>
      <w:r w:rsidRPr="00752F02">
        <w:rPr>
          <w:rStyle w:val="FootnoteReference"/>
          <w:rFonts w:ascii="Times New Roman" w:hAnsi="Times New Roman"/>
        </w:rPr>
        <w:footnoteRef/>
      </w:r>
      <w:r w:rsidRPr="00752F02">
        <w:rPr>
          <w:rFonts w:ascii="Times New Roman" w:hAnsi="Times New Roman"/>
        </w:rPr>
        <w:t xml:space="preserve"> At one point he confesses that while carrying out his acts of destruction, ‘I felt that I was a monomaniac’. See Reynolds, </w:t>
      </w:r>
      <w:r w:rsidRPr="00752F02">
        <w:rPr>
          <w:rFonts w:ascii="Times New Roman" w:hAnsi="Times New Roman"/>
          <w:i/>
        </w:rPr>
        <w:t>Mysteries of the Court</w:t>
      </w:r>
      <w:r w:rsidRPr="00752F02">
        <w:rPr>
          <w:rFonts w:ascii="Times New Roman" w:hAnsi="Times New Roman"/>
        </w:rPr>
        <w:t xml:space="preserve">, II, 373.  Two figures in the </w:t>
      </w:r>
      <w:r w:rsidRPr="00752F02">
        <w:rPr>
          <w:rFonts w:ascii="Times New Roman" w:hAnsi="Times New Roman"/>
          <w:i/>
        </w:rPr>
        <w:t>Mysteries of London</w:t>
      </w:r>
      <w:r w:rsidRPr="00752F02">
        <w:rPr>
          <w:rFonts w:ascii="Times New Roman" w:hAnsi="Times New Roman"/>
        </w:rPr>
        <w:t xml:space="preserve"> that suffer similarly are Henry Holford whose aspirations towards Queen Victoria develop into a ferocious hatred of Prince Albert, and Lydia Hutchinson who devotes herself to the downfall of her former persecutor Lady Adeline Ravensworth.</w:t>
      </w:r>
    </w:p>
  </w:footnote>
  <w:footnote w:id="1059">
    <w:p w:rsidR="003515E3" w:rsidRPr="00752F02" w:rsidRDefault="003515E3" w:rsidP="0005445D">
      <w:pPr>
        <w:pStyle w:val="FootnoteText"/>
        <w:spacing w:after="0" w:line="240" w:lineRule="auto"/>
        <w:rPr>
          <w:rFonts w:ascii="Times New Roman" w:hAnsi="Times New Roman"/>
        </w:rPr>
      </w:pPr>
      <w:r w:rsidRPr="00752F02">
        <w:rPr>
          <w:rStyle w:val="FootnoteReference"/>
          <w:rFonts w:ascii="Times New Roman" w:hAnsi="Times New Roman"/>
        </w:rPr>
        <w:footnoteRef/>
      </w:r>
      <w:r w:rsidRPr="00752F02">
        <w:rPr>
          <w:rFonts w:ascii="Times New Roman" w:hAnsi="Times New Roman"/>
        </w:rPr>
        <w:t xml:space="preserve"> They take her in after she faints on the doorstep of the house where they lodge when in despair at having been defrauded of her savings.  See </w:t>
      </w:r>
      <w:r w:rsidRPr="00752F02">
        <w:rPr>
          <w:rFonts w:ascii="Times New Roman" w:hAnsi="Times New Roman"/>
          <w:i/>
        </w:rPr>
        <w:t>Mysteries of the Court</w:t>
      </w:r>
      <w:r w:rsidRPr="00752F02">
        <w:rPr>
          <w:rFonts w:ascii="Times New Roman" w:hAnsi="Times New Roman"/>
        </w:rPr>
        <w:t>, I, 338–40.</w:t>
      </w:r>
    </w:p>
  </w:footnote>
  <w:footnote w:id="1060">
    <w:p w:rsidR="003515E3" w:rsidRPr="00752F02" w:rsidRDefault="003515E3" w:rsidP="0005445D">
      <w:pPr>
        <w:pStyle w:val="FootnoteText"/>
        <w:spacing w:after="0" w:line="240" w:lineRule="auto"/>
        <w:rPr>
          <w:rFonts w:ascii="Times New Roman" w:hAnsi="Times New Roman"/>
        </w:rPr>
      </w:pPr>
      <w:r w:rsidRPr="00752F02">
        <w:rPr>
          <w:rStyle w:val="FootnoteReference"/>
          <w:rFonts w:ascii="Times New Roman" w:hAnsi="Times New Roman"/>
        </w:rPr>
        <w:footnoteRef/>
      </w:r>
      <w:r w:rsidRPr="00752F02">
        <w:rPr>
          <w:rFonts w:ascii="Times New Roman" w:hAnsi="Times New Roman"/>
        </w:rPr>
        <w:t xml:space="preserve"> </w:t>
      </w:r>
      <w:r w:rsidRPr="00752F02">
        <w:rPr>
          <w:rFonts w:ascii="Times New Roman" w:hAnsi="Times New Roman"/>
          <w:i/>
        </w:rPr>
        <w:t>Mysteries of the Court</w:t>
      </w:r>
      <w:r w:rsidRPr="00752F02">
        <w:rPr>
          <w:rFonts w:ascii="Times New Roman" w:hAnsi="Times New Roman"/>
        </w:rPr>
        <w:t>, II, 174.</w:t>
      </w:r>
    </w:p>
  </w:footnote>
  <w:footnote w:id="1061">
    <w:p w:rsidR="003515E3" w:rsidRPr="00752F02" w:rsidRDefault="003515E3" w:rsidP="0005445D">
      <w:pPr>
        <w:pStyle w:val="FootnoteText"/>
        <w:spacing w:after="0" w:line="240" w:lineRule="auto"/>
        <w:rPr>
          <w:rFonts w:ascii="Times New Roman" w:hAnsi="Times New Roman"/>
        </w:rPr>
      </w:pPr>
      <w:r w:rsidRPr="00752F02">
        <w:rPr>
          <w:rStyle w:val="FootnoteReference"/>
          <w:rFonts w:ascii="Times New Roman" w:hAnsi="Times New Roman"/>
        </w:rPr>
        <w:footnoteRef/>
      </w:r>
      <w:r w:rsidRPr="00752F02">
        <w:rPr>
          <w:rFonts w:ascii="Times New Roman" w:hAnsi="Times New Roman"/>
        </w:rPr>
        <w:t xml:space="preserve"> </w:t>
      </w:r>
      <w:r w:rsidRPr="00752F02">
        <w:rPr>
          <w:rFonts w:ascii="Times New Roman" w:hAnsi="Times New Roman"/>
          <w:i/>
        </w:rPr>
        <w:t>Mysteries of the Court</w:t>
      </w:r>
      <w:r w:rsidRPr="00752F02">
        <w:rPr>
          <w:rFonts w:ascii="Times New Roman" w:hAnsi="Times New Roman"/>
        </w:rPr>
        <w:t>, II, 368.</w:t>
      </w:r>
    </w:p>
  </w:footnote>
  <w:footnote w:id="1062">
    <w:p w:rsidR="003515E3" w:rsidRPr="00752F02" w:rsidRDefault="003515E3" w:rsidP="0005445D">
      <w:pPr>
        <w:pStyle w:val="FootnoteText"/>
        <w:spacing w:after="0" w:line="240" w:lineRule="auto"/>
        <w:rPr>
          <w:rFonts w:ascii="Times New Roman" w:hAnsi="Times New Roman"/>
        </w:rPr>
      </w:pPr>
      <w:r w:rsidRPr="00752F02">
        <w:rPr>
          <w:rStyle w:val="FootnoteReference"/>
          <w:rFonts w:ascii="Times New Roman" w:hAnsi="Times New Roman"/>
        </w:rPr>
        <w:footnoteRef/>
      </w:r>
      <w:r w:rsidRPr="00752F02">
        <w:rPr>
          <w:rFonts w:ascii="Times New Roman" w:hAnsi="Times New Roman"/>
        </w:rPr>
        <w:t xml:space="preserve"> </w:t>
      </w:r>
      <w:r w:rsidRPr="00752F02">
        <w:rPr>
          <w:rFonts w:ascii="Times New Roman" w:hAnsi="Times New Roman"/>
          <w:i/>
        </w:rPr>
        <w:t>Mysteries of the Court</w:t>
      </w:r>
      <w:r w:rsidRPr="00752F02">
        <w:rPr>
          <w:rFonts w:ascii="Times New Roman" w:hAnsi="Times New Roman"/>
        </w:rPr>
        <w:t>, II, 368.</w:t>
      </w:r>
    </w:p>
  </w:footnote>
  <w:footnote w:id="1063">
    <w:p w:rsidR="003515E3" w:rsidRPr="00752F02" w:rsidRDefault="003515E3" w:rsidP="0005445D">
      <w:pPr>
        <w:pStyle w:val="FootnoteText"/>
        <w:spacing w:after="0" w:line="240" w:lineRule="auto"/>
        <w:rPr>
          <w:rFonts w:ascii="Times New Roman" w:hAnsi="Times New Roman"/>
        </w:rPr>
      </w:pPr>
      <w:r w:rsidRPr="00752F02">
        <w:rPr>
          <w:rStyle w:val="FootnoteReference"/>
          <w:rFonts w:ascii="Times New Roman" w:hAnsi="Times New Roman"/>
        </w:rPr>
        <w:footnoteRef/>
      </w:r>
      <w:r w:rsidRPr="00752F02">
        <w:rPr>
          <w:rFonts w:ascii="Times New Roman" w:hAnsi="Times New Roman"/>
        </w:rPr>
        <w:t xml:space="preserve"> </w:t>
      </w:r>
      <w:r w:rsidRPr="00752F02">
        <w:rPr>
          <w:rFonts w:ascii="Times New Roman" w:hAnsi="Times New Roman"/>
          <w:i/>
        </w:rPr>
        <w:t>Mysteries of the Court</w:t>
      </w:r>
      <w:r w:rsidRPr="00752F02">
        <w:rPr>
          <w:rFonts w:ascii="Times New Roman" w:hAnsi="Times New Roman"/>
        </w:rPr>
        <w:t>, I, 343.</w:t>
      </w:r>
    </w:p>
  </w:footnote>
  <w:footnote w:id="1064">
    <w:p w:rsidR="003515E3" w:rsidRPr="00C51C34" w:rsidRDefault="003515E3" w:rsidP="0005445D">
      <w:pPr>
        <w:pStyle w:val="FootnoteText"/>
        <w:spacing w:after="0" w:line="240" w:lineRule="auto"/>
        <w:rPr>
          <w:rFonts w:ascii="Times New Roman" w:hAnsi="Times New Roman"/>
        </w:rPr>
      </w:pPr>
      <w:r w:rsidRPr="00752F02">
        <w:rPr>
          <w:rStyle w:val="FootnoteReference"/>
          <w:rFonts w:ascii="Times New Roman" w:hAnsi="Times New Roman"/>
        </w:rPr>
        <w:footnoteRef/>
      </w:r>
      <w:r w:rsidRPr="00752F02">
        <w:rPr>
          <w:rFonts w:ascii="Times New Roman" w:hAnsi="Times New Roman"/>
        </w:rPr>
        <w:t xml:space="preserve"> </w:t>
      </w:r>
      <w:r w:rsidRPr="00752F02">
        <w:rPr>
          <w:rFonts w:ascii="Times New Roman" w:hAnsi="Times New Roman"/>
          <w:i/>
        </w:rPr>
        <w:t>Mysteries of the Court</w:t>
      </w:r>
      <w:r w:rsidRPr="00752F02">
        <w:rPr>
          <w:rFonts w:ascii="Times New Roman" w:hAnsi="Times New Roman"/>
        </w:rPr>
        <w:t>, II, 146.</w:t>
      </w:r>
    </w:p>
  </w:footnote>
  <w:footnote w:id="1065">
    <w:p w:rsidR="003515E3" w:rsidRPr="00CC2793" w:rsidRDefault="003515E3" w:rsidP="0005445D">
      <w:pPr>
        <w:pStyle w:val="FootnoteText"/>
        <w:spacing w:after="0" w:line="240" w:lineRule="auto"/>
        <w:rPr>
          <w:rFonts w:ascii="Times New Roman" w:hAnsi="Times New Roman"/>
        </w:rPr>
      </w:pPr>
      <w:r w:rsidRPr="00CC2793">
        <w:rPr>
          <w:rStyle w:val="FootnoteReference"/>
          <w:rFonts w:ascii="Times New Roman" w:hAnsi="Times New Roman"/>
        </w:rPr>
        <w:footnoteRef/>
      </w:r>
      <w:r w:rsidRPr="00CC2793">
        <w:rPr>
          <w:rFonts w:ascii="Times New Roman" w:hAnsi="Times New Roman"/>
        </w:rPr>
        <w:t xml:space="preserve"> </w:t>
      </w:r>
      <w:r w:rsidRPr="00CC2793">
        <w:rPr>
          <w:rFonts w:ascii="Times New Roman" w:hAnsi="Times New Roman"/>
          <w:i/>
        </w:rPr>
        <w:t>Mysteries of the Court</w:t>
      </w:r>
      <w:r w:rsidRPr="00CC2793">
        <w:rPr>
          <w:rFonts w:ascii="Times New Roman" w:hAnsi="Times New Roman"/>
        </w:rPr>
        <w:t>, II, 372.</w:t>
      </w:r>
    </w:p>
  </w:footnote>
  <w:footnote w:id="1066">
    <w:p w:rsidR="003515E3" w:rsidRPr="00CC2793" w:rsidRDefault="003515E3" w:rsidP="0005445D">
      <w:pPr>
        <w:spacing w:after="0" w:line="240" w:lineRule="auto"/>
        <w:rPr>
          <w:sz w:val="20"/>
          <w:szCs w:val="20"/>
          <w:lang w:val="fr-FR"/>
        </w:rPr>
      </w:pPr>
      <w:r w:rsidRPr="00CC2793">
        <w:rPr>
          <w:rStyle w:val="FootnoteReference"/>
          <w:rFonts w:asciiTheme="majorBidi" w:hAnsiTheme="majorBidi" w:cstheme="majorBidi"/>
          <w:sz w:val="20"/>
          <w:szCs w:val="20"/>
        </w:rPr>
        <w:footnoteRef/>
      </w:r>
      <w:r w:rsidRPr="00CC2793">
        <w:rPr>
          <w:rFonts w:asciiTheme="majorBidi" w:hAnsiTheme="majorBidi" w:cstheme="majorBidi"/>
          <w:sz w:val="20"/>
          <w:szCs w:val="20"/>
          <w:lang w:val="fr-FR"/>
        </w:rPr>
        <w:t xml:space="preserve"> </w:t>
      </w:r>
      <w:r w:rsidRPr="00CC2793">
        <w:rPr>
          <w:rFonts w:asciiTheme="majorBidi" w:hAnsiTheme="majorBidi" w:cstheme="majorBidi"/>
          <w:bCs/>
          <w:i/>
          <w:sz w:val="20"/>
          <w:szCs w:val="20"/>
          <w:lang w:val="fr-FR"/>
        </w:rPr>
        <w:t>Robert Macaire</w:t>
      </w:r>
      <w:r w:rsidRPr="00CC2793">
        <w:rPr>
          <w:rFonts w:asciiTheme="majorBidi" w:hAnsiTheme="majorBidi" w:cstheme="majorBidi"/>
          <w:bCs/>
          <w:sz w:val="20"/>
          <w:szCs w:val="20"/>
          <w:lang w:val="fr-FR"/>
        </w:rPr>
        <w:t>, p. 185.</w:t>
      </w:r>
    </w:p>
  </w:footnote>
  <w:footnote w:id="1067">
    <w:p w:rsidR="003515E3" w:rsidRPr="00CC2793" w:rsidRDefault="003515E3" w:rsidP="0005445D">
      <w:pPr>
        <w:spacing w:after="0" w:line="240" w:lineRule="auto"/>
        <w:rPr>
          <w:sz w:val="20"/>
          <w:szCs w:val="20"/>
          <w:lang w:val="fr-FR"/>
        </w:rPr>
      </w:pPr>
      <w:r w:rsidRPr="00CC2793">
        <w:rPr>
          <w:rStyle w:val="FootnoteReference"/>
          <w:rFonts w:asciiTheme="majorBidi" w:hAnsiTheme="majorBidi" w:cstheme="majorBidi"/>
          <w:sz w:val="20"/>
          <w:szCs w:val="20"/>
        </w:rPr>
        <w:footnoteRef/>
      </w:r>
      <w:r w:rsidRPr="00CC2793">
        <w:rPr>
          <w:rFonts w:asciiTheme="majorBidi" w:hAnsiTheme="majorBidi" w:cstheme="majorBidi"/>
          <w:sz w:val="20"/>
          <w:szCs w:val="20"/>
          <w:lang w:val="fr-FR"/>
        </w:rPr>
        <w:t xml:space="preserve"> </w:t>
      </w:r>
      <w:r w:rsidRPr="00CC2793">
        <w:rPr>
          <w:rFonts w:asciiTheme="majorBidi" w:hAnsiTheme="majorBidi" w:cstheme="majorBidi"/>
          <w:bCs/>
          <w:i/>
          <w:sz w:val="20"/>
          <w:szCs w:val="20"/>
          <w:lang w:val="fr-FR"/>
        </w:rPr>
        <w:t>Robert Macaire</w:t>
      </w:r>
      <w:r w:rsidRPr="00CC2793">
        <w:rPr>
          <w:rFonts w:asciiTheme="majorBidi" w:hAnsiTheme="majorBidi" w:cstheme="majorBidi"/>
          <w:bCs/>
          <w:sz w:val="20"/>
          <w:szCs w:val="20"/>
          <w:lang w:val="fr-FR"/>
        </w:rPr>
        <w:t>, p. 185.</w:t>
      </w:r>
    </w:p>
  </w:footnote>
  <w:footnote w:id="1068">
    <w:p w:rsidR="003515E3" w:rsidRPr="00CC2793" w:rsidRDefault="003515E3" w:rsidP="0005445D">
      <w:pPr>
        <w:pStyle w:val="FootnoteText"/>
        <w:spacing w:after="0" w:line="240" w:lineRule="auto"/>
        <w:rPr>
          <w:rFonts w:ascii="Times New Roman" w:hAnsi="Times New Roman"/>
        </w:rPr>
      </w:pPr>
      <w:r w:rsidRPr="00CC2793">
        <w:rPr>
          <w:rStyle w:val="FootnoteReference"/>
          <w:rFonts w:ascii="Times New Roman" w:hAnsi="Times New Roman"/>
        </w:rPr>
        <w:footnoteRef/>
      </w:r>
      <w:r w:rsidRPr="00CC2793">
        <w:rPr>
          <w:rFonts w:ascii="Times New Roman" w:hAnsi="Times New Roman"/>
        </w:rPr>
        <w:t xml:space="preserve"> ‘The French Connection: G. W. M. Reynolds and the Outlaw Robert Macaire’, p. 45.</w:t>
      </w:r>
    </w:p>
  </w:footnote>
  <w:footnote w:id="1069">
    <w:p w:rsidR="003515E3" w:rsidRPr="00CC2793" w:rsidRDefault="003515E3" w:rsidP="0005445D">
      <w:pPr>
        <w:spacing w:after="0" w:line="240" w:lineRule="auto"/>
        <w:rPr>
          <w:sz w:val="20"/>
          <w:szCs w:val="20"/>
          <w:lang w:val="fr-FR"/>
        </w:rPr>
      </w:pPr>
      <w:r w:rsidRPr="00CC2793">
        <w:rPr>
          <w:rStyle w:val="FootnoteReference"/>
          <w:rFonts w:asciiTheme="majorBidi" w:hAnsiTheme="majorBidi" w:cstheme="majorBidi"/>
          <w:sz w:val="20"/>
          <w:szCs w:val="20"/>
        </w:rPr>
        <w:footnoteRef/>
      </w:r>
      <w:r w:rsidRPr="00CC2793">
        <w:rPr>
          <w:rFonts w:asciiTheme="majorBidi" w:hAnsiTheme="majorBidi" w:cstheme="majorBidi"/>
          <w:sz w:val="20"/>
          <w:szCs w:val="20"/>
          <w:lang w:val="fr-FR"/>
        </w:rPr>
        <w:t xml:space="preserve"> </w:t>
      </w:r>
      <w:r w:rsidRPr="00CC2793">
        <w:rPr>
          <w:rFonts w:asciiTheme="majorBidi" w:hAnsiTheme="majorBidi" w:cstheme="majorBidi"/>
          <w:bCs/>
          <w:i/>
          <w:sz w:val="20"/>
          <w:szCs w:val="20"/>
          <w:lang w:val="fr-FR"/>
        </w:rPr>
        <w:t>Robert Macaire</w:t>
      </w:r>
      <w:r w:rsidRPr="00CC2793">
        <w:rPr>
          <w:rFonts w:asciiTheme="majorBidi" w:hAnsiTheme="majorBidi" w:cstheme="majorBidi"/>
          <w:bCs/>
          <w:sz w:val="20"/>
          <w:szCs w:val="20"/>
          <w:lang w:val="fr-FR"/>
        </w:rPr>
        <w:t>, p. 183.</w:t>
      </w:r>
    </w:p>
  </w:footnote>
  <w:footnote w:id="1070">
    <w:p w:rsidR="003515E3" w:rsidRPr="00460BB7" w:rsidRDefault="003515E3" w:rsidP="0005445D">
      <w:pPr>
        <w:pStyle w:val="FootnoteText"/>
        <w:spacing w:after="0" w:line="240" w:lineRule="auto"/>
        <w:rPr>
          <w:rFonts w:ascii="Times New Roman" w:hAnsi="Times New Roman"/>
        </w:rPr>
      </w:pPr>
      <w:r w:rsidRPr="00CC2793">
        <w:rPr>
          <w:rStyle w:val="FootnoteReference"/>
          <w:rFonts w:ascii="Times New Roman" w:hAnsi="Times New Roman"/>
        </w:rPr>
        <w:footnoteRef/>
      </w:r>
      <w:r w:rsidRPr="00CC2793">
        <w:rPr>
          <w:rFonts w:ascii="Times New Roman" w:hAnsi="Times New Roman"/>
        </w:rPr>
        <w:t xml:space="preserve"> In the later 5</w:t>
      </w:r>
      <w:r w:rsidRPr="00CC2793">
        <w:rPr>
          <w:rFonts w:ascii="Times New Roman" w:hAnsi="Times New Roman"/>
          <w:vertAlign w:val="superscript"/>
        </w:rPr>
        <w:t>th</w:t>
      </w:r>
      <w:r w:rsidRPr="00CC2793">
        <w:rPr>
          <w:rFonts w:ascii="Times New Roman" w:hAnsi="Times New Roman"/>
        </w:rPr>
        <w:t xml:space="preserve"> edition, the reference to ‘republican’ was removed.  See G. W. M. Reynolds, </w:t>
      </w:r>
      <w:r w:rsidRPr="00CC2793">
        <w:rPr>
          <w:rFonts w:ascii="Times New Roman" w:hAnsi="Times New Roman"/>
          <w:i/>
        </w:rPr>
        <w:t>Robert Macaire in England</w:t>
      </w:r>
      <w:r w:rsidRPr="00CC2793">
        <w:rPr>
          <w:rFonts w:ascii="Times New Roman" w:hAnsi="Times New Roman"/>
        </w:rPr>
        <w:t xml:space="preserve"> (London: Willoughby, 1854), p. 151.  For an announcement of the publication of this edition, see Anonymous, ‘Review of Books’, </w:t>
      </w:r>
      <w:r w:rsidRPr="00CC2793">
        <w:rPr>
          <w:rFonts w:ascii="Times New Roman" w:hAnsi="Times New Roman"/>
          <w:i/>
        </w:rPr>
        <w:t>Reynolds’s Newspaper</w:t>
      </w:r>
      <w:r w:rsidRPr="00CC2793">
        <w:rPr>
          <w:rFonts w:ascii="Times New Roman" w:hAnsi="Times New Roman"/>
        </w:rPr>
        <w:t xml:space="preserve">, 8 January 1854, p. 2.  The textual changes also slightly softened the judgment made upon Alibaud and Fieschi.  The alterations confirmed Reynolds’s deteriorating opinion </w:t>
      </w:r>
      <w:r w:rsidRPr="00460BB7">
        <w:rPr>
          <w:rFonts w:ascii="Times New Roman" w:hAnsi="Times New Roman"/>
        </w:rPr>
        <w:t xml:space="preserve">of Louis-Philippe, especially after the 1848 Revolution sparked off by the shooting of demonstrators on 23 February as they celebrated the dismissal of Guizot.  See Robert Tombs, </w:t>
      </w:r>
      <w:r w:rsidRPr="00460BB7">
        <w:rPr>
          <w:rFonts w:ascii="Times New Roman" w:hAnsi="Times New Roman"/>
          <w:i/>
        </w:rPr>
        <w:t>France 1814–1914</w:t>
      </w:r>
      <w:r w:rsidRPr="00460BB7">
        <w:rPr>
          <w:rFonts w:ascii="Times New Roman" w:hAnsi="Times New Roman"/>
        </w:rPr>
        <w:t xml:space="preserve"> (London: Longman, 1996), p. 374.</w:t>
      </w:r>
    </w:p>
  </w:footnote>
  <w:footnote w:id="1071">
    <w:p w:rsidR="003515E3" w:rsidRPr="00CC2793" w:rsidRDefault="003515E3" w:rsidP="0005445D">
      <w:pPr>
        <w:pStyle w:val="FootnoteText"/>
        <w:spacing w:after="0" w:line="240" w:lineRule="auto"/>
        <w:rPr>
          <w:rFonts w:ascii="Times New Roman" w:hAnsi="Times New Roman"/>
        </w:rPr>
      </w:pPr>
      <w:r w:rsidRPr="00460BB7">
        <w:rPr>
          <w:rStyle w:val="FootnoteReference"/>
          <w:rFonts w:ascii="Times New Roman" w:hAnsi="Times New Roman"/>
        </w:rPr>
        <w:footnoteRef/>
      </w:r>
      <w:r w:rsidRPr="00460BB7">
        <w:rPr>
          <w:rFonts w:ascii="Times New Roman" w:hAnsi="Times New Roman"/>
        </w:rPr>
        <w:t xml:space="preserve"> Fieschi’s attempt to assassinate Louis-Philippe occurred on 28 July 1835 and he was guillotined on 19 February 1836.  Alibaud’s assassination attempt</w:t>
      </w:r>
      <w:r w:rsidRPr="00CC2793">
        <w:rPr>
          <w:rFonts w:ascii="Times New Roman" w:hAnsi="Times New Roman"/>
        </w:rPr>
        <w:t xml:space="preserve"> took place on 25 June 1836 and he was executed by guillotine on 11 July 1836.  T. E. B. Howarth writes Fieschi was ‘an unbalanced and depraved megalomaniac, utterly</w:t>
      </w:r>
      <w:r w:rsidRPr="00A075C2">
        <w:rPr>
          <w:rFonts w:ascii="Times New Roman" w:hAnsi="Times New Roman"/>
        </w:rPr>
        <w:t xml:space="preserve"> </w:t>
      </w:r>
      <w:r w:rsidRPr="00CC2793">
        <w:rPr>
          <w:rFonts w:ascii="Times New Roman" w:hAnsi="Times New Roman"/>
        </w:rPr>
        <w:t xml:space="preserve">without sincere political conviction except the hatred of society’.  See T. E. B. Howarth, </w:t>
      </w:r>
      <w:r w:rsidRPr="00CC2793">
        <w:rPr>
          <w:rFonts w:ascii="Times New Roman" w:hAnsi="Times New Roman"/>
          <w:i/>
        </w:rPr>
        <w:t>Citizen-King.</w:t>
      </w:r>
      <w:r w:rsidRPr="00CC2793">
        <w:rPr>
          <w:rFonts w:ascii="Times New Roman" w:hAnsi="Times New Roman"/>
        </w:rPr>
        <w:t xml:space="preserve">  </w:t>
      </w:r>
      <w:r w:rsidRPr="00CC2793">
        <w:rPr>
          <w:rFonts w:ascii="Times New Roman" w:hAnsi="Times New Roman"/>
          <w:i/>
        </w:rPr>
        <w:t>The Life of Louis Philippe King of the French</w:t>
      </w:r>
      <w:r w:rsidRPr="00CC2793">
        <w:rPr>
          <w:rFonts w:ascii="Times New Roman" w:hAnsi="Times New Roman"/>
        </w:rPr>
        <w:t xml:space="preserve"> (London: Eyre &amp; Spottiswoode, 1961), p. 231.</w:t>
      </w:r>
    </w:p>
  </w:footnote>
  <w:footnote w:id="1072">
    <w:p w:rsidR="003515E3" w:rsidRPr="00CC2793" w:rsidRDefault="003515E3" w:rsidP="0005445D">
      <w:pPr>
        <w:spacing w:after="0" w:line="240" w:lineRule="auto"/>
        <w:rPr>
          <w:sz w:val="20"/>
          <w:szCs w:val="20"/>
          <w:lang w:val="fr-FR"/>
        </w:rPr>
      </w:pPr>
      <w:r w:rsidRPr="00CC2793">
        <w:rPr>
          <w:rStyle w:val="FootnoteReference"/>
          <w:rFonts w:asciiTheme="majorBidi" w:hAnsiTheme="majorBidi" w:cstheme="majorBidi"/>
          <w:sz w:val="20"/>
          <w:szCs w:val="20"/>
        </w:rPr>
        <w:footnoteRef/>
      </w:r>
      <w:r w:rsidRPr="00CC2793">
        <w:rPr>
          <w:rFonts w:asciiTheme="majorBidi" w:hAnsiTheme="majorBidi" w:cstheme="majorBidi"/>
          <w:sz w:val="20"/>
          <w:szCs w:val="20"/>
          <w:lang w:val="fr-FR"/>
        </w:rPr>
        <w:t xml:space="preserve"> </w:t>
      </w:r>
      <w:r w:rsidRPr="00CC2793">
        <w:rPr>
          <w:rFonts w:asciiTheme="majorBidi" w:hAnsiTheme="majorBidi" w:cstheme="majorBidi"/>
          <w:bCs/>
          <w:i/>
          <w:sz w:val="20"/>
          <w:szCs w:val="20"/>
          <w:lang w:val="fr-FR"/>
        </w:rPr>
        <w:t>Robert Macaire</w:t>
      </w:r>
      <w:r w:rsidRPr="00CC2793">
        <w:rPr>
          <w:rFonts w:asciiTheme="majorBidi" w:hAnsiTheme="majorBidi" w:cstheme="majorBidi"/>
          <w:bCs/>
          <w:sz w:val="20"/>
          <w:szCs w:val="20"/>
          <w:lang w:val="fr-FR"/>
        </w:rPr>
        <w:t>, p. 186.</w:t>
      </w:r>
    </w:p>
  </w:footnote>
  <w:footnote w:id="1073">
    <w:p w:rsidR="003515E3" w:rsidRPr="00CC2793" w:rsidRDefault="003515E3" w:rsidP="0005445D">
      <w:pPr>
        <w:spacing w:after="0" w:line="240" w:lineRule="auto"/>
        <w:rPr>
          <w:sz w:val="20"/>
          <w:szCs w:val="20"/>
          <w:lang w:val="fr-FR"/>
        </w:rPr>
      </w:pPr>
      <w:r w:rsidRPr="00CC2793">
        <w:rPr>
          <w:rStyle w:val="FootnoteReference"/>
          <w:rFonts w:asciiTheme="majorBidi" w:hAnsiTheme="majorBidi" w:cstheme="majorBidi"/>
          <w:sz w:val="20"/>
          <w:szCs w:val="20"/>
        </w:rPr>
        <w:footnoteRef/>
      </w:r>
      <w:r w:rsidRPr="00CC2793">
        <w:rPr>
          <w:rFonts w:asciiTheme="majorBidi" w:hAnsiTheme="majorBidi" w:cstheme="majorBidi"/>
          <w:sz w:val="20"/>
          <w:szCs w:val="20"/>
          <w:lang w:val="fr-FR"/>
        </w:rPr>
        <w:t xml:space="preserve"> </w:t>
      </w:r>
      <w:r w:rsidRPr="00CC2793">
        <w:rPr>
          <w:rFonts w:asciiTheme="majorBidi" w:hAnsiTheme="majorBidi" w:cstheme="majorBidi"/>
          <w:bCs/>
          <w:i/>
          <w:sz w:val="20"/>
          <w:szCs w:val="20"/>
          <w:lang w:val="fr-FR"/>
        </w:rPr>
        <w:t>Robert Macaire</w:t>
      </w:r>
      <w:r w:rsidRPr="00CC2793">
        <w:rPr>
          <w:rFonts w:asciiTheme="majorBidi" w:hAnsiTheme="majorBidi" w:cstheme="majorBidi"/>
          <w:bCs/>
          <w:sz w:val="20"/>
          <w:szCs w:val="20"/>
          <w:lang w:val="fr-FR"/>
        </w:rPr>
        <w:t>, p. 187.</w:t>
      </w:r>
    </w:p>
  </w:footnote>
  <w:footnote w:id="1074">
    <w:p w:rsidR="003515E3" w:rsidRPr="00CC2793" w:rsidRDefault="003515E3" w:rsidP="0005445D">
      <w:pPr>
        <w:spacing w:after="0" w:line="240" w:lineRule="auto"/>
        <w:rPr>
          <w:sz w:val="20"/>
          <w:szCs w:val="20"/>
          <w:lang w:val="fr-FR"/>
        </w:rPr>
      </w:pPr>
      <w:r w:rsidRPr="00CC2793">
        <w:rPr>
          <w:rStyle w:val="FootnoteReference"/>
          <w:rFonts w:asciiTheme="majorBidi" w:hAnsiTheme="majorBidi" w:cstheme="majorBidi"/>
          <w:sz w:val="20"/>
          <w:szCs w:val="20"/>
        </w:rPr>
        <w:footnoteRef/>
      </w:r>
      <w:r w:rsidRPr="00CC2793">
        <w:rPr>
          <w:rFonts w:asciiTheme="majorBidi" w:hAnsiTheme="majorBidi" w:cstheme="majorBidi"/>
          <w:sz w:val="20"/>
          <w:szCs w:val="20"/>
          <w:lang w:val="fr-FR"/>
        </w:rPr>
        <w:t xml:space="preserve"> </w:t>
      </w:r>
      <w:r w:rsidRPr="00CC2793">
        <w:rPr>
          <w:rFonts w:asciiTheme="majorBidi" w:hAnsiTheme="majorBidi" w:cstheme="majorBidi"/>
          <w:bCs/>
          <w:i/>
          <w:sz w:val="20"/>
          <w:szCs w:val="20"/>
          <w:lang w:val="fr-FR"/>
        </w:rPr>
        <w:t>Robert Macaire</w:t>
      </w:r>
      <w:r w:rsidRPr="00CC2793">
        <w:rPr>
          <w:rFonts w:asciiTheme="majorBidi" w:hAnsiTheme="majorBidi" w:cstheme="majorBidi"/>
          <w:bCs/>
          <w:sz w:val="20"/>
          <w:szCs w:val="20"/>
          <w:lang w:val="fr-FR"/>
        </w:rPr>
        <w:t>, p. 187.</w:t>
      </w:r>
    </w:p>
  </w:footnote>
  <w:footnote w:id="1075">
    <w:p w:rsidR="003515E3" w:rsidRPr="00CC2793" w:rsidRDefault="003515E3" w:rsidP="0005445D">
      <w:pPr>
        <w:spacing w:after="0" w:line="240" w:lineRule="auto"/>
        <w:rPr>
          <w:sz w:val="20"/>
          <w:szCs w:val="20"/>
          <w:lang w:val="fr-FR"/>
        </w:rPr>
      </w:pPr>
      <w:r w:rsidRPr="00CC2793">
        <w:rPr>
          <w:rStyle w:val="FootnoteReference"/>
          <w:rFonts w:asciiTheme="majorBidi" w:hAnsiTheme="majorBidi" w:cstheme="majorBidi"/>
          <w:sz w:val="20"/>
          <w:szCs w:val="20"/>
        </w:rPr>
        <w:footnoteRef/>
      </w:r>
      <w:r w:rsidRPr="00CC2793">
        <w:rPr>
          <w:rFonts w:asciiTheme="majorBidi" w:hAnsiTheme="majorBidi" w:cstheme="majorBidi"/>
          <w:sz w:val="20"/>
          <w:szCs w:val="20"/>
          <w:lang w:val="fr-FR"/>
        </w:rPr>
        <w:t xml:space="preserve"> </w:t>
      </w:r>
      <w:r w:rsidRPr="00CC2793">
        <w:rPr>
          <w:rFonts w:asciiTheme="majorBidi" w:hAnsiTheme="majorBidi" w:cstheme="majorBidi"/>
          <w:bCs/>
          <w:i/>
          <w:sz w:val="20"/>
          <w:szCs w:val="20"/>
          <w:lang w:val="fr-FR"/>
        </w:rPr>
        <w:t>Robert Macaire</w:t>
      </w:r>
      <w:r w:rsidRPr="00CC2793">
        <w:rPr>
          <w:rFonts w:asciiTheme="majorBidi" w:hAnsiTheme="majorBidi" w:cstheme="majorBidi"/>
          <w:bCs/>
          <w:sz w:val="20"/>
          <w:szCs w:val="20"/>
          <w:lang w:val="fr-FR"/>
        </w:rPr>
        <w:t>, p. 186.</w:t>
      </w:r>
    </w:p>
  </w:footnote>
  <w:footnote w:id="1076">
    <w:p w:rsidR="003515E3" w:rsidRPr="00CC2793" w:rsidRDefault="003515E3" w:rsidP="0005445D">
      <w:pPr>
        <w:spacing w:after="0" w:line="240" w:lineRule="auto"/>
        <w:rPr>
          <w:sz w:val="20"/>
          <w:szCs w:val="20"/>
        </w:rPr>
      </w:pPr>
      <w:r w:rsidRPr="00CC2793">
        <w:rPr>
          <w:rStyle w:val="FootnoteReference"/>
          <w:rFonts w:asciiTheme="majorBidi" w:hAnsiTheme="majorBidi" w:cstheme="majorBidi"/>
          <w:sz w:val="20"/>
          <w:szCs w:val="20"/>
        </w:rPr>
        <w:footnoteRef/>
      </w:r>
      <w:r w:rsidRPr="00CC2793">
        <w:rPr>
          <w:rFonts w:asciiTheme="majorBidi" w:hAnsiTheme="majorBidi" w:cstheme="majorBidi"/>
          <w:sz w:val="20"/>
          <w:szCs w:val="20"/>
        </w:rPr>
        <w:t xml:space="preserve"> </w:t>
      </w:r>
      <w:r w:rsidRPr="00CC2793">
        <w:rPr>
          <w:rFonts w:asciiTheme="majorBidi" w:hAnsiTheme="majorBidi" w:cstheme="majorBidi"/>
          <w:bCs/>
          <w:i/>
          <w:sz w:val="20"/>
          <w:szCs w:val="20"/>
        </w:rPr>
        <w:t>Robert Macaire</w:t>
      </w:r>
      <w:r w:rsidRPr="00CC2793">
        <w:rPr>
          <w:rFonts w:asciiTheme="majorBidi" w:hAnsiTheme="majorBidi" w:cstheme="majorBidi"/>
          <w:bCs/>
          <w:sz w:val="20"/>
          <w:szCs w:val="20"/>
        </w:rPr>
        <w:t xml:space="preserve">, p. </w:t>
      </w:r>
      <w:r w:rsidRPr="00CC2793">
        <w:rPr>
          <w:rFonts w:asciiTheme="majorBidi" w:hAnsiTheme="majorBidi" w:cstheme="majorBidi"/>
          <w:bCs/>
          <w:sz w:val="20"/>
          <w:szCs w:val="20"/>
          <w:lang w:val="fr-FR"/>
        </w:rPr>
        <w:t>189.</w:t>
      </w:r>
    </w:p>
  </w:footnote>
  <w:footnote w:id="1077">
    <w:p w:rsidR="003515E3" w:rsidRPr="00CC2793" w:rsidRDefault="003515E3" w:rsidP="0005445D">
      <w:pPr>
        <w:spacing w:after="0" w:line="240" w:lineRule="auto"/>
        <w:rPr>
          <w:rFonts w:ascii="Times New Roman" w:hAnsi="Times New Roman" w:cs="Times New Roman"/>
          <w:sz w:val="20"/>
          <w:szCs w:val="20"/>
        </w:rPr>
      </w:pPr>
      <w:r w:rsidRPr="00CC2793">
        <w:rPr>
          <w:rStyle w:val="FootnoteReference"/>
          <w:rFonts w:asciiTheme="majorBidi" w:hAnsiTheme="majorBidi" w:cstheme="majorBidi"/>
          <w:sz w:val="20"/>
          <w:szCs w:val="20"/>
        </w:rPr>
        <w:footnoteRef/>
      </w:r>
      <w:r w:rsidRPr="00CC2793">
        <w:rPr>
          <w:rFonts w:asciiTheme="majorBidi" w:hAnsiTheme="majorBidi" w:cstheme="majorBidi"/>
          <w:sz w:val="20"/>
          <w:szCs w:val="20"/>
        </w:rPr>
        <w:t xml:space="preserve"> </w:t>
      </w:r>
      <w:r w:rsidRPr="00CC2793">
        <w:rPr>
          <w:rFonts w:asciiTheme="majorBidi" w:hAnsiTheme="majorBidi" w:cstheme="majorBidi"/>
          <w:bCs/>
          <w:sz w:val="20"/>
          <w:szCs w:val="20"/>
        </w:rPr>
        <w:t xml:space="preserve">Pamela Pilbeam, </w:t>
      </w:r>
      <w:r w:rsidRPr="00CC2793">
        <w:rPr>
          <w:rFonts w:asciiTheme="majorBidi" w:hAnsiTheme="majorBidi" w:cstheme="majorBidi"/>
          <w:bCs/>
          <w:i/>
          <w:sz w:val="20"/>
          <w:szCs w:val="20"/>
        </w:rPr>
        <w:t xml:space="preserve">The Constitutional Monarchy </w:t>
      </w:r>
      <w:r w:rsidRPr="00460BB7">
        <w:rPr>
          <w:rFonts w:asciiTheme="majorBidi" w:hAnsiTheme="majorBidi" w:cstheme="majorBidi"/>
          <w:bCs/>
          <w:i/>
          <w:sz w:val="20"/>
          <w:szCs w:val="20"/>
        </w:rPr>
        <w:t>in France 1814</w:t>
      </w:r>
      <w:r w:rsidRPr="00460BB7">
        <w:rPr>
          <w:rFonts w:ascii="Times New Roman" w:hAnsi="Times New Roman"/>
          <w:sz w:val="20"/>
          <w:szCs w:val="20"/>
        </w:rPr>
        <w:t>–</w:t>
      </w:r>
      <w:r w:rsidRPr="00460BB7">
        <w:rPr>
          <w:rFonts w:asciiTheme="majorBidi" w:hAnsiTheme="majorBidi" w:cstheme="majorBidi"/>
          <w:bCs/>
          <w:i/>
          <w:sz w:val="20"/>
          <w:szCs w:val="20"/>
        </w:rPr>
        <w:t xml:space="preserve">48 </w:t>
      </w:r>
      <w:r w:rsidRPr="00460BB7">
        <w:rPr>
          <w:rFonts w:asciiTheme="majorBidi" w:hAnsiTheme="majorBidi" w:cstheme="majorBidi"/>
          <w:bCs/>
          <w:sz w:val="20"/>
          <w:szCs w:val="20"/>
        </w:rPr>
        <w:t xml:space="preserve">(Harlow: Pearson Education, 2000), p. 60.  </w:t>
      </w:r>
      <w:r w:rsidRPr="00460BB7">
        <w:rPr>
          <w:rFonts w:ascii="Times New Roman" w:hAnsi="Times New Roman" w:cs="Times New Roman"/>
          <w:sz w:val="20"/>
          <w:szCs w:val="20"/>
        </w:rPr>
        <w:t xml:space="preserve">Reynolds largely ignored the punitive aspects of </w:t>
      </w:r>
      <w:r w:rsidRPr="00460BB7">
        <w:rPr>
          <w:rFonts w:ascii="Times New Roman" w:hAnsi="Times New Roman"/>
          <w:sz w:val="20"/>
          <w:szCs w:val="20"/>
        </w:rPr>
        <w:t>Louis-Philippe</w:t>
      </w:r>
      <w:r w:rsidRPr="00460BB7">
        <w:rPr>
          <w:rFonts w:ascii="Times New Roman" w:hAnsi="Times New Roman" w:cs="Times New Roman"/>
          <w:sz w:val="20"/>
          <w:szCs w:val="20"/>
        </w:rPr>
        <w:t xml:space="preserve">’s rule during the 1830s.  Alongside the </w:t>
      </w:r>
      <w:r w:rsidRPr="00460BB7">
        <w:rPr>
          <w:rFonts w:ascii="Times New Roman" w:hAnsi="Times New Roman" w:cs="Times New Roman"/>
          <w:bCs/>
          <w:sz w:val="20"/>
          <w:szCs w:val="20"/>
        </w:rPr>
        <w:t xml:space="preserve">early editions of </w:t>
      </w:r>
      <w:r w:rsidRPr="00460BB7">
        <w:rPr>
          <w:rFonts w:ascii="Times New Roman" w:hAnsi="Times New Roman" w:cs="Times New Roman"/>
          <w:bCs/>
          <w:i/>
          <w:sz w:val="20"/>
          <w:szCs w:val="20"/>
        </w:rPr>
        <w:t>Robert Macaire</w:t>
      </w:r>
      <w:r w:rsidRPr="00460BB7">
        <w:rPr>
          <w:rFonts w:ascii="Times New Roman" w:hAnsi="Times New Roman" w:cs="Times New Roman"/>
          <w:bCs/>
          <w:sz w:val="20"/>
          <w:szCs w:val="20"/>
        </w:rPr>
        <w:t xml:space="preserve">, favourable references to </w:t>
      </w:r>
      <w:r w:rsidRPr="00460BB7">
        <w:rPr>
          <w:rFonts w:ascii="Times New Roman" w:hAnsi="Times New Roman"/>
          <w:sz w:val="20"/>
          <w:szCs w:val="20"/>
        </w:rPr>
        <w:t>Louis-Philippe</w:t>
      </w:r>
      <w:r w:rsidRPr="00460BB7">
        <w:rPr>
          <w:rFonts w:asciiTheme="majorBidi" w:hAnsiTheme="majorBidi" w:cstheme="majorBidi"/>
          <w:bCs/>
          <w:sz w:val="20"/>
          <w:szCs w:val="20"/>
        </w:rPr>
        <w:t xml:space="preserve"> were</w:t>
      </w:r>
      <w:r w:rsidRPr="00CC2793">
        <w:rPr>
          <w:rFonts w:asciiTheme="majorBidi" w:hAnsiTheme="majorBidi" w:cstheme="majorBidi"/>
          <w:bCs/>
          <w:sz w:val="20"/>
          <w:szCs w:val="20"/>
        </w:rPr>
        <w:t xml:space="preserve"> made in </w:t>
      </w:r>
      <w:r w:rsidRPr="00CC2793">
        <w:rPr>
          <w:rFonts w:asciiTheme="majorBidi" w:hAnsiTheme="majorBidi" w:cstheme="majorBidi"/>
          <w:bCs/>
          <w:i/>
          <w:sz w:val="20"/>
          <w:szCs w:val="20"/>
        </w:rPr>
        <w:t>Pickwick Abroad</w:t>
      </w:r>
      <w:r w:rsidRPr="00CC2793">
        <w:rPr>
          <w:rFonts w:asciiTheme="majorBidi" w:hAnsiTheme="majorBidi" w:cstheme="majorBidi"/>
          <w:bCs/>
          <w:sz w:val="20"/>
          <w:szCs w:val="20"/>
        </w:rPr>
        <w:t xml:space="preserve"> and </w:t>
      </w:r>
      <w:r w:rsidRPr="00CC2793">
        <w:rPr>
          <w:rFonts w:asciiTheme="majorBidi" w:hAnsiTheme="majorBidi" w:cstheme="majorBidi"/>
          <w:bCs/>
          <w:i/>
          <w:sz w:val="20"/>
          <w:szCs w:val="20"/>
        </w:rPr>
        <w:t>Alfred</w:t>
      </w:r>
      <w:r w:rsidRPr="00CC2793">
        <w:rPr>
          <w:rFonts w:asciiTheme="majorBidi" w:hAnsiTheme="majorBidi" w:cstheme="majorBidi"/>
          <w:bCs/>
          <w:sz w:val="20"/>
          <w:szCs w:val="20"/>
        </w:rPr>
        <w:t xml:space="preserve">, neither of which underwent the textual revision </w:t>
      </w:r>
      <w:r w:rsidRPr="00CC2793">
        <w:rPr>
          <w:rFonts w:ascii="Times New Roman" w:hAnsi="Times New Roman" w:cs="Times New Roman"/>
          <w:bCs/>
          <w:sz w:val="20"/>
          <w:szCs w:val="20"/>
        </w:rPr>
        <w:t xml:space="preserve">of </w:t>
      </w:r>
      <w:r w:rsidRPr="00CC2793">
        <w:rPr>
          <w:rFonts w:ascii="Times New Roman" w:hAnsi="Times New Roman" w:cs="Times New Roman"/>
          <w:bCs/>
          <w:i/>
          <w:sz w:val="20"/>
          <w:szCs w:val="20"/>
        </w:rPr>
        <w:t>Robert Macaire</w:t>
      </w:r>
      <w:r w:rsidRPr="00CC2793">
        <w:rPr>
          <w:rFonts w:asciiTheme="majorBidi" w:hAnsiTheme="majorBidi" w:cstheme="majorBidi"/>
          <w:bCs/>
          <w:sz w:val="20"/>
          <w:szCs w:val="20"/>
        </w:rPr>
        <w:t xml:space="preserve">.  </w:t>
      </w:r>
      <w:r w:rsidRPr="00CC2793">
        <w:rPr>
          <w:rFonts w:ascii="Times New Roman" w:hAnsi="Times New Roman"/>
          <w:sz w:val="20"/>
          <w:szCs w:val="20"/>
        </w:rPr>
        <w:t xml:space="preserve">In contrast, the </w:t>
      </w:r>
      <w:r w:rsidRPr="00CC2793">
        <w:rPr>
          <w:rFonts w:asciiTheme="majorBidi" w:hAnsiTheme="majorBidi" w:cstheme="majorBidi"/>
          <w:i/>
          <w:iCs/>
          <w:sz w:val="20"/>
          <w:szCs w:val="20"/>
        </w:rPr>
        <w:t>Quarterly Review</w:t>
      </w:r>
      <w:r w:rsidRPr="00CC2793">
        <w:rPr>
          <w:rFonts w:asciiTheme="majorBidi" w:hAnsiTheme="majorBidi" w:cstheme="majorBidi"/>
          <w:sz w:val="20"/>
          <w:szCs w:val="20"/>
        </w:rPr>
        <w:t xml:space="preserve"> called the events of 1830 ‘the greatest humbug that ever insulted the common sense of mankind […] a revolution made in the name of liberty that has produced a despotism’.  John Wilson Croker, </w:t>
      </w:r>
      <w:r w:rsidRPr="00CC2793">
        <w:rPr>
          <w:rFonts w:ascii="Times New Roman" w:hAnsi="Times New Roman" w:cs="Times New Roman"/>
          <w:sz w:val="20"/>
          <w:szCs w:val="20"/>
        </w:rPr>
        <w:t>‘ART. V.</w:t>
      </w:r>
      <w:r w:rsidRPr="00CC2793">
        <w:rPr>
          <w:rFonts w:ascii="Times New Roman" w:hAnsi="Times New Roman"/>
          <w:sz w:val="20"/>
          <w:szCs w:val="20"/>
        </w:rPr>
        <w:t>—</w:t>
      </w:r>
      <w:r w:rsidRPr="00CC2793">
        <w:rPr>
          <w:rFonts w:ascii="Times New Roman" w:hAnsi="Times New Roman" w:cs="Times New Roman"/>
          <w:sz w:val="20"/>
          <w:szCs w:val="20"/>
        </w:rPr>
        <w:t>Memorial de l'Hotel de Ville de Paris, 1830</w:t>
      </w:r>
      <w:r w:rsidRPr="00CC2793">
        <w:rPr>
          <w:rFonts w:ascii="Times New Roman" w:hAnsi="Times New Roman" w:cs="Times New Roman"/>
          <w:bCs/>
          <w:iCs/>
          <w:sz w:val="20"/>
          <w:szCs w:val="20"/>
        </w:rPr>
        <w:t>’</w:t>
      </w:r>
      <w:r w:rsidRPr="00CC2793">
        <w:rPr>
          <w:rFonts w:ascii="Times New Roman" w:hAnsi="Times New Roman" w:cs="Times New Roman"/>
          <w:sz w:val="20"/>
          <w:szCs w:val="20"/>
        </w:rPr>
        <w:t>,</w:t>
      </w:r>
      <w:r w:rsidRPr="00CC2793">
        <w:rPr>
          <w:rFonts w:ascii="Times New Roman" w:hAnsi="Times New Roman" w:cs="Times New Roman"/>
          <w:b/>
          <w:bCs/>
          <w:i/>
          <w:iCs/>
          <w:sz w:val="20"/>
          <w:szCs w:val="20"/>
        </w:rPr>
        <w:t xml:space="preserve"> </w:t>
      </w:r>
      <w:r w:rsidRPr="00CC2793">
        <w:rPr>
          <w:rFonts w:ascii="Times New Roman" w:hAnsi="Times New Roman" w:cs="Times New Roman"/>
          <w:i/>
          <w:iCs/>
          <w:sz w:val="20"/>
          <w:szCs w:val="20"/>
        </w:rPr>
        <w:t>Quarterly Review</w:t>
      </w:r>
      <w:r w:rsidRPr="00CC2793">
        <w:rPr>
          <w:rFonts w:ascii="Times New Roman" w:hAnsi="Times New Roman" w:cs="Times New Roman"/>
          <w:sz w:val="20"/>
          <w:szCs w:val="20"/>
        </w:rPr>
        <w:t>, February 1836, pp. 416</w:t>
      </w:r>
      <w:r w:rsidRPr="00CC2793">
        <w:rPr>
          <w:rFonts w:ascii="Times New Roman" w:hAnsi="Times New Roman"/>
          <w:sz w:val="20"/>
          <w:szCs w:val="20"/>
        </w:rPr>
        <w:t>–</w:t>
      </w:r>
      <w:r w:rsidRPr="00CC2793">
        <w:rPr>
          <w:rFonts w:ascii="Times New Roman" w:hAnsi="Times New Roman" w:cs="Times New Roman"/>
          <w:sz w:val="20"/>
          <w:szCs w:val="20"/>
        </w:rPr>
        <w:t>33 (p. 416).</w:t>
      </w:r>
    </w:p>
  </w:footnote>
  <w:footnote w:id="1078">
    <w:p w:rsidR="003515E3" w:rsidRPr="00CF1367" w:rsidRDefault="003515E3" w:rsidP="0005445D">
      <w:pPr>
        <w:spacing w:after="0" w:line="240" w:lineRule="auto"/>
        <w:rPr>
          <w:sz w:val="20"/>
          <w:szCs w:val="20"/>
        </w:rPr>
      </w:pPr>
      <w:r w:rsidRPr="00CC2793">
        <w:rPr>
          <w:rStyle w:val="FootnoteReference"/>
          <w:rFonts w:asciiTheme="majorBidi" w:hAnsiTheme="majorBidi" w:cstheme="majorBidi"/>
          <w:sz w:val="20"/>
          <w:szCs w:val="20"/>
        </w:rPr>
        <w:footnoteRef/>
      </w:r>
      <w:r w:rsidRPr="00CC2793">
        <w:rPr>
          <w:rFonts w:asciiTheme="majorBidi" w:hAnsiTheme="majorBidi" w:cstheme="majorBidi"/>
          <w:sz w:val="20"/>
          <w:szCs w:val="20"/>
        </w:rPr>
        <w:t xml:space="preserve"> </w:t>
      </w:r>
      <w:r w:rsidRPr="00CC2793">
        <w:rPr>
          <w:rFonts w:asciiTheme="majorBidi" w:hAnsiTheme="majorBidi" w:cstheme="majorBidi"/>
          <w:bCs/>
          <w:i/>
          <w:sz w:val="20"/>
          <w:szCs w:val="20"/>
        </w:rPr>
        <w:t>Robert Macaire</w:t>
      </w:r>
      <w:r w:rsidRPr="00CC2793">
        <w:rPr>
          <w:rFonts w:asciiTheme="majorBidi" w:hAnsiTheme="majorBidi" w:cstheme="majorBidi"/>
          <w:bCs/>
          <w:sz w:val="20"/>
          <w:szCs w:val="20"/>
        </w:rPr>
        <w:t xml:space="preserve">, p. </w:t>
      </w:r>
      <w:r w:rsidRPr="00CC2793">
        <w:rPr>
          <w:rFonts w:asciiTheme="majorBidi" w:hAnsiTheme="majorBidi" w:cstheme="majorBidi"/>
          <w:bCs/>
          <w:sz w:val="20"/>
          <w:szCs w:val="20"/>
          <w:lang w:val="fr-FR"/>
        </w:rPr>
        <w:t>189.</w:t>
      </w:r>
    </w:p>
  </w:footnote>
  <w:footnote w:id="1079">
    <w:p w:rsidR="003515E3" w:rsidRPr="00A64B85" w:rsidRDefault="003515E3" w:rsidP="0005445D">
      <w:pPr>
        <w:pStyle w:val="FootnoteText"/>
        <w:spacing w:after="0" w:line="240" w:lineRule="auto"/>
        <w:rPr>
          <w:rFonts w:ascii="Times New Roman" w:hAnsi="Times New Roman"/>
        </w:rPr>
      </w:pPr>
      <w:r w:rsidRPr="00A64B85">
        <w:rPr>
          <w:rStyle w:val="FootnoteReference"/>
          <w:rFonts w:ascii="Times New Roman" w:hAnsi="Times New Roman"/>
        </w:rPr>
        <w:footnoteRef/>
      </w:r>
      <w:r w:rsidRPr="00A64B85">
        <w:rPr>
          <w:rFonts w:ascii="Times New Roman" w:hAnsi="Times New Roman"/>
        </w:rPr>
        <w:t xml:space="preserve"> For the advertisement announcing publication of the fourth edition, re-titled </w:t>
      </w:r>
      <w:r w:rsidRPr="00A64B85">
        <w:rPr>
          <w:rFonts w:ascii="Times New Roman" w:hAnsi="Times New Roman"/>
          <w:i/>
        </w:rPr>
        <w:t>Robert Macaire; or, the French Bandit in England</w:t>
      </w:r>
      <w:r w:rsidRPr="00A64B85">
        <w:rPr>
          <w:rFonts w:ascii="Times New Roman" w:hAnsi="Times New Roman"/>
        </w:rPr>
        <w:t xml:space="preserve">, see </w:t>
      </w:r>
      <w:r w:rsidRPr="00A64B85">
        <w:rPr>
          <w:rFonts w:ascii="Times New Roman" w:hAnsi="Times New Roman"/>
          <w:i/>
        </w:rPr>
        <w:t>Reynolds’s Miscellany</w:t>
      </w:r>
      <w:r w:rsidRPr="00A64B85">
        <w:rPr>
          <w:rFonts w:ascii="Times New Roman" w:hAnsi="Times New Roman"/>
        </w:rPr>
        <w:t>, 2 December 1848, p. 336.</w:t>
      </w:r>
    </w:p>
  </w:footnote>
  <w:footnote w:id="1080">
    <w:p w:rsidR="003515E3" w:rsidRPr="00A64B85" w:rsidRDefault="003515E3" w:rsidP="0005445D">
      <w:pPr>
        <w:pStyle w:val="FootnoteText"/>
        <w:spacing w:after="0" w:line="240" w:lineRule="auto"/>
        <w:rPr>
          <w:rFonts w:ascii="Times New Roman" w:hAnsi="Times New Roman"/>
        </w:rPr>
      </w:pPr>
      <w:r w:rsidRPr="00A64B85">
        <w:rPr>
          <w:rStyle w:val="FootnoteReference"/>
          <w:rFonts w:ascii="Times New Roman" w:hAnsi="Times New Roman"/>
        </w:rPr>
        <w:footnoteRef/>
      </w:r>
      <w:r w:rsidRPr="00A64B85">
        <w:rPr>
          <w:rFonts w:ascii="Times New Roman" w:hAnsi="Times New Roman"/>
        </w:rPr>
        <w:t xml:space="preserve"> ‘The French Connection: G. W. M. Reynolds and the Outlaw Robert Macaire’, p. 39.  A comparison of the 5</w:t>
      </w:r>
      <w:r w:rsidRPr="00A64B85">
        <w:rPr>
          <w:rFonts w:ascii="Times New Roman" w:hAnsi="Times New Roman"/>
          <w:vertAlign w:val="superscript"/>
        </w:rPr>
        <w:t>th</w:t>
      </w:r>
      <w:r w:rsidRPr="00A64B85">
        <w:rPr>
          <w:rFonts w:ascii="Times New Roman" w:hAnsi="Times New Roman"/>
        </w:rPr>
        <w:t xml:space="preserve"> edition which saw the publisher Willoughby use Phiz’s original illustrations with the 1871 edition containing those by Anelay suggests this is the case.  </w:t>
      </w:r>
      <w:r w:rsidRPr="00A64B85">
        <w:rPr>
          <w:rFonts w:ascii="Times New Roman" w:eastAsia="Times New Roman" w:hAnsi="Times New Roman"/>
          <w:lang w:eastAsia="en-GB"/>
        </w:rPr>
        <w:t>When Anelay adopted scenes chosen by Phiz they tended to be executed in a very similar style.  Examples include ‘Bertrand Astonished in a Gin-Palace’ and</w:t>
      </w:r>
      <w:r w:rsidRPr="00A64B85">
        <w:rPr>
          <w:rFonts w:ascii="Times New Roman" w:eastAsia="Times New Roman" w:hAnsi="Times New Roman"/>
          <w:i/>
          <w:lang w:eastAsia="en-GB"/>
        </w:rPr>
        <w:t xml:space="preserve"> </w:t>
      </w:r>
      <w:r w:rsidRPr="00A64B85">
        <w:rPr>
          <w:rFonts w:ascii="Times New Roman" w:eastAsia="Times New Roman" w:hAnsi="Times New Roman"/>
          <w:lang w:eastAsia="en-GB"/>
        </w:rPr>
        <w:t>‘Macaire Killing Bertrand’.  These may be found at pp. 68 and 290 in the 5</w:t>
      </w:r>
      <w:r w:rsidRPr="00A64B85">
        <w:rPr>
          <w:rFonts w:ascii="Times New Roman" w:eastAsia="Times New Roman" w:hAnsi="Times New Roman"/>
          <w:vertAlign w:val="superscript"/>
          <w:lang w:eastAsia="en-GB"/>
        </w:rPr>
        <w:t>th</w:t>
      </w:r>
      <w:r w:rsidRPr="00A64B85">
        <w:rPr>
          <w:rFonts w:ascii="Times New Roman" w:eastAsia="Times New Roman" w:hAnsi="Times New Roman"/>
          <w:lang w:eastAsia="en-GB"/>
        </w:rPr>
        <w:t xml:space="preserve"> edition and pp. 25 and 113 in the 1871 edition.</w:t>
      </w:r>
    </w:p>
  </w:footnote>
  <w:footnote w:id="1081">
    <w:p w:rsidR="003515E3" w:rsidRPr="00A64B85" w:rsidRDefault="003515E3" w:rsidP="0005445D">
      <w:pPr>
        <w:pStyle w:val="FootnoteText"/>
        <w:spacing w:after="0" w:line="240" w:lineRule="auto"/>
        <w:rPr>
          <w:rFonts w:ascii="Times New Roman" w:hAnsi="Times New Roman"/>
        </w:rPr>
      </w:pPr>
      <w:r w:rsidRPr="00A64B85">
        <w:rPr>
          <w:rStyle w:val="FootnoteReference"/>
          <w:rFonts w:ascii="Times New Roman" w:hAnsi="Times New Roman"/>
        </w:rPr>
        <w:footnoteRef/>
      </w:r>
      <w:r w:rsidRPr="00A64B85">
        <w:rPr>
          <w:rFonts w:ascii="Times New Roman" w:hAnsi="Times New Roman"/>
        </w:rPr>
        <w:t xml:space="preserve"> In like manner, </w:t>
      </w:r>
      <w:r w:rsidRPr="00A64B85">
        <w:rPr>
          <w:rFonts w:asciiTheme="majorBidi" w:hAnsiTheme="majorBidi" w:cstheme="majorBidi"/>
        </w:rPr>
        <w:t xml:space="preserve">Henry Holford believes that assassinating Prince Albert will raise him from obscurity and make his ‘elements of greatness’ manifest to all.  See </w:t>
      </w:r>
      <w:r w:rsidRPr="00A64B85">
        <w:rPr>
          <w:rFonts w:ascii="Times New Roman" w:hAnsi="Times New Roman"/>
          <w:i/>
        </w:rPr>
        <w:t>Mysteries of London</w:t>
      </w:r>
      <w:r w:rsidRPr="00A64B85">
        <w:rPr>
          <w:rFonts w:ascii="Times New Roman" w:hAnsi="Times New Roman"/>
        </w:rPr>
        <w:t>, II, 246–47.</w:t>
      </w:r>
    </w:p>
  </w:footnote>
  <w:footnote w:id="1082">
    <w:p w:rsidR="003515E3" w:rsidRPr="00A64B85" w:rsidRDefault="003515E3" w:rsidP="0005445D">
      <w:pPr>
        <w:pStyle w:val="FootnoteText"/>
        <w:spacing w:after="0" w:line="240" w:lineRule="auto"/>
        <w:rPr>
          <w:rFonts w:ascii="Times New Roman" w:hAnsi="Times New Roman"/>
        </w:rPr>
      </w:pPr>
      <w:r w:rsidRPr="00A64B85">
        <w:rPr>
          <w:rStyle w:val="FootnoteReference"/>
          <w:rFonts w:ascii="Times New Roman" w:hAnsi="Times New Roman"/>
        </w:rPr>
        <w:footnoteRef/>
      </w:r>
      <w:r w:rsidRPr="00A64B85">
        <w:rPr>
          <w:rFonts w:ascii="Times New Roman" w:hAnsi="Times New Roman"/>
        </w:rPr>
        <w:t xml:space="preserve"> </w:t>
      </w:r>
      <w:r w:rsidRPr="00A64B85">
        <w:rPr>
          <w:rFonts w:ascii="Times New Roman" w:hAnsi="Times New Roman"/>
          <w:i/>
        </w:rPr>
        <w:t>Mysteries of the Court</w:t>
      </w:r>
      <w:r w:rsidRPr="00A64B85">
        <w:rPr>
          <w:rFonts w:ascii="Times New Roman" w:hAnsi="Times New Roman"/>
        </w:rPr>
        <w:t>, II, 370.</w:t>
      </w:r>
    </w:p>
  </w:footnote>
  <w:footnote w:id="1083">
    <w:p w:rsidR="003515E3" w:rsidRPr="00C51C34" w:rsidRDefault="003515E3" w:rsidP="0005445D">
      <w:pPr>
        <w:pStyle w:val="FootnoteText"/>
        <w:spacing w:after="0" w:line="240" w:lineRule="auto"/>
        <w:rPr>
          <w:rFonts w:asciiTheme="majorBidi" w:hAnsiTheme="majorBidi" w:cstheme="majorBidi"/>
        </w:rPr>
      </w:pPr>
      <w:r w:rsidRPr="00A64B85">
        <w:rPr>
          <w:rStyle w:val="FootnoteReference"/>
          <w:rFonts w:asciiTheme="majorBidi" w:hAnsiTheme="majorBidi" w:cstheme="majorBidi"/>
        </w:rPr>
        <w:footnoteRef/>
      </w:r>
      <w:r w:rsidRPr="00A64B85">
        <w:rPr>
          <w:rFonts w:asciiTheme="majorBidi" w:hAnsiTheme="majorBidi" w:cstheme="majorBidi"/>
        </w:rPr>
        <w:t xml:space="preserve"> The Yorkshire factory owner Richard Oastler held a traditionalist perspective.  A protectionist who opposed the 1832 Reform Act and continually claimed his attachment to the three estates, while not proposing insurrection he said that if the masses armed and disciplined themselves the government would take heed.  See Cecil Driver, </w:t>
      </w:r>
      <w:r w:rsidRPr="00A64B85">
        <w:rPr>
          <w:rFonts w:asciiTheme="majorBidi" w:hAnsiTheme="majorBidi" w:cstheme="majorBidi"/>
          <w:i/>
        </w:rPr>
        <w:t>Tory Radical: The Life of Richard Oastler</w:t>
      </w:r>
      <w:r w:rsidRPr="00A64B85">
        <w:rPr>
          <w:rFonts w:asciiTheme="majorBidi" w:hAnsiTheme="majorBidi" w:cstheme="majorBidi"/>
        </w:rPr>
        <w:t xml:space="preserve"> (New York: Oxford University Press, 1946), pp. 60</w:t>
      </w:r>
      <w:r w:rsidRPr="00A64B85">
        <w:rPr>
          <w:rFonts w:ascii="Times New Roman" w:hAnsi="Times New Roman"/>
        </w:rPr>
        <w:t>–6</w:t>
      </w:r>
      <w:r w:rsidRPr="00A64B85">
        <w:rPr>
          <w:rFonts w:asciiTheme="majorBidi" w:hAnsiTheme="majorBidi" w:cstheme="majorBidi"/>
        </w:rPr>
        <w:t>6, 400.</w:t>
      </w:r>
    </w:p>
  </w:footnote>
  <w:footnote w:id="1084">
    <w:p w:rsidR="003515E3" w:rsidRPr="00A64B85" w:rsidRDefault="003515E3" w:rsidP="0005445D">
      <w:pPr>
        <w:pStyle w:val="FootnoteText"/>
        <w:spacing w:after="0" w:line="240" w:lineRule="auto"/>
        <w:rPr>
          <w:rFonts w:ascii="Times New Roman" w:hAnsi="Times New Roman"/>
        </w:rPr>
      </w:pPr>
      <w:r w:rsidRPr="00A64B85">
        <w:rPr>
          <w:rStyle w:val="FootnoteReference"/>
          <w:rFonts w:ascii="Times New Roman" w:hAnsi="Times New Roman"/>
        </w:rPr>
        <w:footnoteRef/>
      </w:r>
      <w:r w:rsidRPr="00A64B85">
        <w:rPr>
          <w:rFonts w:ascii="Times New Roman" w:hAnsi="Times New Roman"/>
        </w:rPr>
        <w:t xml:space="preserve"> </w:t>
      </w:r>
      <w:r w:rsidRPr="00A64B85">
        <w:rPr>
          <w:rFonts w:ascii="Times New Roman" w:hAnsi="Times New Roman"/>
          <w:i/>
        </w:rPr>
        <w:t>Mysteries of the Court</w:t>
      </w:r>
      <w:r w:rsidRPr="00A64B85">
        <w:rPr>
          <w:rFonts w:ascii="Times New Roman" w:hAnsi="Times New Roman"/>
        </w:rPr>
        <w:t>, I, 344.</w:t>
      </w:r>
    </w:p>
  </w:footnote>
  <w:footnote w:id="1085">
    <w:p w:rsidR="003515E3" w:rsidRPr="00A64B85" w:rsidRDefault="003515E3" w:rsidP="0005445D">
      <w:pPr>
        <w:pStyle w:val="FootnoteText"/>
        <w:spacing w:after="0" w:line="240" w:lineRule="auto"/>
        <w:rPr>
          <w:rFonts w:ascii="Times New Roman" w:hAnsi="Times New Roman"/>
        </w:rPr>
      </w:pPr>
      <w:r w:rsidRPr="00A64B85">
        <w:rPr>
          <w:rStyle w:val="FootnoteReference"/>
          <w:rFonts w:ascii="Times New Roman" w:hAnsi="Times New Roman"/>
        </w:rPr>
        <w:footnoteRef/>
      </w:r>
      <w:r w:rsidRPr="00A64B85">
        <w:rPr>
          <w:rFonts w:ascii="Times New Roman" w:hAnsi="Times New Roman"/>
        </w:rPr>
        <w:t xml:space="preserve"> E. P. Thompson writes that Thistlewood inherited the conspiratorial tradition which saw ‘no hope but in a coup d’ </w:t>
      </w:r>
      <w:r w:rsidRPr="00A64B85">
        <w:rPr>
          <w:rFonts w:ascii="Times New Roman" w:hAnsi="Times New Roman"/>
          <w:iCs/>
          <w:shd w:val="clear" w:color="auto" w:fill="FFFFFF"/>
        </w:rPr>
        <w:t>é</w:t>
      </w:r>
      <w:r w:rsidRPr="00A64B85">
        <w:rPr>
          <w:rFonts w:ascii="Times New Roman" w:hAnsi="Times New Roman"/>
        </w:rPr>
        <w:t>tat, perhaps aided by French arms, in which some violent action would encourage the London ‘mob’ to rise in their support’. See E. P. Thompson, p. 190.</w:t>
      </w:r>
    </w:p>
  </w:footnote>
  <w:footnote w:id="1086">
    <w:p w:rsidR="003515E3" w:rsidRPr="00A64B85" w:rsidRDefault="003515E3" w:rsidP="0005445D">
      <w:pPr>
        <w:pStyle w:val="FootnoteText"/>
        <w:spacing w:after="0" w:line="240" w:lineRule="auto"/>
        <w:rPr>
          <w:rFonts w:ascii="Times New Roman" w:hAnsi="Times New Roman"/>
        </w:rPr>
      </w:pPr>
      <w:r w:rsidRPr="00A64B85">
        <w:rPr>
          <w:rStyle w:val="FootnoteReference"/>
          <w:rFonts w:ascii="Times New Roman" w:hAnsi="Times New Roman"/>
        </w:rPr>
        <w:footnoteRef/>
      </w:r>
      <w:r w:rsidRPr="00A64B85">
        <w:rPr>
          <w:rFonts w:ascii="Times New Roman" w:hAnsi="Times New Roman"/>
        </w:rPr>
        <w:t xml:space="preserve"> Lascelles’s collection includes criminals and murderers, George Barrington, Arthur Thistlewood, David Hoggart, John Thurtell, Henry Fauntleroy and William Probert.  </w:t>
      </w:r>
      <w:r w:rsidRPr="00A64B85">
        <w:rPr>
          <w:rFonts w:asciiTheme="majorBidi" w:hAnsiTheme="majorBidi" w:cstheme="majorBidi"/>
        </w:rPr>
        <w:t xml:space="preserve">See </w:t>
      </w:r>
      <w:r w:rsidRPr="00A64B85">
        <w:rPr>
          <w:rFonts w:ascii="Times New Roman" w:hAnsi="Times New Roman"/>
          <w:i/>
        </w:rPr>
        <w:t>Mysteries of London</w:t>
      </w:r>
      <w:r w:rsidRPr="00A64B85">
        <w:rPr>
          <w:rFonts w:ascii="Times New Roman" w:hAnsi="Times New Roman"/>
        </w:rPr>
        <w:t>, III, 91. For sketches of the above as listed, see</w:t>
      </w:r>
      <w:r w:rsidRPr="00A64B85">
        <w:rPr>
          <w:rFonts w:ascii="Times New Roman" w:hAnsi="Times New Roman"/>
          <w:u w:val="single"/>
        </w:rPr>
        <w:t xml:space="preserve"> </w:t>
      </w:r>
      <w:r w:rsidRPr="00A64B85">
        <w:rPr>
          <w:rFonts w:ascii="Times New Roman" w:hAnsi="Times New Roman"/>
          <w:i/>
        </w:rPr>
        <w:t>Chronicles of Crime</w:t>
      </w:r>
      <w:r w:rsidRPr="00A64B85">
        <w:rPr>
          <w:rFonts w:ascii="Times New Roman" w:hAnsi="Times New Roman"/>
        </w:rPr>
        <w:t>, I, 363–69; II, 34–50, 59–65, 69–90, 93–98, 100–03.</w:t>
      </w:r>
    </w:p>
  </w:footnote>
  <w:footnote w:id="1087">
    <w:p w:rsidR="003515E3" w:rsidRPr="00C51C34" w:rsidRDefault="003515E3" w:rsidP="0005445D">
      <w:pPr>
        <w:pStyle w:val="FootnoteText"/>
        <w:spacing w:after="0" w:line="240" w:lineRule="auto"/>
        <w:rPr>
          <w:rFonts w:ascii="Times New Roman" w:hAnsi="Times New Roman"/>
        </w:rPr>
      </w:pPr>
      <w:r w:rsidRPr="00A64B85">
        <w:rPr>
          <w:rStyle w:val="FootnoteReference"/>
          <w:rFonts w:ascii="Times New Roman" w:hAnsi="Times New Roman"/>
        </w:rPr>
        <w:footnoteRef/>
      </w:r>
      <w:r w:rsidRPr="00A64B85">
        <w:rPr>
          <w:rFonts w:ascii="Times New Roman" w:hAnsi="Times New Roman"/>
        </w:rPr>
        <w:t xml:space="preserve"> G. W. M. Reynolds, ‘Property’ in </w:t>
      </w:r>
      <w:r w:rsidRPr="00A64B85">
        <w:rPr>
          <w:rFonts w:ascii="Times New Roman" w:hAnsi="Times New Roman"/>
          <w:i/>
        </w:rPr>
        <w:t>Reynolds’s Political Instructor</w:t>
      </w:r>
      <w:r w:rsidRPr="00A64B85">
        <w:rPr>
          <w:rFonts w:ascii="Times New Roman" w:hAnsi="Times New Roman"/>
        </w:rPr>
        <w:t>, 26 January 1850, p. 90.</w:t>
      </w:r>
    </w:p>
  </w:footnote>
  <w:footnote w:id="1088">
    <w:p w:rsidR="003515E3" w:rsidRPr="003A473D" w:rsidRDefault="003515E3" w:rsidP="0005445D">
      <w:pPr>
        <w:spacing w:after="0" w:line="240" w:lineRule="auto"/>
        <w:rPr>
          <w:rFonts w:ascii="Times New Roman" w:hAnsi="Times New Roman" w:cs="Times New Roman"/>
          <w:sz w:val="20"/>
          <w:szCs w:val="20"/>
        </w:rPr>
      </w:pPr>
      <w:r w:rsidRPr="003A473D">
        <w:rPr>
          <w:rStyle w:val="FootnoteReference"/>
          <w:rFonts w:ascii="Times New Roman" w:hAnsi="Times New Roman"/>
          <w:sz w:val="20"/>
          <w:szCs w:val="20"/>
        </w:rPr>
        <w:footnoteRef/>
      </w:r>
      <w:r w:rsidRPr="003A473D">
        <w:rPr>
          <w:rFonts w:ascii="Times New Roman" w:hAnsi="Times New Roman" w:cs="Times New Roman"/>
          <w:sz w:val="20"/>
          <w:szCs w:val="20"/>
        </w:rPr>
        <w:t xml:space="preserve"> Guy, pp. 53, 73.  For Gaskell’s disclaimer, see </w:t>
      </w:r>
      <w:r w:rsidRPr="003A473D">
        <w:rPr>
          <w:rFonts w:ascii="Times New Roman" w:hAnsi="Times New Roman" w:cs="Times New Roman"/>
          <w:i/>
          <w:sz w:val="20"/>
          <w:szCs w:val="20"/>
        </w:rPr>
        <w:t>Mary Barton</w:t>
      </w:r>
      <w:r w:rsidRPr="003A473D">
        <w:rPr>
          <w:rFonts w:ascii="Times New Roman" w:hAnsi="Times New Roman" w:cs="Times New Roman"/>
          <w:sz w:val="20"/>
          <w:szCs w:val="20"/>
        </w:rPr>
        <w:t>, p.4.</w:t>
      </w:r>
    </w:p>
  </w:footnote>
  <w:footnote w:id="1089">
    <w:p w:rsidR="003515E3" w:rsidRPr="003A473D" w:rsidRDefault="003515E3" w:rsidP="0005445D">
      <w:pPr>
        <w:spacing w:after="0" w:line="240" w:lineRule="auto"/>
        <w:rPr>
          <w:rFonts w:ascii="Times New Roman" w:hAnsi="Times New Roman" w:cs="Times New Roman"/>
          <w:sz w:val="20"/>
          <w:szCs w:val="20"/>
        </w:rPr>
      </w:pPr>
      <w:r w:rsidRPr="003A473D">
        <w:rPr>
          <w:rStyle w:val="FootnoteReference"/>
          <w:rFonts w:ascii="Times New Roman" w:hAnsi="Times New Roman"/>
          <w:sz w:val="20"/>
          <w:szCs w:val="20"/>
        </w:rPr>
        <w:footnoteRef/>
      </w:r>
      <w:r w:rsidRPr="003A473D">
        <w:rPr>
          <w:rFonts w:ascii="Times New Roman" w:hAnsi="Times New Roman" w:cs="Times New Roman"/>
          <w:sz w:val="20"/>
          <w:szCs w:val="20"/>
        </w:rPr>
        <w:t xml:space="preserve"> </w:t>
      </w:r>
      <w:r w:rsidRPr="003A473D">
        <w:rPr>
          <w:rFonts w:ascii="Times New Roman" w:hAnsi="Times New Roman" w:cs="Times New Roman"/>
          <w:i/>
          <w:sz w:val="20"/>
          <w:szCs w:val="20"/>
        </w:rPr>
        <w:t>North and South</w:t>
      </w:r>
      <w:r w:rsidRPr="003A473D">
        <w:rPr>
          <w:rFonts w:ascii="Times New Roman" w:hAnsi="Times New Roman" w:cs="Times New Roman"/>
          <w:sz w:val="20"/>
          <w:szCs w:val="20"/>
        </w:rPr>
        <w:t>, p. 229.</w:t>
      </w:r>
    </w:p>
  </w:footnote>
  <w:footnote w:id="1090">
    <w:p w:rsidR="003515E3" w:rsidRPr="003A473D" w:rsidRDefault="003515E3" w:rsidP="0005445D">
      <w:pPr>
        <w:spacing w:after="0" w:line="240" w:lineRule="auto"/>
        <w:rPr>
          <w:rFonts w:ascii="Times New Roman" w:hAnsi="Times New Roman" w:cs="Times New Roman"/>
          <w:sz w:val="20"/>
          <w:szCs w:val="20"/>
        </w:rPr>
      </w:pPr>
      <w:r w:rsidRPr="003A473D">
        <w:rPr>
          <w:rStyle w:val="FootnoteReference"/>
          <w:rFonts w:ascii="Times New Roman" w:hAnsi="Times New Roman"/>
          <w:sz w:val="20"/>
          <w:szCs w:val="20"/>
        </w:rPr>
        <w:footnoteRef/>
      </w:r>
      <w:r w:rsidRPr="003A473D">
        <w:rPr>
          <w:rFonts w:ascii="Times New Roman" w:hAnsi="Times New Roman" w:cs="Times New Roman"/>
          <w:sz w:val="20"/>
          <w:szCs w:val="20"/>
        </w:rPr>
        <w:t xml:space="preserve"> Patrick Brantlinger, ‘The Case against Trade Unions in Early Victorian Fiction’, </w:t>
      </w:r>
      <w:r w:rsidRPr="003A473D">
        <w:rPr>
          <w:rFonts w:ascii="Times New Roman" w:hAnsi="Times New Roman" w:cs="Times New Roman"/>
          <w:i/>
          <w:sz w:val="20"/>
          <w:szCs w:val="20"/>
        </w:rPr>
        <w:t>Victorian Studies</w:t>
      </w:r>
      <w:r w:rsidRPr="003A473D">
        <w:rPr>
          <w:rFonts w:ascii="Times New Roman" w:hAnsi="Times New Roman" w:cs="Times New Roman"/>
          <w:sz w:val="20"/>
          <w:szCs w:val="20"/>
        </w:rPr>
        <w:t>, 13.1 (September 1969), pp. 37–52 &lt;</w:t>
      </w:r>
      <w:hyperlink r:id="rId26" w:history="1">
        <w:r w:rsidRPr="003A473D">
          <w:rPr>
            <w:rStyle w:val="Hyperlink"/>
            <w:rFonts w:ascii="Times New Roman" w:hAnsi="Times New Roman" w:cs="Times New Roman"/>
            <w:sz w:val="20"/>
            <w:szCs w:val="20"/>
          </w:rPr>
          <w:t>http://www.jstor.org/stable/3825993</w:t>
        </w:r>
      </w:hyperlink>
      <w:r w:rsidRPr="003A473D">
        <w:rPr>
          <w:rFonts w:ascii="Times New Roman" w:hAnsi="Times New Roman" w:cs="Times New Roman"/>
          <w:sz w:val="20"/>
          <w:szCs w:val="20"/>
        </w:rPr>
        <w:t>&gt; [accessed: 15 March 2013] (p. 49).</w:t>
      </w:r>
    </w:p>
  </w:footnote>
  <w:footnote w:id="1091">
    <w:p w:rsidR="003515E3" w:rsidRPr="003A473D" w:rsidRDefault="003515E3" w:rsidP="0005445D">
      <w:pPr>
        <w:spacing w:after="0" w:line="240" w:lineRule="auto"/>
        <w:rPr>
          <w:rFonts w:ascii="Times New Roman" w:hAnsi="Times New Roman" w:cs="Times New Roman"/>
          <w:sz w:val="20"/>
          <w:szCs w:val="20"/>
        </w:rPr>
      </w:pPr>
      <w:r w:rsidRPr="003A473D">
        <w:rPr>
          <w:rStyle w:val="FootnoteReference"/>
          <w:rFonts w:ascii="Times New Roman" w:hAnsi="Times New Roman"/>
          <w:sz w:val="20"/>
          <w:szCs w:val="20"/>
        </w:rPr>
        <w:footnoteRef/>
      </w:r>
      <w:r w:rsidRPr="003A473D">
        <w:rPr>
          <w:rFonts w:ascii="Times New Roman" w:hAnsi="Times New Roman" w:cs="Times New Roman"/>
          <w:sz w:val="20"/>
          <w:szCs w:val="20"/>
        </w:rPr>
        <w:t xml:space="preserve"> </w:t>
      </w:r>
      <w:r w:rsidRPr="003A473D">
        <w:rPr>
          <w:rFonts w:ascii="Times New Roman" w:hAnsi="Times New Roman" w:cs="Times New Roman"/>
          <w:i/>
          <w:sz w:val="20"/>
          <w:szCs w:val="20"/>
        </w:rPr>
        <w:t>Sybil</w:t>
      </w:r>
      <w:r w:rsidRPr="003A473D">
        <w:rPr>
          <w:rFonts w:ascii="Times New Roman" w:hAnsi="Times New Roman" w:cs="Times New Roman"/>
          <w:sz w:val="20"/>
          <w:szCs w:val="20"/>
        </w:rPr>
        <w:t>, pp. 114–15.</w:t>
      </w:r>
    </w:p>
  </w:footnote>
  <w:footnote w:id="1092">
    <w:p w:rsidR="003515E3" w:rsidRPr="003A473D" w:rsidRDefault="003515E3" w:rsidP="0005445D">
      <w:pPr>
        <w:spacing w:after="0" w:line="240" w:lineRule="auto"/>
        <w:rPr>
          <w:rFonts w:ascii="Times New Roman" w:hAnsi="Times New Roman" w:cs="Times New Roman"/>
          <w:sz w:val="20"/>
          <w:szCs w:val="20"/>
        </w:rPr>
      </w:pPr>
      <w:r w:rsidRPr="003A473D">
        <w:rPr>
          <w:rStyle w:val="FootnoteReference"/>
          <w:rFonts w:ascii="Times New Roman" w:hAnsi="Times New Roman"/>
          <w:sz w:val="20"/>
          <w:szCs w:val="20"/>
        </w:rPr>
        <w:footnoteRef/>
      </w:r>
      <w:r w:rsidRPr="003A473D">
        <w:rPr>
          <w:rFonts w:ascii="Times New Roman" w:hAnsi="Times New Roman" w:cs="Times New Roman"/>
          <w:sz w:val="20"/>
          <w:szCs w:val="20"/>
        </w:rPr>
        <w:t xml:space="preserve"> Charles Dickens, </w:t>
      </w:r>
      <w:r w:rsidRPr="003A473D">
        <w:rPr>
          <w:rFonts w:ascii="Times New Roman" w:hAnsi="Times New Roman" w:cs="Times New Roman"/>
          <w:i/>
          <w:sz w:val="20"/>
          <w:szCs w:val="20"/>
        </w:rPr>
        <w:t>Hard Times</w:t>
      </w:r>
      <w:r w:rsidRPr="003A473D">
        <w:rPr>
          <w:rFonts w:ascii="Times New Roman" w:hAnsi="Times New Roman" w:cs="Times New Roman"/>
          <w:sz w:val="20"/>
          <w:szCs w:val="20"/>
        </w:rPr>
        <w:t>, ed. by Paul Schlicke (Oxford: Oxford University Press, 1989), p. 183.</w:t>
      </w:r>
    </w:p>
  </w:footnote>
  <w:footnote w:id="1093">
    <w:p w:rsidR="003515E3" w:rsidRPr="00E65A2C" w:rsidRDefault="003515E3" w:rsidP="0005445D">
      <w:pPr>
        <w:spacing w:after="0" w:line="240" w:lineRule="auto"/>
        <w:rPr>
          <w:rFonts w:ascii="Times New Roman" w:hAnsi="Times New Roman" w:cs="Times New Roman"/>
          <w:sz w:val="20"/>
          <w:szCs w:val="20"/>
        </w:rPr>
      </w:pPr>
      <w:r w:rsidRPr="003A473D">
        <w:rPr>
          <w:rStyle w:val="FootnoteReference"/>
          <w:rFonts w:ascii="Times New Roman" w:hAnsi="Times New Roman"/>
          <w:sz w:val="20"/>
          <w:szCs w:val="20"/>
        </w:rPr>
        <w:footnoteRef/>
      </w:r>
      <w:r w:rsidRPr="003A473D">
        <w:rPr>
          <w:rFonts w:ascii="Times New Roman" w:hAnsi="Times New Roman" w:cs="Times New Roman"/>
          <w:sz w:val="20"/>
          <w:szCs w:val="20"/>
        </w:rPr>
        <w:t xml:space="preserve"> In </w:t>
      </w:r>
      <w:r w:rsidRPr="003A473D">
        <w:rPr>
          <w:rFonts w:ascii="Times New Roman" w:hAnsi="Times New Roman" w:cs="Times New Roman"/>
          <w:i/>
          <w:sz w:val="20"/>
          <w:szCs w:val="20"/>
        </w:rPr>
        <w:t>Sybil</w:t>
      </w:r>
      <w:r w:rsidRPr="003A473D">
        <w:rPr>
          <w:rFonts w:ascii="Times New Roman" w:hAnsi="Times New Roman" w:cs="Times New Roman"/>
          <w:sz w:val="20"/>
          <w:szCs w:val="20"/>
        </w:rPr>
        <w:t xml:space="preserve">, Mick Radley’s initiation ceremony is held in a dark room with the gathering taking on Inquisitorial overtones as cloaked and masked officials denounce those who have transgressed their rules.  It climaxes with Mick swearing to obey the mandate of the grand committee regarding ‘the chastisement of Nobs, the assassination of oppressive and tyrannical masters, or the demolition of all mills, works and shops that shall be deemed by us incorrigible’.  See </w:t>
      </w:r>
      <w:r w:rsidRPr="003A473D">
        <w:rPr>
          <w:rFonts w:ascii="Times New Roman" w:hAnsi="Times New Roman" w:cs="Times New Roman"/>
          <w:i/>
          <w:sz w:val="20"/>
          <w:szCs w:val="20"/>
        </w:rPr>
        <w:t>Sybil</w:t>
      </w:r>
      <w:r w:rsidRPr="003A473D">
        <w:rPr>
          <w:rFonts w:ascii="Times New Roman" w:hAnsi="Times New Roman" w:cs="Times New Roman"/>
          <w:sz w:val="20"/>
          <w:szCs w:val="20"/>
        </w:rPr>
        <w:t xml:space="preserve">, p. 221.  In Mary Barton, when the decision is taken to murder Harry Carson, Gaskell writes that John Barton swears one of the ‘fierce terrible oaths which bind members of Trades’ Unions to any given purpose’ before drawing ‘the lot of the assassin!’.  See </w:t>
      </w:r>
      <w:r w:rsidRPr="003A473D">
        <w:rPr>
          <w:rFonts w:ascii="Times New Roman" w:hAnsi="Times New Roman" w:cs="Times New Roman"/>
          <w:i/>
          <w:sz w:val="20"/>
          <w:szCs w:val="20"/>
        </w:rPr>
        <w:t>Mary Barton</w:t>
      </w:r>
      <w:r w:rsidRPr="003A473D">
        <w:rPr>
          <w:rFonts w:ascii="Times New Roman" w:hAnsi="Times New Roman" w:cs="Times New Roman"/>
          <w:sz w:val="20"/>
          <w:szCs w:val="20"/>
        </w:rPr>
        <w:t>, p. 185</w:t>
      </w:r>
    </w:p>
  </w:footnote>
  <w:footnote w:id="1094">
    <w:p w:rsidR="003515E3" w:rsidRPr="003A473D" w:rsidRDefault="003515E3" w:rsidP="0005445D">
      <w:pPr>
        <w:spacing w:after="0" w:line="240" w:lineRule="auto"/>
        <w:rPr>
          <w:rFonts w:ascii="Times New Roman" w:hAnsi="Times New Roman" w:cs="Times New Roman"/>
          <w:sz w:val="20"/>
          <w:szCs w:val="20"/>
        </w:rPr>
      </w:pPr>
      <w:r w:rsidRPr="003A473D">
        <w:rPr>
          <w:rStyle w:val="FootnoteReference"/>
          <w:rFonts w:ascii="Times New Roman" w:hAnsi="Times New Roman"/>
          <w:sz w:val="20"/>
          <w:szCs w:val="20"/>
        </w:rPr>
        <w:footnoteRef/>
      </w:r>
      <w:r w:rsidRPr="003A473D">
        <w:rPr>
          <w:rFonts w:ascii="Times New Roman" w:hAnsi="Times New Roman" w:cs="Times New Roman"/>
          <w:sz w:val="20"/>
          <w:szCs w:val="20"/>
        </w:rPr>
        <w:t xml:space="preserve"> </w:t>
      </w:r>
      <w:r w:rsidRPr="003A473D">
        <w:rPr>
          <w:rFonts w:ascii="Times New Roman" w:hAnsi="Times New Roman" w:cs="Times New Roman"/>
          <w:i/>
          <w:sz w:val="20"/>
          <w:szCs w:val="20"/>
        </w:rPr>
        <w:t>Mary Barton</w:t>
      </w:r>
      <w:r w:rsidRPr="003A473D">
        <w:rPr>
          <w:rFonts w:ascii="Times New Roman" w:hAnsi="Times New Roman" w:cs="Times New Roman"/>
          <w:sz w:val="20"/>
          <w:szCs w:val="20"/>
        </w:rPr>
        <w:t>, p. 168.</w:t>
      </w:r>
    </w:p>
  </w:footnote>
  <w:footnote w:id="1095">
    <w:p w:rsidR="003515E3" w:rsidRPr="00C51C34" w:rsidRDefault="003515E3" w:rsidP="0005445D">
      <w:pPr>
        <w:spacing w:after="0" w:line="240" w:lineRule="auto"/>
        <w:rPr>
          <w:rFonts w:ascii="Times New Roman" w:hAnsi="Times New Roman" w:cs="Times New Roman"/>
          <w:sz w:val="20"/>
          <w:szCs w:val="20"/>
        </w:rPr>
      </w:pPr>
      <w:r w:rsidRPr="003A473D">
        <w:rPr>
          <w:rStyle w:val="FootnoteReference"/>
          <w:rFonts w:ascii="Times New Roman" w:hAnsi="Times New Roman"/>
          <w:sz w:val="20"/>
          <w:szCs w:val="20"/>
        </w:rPr>
        <w:footnoteRef/>
      </w:r>
      <w:r w:rsidRPr="003A473D">
        <w:rPr>
          <w:rFonts w:ascii="Times New Roman" w:hAnsi="Times New Roman" w:cs="Times New Roman"/>
          <w:sz w:val="20"/>
          <w:szCs w:val="20"/>
        </w:rPr>
        <w:t xml:space="preserve"> </w:t>
      </w:r>
      <w:r w:rsidRPr="003A473D">
        <w:rPr>
          <w:rFonts w:ascii="Times New Roman" w:hAnsi="Times New Roman" w:cs="Times New Roman"/>
          <w:i/>
          <w:sz w:val="20"/>
          <w:szCs w:val="20"/>
        </w:rPr>
        <w:t>Mary Barton</w:t>
      </w:r>
      <w:r w:rsidRPr="003A473D">
        <w:rPr>
          <w:rFonts w:ascii="Times New Roman" w:hAnsi="Times New Roman" w:cs="Times New Roman"/>
          <w:sz w:val="20"/>
          <w:szCs w:val="20"/>
        </w:rPr>
        <w:t>, pp. 191–92.</w:t>
      </w:r>
    </w:p>
  </w:footnote>
  <w:footnote w:id="1096">
    <w:p w:rsidR="003515E3" w:rsidRPr="00CF1367" w:rsidRDefault="003515E3" w:rsidP="0005445D">
      <w:pPr>
        <w:pStyle w:val="FootnoteText"/>
        <w:spacing w:after="0" w:line="240" w:lineRule="auto"/>
        <w:rPr>
          <w:rFonts w:ascii="Times New Roman" w:hAnsi="Times New Roman"/>
        </w:rPr>
      </w:pPr>
      <w:r w:rsidRPr="00E65A2C">
        <w:rPr>
          <w:rStyle w:val="FootnoteReference"/>
          <w:rFonts w:ascii="Times New Roman" w:hAnsi="Times New Roman"/>
        </w:rPr>
        <w:footnoteRef/>
      </w:r>
      <w:r w:rsidRPr="00E65A2C">
        <w:rPr>
          <w:rFonts w:ascii="Times New Roman" w:hAnsi="Times New Roman"/>
        </w:rPr>
        <w:t xml:space="preserve"> George Rudé, </w:t>
      </w:r>
      <w:r w:rsidRPr="00E65A2C">
        <w:rPr>
          <w:rFonts w:ascii="Times New Roman" w:hAnsi="Times New Roman"/>
          <w:i/>
        </w:rPr>
        <w:t>The Crowd in the French Revolution</w:t>
      </w:r>
      <w:r w:rsidRPr="00E65A2C">
        <w:rPr>
          <w:rFonts w:ascii="Times New Roman" w:hAnsi="Times New Roman"/>
        </w:rPr>
        <w:t xml:space="preserve"> (London: Oxford University Press, 1959), pp. 178–79.</w:t>
      </w:r>
    </w:p>
  </w:footnote>
  <w:footnote w:id="1097">
    <w:p w:rsidR="003515E3" w:rsidRPr="0005445D" w:rsidRDefault="003515E3" w:rsidP="0005445D">
      <w:pPr>
        <w:pStyle w:val="FootnoteText"/>
        <w:spacing w:after="0" w:line="240" w:lineRule="auto"/>
        <w:rPr>
          <w:rFonts w:ascii="Times New Roman" w:hAnsi="Times New Roman"/>
        </w:rPr>
      </w:pPr>
      <w:r w:rsidRPr="0005445D">
        <w:rPr>
          <w:rStyle w:val="FootnoteReference"/>
          <w:rFonts w:ascii="Times New Roman" w:hAnsi="Times New Roman"/>
        </w:rPr>
        <w:footnoteRef/>
      </w:r>
      <w:r w:rsidRPr="0005445D">
        <w:rPr>
          <w:rFonts w:ascii="Times New Roman" w:hAnsi="Times New Roman"/>
        </w:rPr>
        <w:t xml:space="preserve"> ‘Look on this Picture and this”, </w:t>
      </w:r>
      <w:r w:rsidRPr="0005445D">
        <w:rPr>
          <w:rFonts w:ascii="Times New Roman" w:hAnsi="Times New Roman"/>
          <w:i/>
        </w:rPr>
        <w:t>Reynolds’s Political Instructor</w:t>
      </w:r>
      <w:r w:rsidRPr="0005445D">
        <w:rPr>
          <w:rFonts w:ascii="Times New Roman" w:hAnsi="Times New Roman"/>
        </w:rPr>
        <w:t>, 15 December 1849, p. 41.</w:t>
      </w:r>
    </w:p>
  </w:footnote>
  <w:footnote w:id="1098">
    <w:p w:rsidR="003515E3" w:rsidRPr="0005445D" w:rsidRDefault="003515E3" w:rsidP="0005445D">
      <w:pPr>
        <w:pStyle w:val="Default"/>
        <w:rPr>
          <w:rFonts w:ascii="Times New Roman" w:hAnsi="Times New Roman" w:cs="Times New Roman"/>
          <w:color w:val="auto"/>
          <w:sz w:val="20"/>
          <w:szCs w:val="20"/>
        </w:rPr>
      </w:pPr>
      <w:r w:rsidRPr="0005445D">
        <w:rPr>
          <w:rStyle w:val="FootnoteReference"/>
          <w:rFonts w:ascii="Times New Roman" w:hAnsi="Times New Roman" w:cs="Times New Roman"/>
          <w:color w:val="auto"/>
          <w:sz w:val="20"/>
          <w:szCs w:val="20"/>
        </w:rPr>
        <w:footnoteRef/>
      </w:r>
      <w:r w:rsidRPr="0005445D">
        <w:rPr>
          <w:rFonts w:ascii="Times New Roman" w:hAnsi="Times New Roman" w:cs="Times New Roman"/>
          <w:color w:val="auto"/>
          <w:sz w:val="20"/>
          <w:szCs w:val="20"/>
        </w:rPr>
        <w:t xml:space="preserve"> Shannon, </w:t>
      </w:r>
      <w:r w:rsidRPr="0005445D">
        <w:rPr>
          <w:rFonts w:ascii="Times New Roman" w:hAnsi="Times New Roman" w:cs="Times New Roman"/>
          <w:i/>
          <w:iCs/>
          <w:color w:val="auto"/>
          <w:sz w:val="20"/>
          <w:szCs w:val="20"/>
        </w:rPr>
        <w:t>Dickens, Reynolds and Mayhew on Wellington Street</w:t>
      </w:r>
      <w:r w:rsidRPr="0005445D">
        <w:rPr>
          <w:rFonts w:ascii="Times New Roman" w:hAnsi="Times New Roman" w:cs="Times New Roman"/>
          <w:color w:val="auto"/>
          <w:sz w:val="20"/>
          <w:szCs w:val="20"/>
        </w:rPr>
        <w:t>, pp. 100, 108</w:t>
      </w:r>
      <w:r w:rsidRPr="0005445D">
        <w:rPr>
          <w:rFonts w:ascii="Times New Roman" w:hAnsi="Times New Roman" w:cs="Times New Roman"/>
          <w:sz w:val="20"/>
          <w:szCs w:val="20"/>
        </w:rPr>
        <w:t>–10.</w:t>
      </w:r>
    </w:p>
  </w:footnote>
  <w:footnote w:id="1099">
    <w:p w:rsidR="003515E3" w:rsidRPr="0005445D" w:rsidRDefault="003515E3" w:rsidP="0005445D">
      <w:pPr>
        <w:pStyle w:val="Default"/>
        <w:rPr>
          <w:rFonts w:ascii="Times New Roman" w:hAnsi="Times New Roman" w:cs="Times New Roman"/>
          <w:color w:val="auto"/>
          <w:sz w:val="20"/>
          <w:szCs w:val="20"/>
        </w:rPr>
      </w:pPr>
      <w:r w:rsidRPr="0005445D">
        <w:rPr>
          <w:rStyle w:val="FootnoteReference"/>
          <w:rFonts w:ascii="Times New Roman" w:hAnsi="Times New Roman" w:cs="Times New Roman"/>
          <w:color w:val="auto"/>
          <w:sz w:val="20"/>
          <w:szCs w:val="20"/>
        </w:rPr>
        <w:footnoteRef/>
      </w:r>
      <w:r w:rsidRPr="0005445D">
        <w:rPr>
          <w:rFonts w:ascii="Times New Roman" w:hAnsi="Times New Roman" w:cs="Times New Roman"/>
          <w:color w:val="auto"/>
          <w:sz w:val="20"/>
          <w:szCs w:val="20"/>
        </w:rPr>
        <w:t xml:space="preserve"> ‘The Prospects of the Democratic Cause’, p. 1.</w:t>
      </w:r>
    </w:p>
  </w:footnote>
  <w:footnote w:id="1100">
    <w:p w:rsidR="003515E3" w:rsidRPr="00E65A2C" w:rsidRDefault="003515E3" w:rsidP="0005445D">
      <w:pPr>
        <w:pStyle w:val="Default"/>
        <w:rPr>
          <w:color w:val="auto"/>
          <w:sz w:val="20"/>
          <w:szCs w:val="20"/>
          <w:u w:val="single"/>
        </w:rPr>
      </w:pPr>
      <w:r w:rsidRPr="0005445D">
        <w:rPr>
          <w:rStyle w:val="FootnoteReference"/>
          <w:rFonts w:ascii="Times New Roman" w:hAnsi="Times New Roman" w:cs="Times New Roman"/>
          <w:color w:val="auto"/>
          <w:sz w:val="20"/>
          <w:szCs w:val="20"/>
        </w:rPr>
        <w:footnoteRef/>
      </w:r>
      <w:r w:rsidRPr="0005445D">
        <w:rPr>
          <w:rFonts w:ascii="Times New Roman" w:hAnsi="Times New Roman" w:cs="Times New Roman"/>
          <w:color w:val="auto"/>
          <w:sz w:val="20"/>
          <w:szCs w:val="20"/>
        </w:rPr>
        <w:t xml:space="preserve"> </w:t>
      </w:r>
      <w:r w:rsidRPr="0005445D">
        <w:rPr>
          <w:rFonts w:ascii="Times New Roman" w:hAnsi="Times New Roman" w:cs="Times New Roman"/>
          <w:sz w:val="20"/>
          <w:szCs w:val="20"/>
        </w:rPr>
        <w:t xml:space="preserve">‘Manifesto of the Communist Party’, </w:t>
      </w:r>
      <w:r w:rsidRPr="0005445D">
        <w:rPr>
          <w:rFonts w:ascii="Times New Roman" w:hAnsi="Times New Roman" w:cs="Times New Roman"/>
          <w:sz w:val="20"/>
          <w:szCs w:val="20"/>
          <w:shd w:val="clear" w:color="auto" w:fill="FFFFFF"/>
        </w:rPr>
        <w:t>p. 32.</w:t>
      </w:r>
    </w:p>
  </w:footnote>
  <w:footnote w:id="1101">
    <w:p w:rsidR="003515E3" w:rsidRPr="003A473D" w:rsidRDefault="003515E3" w:rsidP="0005445D">
      <w:pPr>
        <w:pStyle w:val="Default"/>
        <w:rPr>
          <w:rFonts w:ascii="Times New Roman" w:hAnsi="Times New Roman" w:cs="Times New Roman"/>
          <w:color w:val="auto"/>
          <w:sz w:val="20"/>
          <w:szCs w:val="20"/>
          <w:u w:val="single"/>
        </w:rPr>
      </w:pPr>
      <w:r w:rsidRPr="003A473D">
        <w:rPr>
          <w:rStyle w:val="FootnoteReference"/>
          <w:rFonts w:ascii="Times New Roman" w:hAnsi="Times New Roman" w:cs="Times New Roman"/>
          <w:color w:val="auto"/>
          <w:sz w:val="20"/>
          <w:szCs w:val="20"/>
        </w:rPr>
        <w:footnoteRef/>
      </w:r>
      <w:r w:rsidRPr="003A473D">
        <w:rPr>
          <w:rFonts w:ascii="Times New Roman" w:hAnsi="Times New Roman" w:cs="Times New Roman"/>
          <w:color w:val="auto"/>
          <w:sz w:val="20"/>
          <w:szCs w:val="20"/>
        </w:rPr>
        <w:t xml:space="preserve"> </w:t>
      </w:r>
      <w:r w:rsidRPr="003A473D">
        <w:rPr>
          <w:rFonts w:ascii="Times New Roman" w:hAnsi="Times New Roman" w:cs="Times New Roman"/>
          <w:sz w:val="20"/>
          <w:szCs w:val="20"/>
          <w:shd w:val="clear" w:color="auto" w:fill="FFFFFF"/>
        </w:rPr>
        <w:t xml:space="preserve">Only later </w:t>
      </w:r>
      <w:r w:rsidRPr="00460BB7">
        <w:rPr>
          <w:rFonts w:ascii="Times New Roman" w:hAnsi="Times New Roman" w:cs="Times New Roman"/>
          <w:sz w:val="20"/>
          <w:szCs w:val="20"/>
          <w:shd w:val="clear" w:color="auto" w:fill="FFFFFF"/>
        </w:rPr>
        <w:t>would they speak of this being impossible</w:t>
      </w:r>
      <w:r w:rsidRPr="003A473D">
        <w:rPr>
          <w:rFonts w:ascii="Times New Roman" w:hAnsi="Times New Roman" w:cs="Times New Roman"/>
          <w:sz w:val="20"/>
          <w:szCs w:val="20"/>
          <w:shd w:val="clear" w:color="auto" w:fill="FFFFFF"/>
        </w:rPr>
        <w:t xml:space="preserve">, particularly after the crushing of the Paris Commune when Marx writes: ‘But the working class cannot simply lay hold of the ready-made state machinery, and wield it for its own purposes.’ See Karl Marx, ‘The Civil War in France’, in </w:t>
      </w:r>
      <w:r w:rsidRPr="003A473D">
        <w:rPr>
          <w:rFonts w:ascii="Times New Roman" w:hAnsi="Times New Roman" w:cs="Times New Roman"/>
          <w:i/>
          <w:sz w:val="20"/>
          <w:szCs w:val="20"/>
        </w:rPr>
        <w:t>Karl Marx and Frederick Engels Selected Works</w:t>
      </w:r>
      <w:r w:rsidRPr="003A473D">
        <w:rPr>
          <w:rFonts w:ascii="Times New Roman" w:hAnsi="Times New Roman" w:cs="Times New Roman"/>
          <w:sz w:val="20"/>
          <w:szCs w:val="20"/>
          <w:shd w:val="clear" w:color="auto" w:fill="FFFFFF"/>
        </w:rPr>
        <w:t>, pp. 248</w:t>
      </w:r>
      <w:r w:rsidRPr="003A473D">
        <w:rPr>
          <w:rFonts w:ascii="Times New Roman" w:hAnsi="Times New Roman" w:cs="Times New Roman"/>
          <w:sz w:val="20"/>
          <w:szCs w:val="20"/>
        </w:rPr>
        <w:t>–</w:t>
      </w:r>
      <w:r w:rsidRPr="003A473D">
        <w:rPr>
          <w:rFonts w:ascii="Times New Roman" w:hAnsi="Times New Roman" w:cs="Times New Roman"/>
          <w:sz w:val="20"/>
          <w:szCs w:val="20"/>
          <w:shd w:val="clear" w:color="auto" w:fill="FFFFFF"/>
        </w:rPr>
        <w:t>309 (p. 285).</w:t>
      </w:r>
    </w:p>
  </w:footnote>
  <w:footnote w:id="1102">
    <w:p w:rsidR="003515E3" w:rsidRPr="003A473D" w:rsidRDefault="003515E3" w:rsidP="0005445D">
      <w:pPr>
        <w:pStyle w:val="Default"/>
        <w:rPr>
          <w:rFonts w:ascii="Times New Roman" w:hAnsi="Times New Roman" w:cs="Times New Roman"/>
          <w:color w:val="auto"/>
          <w:sz w:val="20"/>
          <w:szCs w:val="20"/>
          <w:u w:val="single"/>
        </w:rPr>
      </w:pPr>
      <w:r w:rsidRPr="003A473D">
        <w:rPr>
          <w:rStyle w:val="FootnoteReference"/>
          <w:rFonts w:ascii="Times New Roman" w:hAnsi="Times New Roman" w:cs="Times New Roman"/>
          <w:color w:val="auto"/>
          <w:sz w:val="20"/>
          <w:szCs w:val="20"/>
        </w:rPr>
        <w:footnoteRef/>
      </w:r>
      <w:r w:rsidRPr="003A473D">
        <w:rPr>
          <w:rFonts w:ascii="Times New Roman" w:hAnsi="Times New Roman" w:cs="Times New Roman"/>
          <w:color w:val="auto"/>
          <w:sz w:val="20"/>
          <w:szCs w:val="20"/>
        </w:rPr>
        <w:t xml:space="preserve"> </w:t>
      </w:r>
      <w:r w:rsidRPr="003A473D">
        <w:rPr>
          <w:rFonts w:ascii="Times New Roman" w:hAnsi="Times New Roman" w:cs="Times New Roman"/>
          <w:sz w:val="20"/>
          <w:szCs w:val="20"/>
        </w:rPr>
        <w:t xml:space="preserve">‘Manifesto of the Communist Party’, </w:t>
      </w:r>
      <w:r w:rsidRPr="003A473D">
        <w:rPr>
          <w:rFonts w:ascii="Times New Roman" w:hAnsi="Times New Roman" w:cs="Times New Roman"/>
          <w:sz w:val="20"/>
          <w:szCs w:val="20"/>
          <w:shd w:val="clear" w:color="auto" w:fill="FFFFFF"/>
        </w:rPr>
        <w:t>p. 32.</w:t>
      </w:r>
    </w:p>
  </w:footnote>
  <w:footnote w:id="1103">
    <w:p w:rsidR="003515E3" w:rsidRPr="003A473D" w:rsidRDefault="003515E3" w:rsidP="0005445D">
      <w:pPr>
        <w:pStyle w:val="FootnoteText"/>
        <w:spacing w:after="0" w:line="240" w:lineRule="auto"/>
        <w:rPr>
          <w:rFonts w:ascii="Times New Roman" w:hAnsi="Times New Roman"/>
        </w:rPr>
      </w:pPr>
      <w:r w:rsidRPr="003A473D">
        <w:rPr>
          <w:rStyle w:val="FootnoteReference"/>
          <w:rFonts w:ascii="Times New Roman" w:hAnsi="Times New Roman"/>
        </w:rPr>
        <w:footnoteRef/>
      </w:r>
      <w:r w:rsidRPr="003A473D">
        <w:rPr>
          <w:rFonts w:ascii="Times New Roman" w:hAnsi="Times New Roman"/>
        </w:rPr>
        <w:t xml:space="preserve"> Neale provides an overview of the utopian nature of the resolutions offered by theorists in the first half of the nineteenth century who believed in ‘labour’s right to the whole of its product’, including Thompson and Owen.  See Neale, </w:t>
      </w:r>
      <w:r w:rsidRPr="003A473D">
        <w:rPr>
          <w:rFonts w:ascii="Times New Roman" w:hAnsi="Times New Roman"/>
          <w:i/>
        </w:rPr>
        <w:t>Class in English History 1680</w:t>
      </w:r>
      <w:r w:rsidRPr="003A473D">
        <w:rPr>
          <w:rFonts w:ascii="Times New Roman" w:hAnsi="Times New Roman"/>
        </w:rPr>
        <w:t>–</w:t>
      </w:r>
      <w:r w:rsidRPr="003A473D">
        <w:rPr>
          <w:rFonts w:ascii="Times New Roman" w:hAnsi="Times New Roman"/>
          <w:i/>
        </w:rPr>
        <w:t>1850</w:t>
      </w:r>
      <w:r w:rsidRPr="003A473D">
        <w:rPr>
          <w:rFonts w:ascii="Times New Roman" w:hAnsi="Times New Roman"/>
        </w:rPr>
        <w:t>, pp. 182–89.</w:t>
      </w:r>
    </w:p>
  </w:footnote>
  <w:footnote w:id="1104">
    <w:p w:rsidR="003515E3" w:rsidRPr="003A473D" w:rsidRDefault="003515E3" w:rsidP="0005445D">
      <w:pPr>
        <w:pStyle w:val="FootnoteText"/>
        <w:spacing w:after="0" w:line="240" w:lineRule="auto"/>
        <w:rPr>
          <w:rFonts w:ascii="Times New Roman" w:hAnsi="Times New Roman"/>
        </w:rPr>
      </w:pPr>
      <w:r w:rsidRPr="003A473D">
        <w:rPr>
          <w:rStyle w:val="FootnoteReference"/>
          <w:rFonts w:ascii="Times New Roman" w:hAnsi="Times New Roman"/>
        </w:rPr>
        <w:footnoteRef/>
      </w:r>
      <w:r w:rsidRPr="003A473D">
        <w:rPr>
          <w:rFonts w:ascii="Times New Roman" w:hAnsi="Times New Roman"/>
        </w:rPr>
        <w:t xml:space="preserve"> </w:t>
      </w:r>
      <w:r w:rsidRPr="003A473D">
        <w:rPr>
          <w:rFonts w:ascii="Times New Roman" w:hAnsi="Times New Roman"/>
          <w:bCs/>
        </w:rPr>
        <w:t xml:space="preserve">Frederick Engels, ’Socialism: Utopian and Scientific’, in </w:t>
      </w:r>
      <w:r w:rsidRPr="003A473D">
        <w:rPr>
          <w:rFonts w:ascii="Times New Roman" w:hAnsi="Times New Roman"/>
          <w:bCs/>
          <w:i/>
        </w:rPr>
        <w:t>Karl Marx and Frederick Engels: Selected Works in One Volume</w:t>
      </w:r>
      <w:r w:rsidRPr="003A473D">
        <w:rPr>
          <w:rFonts w:ascii="Times New Roman" w:hAnsi="Times New Roman"/>
          <w:bCs/>
        </w:rPr>
        <w:t>, pp. 375</w:t>
      </w:r>
      <w:r w:rsidRPr="003A473D">
        <w:rPr>
          <w:rFonts w:ascii="Times New Roman" w:hAnsi="Times New Roman"/>
          <w:color w:val="000000"/>
        </w:rPr>
        <w:t>–</w:t>
      </w:r>
      <w:r w:rsidRPr="003A473D">
        <w:rPr>
          <w:rFonts w:ascii="Times New Roman" w:hAnsi="Times New Roman"/>
          <w:bCs/>
        </w:rPr>
        <w:t>428 (p. 398)</w:t>
      </w:r>
      <w:r w:rsidRPr="003A473D">
        <w:rPr>
          <w:rFonts w:ascii="Times New Roman" w:hAnsi="Times New Roman"/>
        </w:rPr>
        <w:t xml:space="preserve">.  Engels mainly focused upon </w:t>
      </w:r>
      <w:r w:rsidRPr="003A473D">
        <w:rPr>
          <w:rFonts w:ascii="Times New Roman" w:hAnsi="Times New Roman"/>
          <w:bCs/>
        </w:rPr>
        <w:t>Henri Saint Simon and Charles Fourier in France and Robert Owen in Britain.</w:t>
      </w:r>
    </w:p>
  </w:footnote>
  <w:footnote w:id="1105">
    <w:p w:rsidR="003515E3" w:rsidRPr="002A1CBA" w:rsidRDefault="003515E3" w:rsidP="0005445D">
      <w:pPr>
        <w:spacing w:after="0" w:line="240" w:lineRule="auto"/>
        <w:rPr>
          <w:sz w:val="20"/>
          <w:szCs w:val="20"/>
        </w:rPr>
      </w:pPr>
      <w:r w:rsidRPr="003A473D">
        <w:rPr>
          <w:rStyle w:val="FootnoteReference"/>
          <w:rFonts w:ascii="Times New Roman" w:hAnsi="Times New Roman" w:cs="Times New Roman"/>
          <w:sz w:val="20"/>
          <w:szCs w:val="20"/>
        </w:rPr>
        <w:footnoteRef/>
      </w:r>
      <w:r w:rsidRPr="003A473D">
        <w:rPr>
          <w:rFonts w:ascii="Times New Roman" w:hAnsi="Times New Roman" w:cs="Times New Roman"/>
          <w:sz w:val="20"/>
          <w:szCs w:val="20"/>
        </w:rPr>
        <w:t xml:space="preserve"> At New Lanark Owen displayed an excess of zeal, inspecting workpeople’s dwellings for specks of dust and his use of the ‘Silent Monitor’ a colour-coded block of wood suspended over each worker’s head denoting their conduct, graded bad to excellent, of the previous day.  See C. R. Fay, </w:t>
      </w:r>
      <w:r w:rsidRPr="003A473D">
        <w:rPr>
          <w:rFonts w:ascii="Times New Roman" w:hAnsi="Times New Roman" w:cs="Times New Roman"/>
          <w:i/>
          <w:sz w:val="20"/>
          <w:szCs w:val="20"/>
        </w:rPr>
        <w:t>Life and Labour in the Nineteenth Century</w:t>
      </w:r>
      <w:r w:rsidRPr="003A473D">
        <w:rPr>
          <w:rFonts w:ascii="Times New Roman" w:hAnsi="Times New Roman" w:cs="Times New Roman"/>
          <w:sz w:val="20"/>
          <w:szCs w:val="20"/>
        </w:rPr>
        <w:t xml:space="preserve"> (Stroud, Nonesuch, 2006), p. 90.</w:t>
      </w:r>
    </w:p>
  </w:footnote>
  <w:footnote w:id="1106">
    <w:p w:rsidR="003515E3" w:rsidRPr="0083509A" w:rsidRDefault="003515E3" w:rsidP="0005445D">
      <w:pPr>
        <w:pStyle w:val="FootnoteText"/>
        <w:spacing w:after="0" w:line="240" w:lineRule="auto"/>
        <w:rPr>
          <w:rFonts w:asciiTheme="majorBidi" w:hAnsiTheme="majorBidi" w:cstheme="majorBidi"/>
        </w:rPr>
      </w:pPr>
      <w:r w:rsidRPr="0083509A">
        <w:rPr>
          <w:rStyle w:val="FootnoteReference"/>
          <w:rFonts w:asciiTheme="majorBidi" w:hAnsiTheme="majorBidi" w:cstheme="majorBidi"/>
        </w:rPr>
        <w:footnoteRef/>
      </w:r>
      <w:r w:rsidRPr="0083509A">
        <w:rPr>
          <w:rFonts w:asciiTheme="majorBidi" w:hAnsiTheme="majorBidi" w:cstheme="majorBidi"/>
        </w:rPr>
        <w:t xml:space="preserve"> </w:t>
      </w:r>
      <w:r w:rsidRPr="0083509A">
        <w:rPr>
          <w:rFonts w:ascii="Times New Roman" w:hAnsi="Times New Roman"/>
          <w:i/>
        </w:rPr>
        <w:t>The Long Revolution</w:t>
      </w:r>
      <w:r w:rsidRPr="0083509A">
        <w:rPr>
          <w:rFonts w:asciiTheme="majorBidi" w:hAnsiTheme="majorBidi" w:cstheme="majorBidi"/>
        </w:rPr>
        <w:t>, p. 79.</w:t>
      </w:r>
    </w:p>
  </w:footnote>
  <w:footnote w:id="1107">
    <w:p w:rsidR="003515E3" w:rsidRPr="0083509A" w:rsidRDefault="003515E3" w:rsidP="0005445D">
      <w:pPr>
        <w:pStyle w:val="FootnoteText"/>
        <w:spacing w:after="0" w:line="240" w:lineRule="auto"/>
        <w:rPr>
          <w:rFonts w:asciiTheme="majorBidi" w:hAnsiTheme="majorBidi" w:cstheme="majorBidi"/>
        </w:rPr>
      </w:pPr>
      <w:r w:rsidRPr="0083509A">
        <w:rPr>
          <w:rStyle w:val="FootnoteReference"/>
          <w:rFonts w:asciiTheme="majorBidi" w:hAnsiTheme="majorBidi" w:cstheme="majorBidi"/>
        </w:rPr>
        <w:footnoteRef/>
      </w:r>
      <w:r w:rsidRPr="0083509A">
        <w:rPr>
          <w:rFonts w:asciiTheme="majorBidi" w:hAnsiTheme="majorBidi" w:cstheme="majorBidi"/>
        </w:rPr>
        <w:t xml:space="preserve"> </w:t>
      </w:r>
      <w:r w:rsidRPr="0083509A">
        <w:rPr>
          <w:rFonts w:ascii="Times New Roman" w:hAnsi="Times New Roman"/>
          <w:i/>
        </w:rPr>
        <w:t>The Long Revolution</w:t>
      </w:r>
      <w:r w:rsidRPr="0083509A">
        <w:rPr>
          <w:rFonts w:asciiTheme="majorBidi" w:hAnsiTheme="majorBidi" w:cstheme="majorBidi"/>
        </w:rPr>
        <w:t>, p. 82.</w:t>
      </w:r>
    </w:p>
  </w:footnote>
  <w:footnote w:id="1108">
    <w:p w:rsidR="003515E3" w:rsidRPr="00064142" w:rsidRDefault="003515E3" w:rsidP="0005445D">
      <w:pPr>
        <w:pStyle w:val="FootnoteText"/>
        <w:spacing w:after="0" w:line="240" w:lineRule="auto"/>
        <w:rPr>
          <w:rFonts w:asciiTheme="majorBidi" w:hAnsiTheme="majorBidi" w:cstheme="majorBidi"/>
          <w:color w:val="FF0000"/>
        </w:rPr>
      </w:pPr>
      <w:r w:rsidRPr="0083509A">
        <w:rPr>
          <w:rStyle w:val="FootnoteReference"/>
          <w:rFonts w:asciiTheme="majorBidi" w:hAnsiTheme="majorBidi" w:cstheme="majorBidi"/>
        </w:rPr>
        <w:footnoteRef/>
      </w:r>
      <w:r w:rsidRPr="0083509A">
        <w:rPr>
          <w:rFonts w:asciiTheme="majorBidi" w:hAnsiTheme="majorBidi" w:cstheme="majorBidi"/>
        </w:rPr>
        <w:t xml:space="preserve"> </w:t>
      </w:r>
      <w:r w:rsidRPr="0083509A">
        <w:rPr>
          <w:rFonts w:asciiTheme="majorBidi" w:hAnsiTheme="majorBidi" w:cstheme="majorBidi"/>
          <w:bCs/>
        </w:rPr>
        <w:t xml:space="preserve">Ian Haywood, ‘George W. M. Reynolds and the radicalization of Victorian serial fiction’, </w:t>
      </w:r>
      <w:r w:rsidRPr="0083509A">
        <w:rPr>
          <w:rFonts w:asciiTheme="majorBidi" w:hAnsiTheme="majorBidi" w:cstheme="majorBidi"/>
          <w:bCs/>
          <w:i/>
        </w:rPr>
        <w:t>Media History</w:t>
      </w:r>
      <w:r w:rsidRPr="0083509A">
        <w:rPr>
          <w:rFonts w:asciiTheme="majorBidi" w:hAnsiTheme="majorBidi" w:cstheme="majorBidi"/>
          <w:bCs/>
        </w:rPr>
        <w:t>, 4:2, 121</w:t>
      </w:r>
      <w:r w:rsidRPr="0083509A">
        <w:rPr>
          <w:rFonts w:ascii="Times New Roman" w:hAnsi="Times New Roman"/>
        </w:rPr>
        <w:t>–139 &lt;DOI: 10.1080/13688809809357940&gt;, pp. 124–25.</w:t>
      </w:r>
    </w:p>
  </w:footnote>
  <w:footnote w:id="1109">
    <w:p w:rsidR="003515E3" w:rsidRPr="00F43C96" w:rsidRDefault="003515E3" w:rsidP="00E14929">
      <w:pPr>
        <w:pStyle w:val="FootnoteText"/>
        <w:spacing w:after="0" w:line="240" w:lineRule="auto"/>
        <w:rPr>
          <w:rFonts w:ascii="Times New Roman" w:hAnsi="Times New Roman"/>
        </w:rPr>
      </w:pPr>
      <w:r w:rsidRPr="0086062C">
        <w:rPr>
          <w:rStyle w:val="FootnoteReference"/>
          <w:rFonts w:ascii="Times New Roman" w:hAnsi="Times New Roman"/>
        </w:rPr>
        <w:footnoteRef/>
      </w:r>
      <w:r w:rsidRPr="0086062C">
        <w:rPr>
          <w:rFonts w:ascii="Times New Roman" w:hAnsi="Times New Roman"/>
        </w:rPr>
        <w:t xml:space="preserve"> Plate given away free with </w:t>
      </w:r>
      <w:r w:rsidRPr="0086062C">
        <w:rPr>
          <w:rFonts w:ascii="Times New Roman" w:hAnsi="Times New Roman"/>
          <w:i/>
        </w:rPr>
        <w:t>The Teetotaler,</w:t>
      </w:r>
      <w:r w:rsidRPr="0086062C">
        <w:rPr>
          <w:rFonts w:ascii="Times New Roman" w:hAnsi="Times New Roman"/>
        </w:rPr>
        <w:t xml:space="preserve"> 31 October 1840.</w:t>
      </w:r>
    </w:p>
  </w:footnote>
  <w:footnote w:id="1110">
    <w:p w:rsidR="003515E3" w:rsidRPr="00F43C96" w:rsidRDefault="003515E3" w:rsidP="00E14929">
      <w:pPr>
        <w:pStyle w:val="FootnoteText"/>
        <w:spacing w:after="0" w:line="240" w:lineRule="auto"/>
        <w:rPr>
          <w:rFonts w:ascii="Times New Roman" w:hAnsi="Times New Roman"/>
        </w:rPr>
      </w:pPr>
      <w:r w:rsidRPr="000C462C">
        <w:rPr>
          <w:rStyle w:val="FootnoteReference"/>
          <w:rFonts w:ascii="Times New Roman" w:hAnsi="Times New Roman"/>
        </w:rPr>
        <w:footnoteRef/>
      </w:r>
      <w:r w:rsidRPr="000C462C">
        <w:rPr>
          <w:rFonts w:ascii="Times New Roman" w:hAnsi="Times New Roman"/>
        </w:rPr>
        <w:t xml:space="preserve"> Plate given away free with </w:t>
      </w:r>
      <w:r w:rsidRPr="000C462C">
        <w:rPr>
          <w:rFonts w:ascii="Times New Roman" w:hAnsi="Times New Roman"/>
          <w:i/>
        </w:rPr>
        <w:t>The Teetotaler,</w:t>
      </w:r>
      <w:r w:rsidRPr="000C462C">
        <w:rPr>
          <w:rFonts w:ascii="Times New Roman" w:hAnsi="Times New Roman"/>
        </w:rPr>
        <w:t xml:space="preserve"> 26 December 1840.</w:t>
      </w:r>
    </w:p>
  </w:footnote>
  <w:footnote w:id="1111">
    <w:p w:rsidR="003515E3" w:rsidRPr="00F43C96" w:rsidRDefault="003515E3" w:rsidP="00E14929">
      <w:pPr>
        <w:pStyle w:val="FootnoteText"/>
        <w:spacing w:after="0" w:line="240" w:lineRule="auto"/>
        <w:rPr>
          <w:rFonts w:ascii="Times New Roman" w:hAnsi="Times New Roman"/>
        </w:rPr>
      </w:pPr>
      <w:r w:rsidRPr="000C462C">
        <w:rPr>
          <w:rStyle w:val="FootnoteReference"/>
          <w:rFonts w:ascii="Times New Roman" w:hAnsi="Times New Roman"/>
        </w:rPr>
        <w:footnoteRef/>
      </w:r>
      <w:r w:rsidRPr="000C462C">
        <w:rPr>
          <w:rFonts w:ascii="Times New Roman" w:hAnsi="Times New Roman"/>
        </w:rPr>
        <w:t xml:space="preserve"> Plate given away free with </w:t>
      </w:r>
      <w:r w:rsidRPr="000C462C">
        <w:rPr>
          <w:rFonts w:ascii="Times New Roman" w:hAnsi="Times New Roman"/>
          <w:i/>
        </w:rPr>
        <w:t>The Teetotaler,</w:t>
      </w:r>
      <w:r w:rsidRPr="000C462C">
        <w:rPr>
          <w:rFonts w:ascii="Times New Roman" w:hAnsi="Times New Roman"/>
        </w:rPr>
        <w:t xml:space="preserve"> 19 December 1840.</w:t>
      </w:r>
    </w:p>
  </w:footnote>
  <w:footnote w:id="1112">
    <w:p w:rsidR="003515E3" w:rsidRPr="00F43C96" w:rsidRDefault="003515E3" w:rsidP="00E14929">
      <w:pPr>
        <w:pStyle w:val="FootnoteText"/>
        <w:spacing w:after="0" w:line="240" w:lineRule="auto"/>
        <w:rPr>
          <w:rFonts w:ascii="Times New Roman" w:hAnsi="Times New Roman"/>
        </w:rPr>
      </w:pPr>
      <w:r w:rsidRPr="00967AF1">
        <w:rPr>
          <w:rStyle w:val="FootnoteReference"/>
          <w:rFonts w:ascii="Times New Roman" w:hAnsi="Times New Roman"/>
        </w:rPr>
        <w:footnoteRef/>
      </w:r>
      <w:r w:rsidRPr="00967AF1">
        <w:rPr>
          <w:rFonts w:ascii="Times New Roman" w:hAnsi="Times New Roman"/>
        </w:rPr>
        <w:t xml:space="preserve"> </w:t>
      </w:r>
      <w:r w:rsidRPr="00967AF1">
        <w:rPr>
          <w:rFonts w:ascii="Times New Roman" w:hAnsi="Times New Roman"/>
          <w:i/>
        </w:rPr>
        <w:t>Pickwick Abroad</w:t>
      </w:r>
      <w:r w:rsidRPr="00967AF1">
        <w:rPr>
          <w:rFonts w:ascii="Times New Roman" w:hAnsi="Times New Roman"/>
        </w:rPr>
        <w:t>, facing p.</w:t>
      </w:r>
      <w:r>
        <w:rPr>
          <w:rFonts w:ascii="Times New Roman" w:hAnsi="Times New Roman"/>
        </w:rPr>
        <w:t xml:space="preserve"> </w:t>
      </w:r>
      <w:r w:rsidRPr="00967AF1">
        <w:rPr>
          <w:rFonts w:ascii="Times New Roman" w:hAnsi="Times New Roman"/>
        </w:rPr>
        <w:t>425.</w:t>
      </w:r>
    </w:p>
  </w:footnote>
  <w:footnote w:id="1113">
    <w:p w:rsidR="003515E3" w:rsidRPr="001D0BAE" w:rsidRDefault="003515E3" w:rsidP="00E14929">
      <w:pPr>
        <w:pStyle w:val="FootnoteText"/>
        <w:rPr>
          <w:rFonts w:asciiTheme="majorBidi" w:hAnsiTheme="majorBidi" w:cstheme="majorBidi"/>
        </w:rPr>
      </w:pPr>
      <w:r w:rsidRPr="001D0BAE">
        <w:rPr>
          <w:rStyle w:val="FootnoteReference"/>
          <w:rFonts w:asciiTheme="majorBidi" w:hAnsiTheme="majorBidi" w:cstheme="majorBidi"/>
        </w:rPr>
        <w:footnoteRef/>
      </w:r>
      <w:r w:rsidRPr="001D0BAE">
        <w:rPr>
          <w:rFonts w:asciiTheme="majorBidi" w:hAnsiTheme="majorBidi" w:cstheme="majorBidi"/>
        </w:rPr>
        <w:t xml:space="preserve"> </w:t>
      </w:r>
      <w:r w:rsidRPr="001D0BAE">
        <w:rPr>
          <w:rFonts w:asciiTheme="majorBidi" w:hAnsiTheme="majorBidi" w:cstheme="majorBidi"/>
          <w:i/>
          <w:iCs/>
        </w:rPr>
        <w:t>Days of Hogarth</w:t>
      </w:r>
      <w:r w:rsidRPr="001D0BAE">
        <w:rPr>
          <w:rFonts w:asciiTheme="majorBidi" w:hAnsiTheme="majorBidi" w:cstheme="majorBidi"/>
        </w:rPr>
        <w:t>, p. 17.</w:t>
      </w:r>
    </w:p>
  </w:footnote>
  <w:footnote w:id="1114">
    <w:p w:rsidR="003515E3" w:rsidRPr="00B9622D" w:rsidRDefault="003515E3" w:rsidP="00E14929">
      <w:pPr>
        <w:pStyle w:val="FootnoteText"/>
        <w:rPr>
          <w:rFonts w:ascii="Times New Roman" w:hAnsi="Times New Roman"/>
        </w:rPr>
      </w:pPr>
      <w:r w:rsidRPr="00B9622D">
        <w:rPr>
          <w:rStyle w:val="FootnoteReference"/>
          <w:rFonts w:ascii="Times New Roman" w:hAnsi="Times New Roman"/>
        </w:rPr>
        <w:footnoteRef/>
      </w:r>
      <w:r w:rsidRPr="00B9622D">
        <w:rPr>
          <w:rFonts w:ascii="Times New Roman" w:hAnsi="Times New Roman"/>
        </w:rPr>
        <w:t xml:space="preserve"> </w:t>
      </w:r>
      <w:r w:rsidRPr="00B9622D">
        <w:rPr>
          <w:rFonts w:ascii="Times New Roman" w:hAnsi="Times New Roman"/>
          <w:i/>
        </w:rPr>
        <w:t>Mysteries of London</w:t>
      </w:r>
      <w:r w:rsidRPr="00B9622D">
        <w:rPr>
          <w:rFonts w:ascii="Times New Roman" w:hAnsi="Times New Roman"/>
        </w:rPr>
        <w:t>, II, 217.</w:t>
      </w:r>
    </w:p>
  </w:footnote>
  <w:footnote w:id="1115">
    <w:p w:rsidR="003515E3" w:rsidRDefault="003515E3" w:rsidP="00E14929">
      <w:pPr>
        <w:pStyle w:val="FootnoteText"/>
      </w:pPr>
      <w:r w:rsidRPr="008D620F">
        <w:rPr>
          <w:rStyle w:val="FootnoteReference"/>
        </w:rPr>
        <w:footnoteRef/>
      </w:r>
      <w:r w:rsidRPr="008D620F">
        <w:t xml:space="preserve"> </w:t>
      </w:r>
      <w:r w:rsidRPr="008D620F">
        <w:rPr>
          <w:rFonts w:ascii="Times New Roman" w:hAnsi="Times New Roman"/>
          <w:i/>
        </w:rPr>
        <w:t>Mysteries of London</w:t>
      </w:r>
      <w:r w:rsidRPr="008D620F">
        <w:rPr>
          <w:rFonts w:ascii="Times New Roman" w:hAnsi="Times New Roman"/>
        </w:rPr>
        <w:t>, I</w:t>
      </w:r>
      <w:r>
        <w:rPr>
          <w:rFonts w:ascii="Times New Roman" w:hAnsi="Times New Roman"/>
        </w:rPr>
        <w:t>,</w:t>
      </w:r>
      <w:r w:rsidRPr="008D620F">
        <w:rPr>
          <w:rFonts w:ascii="Times New Roman" w:hAnsi="Times New Roman"/>
        </w:rPr>
        <w:t xml:space="preserve"> 1.</w:t>
      </w:r>
    </w:p>
  </w:footnote>
  <w:footnote w:id="1116">
    <w:p w:rsidR="003515E3" w:rsidRPr="001840D3" w:rsidRDefault="003515E3" w:rsidP="00E14929">
      <w:pPr>
        <w:pStyle w:val="FootnoteText"/>
        <w:rPr>
          <w:rFonts w:ascii="Times New Roman" w:hAnsi="Times New Roman"/>
        </w:rPr>
      </w:pPr>
      <w:r w:rsidRPr="002210CD">
        <w:rPr>
          <w:rStyle w:val="FootnoteReference"/>
          <w:rFonts w:ascii="Times New Roman" w:hAnsi="Times New Roman"/>
        </w:rPr>
        <w:footnoteRef/>
      </w:r>
      <w:r w:rsidRPr="002210CD">
        <w:rPr>
          <w:rFonts w:ascii="Times New Roman" w:hAnsi="Times New Roman"/>
        </w:rPr>
        <w:t xml:space="preserve"> </w:t>
      </w:r>
      <w:r w:rsidRPr="002210CD">
        <w:rPr>
          <w:rFonts w:ascii="Times New Roman" w:hAnsi="Times New Roman"/>
          <w:i/>
        </w:rPr>
        <w:t>Mysteries of London</w:t>
      </w:r>
      <w:r w:rsidRPr="002210CD">
        <w:rPr>
          <w:rFonts w:ascii="Times New Roman" w:hAnsi="Times New Roman"/>
        </w:rPr>
        <w:t>, IV, p. 41.</w:t>
      </w:r>
    </w:p>
  </w:footnote>
  <w:footnote w:id="1117">
    <w:p w:rsidR="003515E3" w:rsidRPr="00C55141" w:rsidRDefault="003515E3" w:rsidP="00E14929">
      <w:pPr>
        <w:pStyle w:val="FootnoteText"/>
        <w:rPr>
          <w:rFonts w:asciiTheme="majorBidi" w:hAnsiTheme="majorBidi" w:cstheme="majorBidi"/>
        </w:rPr>
      </w:pPr>
      <w:r w:rsidRPr="00CD01CA">
        <w:rPr>
          <w:rStyle w:val="FootnoteReference"/>
          <w:rFonts w:asciiTheme="majorBidi" w:hAnsiTheme="majorBidi" w:cstheme="majorBidi"/>
        </w:rPr>
        <w:footnoteRef/>
      </w:r>
      <w:r w:rsidRPr="00CD01CA">
        <w:rPr>
          <w:rFonts w:asciiTheme="majorBidi" w:hAnsiTheme="majorBidi" w:cstheme="majorBidi"/>
        </w:rPr>
        <w:t xml:space="preserve"> </w:t>
      </w:r>
      <w:r w:rsidRPr="00CD01CA">
        <w:rPr>
          <w:rFonts w:asciiTheme="majorBidi" w:hAnsiTheme="majorBidi" w:cstheme="majorBidi"/>
          <w:i/>
          <w:iCs/>
        </w:rPr>
        <w:t xml:space="preserve">Seamstress, </w:t>
      </w:r>
      <w:r w:rsidRPr="00CD01CA">
        <w:rPr>
          <w:rFonts w:asciiTheme="majorBidi" w:hAnsiTheme="majorBidi" w:cstheme="majorBidi"/>
        </w:rPr>
        <w:t>p. 5.</w:t>
      </w:r>
    </w:p>
  </w:footnote>
  <w:footnote w:id="1118">
    <w:p w:rsidR="003515E3" w:rsidRPr="001840D3" w:rsidRDefault="003515E3" w:rsidP="00E14929">
      <w:pPr>
        <w:pStyle w:val="FootnoteText"/>
        <w:rPr>
          <w:rFonts w:ascii="Times New Roman" w:hAnsi="Times New Roman"/>
        </w:rPr>
      </w:pPr>
      <w:r w:rsidRPr="001840D3">
        <w:rPr>
          <w:rStyle w:val="FootnoteReference"/>
          <w:rFonts w:ascii="Times New Roman" w:hAnsi="Times New Roman"/>
        </w:rPr>
        <w:footnoteRef/>
      </w:r>
      <w:r w:rsidRPr="001840D3">
        <w:rPr>
          <w:rFonts w:ascii="Times New Roman" w:hAnsi="Times New Roman"/>
        </w:rPr>
        <w:t xml:space="preserve"> </w:t>
      </w:r>
      <w:r w:rsidRPr="00F462D3">
        <w:rPr>
          <w:rFonts w:ascii="Times New Roman" w:hAnsi="Times New Roman"/>
          <w:i/>
        </w:rPr>
        <w:t>Mysteries of London</w:t>
      </w:r>
      <w:r w:rsidRPr="001840D3">
        <w:rPr>
          <w:rFonts w:ascii="Times New Roman" w:hAnsi="Times New Roman"/>
        </w:rPr>
        <w:t>, I</w:t>
      </w:r>
      <w:r>
        <w:rPr>
          <w:rFonts w:ascii="Times New Roman" w:hAnsi="Times New Roman"/>
        </w:rPr>
        <w:t>V</w:t>
      </w:r>
      <w:r w:rsidRPr="001840D3">
        <w:rPr>
          <w:rFonts w:ascii="Times New Roman" w:hAnsi="Times New Roman"/>
        </w:rPr>
        <w:t xml:space="preserve">, p. </w:t>
      </w:r>
      <w:r>
        <w:rPr>
          <w:rFonts w:ascii="Times New Roman" w:hAnsi="Times New Roman"/>
        </w:rPr>
        <w:t>385</w:t>
      </w:r>
      <w:r w:rsidRPr="001840D3">
        <w:rPr>
          <w:rFonts w:ascii="Times New Roman" w:hAnsi="Times New Roman"/>
        </w:rPr>
        <w:t>.</w:t>
      </w:r>
    </w:p>
  </w:footnote>
  <w:footnote w:id="1119">
    <w:p w:rsidR="003515E3" w:rsidRPr="00F43C96" w:rsidRDefault="003515E3" w:rsidP="00E14929">
      <w:pPr>
        <w:pStyle w:val="FootnoteText"/>
        <w:spacing w:after="0" w:line="240" w:lineRule="auto"/>
        <w:rPr>
          <w:rFonts w:ascii="Times New Roman" w:hAnsi="Times New Roman"/>
        </w:rPr>
      </w:pPr>
      <w:r w:rsidRPr="00FF36B6">
        <w:rPr>
          <w:rStyle w:val="FootnoteReference"/>
          <w:rFonts w:ascii="Times New Roman" w:hAnsi="Times New Roman"/>
        </w:rPr>
        <w:footnoteRef/>
      </w:r>
      <w:r w:rsidRPr="00FF36B6">
        <w:rPr>
          <w:rFonts w:ascii="Times New Roman" w:hAnsi="Times New Roman"/>
        </w:rPr>
        <w:t xml:space="preserve"> </w:t>
      </w:r>
      <w:r w:rsidRPr="00FF36B6">
        <w:rPr>
          <w:rFonts w:ascii="Times New Roman" w:hAnsi="Times New Roman"/>
          <w:i/>
        </w:rPr>
        <w:t>Reynolds’s Miscellany</w:t>
      </w:r>
      <w:r w:rsidRPr="00FF36B6">
        <w:rPr>
          <w:rFonts w:ascii="Times New Roman" w:hAnsi="Times New Roman"/>
        </w:rPr>
        <w:t>, 7 November 1846, p. 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F2CB6"/>
    <w:multiLevelType w:val="multilevel"/>
    <w:tmpl w:val="F3F6C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EC2300"/>
    <w:multiLevelType w:val="multilevel"/>
    <w:tmpl w:val="BB867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5C44B6"/>
    <w:multiLevelType w:val="hybridMultilevel"/>
    <w:tmpl w:val="08146A08"/>
    <w:lvl w:ilvl="0" w:tplc="CBCE550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21E46E59"/>
    <w:multiLevelType w:val="multilevel"/>
    <w:tmpl w:val="5386B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70E4C16"/>
    <w:multiLevelType w:val="multilevel"/>
    <w:tmpl w:val="5B8A3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A941EC6"/>
    <w:multiLevelType w:val="hybridMultilevel"/>
    <w:tmpl w:val="0F3014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9886121"/>
    <w:multiLevelType w:val="hybridMultilevel"/>
    <w:tmpl w:val="528C293C"/>
    <w:lvl w:ilvl="0" w:tplc="3462195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77181A5E"/>
    <w:multiLevelType w:val="hybridMultilevel"/>
    <w:tmpl w:val="26DE9F88"/>
    <w:lvl w:ilvl="0" w:tplc="29620C6E">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7"/>
  </w:num>
  <w:num w:numId="2">
    <w:abstractNumId w:val="5"/>
  </w:num>
  <w:num w:numId="3">
    <w:abstractNumId w:val="6"/>
  </w:num>
  <w:num w:numId="4">
    <w:abstractNumId w:val="2"/>
  </w:num>
  <w:num w:numId="5">
    <w:abstractNumId w:val="0"/>
  </w:num>
  <w:num w:numId="6">
    <w:abstractNumId w:val="1"/>
  </w:num>
  <w:num w:numId="7">
    <w:abstractNumId w:val="3"/>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numRestart w:val="eachSect"/>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90DF3"/>
    <w:rsid w:val="000018C2"/>
    <w:rsid w:val="00010EC3"/>
    <w:rsid w:val="00025D41"/>
    <w:rsid w:val="0005445D"/>
    <w:rsid w:val="00060D5B"/>
    <w:rsid w:val="00081AD9"/>
    <w:rsid w:val="000906DB"/>
    <w:rsid w:val="000A0426"/>
    <w:rsid w:val="000A4A4C"/>
    <w:rsid w:val="000B0F52"/>
    <w:rsid w:val="000C4D23"/>
    <w:rsid w:val="000C639F"/>
    <w:rsid w:val="000F29EA"/>
    <w:rsid w:val="0011039B"/>
    <w:rsid w:val="00111BF8"/>
    <w:rsid w:val="001151C3"/>
    <w:rsid w:val="00127961"/>
    <w:rsid w:val="00130860"/>
    <w:rsid w:val="001348AC"/>
    <w:rsid w:val="00135C13"/>
    <w:rsid w:val="00140227"/>
    <w:rsid w:val="0015358C"/>
    <w:rsid w:val="00181463"/>
    <w:rsid w:val="00183B69"/>
    <w:rsid w:val="0019311D"/>
    <w:rsid w:val="001A2C69"/>
    <w:rsid w:val="001C039C"/>
    <w:rsid w:val="00211650"/>
    <w:rsid w:val="0021687F"/>
    <w:rsid w:val="00221104"/>
    <w:rsid w:val="00233397"/>
    <w:rsid w:val="002360E5"/>
    <w:rsid w:val="002415D3"/>
    <w:rsid w:val="0025071D"/>
    <w:rsid w:val="00256B5E"/>
    <w:rsid w:val="0028218A"/>
    <w:rsid w:val="00286E07"/>
    <w:rsid w:val="00287BEF"/>
    <w:rsid w:val="002A2AC9"/>
    <w:rsid w:val="002C2B06"/>
    <w:rsid w:val="002C4B03"/>
    <w:rsid w:val="002D3657"/>
    <w:rsid w:val="002D452E"/>
    <w:rsid w:val="002D4EA4"/>
    <w:rsid w:val="0032103F"/>
    <w:rsid w:val="00321C9D"/>
    <w:rsid w:val="00324724"/>
    <w:rsid w:val="00330AE5"/>
    <w:rsid w:val="00350AB9"/>
    <w:rsid w:val="003515E3"/>
    <w:rsid w:val="00373AAA"/>
    <w:rsid w:val="00386424"/>
    <w:rsid w:val="003A473D"/>
    <w:rsid w:val="003A67FF"/>
    <w:rsid w:val="003C1D43"/>
    <w:rsid w:val="003D0655"/>
    <w:rsid w:val="003E47B2"/>
    <w:rsid w:val="003F6563"/>
    <w:rsid w:val="003F7D79"/>
    <w:rsid w:val="004046AE"/>
    <w:rsid w:val="00406995"/>
    <w:rsid w:val="00410BE5"/>
    <w:rsid w:val="00422D80"/>
    <w:rsid w:val="00431340"/>
    <w:rsid w:val="00435A13"/>
    <w:rsid w:val="00437DB3"/>
    <w:rsid w:val="00460BB7"/>
    <w:rsid w:val="00465D11"/>
    <w:rsid w:val="00465EDA"/>
    <w:rsid w:val="00467168"/>
    <w:rsid w:val="0047240F"/>
    <w:rsid w:val="004B6FAD"/>
    <w:rsid w:val="004C1CC5"/>
    <w:rsid w:val="004E2A67"/>
    <w:rsid w:val="004F4F27"/>
    <w:rsid w:val="0051058E"/>
    <w:rsid w:val="00543E16"/>
    <w:rsid w:val="00560B90"/>
    <w:rsid w:val="00564EEB"/>
    <w:rsid w:val="00582B4B"/>
    <w:rsid w:val="0059252C"/>
    <w:rsid w:val="005A6E54"/>
    <w:rsid w:val="005B51F7"/>
    <w:rsid w:val="005F75D2"/>
    <w:rsid w:val="00602ECA"/>
    <w:rsid w:val="0060472C"/>
    <w:rsid w:val="00613033"/>
    <w:rsid w:val="006212FD"/>
    <w:rsid w:val="006233C7"/>
    <w:rsid w:val="00657255"/>
    <w:rsid w:val="00665F1A"/>
    <w:rsid w:val="00684BD1"/>
    <w:rsid w:val="00690DF3"/>
    <w:rsid w:val="006922CE"/>
    <w:rsid w:val="006939E8"/>
    <w:rsid w:val="006A5D9B"/>
    <w:rsid w:val="006C16ED"/>
    <w:rsid w:val="006D1C67"/>
    <w:rsid w:val="006E78D8"/>
    <w:rsid w:val="007002D6"/>
    <w:rsid w:val="007177DB"/>
    <w:rsid w:val="00731857"/>
    <w:rsid w:val="007324DF"/>
    <w:rsid w:val="00735BBD"/>
    <w:rsid w:val="00751622"/>
    <w:rsid w:val="00762D1C"/>
    <w:rsid w:val="007756F6"/>
    <w:rsid w:val="0078162B"/>
    <w:rsid w:val="007824B2"/>
    <w:rsid w:val="007D44FB"/>
    <w:rsid w:val="007F6C07"/>
    <w:rsid w:val="007F7BB6"/>
    <w:rsid w:val="00803A64"/>
    <w:rsid w:val="00807562"/>
    <w:rsid w:val="00830926"/>
    <w:rsid w:val="00830BB5"/>
    <w:rsid w:val="0083509A"/>
    <w:rsid w:val="00842955"/>
    <w:rsid w:val="00865E82"/>
    <w:rsid w:val="0088437F"/>
    <w:rsid w:val="0089012F"/>
    <w:rsid w:val="008B39F9"/>
    <w:rsid w:val="008C5F09"/>
    <w:rsid w:val="008D6F21"/>
    <w:rsid w:val="008E1AA2"/>
    <w:rsid w:val="008E431F"/>
    <w:rsid w:val="008E6219"/>
    <w:rsid w:val="00922887"/>
    <w:rsid w:val="0092314C"/>
    <w:rsid w:val="00947F89"/>
    <w:rsid w:val="009524D7"/>
    <w:rsid w:val="00967FD1"/>
    <w:rsid w:val="00972B76"/>
    <w:rsid w:val="009752BB"/>
    <w:rsid w:val="00984511"/>
    <w:rsid w:val="009936B3"/>
    <w:rsid w:val="00997B6B"/>
    <w:rsid w:val="00997C06"/>
    <w:rsid w:val="009C2CB1"/>
    <w:rsid w:val="009D616D"/>
    <w:rsid w:val="009F78AC"/>
    <w:rsid w:val="00A2202B"/>
    <w:rsid w:val="00A275A2"/>
    <w:rsid w:val="00A314BB"/>
    <w:rsid w:val="00A37C76"/>
    <w:rsid w:val="00A46D6F"/>
    <w:rsid w:val="00A505BE"/>
    <w:rsid w:val="00A54A36"/>
    <w:rsid w:val="00A80D95"/>
    <w:rsid w:val="00A9153B"/>
    <w:rsid w:val="00AB2F24"/>
    <w:rsid w:val="00AC0DB7"/>
    <w:rsid w:val="00AC3D6C"/>
    <w:rsid w:val="00AC702C"/>
    <w:rsid w:val="00AE3169"/>
    <w:rsid w:val="00AE699A"/>
    <w:rsid w:val="00AF0433"/>
    <w:rsid w:val="00AF4374"/>
    <w:rsid w:val="00B079F4"/>
    <w:rsid w:val="00B114AD"/>
    <w:rsid w:val="00B13D09"/>
    <w:rsid w:val="00B15DD0"/>
    <w:rsid w:val="00B27ECB"/>
    <w:rsid w:val="00B376E1"/>
    <w:rsid w:val="00B500B5"/>
    <w:rsid w:val="00B52B12"/>
    <w:rsid w:val="00B55B85"/>
    <w:rsid w:val="00B571AF"/>
    <w:rsid w:val="00B74392"/>
    <w:rsid w:val="00B92BF2"/>
    <w:rsid w:val="00BA19FC"/>
    <w:rsid w:val="00BC614D"/>
    <w:rsid w:val="00BC6444"/>
    <w:rsid w:val="00BD07AE"/>
    <w:rsid w:val="00BE1413"/>
    <w:rsid w:val="00BE74DC"/>
    <w:rsid w:val="00BE77B6"/>
    <w:rsid w:val="00BE7C6F"/>
    <w:rsid w:val="00C13660"/>
    <w:rsid w:val="00C23137"/>
    <w:rsid w:val="00C330E8"/>
    <w:rsid w:val="00C34232"/>
    <w:rsid w:val="00C42D4C"/>
    <w:rsid w:val="00C61093"/>
    <w:rsid w:val="00C724B8"/>
    <w:rsid w:val="00C73A2E"/>
    <w:rsid w:val="00C76704"/>
    <w:rsid w:val="00C80705"/>
    <w:rsid w:val="00CA22F7"/>
    <w:rsid w:val="00CA2E93"/>
    <w:rsid w:val="00CB29C2"/>
    <w:rsid w:val="00CC2793"/>
    <w:rsid w:val="00CD1FDA"/>
    <w:rsid w:val="00CE455F"/>
    <w:rsid w:val="00CF75E6"/>
    <w:rsid w:val="00D02C56"/>
    <w:rsid w:val="00D03BC4"/>
    <w:rsid w:val="00D073FF"/>
    <w:rsid w:val="00D20400"/>
    <w:rsid w:val="00D363EC"/>
    <w:rsid w:val="00D416C4"/>
    <w:rsid w:val="00D55C3D"/>
    <w:rsid w:val="00D61949"/>
    <w:rsid w:val="00D72C5F"/>
    <w:rsid w:val="00D87542"/>
    <w:rsid w:val="00D91FA9"/>
    <w:rsid w:val="00D94596"/>
    <w:rsid w:val="00D94D51"/>
    <w:rsid w:val="00D9554D"/>
    <w:rsid w:val="00DA3628"/>
    <w:rsid w:val="00DB1612"/>
    <w:rsid w:val="00DB382B"/>
    <w:rsid w:val="00DC4AF2"/>
    <w:rsid w:val="00DD46EC"/>
    <w:rsid w:val="00DD6A63"/>
    <w:rsid w:val="00DF1158"/>
    <w:rsid w:val="00DF7B4F"/>
    <w:rsid w:val="00E0018A"/>
    <w:rsid w:val="00E0552A"/>
    <w:rsid w:val="00E14929"/>
    <w:rsid w:val="00E246D6"/>
    <w:rsid w:val="00E3022A"/>
    <w:rsid w:val="00E42A5D"/>
    <w:rsid w:val="00E47E5E"/>
    <w:rsid w:val="00E63D4E"/>
    <w:rsid w:val="00E6797D"/>
    <w:rsid w:val="00E7336B"/>
    <w:rsid w:val="00E73F50"/>
    <w:rsid w:val="00E76A51"/>
    <w:rsid w:val="00E85404"/>
    <w:rsid w:val="00E8578A"/>
    <w:rsid w:val="00EA2C03"/>
    <w:rsid w:val="00EB190C"/>
    <w:rsid w:val="00EB402A"/>
    <w:rsid w:val="00EB6439"/>
    <w:rsid w:val="00EC07ED"/>
    <w:rsid w:val="00EC3340"/>
    <w:rsid w:val="00EF0001"/>
    <w:rsid w:val="00F00E67"/>
    <w:rsid w:val="00F044D7"/>
    <w:rsid w:val="00F07433"/>
    <w:rsid w:val="00F40DFF"/>
    <w:rsid w:val="00F426DF"/>
    <w:rsid w:val="00F618D2"/>
    <w:rsid w:val="00F61D7B"/>
    <w:rsid w:val="00F70B09"/>
    <w:rsid w:val="00F8153E"/>
    <w:rsid w:val="00F81E6F"/>
    <w:rsid w:val="00F832C9"/>
    <w:rsid w:val="00F84C08"/>
    <w:rsid w:val="00F867BC"/>
    <w:rsid w:val="00F96EDD"/>
    <w:rsid w:val="00FA1A0E"/>
    <w:rsid w:val="00FA732E"/>
    <w:rsid w:val="00FB1F8A"/>
    <w:rsid w:val="00FC0573"/>
    <w:rsid w:val="00FD088D"/>
    <w:rsid w:val="00FD2C03"/>
    <w:rsid w:val="00FF0582"/>
    <w:rsid w:val="00FF1D58"/>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1CC6D94"/>
  <w15:docId w15:val="{8F870095-26A0-4784-8B55-A8014D12A5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0DF3"/>
  </w:style>
  <w:style w:type="paragraph" w:styleId="Heading1">
    <w:name w:val="heading 1"/>
    <w:basedOn w:val="Normal"/>
    <w:link w:val="Heading1Char"/>
    <w:uiPriority w:val="99"/>
    <w:qFormat/>
    <w:rsid w:val="00690DF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9554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1151C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690DF3"/>
    <w:rPr>
      <w:rFonts w:ascii="Times New Roman" w:eastAsia="Times New Roman" w:hAnsi="Times New Roman" w:cs="Times New Roman"/>
      <w:b/>
      <w:bCs/>
      <w:kern w:val="36"/>
      <w:sz w:val="48"/>
      <w:szCs w:val="48"/>
      <w:lang w:eastAsia="en-GB"/>
    </w:rPr>
  </w:style>
  <w:style w:type="paragraph" w:styleId="FootnoteText">
    <w:name w:val="footnote text"/>
    <w:basedOn w:val="Normal"/>
    <w:link w:val="FootnoteTextChar"/>
    <w:uiPriority w:val="99"/>
    <w:unhideWhenUsed/>
    <w:rsid w:val="00690DF3"/>
    <w:rPr>
      <w:rFonts w:ascii="Calibri" w:eastAsia="Calibri" w:hAnsi="Calibri" w:cs="Times New Roman"/>
      <w:sz w:val="20"/>
      <w:szCs w:val="20"/>
      <w:lang w:eastAsia="en-US"/>
    </w:rPr>
  </w:style>
  <w:style w:type="character" w:customStyle="1" w:styleId="FootnoteTextChar">
    <w:name w:val="Footnote Text Char"/>
    <w:basedOn w:val="DefaultParagraphFont"/>
    <w:link w:val="FootnoteText"/>
    <w:uiPriority w:val="99"/>
    <w:rsid w:val="00690DF3"/>
    <w:rPr>
      <w:rFonts w:ascii="Calibri" w:eastAsia="Calibri" w:hAnsi="Calibri" w:cs="Times New Roman"/>
      <w:sz w:val="20"/>
      <w:szCs w:val="20"/>
      <w:lang w:eastAsia="en-US"/>
    </w:rPr>
  </w:style>
  <w:style w:type="character" w:styleId="FootnoteReference">
    <w:name w:val="footnote reference"/>
    <w:semiHidden/>
    <w:unhideWhenUsed/>
    <w:rsid w:val="00690DF3"/>
    <w:rPr>
      <w:vertAlign w:val="superscript"/>
    </w:rPr>
  </w:style>
  <w:style w:type="character" w:styleId="Hyperlink">
    <w:name w:val="Hyperlink"/>
    <w:uiPriority w:val="99"/>
    <w:unhideWhenUsed/>
    <w:rsid w:val="00690DF3"/>
    <w:rPr>
      <w:color w:val="0563C1"/>
      <w:u w:val="single"/>
    </w:rPr>
  </w:style>
  <w:style w:type="character" w:customStyle="1" w:styleId="HeaderChar">
    <w:name w:val="Header Char"/>
    <w:basedOn w:val="DefaultParagraphFont"/>
    <w:link w:val="Header"/>
    <w:uiPriority w:val="99"/>
    <w:rsid w:val="00690DF3"/>
    <w:rPr>
      <w:rFonts w:eastAsiaTheme="minorHAnsi"/>
      <w:lang w:eastAsia="en-US"/>
    </w:rPr>
  </w:style>
  <w:style w:type="paragraph" w:styleId="Header">
    <w:name w:val="header"/>
    <w:basedOn w:val="Normal"/>
    <w:link w:val="HeaderChar"/>
    <w:uiPriority w:val="99"/>
    <w:unhideWhenUsed/>
    <w:rsid w:val="00690DF3"/>
    <w:pPr>
      <w:tabs>
        <w:tab w:val="center" w:pos="4513"/>
        <w:tab w:val="right" w:pos="9026"/>
      </w:tabs>
      <w:spacing w:after="0" w:line="240" w:lineRule="auto"/>
    </w:pPr>
    <w:rPr>
      <w:rFonts w:eastAsiaTheme="minorHAnsi"/>
      <w:lang w:eastAsia="en-US"/>
    </w:rPr>
  </w:style>
  <w:style w:type="character" w:customStyle="1" w:styleId="HeaderChar1">
    <w:name w:val="Header Char1"/>
    <w:basedOn w:val="DefaultParagraphFont"/>
    <w:uiPriority w:val="99"/>
    <w:semiHidden/>
    <w:rsid w:val="00690DF3"/>
  </w:style>
  <w:style w:type="character" w:customStyle="1" w:styleId="FooterChar">
    <w:name w:val="Footer Char"/>
    <w:basedOn w:val="DefaultParagraphFont"/>
    <w:link w:val="Footer"/>
    <w:uiPriority w:val="99"/>
    <w:rsid w:val="00690DF3"/>
    <w:rPr>
      <w:rFonts w:eastAsiaTheme="minorHAnsi"/>
      <w:lang w:eastAsia="en-US"/>
    </w:rPr>
  </w:style>
  <w:style w:type="paragraph" w:styleId="Footer">
    <w:name w:val="footer"/>
    <w:basedOn w:val="Normal"/>
    <w:link w:val="FooterChar"/>
    <w:uiPriority w:val="99"/>
    <w:unhideWhenUsed/>
    <w:rsid w:val="00690DF3"/>
    <w:pPr>
      <w:tabs>
        <w:tab w:val="center" w:pos="4513"/>
        <w:tab w:val="right" w:pos="9026"/>
      </w:tabs>
      <w:spacing w:after="0" w:line="240" w:lineRule="auto"/>
    </w:pPr>
    <w:rPr>
      <w:rFonts w:eastAsiaTheme="minorHAnsi"/>
      <w:lang w:eastAsia="en-US"/>
    </w:rPr>
  </w:style>
  <w:style w:type="character" w:customStyle="1" w:styleId="FooterChar1">
    <w:name w:val="Footer Char1"/>
    <w:basedOn w:val="DefaultParagraphFont"/>
    <w:uiPriority w:val="99"/>
    <w:semiHidden/>
    <w:rsid w:val="00690DF3"/>
  </w:style>
  <w:style w:type="character" w:customStyle="1" w:styleId="BalloonTextChar">
    <w:name w:val="Balloon Text Char"/>
    <w:basedOn w:val="DefaultParagraphFont"/>
    <w:link w:val="BalloonText"/>
    <w:uiPriority w:val="99"/>
    <w:semiHidden/>
    <w:rsid w:val="00690DF3"/>
    <w:rPr>
      <w:rFonts w:ascii="Tahoma" w:eastAsiaTheme="minorHAnsi" w:hAnsi="Tahoma" w:cs="Tahoma"/>
      <w:sz w:val="16"/>
      <w:szCs w:val="16"/>
      <w:lang w:eastAsia="en-US"/>
    </w:rPr>
  </w:style>
  <w:style w:type="paragraph" w:styleId="BalloonText">
    <w:name w:val="Balloon Text"/>
    <w:basedOn w:val="Normal"/>
    <w:link w:val="BalloonTextChar"/>
    <w:uiPriority w:val="99"/>
    <w:semiHidden/>
    <w:unhideWhenUsed/>
    <w:rsid w:val="00690DF3"/>
    <w:pPr>
      <w:spacing w:after="0" w:line="240" w:lineRule="auto"/>
    </w:pPr>
    <w:rPr>
      <w:rFonts w:ascii="Tahoma" w:eastAsiaTheme="minorHAnsi" w:hAnsi="Tahoma" w:cs="Tahoma"/>
      <w:sz w:val="16"/>
      <w:szCs w:val="16"/>
      <w:lang w:eastAsia="en-US"/>
    </w:rPr>
  </w:style>
  <w:style w:type="character" w:customStyle="1" w:styleId="BalloonTextChar1">
    <w:name w:val="Balloon Text Char1"/>
    <w:basedOn w:val="DefaultParagraphFont"/>
    <w:uiPriority w:val="99"/>
    <w:semiHidden/>
    <w:rsid w:val="00690DF3"/>
    <w:rPr>
      <w:rFonts w:ascii="Tahoma" w:hAnsi="Tahoma" w:cs="Tahoma"/>
      <w:sz w:val="16"/>
      <w:szCs w:val="16"/>
    </w:rPr>
  </w:style>
  <w:style w:type="character" w:customStyle="1" w:styleId="BodyTextChar">
    <w:name w:val="Body Text Char"/>
    <w:basedOn w:val="DefaultParagraphFont"/>
    <w:link w:val="BodyText"/>
    <w:uiPriority w:val="99"/>
    <w:rsid w:val="00690DF3"/>
    <w:rPr>
      <w:rFonts w:ascii="Verdana" w:hAnsi="Verdana" w:cs="Verdana"/>
      <w:sz w:val="16"/>
      <w:szCs w:val="16"/>
      <w:lang w:eastAsia="en-GB"/>
    </w:rPr>
  </w:style>
  <w:style w:type="paragraph" w:styleId="BodyText">
    <w:name w:val="Body Text"/>
    <w:basedOn w:val="Normal"/>
    <w:link w:val="BodyTextChar"/>
    <w:uiPriority w:val="99"/>
    <w:rsid w:val="00690DF3"/>
    <w:pPr>
      <w:autoSpaceDE w:val="0"/>
      <w:autoSpaceDN w:val="0"/>
      <w:spacing w:after="120" w:line="240" w:lineRule="auto"/>
    </w:pPr>
    <w:rPr>
      <w:rFonts w:ascii="Verdana" w:hAnsi="Verdana" w:cs="Verdana"/>
      <w:sz w:val="16"/>
      <w:szCs w:val="16"/>
      <w:lang w:eastAsia="en-GB"/>
    </w:rPr>
  </w:style>
  <w:style w:type="character" w:customStyle="1" w:styleId="BodyTextChar1">
    <w:name w:val="Body Text Char1"/>
    <w:basedOn w:val="DefaultParagraphFont"/>
    <w:uiPriority w:val="99"/>
    <w:semiHidden/>
    <w:rsid w:val="00690DF3"/>
  </w:style>
  <w:style w:type="paragraph" w:styleId="NormalWeb">
    <w:name w:val="Normal (Web)"/>
    <w:basedOn w:val="Normal"/>
    <w:uiPriority w:val="99"/>
    <w:semiHidden/>
    <w:unhideWhenUsed/>
    <w:rsid w:val="00690DF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TMLCite">
    <w:name w:val="HTML Cite"/>
    <w:basedOn w:val="DefaultParagraphFont"/>
    <w:uiPriority w:val="99"/>
    <w:semiHidden/>
    <w:unhideWhenUsed/>
    <w:rsid w:val="00690DF3"/>
    <w:rPr>
      <w:i/>
      <w:iCs/>
    </w:rPr>
  </w:style>
  <w:style w:type="paragraph" w:customStyle="1" w:styleId="Default">
    <w:name w:val="Default"/>
    <w:rsid w:val="00690DF3"/>
    <w:pPr>
      <w:autoSpaceDE w:val="0"/>
      <w:autoSpaceDN w:val="0"/>
      <w:adjustRightInd w:val="0"/>
      <w:spacing w:after="0" w:line="240" w:lineRule="auto"/>
    </w:pPr>
    <w:rPr>
      <w:rFonts w:ascii="Code" w:eastAsiaTheme="minorHAnsi" w:hAnsi="Code" w:cs="Code"/>
      <w:color w:val="000000"/>
      <w:sz w:val="24"/>
      <w:szCs w:val="24"/>
      <w:lang w:eastAsia="en-US"/>
    </w:rPr>
  </w:style>
  <w:style w:type="character" w:styleId="Strong">
    <w:name w:val="Strong"/>
    <w:basedOn w:val="DefaultParagraphFont"/>
    <w:uiPriority w:val="22"/>
    <w:qFormat/>
    <w:rsid w:val="00690DF3"/>
    <w:rPr>
      <w:b/>
      <w:bCs/>
    </w:rPr>
  </w:style>
  <w:style w:type="paragraph" w:styleId="ListParagraph">
    <w:name w:val="List Paragraph"/>
    <w:basedOn w:val="Normal"/>
    <w:uiPriority w:val="34"/>
    <w:qFormat/>
    <w:rsid w:val="00690DF3"/>
    <w:pPr>
      <w:spacing w:after="160" w:line="259" w:lineRule="auto"/>
      <w:ind w:left="720"/>
      <w:contextualSpacing/>
    </w:pPr>
  </w:style>
  <w:style w:type="character" w:customStyle="1" w:styleId="apple-converted-space">
    <w:name w:val="apple-converted-space"/>
    <w:basedOn w:val="DefaultParagraphFont"/>
    <w:rsid w:val="00690DF3"/>
  </w:style>
  <w:style w:type="character" w:customStyle="1" w:styleId="inote">
    <w:name w:val="inote"/>
    <w:basedOn w:val="DefaultParagraphFont"/>
    <w:rsid w:val="00690DF3"/>
  </w:style>
  <w:style w:type="character" w:styleId="FollowedHyperlink">
    <w:name w:val="FollowedHyperlink"/>
    <w:basedOn w:val="DefaultParagraphFont"/>
    <w:uiPriority w:val="99"/>
    <w:semiHidden/>
    <w:unhideWhenUsed/>
    <w:rsid w:val="00690DF3"/>
    <w:rPr>
      <w:color w:val="800080" w:themeColor="followedHyperlink"/>
      <w:u w:val="single"/>
    </w:rPr>
  </w:style>
  <w:style w:type="character" w:styleId="Emphasis">
    <w:name w:val="Emphasis"/>
    <w:basedOn w:val="DefaultParagraphFont"/>
    <w:uiPriority w:val="20"/>
    <w:qFormat/>
    <w:rsid w:val="00690DF3"/>
    <w:rPr>
      <w:i/>
      <w:iCs/>
    </w:rPr>
  </w:style>
  <w:style w:type="character" w:customStyle="1" w:styleId="HTMLPreformattedChar">
    <w:name w:val="HTML Preformatted Char"/>
    <w:basedOn w:val="DefaultParagraphFont"/>
    <w:link w:val="HTMLPreformatted"/>
    <w:uiPriority w:val="99"/>
    <w:rsid w:val="00690DF3"/>
    <w:rPr>
      <w:rFonts w:ascii="Courier New" w:eastAsia="Times New Roman" w:hAnsi="Courier New" w:cs="Courier New"/>
      <w:sz w:val="20"/>
      <w:szCs w:val="20"/>
    </w:rPr>
  </w:style>
  <w:style w:type="paragraph" w:styleId="HTMLPreformatted">
    <w:name w:val="HTML Preformatted"/>
    <w:basedOn w:val="Normal"/>
    <w:link w:val="HTMLPreformattedChar"/>
    <w:uiPriority w:val="99"/>
    <w:unhideWhenUsed/>
    <w:rsid w:val="00690D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1">
    <w:name w:val="HTML Preformatted Char1"/>
    <w:basedOn w:val="DefaultParagraphFont"/>
    <w:uiPriority w:val="99"/>
    <w:semiHidden/>
    <w:rsid w:val="00690DF3"/>
    <w:rPr>
      <w:rFonts w:ascii="Consolas" w:hAnsi="Consolas" w:cs="Consolas"/>
      <w:sz w:val="20"/>
      <w:szCs w:val="20"/>
    </w:rPr>
  </w:style>
  <w:style w:type="character" w:customStyle="1" w:styleId="mini">
    <w:name w:val="mini"/>
    <w:rsid w:val="00690DF3"/>
  </w:style>
  <w:style w:type="table" w:styleId="TableGrid">
    <w:name w:val="Table Grid"/>
    <w:basedOn w:val="TableNormal"/>
    <w:uiPriority w:val="39"/>
    <w:rsid w:val="00690DF3"/>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
    <w:name w:val="Comment Text Char"/>
    <w:basedOn w:val="DefaultParagraphFont"/>
    <w:link w:val="CommentText"/>
    <w:uiPriority w:val="99"/>
    <w:semiHidden/>
    <w:rsid w:val="00690DF3"/>
    <w:rPr>
      <w:sz w:val="20"/>
      <w:szCs w:val="20"/>
    </w:rPr>
  </w:style>
  <w:style w:type="paragraph" w:styleId="CommentText">
    <w:name w:val="annotation text"/>
    <w:basedOn w:val="Normal"/>
    <w:link w:val="CommentTextChar"/>
    <w:uiPriority w:val="99"/>
    <w:semiHidden/>
    <w:unhideWhenUsed/>
    <w:rsid w:val="00690DF3"/>
    <w:pPr>
      <w:spacing w:after="160" w:line="240" w:lineRule="auto"/>
    </w:pPr>
    <w:rPr>
      <w:sz w:val="20"/>
      <w:szCs w:val="20"/>
    </w:rPr>
  </w:style>
  <w:style w:type="character" w:customStyle="1" w:styleId="CommentSubjectChar">
    <w:name w:val="Comment Subject Char"/>
    <w:basedOn w:val="CommentTextChar"/>
    <w:link w:val="CommentSubject"/>
    <w:uiPriority w:val="99"/>
    <w:semiHidden/>
    <w:rsid w:val="00690DF3"/>
    <w:rPr>
      <w:b/>
      <w:bCs/>
      <w:sz w:val="20"/>
      <w:szCs w:val="20"/>
    </w:rPr>
  </w:style>
  <w:style w:type="paragraph" w:styleId="CommentSubject">
    <w:name w:val="annotation subject"/>
    <w:basedOn w:val="CommentText"/>
    <w:next w:val="CommentText"/>
    <w:link w:val="CommentSubjectChar"/>
    <w:uiPriority w:val="99"/>
    <w:semiHidden/>
    <w:unhideWhenUsed/>
    <w:rsid w:val="00690DF3"/>
    <w:rPr>
      <w:b/>
      <w:bCs/>
    </w:rPr>
  </w:style>
  <w:style w:type="character" w:customStyle="1" w:styleId="Heading2Char">
    <w:name w:val="Heading 2 Char"/>
    <w:basedOn w:val="DefaultParagraphFont"/>
    <w:link w:val="Heading2"/>
    <w:uiPriority w:val="9"/>
    <w:rsid w:val="00D9554D"/>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1151C3"/>
    <w:rPr>
      <w:rFonts w:asciiTheme="majorHAnsi" w:eastAsiaTheme="majorEastAsia" w:hAnsiTheme="majorHAnsi" w:cstheme="majorBidi"/>
      <w:color w:val="243F60" w:themeColor="accent1" w:themeShade="7F"/>
      <w:sz w:val="24"/>
      <w:szCs w:val="24"/>
    </w:rPr>
  </w:style>
  <w:style w:type="character" w:customStyle="1" w:styleId="UnresolvedMention1">
    <w:name w:val="Unresolved Mention1"/>
    <w:basedOn w:val="DefaultParagraphFont"/>
    <w:uiPriority w:val="99"/>
    <w:semiHidden/>
    <w:unhideWhenUsed/>
    <w:rsid w:val="001151C3"/>
    <w:rPr>
      <w:color w:val="808080"/>
      <w:shd w:val="clear" w:color="auto" w:fill="E6E6E6"/>
    </w:rPr>
  </w:style>
  <w:style w:type="character" w:styleId="CommentReference">
    <w:name w:val="annotation reference"/>
    <w:basedOn w:val="DefaultParagraphFont"/>
    <w:uiPriority w:val="99"/>
    <w:semiHidden/>
    <w:unhideWhenUsed/>
    <w:rsid w:val="001151C3"/>
    <w:rPr>
      <w:sz w:val="16"/>
      <w:szCs w:val="16"/>
    </w:rPr>
  </w:style>
  <w:style w:type="character" w:customStyle="1" w:styleId="label">
    <w:name w:val="label"/>
    <w:basedOn w:val="DefaultParagraphFont"/>
    <w:rsid w:val="001151C3"/>
  </w:style>
  <w:style w:type="paragraph" w:customStyle="1" w:styleId="ency">
    <w:name w:val="ency"/>
    <w:basedOn w:val="Normal"/>
    <w:rsid w:val="001151C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me">
    <w:name w:val="name"/>
    <w:basedOn w:val="DefaultParagraphFont"/>
    <w:rsid w:val="001151C3"/>
  </w:style>
  <w:style w:type="character" w:customStyle="1" w:styleId="Date1">
    <w:name w:val="Date1"/>
    <w:basedOn w:val="DefaultParagraphFont"/>
    <w:rsid w:val="001151C3"/>
  </w:style>
  <w:style w:type="character" w:customStyle="1" w:styleId="ency1">
    <w:name w:val="ency1"/>
    <w:basedOn w:val="DefaultParagraphFont"/>
    <w:rsid w:val="001151C3"/>
  </w:style>
  <w:style w:type="paragraph" w:styleId="Title">
    <w:name w:val="Title"/>
    <w:basedOn w:val="Normal"/>
    <w:next w:val="Normal"/>
    <w:link w:val="TitleChar"/>
    <w:uiPriority w:val="10"/>
    <w:qFormat/>
    <w:rsid w:val="00435A1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35A13"/>
    <w:rPr>
      <w:rFonts w:asciiTheme="majorHAnsi" w:eastAsiaTheme="majorEastAsia" w:hAnsiTheme="majorHAnsi" w:cstheme="majorBidi"/>
      <w:spacing w:val="-10"/>
      <w:kern w:val="28"/>
      <w:sz w:val="56"/>
      <w:szCs w:val="56"/>
    </w:rPr>
  </w:style>
  <w:style w:type="character" w:customStyle="1" w:styleId="UnresolvedMention2">
    <w:name w:val="Unresolved Mention2"/>
    <w:basedOn w:val="DefaultParagraphFont"/>
    <w:uiPriority w:val="99"/>
    <w:semiHidden/>
    <w:unhideWhenUsed/>
    <w:rsid w:val="00422D80"/>
    <w:rPr>
      <w:color w:val="808080"/>
      <w:shd w:val="clear" w:color="auto" w:fill="E6E6E6"/>
    </w:rPr>
  </w:style>
  <w:style w:type="paragraph" w:customStyle="1" w:styleId="msonormal0">
    <w:name w:val="msonormal"/>
    <w:basedOn w:val="Normal"/>
    <w:rsid w:val="00967FD1"/>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1912352">
      <w:bodyDiv w:val="1"/>
      <w:marLeft w:val="0"/>
      <w:marRight w:val="0"/>
      <w:marTop w:val="0"/>
      <w:marBottom w:val="0"/>
      <w:divBdr>
        <w:top w:val="none" w:sz="0" w:space="0" w:color="auto"/>
        <w:left w:val="none" w:sz="0" w:space="0" w:color="auto"/>
        <w:bottom w:val="none" w:sz="0" w:space="0" w:color="auto"/>
        <w:right w:val="none" w:sz="0" w:space="0" w:color="auto"/>
      </w:divBdr>
    </w:div>
    <w:div w:id="1419669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hyperlink" Target="http://www.jstor.org/stable/3826130" TargetMode="External"/><Relationship Id="rId39" Type="http://schemas.openxmlformats.org/officeDocument/2006/relationships/hyperlink" Target="http://www.jstor.org/stable/2933188" TargetMode="External"/><Relationship Id="rId3" Type="http://schemas.openxmlformats.org/officeDocument/2006/relationships/settings" Target="settings.xml"/><Relationship Id="rId21" Type="http://schemas.openxmlformats.org/officeDocument/2006/relationships/image" Target="media/image14.emf"/><Relationship Id="rId34" Type="http://schemas.openxmlformats.org/officeDocument/2006/relationships/hyperlink" Target="http://www.jstor.org/stable/20082085" TargetMode="External"/><Relationship Id="rId42" Type="http://schemas.openxmlformats.org/officeDocument/2006/relationships/hyperlink" Target="http://www.jstor.org/stable/3828748" TargetMode="External"/><Relationship Id="rId7" Type="http://schemas.openxmlformats.org/officeDocument/2006/relationships/footer" Target="footer1.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hyperlink" Target="http://www.jstor.org/stable/3825993" TargetMode="External"/><Relationship Id="rId33" Type="http://schemas.openxmlformats.org/officeDocument/2006/relationships/hyperlink" Target="http://dx.doi.org/10.3366/jvc.2002.7.1.23" TargetMode="External"/><Relationship Id="rId38" Type="http://schemas.openxmlformats.org/officeDocument/2006/relationships/hyperlink" Target="http://ethos.bl.uk/OrderDetails.do?uin=uk.bl.ethos.368743" TargetMode="Externa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hyperlink" Target="http://www.jstor.org/stable/10.2979/VIC.2009.52.1.63" TargetMode="External"/><Relationship Id="rId41" Type="http://schemas.openxmlformats.org/officeDocument/2006/relationships/hyperlink" Target="http://www.jstor.org/stable/40347191"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hyperlink" Target="http://ethos.bl.uk/OrderDetails.do?uin=uk.bl.ethos.449650" TargetMode="External"/><Relationship Id="rId32" Type="http://schemas.openxmlformats.org/officeDocument/2006/relationships/hyperlink" Target="https://doi.org/10.1080/13688809809357940" TargetMode="External"/><Relationship Id="rId37" Type="http://schemas.openxmlformats.org/officeDocument/2006/relationships/hyperlink" Target="http://www.jstor.org/stable/3506260" TargetMode="External"/><Relationship Id="rId40" Type="http://schemas.openxmlformats.org/officeDocument/2006/relationships/hyperlink" Target="http://www.oxforddnb.com/" TargetMode="Externa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hyperlink" Target="http://search.proquest.com/results/10B9BB8957F74250PQ?accountid=11528" TargetMode="External"/><Relationship Id="rId28" Type="http://schemas.openxmlformats.org/officeDocument/2006/relationships/hyperlink" Target="http://www.jstor.org/stable/30006996" TargetMode="External"/><Relationship Id="rId36" Type="http://schemas.openxmlformats.org/officeDocument/2006/relationships/hyperlink" Target="http://dx.doi.org/10.1080/13825571003775356" TargetMode="Externa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hyperlink" Target="http://www.jstor.org/stable/3826056" TargetMode="External"/><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hyperlink" Target="http://www.jstor.org/stable/3827085" TargetMode="External"/><Relationship Id="rId30" Type="http://schemas.openxmlformats.org/officeDocument/2006/relationships/hyperlink" Target="http://www.jstor.org/stable/3020459" TargetMode="External"/><Relationship Id="rId35" Type="http://schemas.openxmlformats.org/officeDocument/2006/relationships/hyperlink" Target="http://www.jstor.org/stable/3828133" TargetMode="External"/><Relationship Id="rId43" Type="http://schemas.openxmlformats.org/officeDocument/2006/relationships/hyperlink" Target="http://wellesley.chadwyck.co.uk/toc/BrowseIndex.jsp"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jstor.org/stable/2933188" TargetMode="External"/><Relationship Id="rId13" Type="http://schemas.openxmlformats.org/officeDocument/2006/relationships/hyperlink" Target="https://doi.org/10.1093/ref:odnb/28590" TargetMode="External"/><Relationship Id="rId18" Type="http://schemas.openxmlformats.org/officeDocument/2006/relationships/hyperlink" Target="http://www.jstor.org/stable/3828133" TargetMode="External"/><Relationship Id="rId26" Type="http://schemas.openxmlformats.org/officeDocument/2006/relationships/hyperlink" Target="http://www.jstor.org/stable/3825993" TargetMode="External"/><Relationship Id="rId3" Type="http://schemas.openxmlformats.org/officeDocument/2006/relationships/hyperlink" Target="http://ethos.bl.uk/OrderDetails.do?uin=uk.bl.ethos.449650" TargetMode="External"/><Relationship Id="rId21" Type="http://schemas.openxmlformats.org/officeDocument/2006/relationships/hyperlink" Target="http://www.jstor.org/stable/3827085" TargetMode="External"/><Relationship Id="rId7" Type="http://schemas.openxmlformats.org/officeDocument/2006/relationships/hyperlink" Target="http://dx.doi.org/10.3366/jvc.2002.7.1.23" TargetMode="External"/><Relationship Id="rId12" Type="http://schemas.openxmlformats.org/officeDocument/2006/relationships/hyperlink" Target="http://www.jstor.org/stable/30006996" TargetMode="External"/><Relationship Id="rId17" Type="http://schemas.openxmlformats.org/officeDocument/2006/relationships/hyperlink" Target="http://dx.doi.org/10.1080/13825571003775356" TargetMode="External"/><Relationship Id="rId25" Type="http://schemas.openxmlformats.org/officeDocument/2006/relationships/hyperlink" Target="http://www.jstor.org/stable/10.2979/VIC.2009.52.1.63" TargetMode="External"/><Relationship Id="rId2" Type="http://schemas.openxmlformats.org/officeDocument/2006/relationships/hyperlink" Target="http://www.jstor.org/stable/3828748" TargetMode="External"/><Relationship Id="rId16" Type="http://schemas.openxmlformats.org/officeDocument/2006/relationships/hyperlink" Target="https://doi.org/10.1093/ref:odnb/39445" TargetMode="External"/><Relationship Id="rId20" Type="http://schemas.openxmlformats.org/officeDocument/2006/relationships/hyperlink" Target="http://www.jstor.org/stable/3506260" TargetMode="External"/><Relationship Id="rId1" Type="http://schemas.openxmlformats.org/officeDocument/2006/relationships/hyperlink" Target="http://www.jstor.org/stable/20082085" TargetMode="External"/><Relationship Id="rId6" Type="http://schemas.openxmlformats.org/officeDocument/2006/relationships/hyperlink" Target="http://ethos.bl.uk/OrderDetails.do?uin=uk.bl.ethos.368743" TargetMode="External"/><Relationship Id="rId11" Type="http://schemas.openxmlformats.org/officeDocument/2006/relationships/hyperlink" Target="http://www.jstor.org/stable/3826130" TargetMode="External"/><Relationship Id="rId24" Type="http://schemas.openxmlformats.org/officeDocument/2006/relationships/hyperlink" Target="http://www.jstor.org/stable/3828748" TargetMode="External"/><Relationship Id="rId5" Type="http://schemas.openxmlformats.org/officeDocument/2006/relationships/hyperlink" Target="http://www.jstor.org/stable/40347191" TargetMode="External"/><Relationship Id="rId15" Type="http://schemas.openxmlformats.org/officeDocument/2006/relationships/hyperlink" Target="https://doi.org/10.1093/ref:odnb/22776" TargetMode="External"/><Relationship Id="rId23" Type="http://schemas.openxmlformats.org/officeDocument/2006/relationships/hyperlink" Target="http://www.jstor.org/stable/3020459" TargetMode="External"/><Relationship Id="rId10" Type="http://schemas.openxmlformats.org/officeDocument/2006/relationships/hyperlink" Target="https://doi.org/10.1093/ref:odnb/8393" TargetMode="External"/><Relationship Id="rId19" Type="http://schemas.openxmlformats.org/officeDocument/2006/relationships/hyperlink" Target="http://www.jstor.org/stable/10.2979/VIC.2009.52.1.63" TargetMode="External"/><Relationship Id="rId4" Type="http://schemas.openxmlformats.org/officeDocument/2006/relationships/hyperlink" Target="http://www.jstor.org/stable/3827085" TargetMode="External"/><Relationship Id="rId9" Type="http://schemas.openxmlformats.org/officeDocument/2006/relationships/hyperlink" Target="http://www.jstor.org/stable/3826056" TargetMode="External"/><Relationship Id="rId14" Type="http://schemas.openxmlformats.org/officeDocument/2006/relationships/hyperlink" Target="https://doi.org/10.1080/13688809809357940" TargetMode="External"/><Relationship Id="rId22" Type="http://schemas.openxmlformats.org/officeDocument/2006/relationships/hyperlink" Target="http://dx.doi.org/10.3366/jvc.2002.7.1.2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301</Pages>
  <Words>95905</Words>
  <Characters>546659</Characters>
  <Application>Microsoft Office Word</Application>
  <DocSecurity>0</DocSecurity>
  <Lines>4555</Lines>
  <Paragraphs>1282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641282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Jamie Lucy Morgan</dc:creator>
  <cp:lastModifiedBy>Jamie Morgan</cp:lastModifiedBy>
  <cp:revision>4</cp:revision>
  <cp:lastPrinted>2017-09-26T13:09:00Z</cp:lastPrinted>
  <dcterms:created xsi:type="dcterms:W3CDTF">2019-04-24T16:12:00Z</dcterms:created>
  <dcterms:modified xsi:type="dcterms:W3CDTF">2019-04-24T16:18:00Z</dcterms:modified>
</cp:coreProperties>
</file>